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a.xml.htm"/>
      <w:bookmarkStart w:id="1" w:name="ksform4a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Kalvert Seth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TRIPADVISOR,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1ST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NEEDHAM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02494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TripAdvisor,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TRIP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 &amp; Sec.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  <w:r>
              <w:rPr/>
              <w:t xml:space="preserve"> 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05/01/2026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18,070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11.13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201,479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amendment is being filed solely to reflect shares withheld to satisfy tax withholding obligations in connection with the transactions reported on Form 4 on May 5, 2026; all other information in the original Form 4 remains unchanged.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Linda C. Frazier,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6024" TargetMode="External"/><Relationship Id="rId5" Type="http://schemas.openxmlformats.org/officeDocument/2006/relationships/hyperlink" Target="http://www.sec.gov/cgi-bin/browse-edgar?action=getcompany&amp;CIK=00015265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606</Words>
  <Characters>3276</Characters>
  <CharactersWithSpaces>3823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