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4"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right="380" w:hanging="512"/>
        <w:spacing w:after="0" w:line="237"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001-35362</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p>
      <w:pPr>
        <w:spacing w:after="0" w:line="286"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80" w:space="720"/>
            <w:col w:w="2520"/>
          </w:cols>
          <w:pgMar w:left="240" w:top="301" w:right="239" w:bottom="1440" w:gutter="0" w:footer="0" w:header="0"/>
          <w:type w:val="continuous"/>
        </w:sectPr>
      </w:pPr>
    </w:p>
    <w:p>
      <w:pPr>
        <w:spacing w:after="0" w:line="12" w:lineRule="exact"/>
        <w:rPr>
          <w:sz w:val="24"/>
          <w:szCs w:val="24"/>
          <w:color w:val="auto"/>
        </w:rPr>
      </w:pPr>
    </w:p>
    <w:p>
      <w:pPr>
        <w:ind w:left="2660"/>
        <w:spacing w:after="0"/>
        <w:rPr>
          <w:sz w:val="20"/>
          <w:szCs w:val="20"/>
          <w:color w:val="auto"/>
        </w:rPr>
      </w:pPr>
      <w:r>
        <w:rPr>
          <w:rFonts w:ascii="Arial" w:cs="Arial" w:eastAsia="Arial" w:hAnsi="Arial"/>
          <w:sz w:val="13"/>
          <w:szCs w:val="13"/>
          <w:b w:val="1"/>
          <w:bCs w:val="1"/>
          <w:color w:val="auto"/>
        </w:rPr>
        <w:t>(State or other jurisdiction of</w:t>
      </w:r>
    </w:p>
    <w:p>
      <w:pPr>
        <w:ind w:left="26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5" w:lineRule="exact"/>
        <w:rPr>
          <w:sz w:val="24"/>
          <w:szCs w:val="24"/>
          <w:color w:val="auto"/>
        </w:rPr>
      </w:pPr>
    </w:p>
    <w:p>
      <w:pPr>
        <w:sectPr>
          <w:pgSz w:w="11900" w:h="16838" w:orient="portrait"/>
          <w:cols w:equalWidth="0" w:num="2">
            <w:col w:w="8040" w:space="720"/>
            <w:col w:w="2660"/>
          </w:cols>
          <w:pgMar w:left="240" w:top="30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jc w:val="center"/>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420"/>
          </w:cols>
          <w:pgMar w:left="240" w:top="301" w:right="2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710" w:type="dxa"/>
        <w:tblCellMar>
          <w:top w:w="0" w:type="dxa"/>
          <w:left w:w="0" w:type="dxa"/>
          <w:bottom w:w="0" w:type="dxa"/>
          <w:right w:w="0" w:type="dxa"/>
        </w:tblCellMar>
      </w:tblPr>
      <w:tr>
        <w:trPr>
          <w:trHeight w:val="216"/>
        </w:trPr>
        <w:tc>
          <w:tcPr>
            <w:tcW w:w="2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4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TRIP</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98" w:lineRule="exact"/>
        <w:rPr>
          <w:sz w:val="24"/>
          <w:szCs w:val="24"/>
          <w:color w:val="auto"/>
        </w:rPr>
      </w:pPr>
    </w:p>
    <w:p>
      <w:pPr>
        <w:ind w:right="3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6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jc w:val="both"/>
        <w:ind w:right="44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86" w:lineRule="exact"/>
        <w:rPr>
          <w:sz w:val="24"/>
          <w:szCs w:val="24"/>
          <w:color w:val="auto"/>
        </w:rPr>
      </w:pPr>
    </w:p>
    <w:p>
      <w:pPr>
        <w:ind w:right="16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44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1060" w:type="dxa"/>
            <w:vAlign w:val="bottom"/>
            <w:gridSpan w:val="2"/>
          </w:tcPr>
          <w:p>
            <w:pPr>
              <w:spacing w:after="0"/>
              <w:rPr>
                <w:sz w:val="22"/>
                <w:szCs w:val="22"/>
                <w:color w:val="auto"/>
              </w:rPr>
            </w:pPr>
          </w:p>
        </w:tc>
        <w:tc>
          <w:tcPr>
            <w:tcW w:w="3440" w:type="dxa"/>
            <w:vAlign w:val="bottom"/>
          </w:tcPr>
          <w:p>
            <w:pPr>
              <w:jc w:val="center"/>
              <w:ind w:right="857"/>
              <w:spacing w:after="0"/>
              <w:rPr>
                <w:sz w:val="20"/>
                <w:szCs w:val="20"/>
                <w:color w:val="auto"/>
              </w:rPr>
            </w:pPr>
            <w:r>
              <w:rPr>
                <w:rFonts w:ascii="Arial" w:cs="Arial" w:eastAsia="Arial" w:hAnsi="Arial"/>
                <w:sz w:val="14"/>
                <w:szCs w:val="14"/>
                <w:color w:val="auto"/>
                <w:w w:val="91"/>
              </w:rPr>
              <w:t>Outstanding Shares at October 31, 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Common Stock, $0.001 par value per share</w:t>
            </w:r>
          </w:p>
        </w:tc>
        <w:tc>
          <w:tcPr>
            <w:tcW w:w="9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2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3440" w:type="dxa"/>
            <w:vAlign w:val="bottom"/>
          </w:tcPr>
          <w:p>
            <w:pPr>
              <w:jc w:val="center"/>
              <w:ind w:right="857"/>
              <w:spacing w:after="0" w:line="182" w:lineRule="exact"/>
              <w:rPr>
                <w:sz w:val="20"/>
                <w:szCs w:val="20"/>
                <w:color w:val="auto"/>
              </w:rPr>
            </w:pPr>
            <w:r>
              <w:rPr>
                <w:rFonts w:ascii="Arial" w:cs="Arial" w:eastAsia="Arial" w:hAnsi="Arial"/>
                <w:sz w:val="18"/>
                <w:szCs w:val="18"/>
                <w:color w:val="auto"/>
                <w:w w:val="86"/>
              </w:rPr>
              <w:t>126,591,959 shares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jc w:val="center"/>
              <w:ind w:right="1040"/>
              <w:spacing w:after="0"/>
              <w:rPr>
                <w:sz w:val="20"/>
                <w:szCs w:val="20"/>
                <w:color w:val="auto"/>
              </w:rPr>
            </w:pPr>
            <w:r>
              <w:rPr>
                <w:rFonts w:ascii="Arial" w:cs="Arial" w:eastAsia="Arial" w:hAnsi="Arial"/>
                <w:sz w:val="18"/>
                <w:szCs w:val="18"/>
                <w:color w:val="auto"/>
                <w:w w:val="89"/>
              </w:rPr>
              <w:t>Class B common stock, $0.001 par value per share</w:t>
            </w:r>
          </w:p>
        </w:tc>
        <w:tc>
          <w:tcPr>
            <w:tcW w:w="3440" w:type="dxa"/>
            <w:vAlign w:val="bottom"/>
          </w:tcPr>
          <w:p>
            <w:pPr>
              <w:jc w:val="center"/>
              <w:ind w:right="85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8"/>
        </w:trPr>
        <w:tc>
          <w:tcPr>
            <w:tcW w:w="6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10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100" w:type="dxa"/>
            <w:vAlign w:val="bottom"/>
            <w:gridSpan w:val="23"/>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100" w:type="dxa"/>
            <w:vAlign w:val="bottom"/>
            <w:gridSpan w:val="23"/>
          </w:tcPr>
          <w:p>
            <w:pPr>
              <w:spacing w:after="0"/>
              <w:rPr>
                <w:sz w:val="20"/>
                <w:szCs w:val="20"/>
                <w:color w:val="auto"/>
              </w:rPr>
            </w:pPr>
            <w:r>
              <w:rPr>
                <w:rFonts w:ascii="Arial" w:cs="Arial" w:eastAsia="Arial" w:hAnsi="Arial"/>
                <w:sz w:val="18"/>
                <w:szCs w:val="18"/>
                <w:color w:val="auto"/>
              </w:rPr>
              <w:t>Item 1. Unaudited Condensed 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6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Statements of Operations for the Three and Nine Months Ended September 30, 2019 and 2018</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60" w:type="dxa"/>
            <w:vAlign w:val="bottom"/>
            <w:gridSpan w:val="22"/>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Comprehensive Income for the Three and Nine Months Ended September 30, 2019 and 201</w:t>
              </w:r>
            </w:hyperlink>
            <w:r>
              <w:rPr>
                <w:rFonts w:ascii="Arial" w:cs="Arial" w:eastAsia="Arial" w:hAnsi="Arial"/>
                <w:sz w:val="18"/>
                <w:szCs w:val="18"/>
                <w:color w:val="000000"/>
                <w:w w:val="92"/>
              </w:rPr>
              <w:t>8</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September 30, 2019 and December 31, 2018</w:t>
              </w:r>
            </w:hyperlink>
          </w:p>
        </w:tc>
        <w:tc>
          <w:tcPr>
            <w:tcW w:w="100" w:type="dxa"/>
            <w:vAlign w:val="bottom"/>
            <w:tcBorders>
              <w:top w:val="single" w:sz="8" w:color="auto"/>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60" w:type="dxa"/>
            <w:vAlign w:val="bottom"/>
            <w:gridSpan w:val="2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Statements of Changes in Stockholders’ Equity for the Three and Nine Months Ended September 30, 2019</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2018</w:t>
              </w:r>
            </w:hyperlink>
          </w:p>
        </w:tc>
        <w:tc>
          <w:tcPr>
            <w:tcW w:w="9420" w:type="dxa"/>
            <w:vAlign w:val="bottom"/>
            <w:tcBorders>
              <w:top w:val="single" w:sz="8" w:color="0000EE"/>
            </w:tcBorders>
            <w:gridSpan w:val="16"/>
          </w:tcPr>
          <w:p>
            <w:pPr>
              <w:spacing w:after="0"/>
              <w:rPr>
                <w:sz w:val="17"/>
                <w:szCs w:val="17"/>
                <w:color w:val="auto"/>
              </w:rPr>
            </w:pPr>
          </w:p>
        </w:tc>
        <w:tc>
          <w:tcPr>
            <w:tcW w:w="3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6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Nine Months Ended September 30, 2019 and 201</w:t>
              </w:r>
            </w:hyperlink>
            <w:r>
              <w:rPr>
                <w:rFonts w:ascii="Arial" w:cs="Arial" w:eastAsia="Arial" w:hAnsi="Arial"/>
                <w:sz w:val="18"/>
                <w:szCs w:val="18"/>
                <w:color w:val="000000"/>
              </w:rPr>
              <w:t>8</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840" w:type="dxa"/>
            <w:vAlign w:val="bottom"/>
            <w:tcBorders>
              <w:top w:val="single" w:sz="8" w:color="0000EE"/>
            </w:tcBorders>
            <w:gridSpan w:val="3"/>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1110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Item 4. Controls and Procedures</w:t>
              </w:r>
            </w:hyperlink>
          </w:p>
        </w:tc>
        <w:tc>
          <w:tcPr>
            <w:tcW w:w="87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46">
              <w:r>
                <w:rPr>
                  <w:rFonts w:ascii="Arial" w:cs="Arial" w:eastAsia="Arial" w:hAnsi="Arial"/>
                  <w:sz w:val="18"/>
                  <w:szCs w:val="18"/>
                  <w:b w:val="1"/>
                  <w:bCs w:val="1"/>
                  <w:color w:val="0000EE"/>
                  <w:w w:val="97"/>
                </w:rPr>
                <w:t>Part II—Other Information</w:t>
              </w:r>
            </w:hyperlink>
          </w:p>
        </w:tc>
        <w:tc>
          <w:tcPr>
            <w:tcW w:w="894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1. Legal Proceedings</w:t>
              </w:r>
            </w:hyperlink>
          </w:p>
        </w:tc>
        <w:tc>
          <w:tcPr>
            <w:tcW w:w="92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1A. Risk Factors</w:t>
              </w:r>
            </w:hyperlink>
          </w:p>
        </w:tc>
        <w:tc>
          <w:tcPr>
            <w:tcW w:w="950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Item 2. Unregistered Sales of Equity Securities and Use of Proceeds</w:t>
              </w:r>
            </w:hyperlink>
          </w:p>
        </w:tc>
        <w:tc>
          <w:tcPr>
            <w:tcW w:w="61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100" w:type="dxa"/>
            <w:vAlign w:val="bottom"/>
            <w:gridSpan w:val="2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3. Defaults Upon Senior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2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Item 5. Other Information</w:t>
              </w:r>
            </w:hyperlink>
          </w:p>
        </w:tc>
        <w:tc>
          <w:tcPr>
            <w:tcW w:w="922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100" w:type="dxa"/>
            <w:vAlign w:val="bottom"/>
            <w:gridSpan w:val="2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6. Exhibits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99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(Note 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Cost of revenue (1)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 (2)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Technology and content (2)</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 (2)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income and other, net</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3"/>
        </w:trPr>
        <w:tc>
          <w:tcPr>
            <w:tcW w:w="5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7"/>
              </w:rPr>
              <w:t>Earnings per share attributable to common stockholders (Note 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Basic</w:t>
            </w:r>
          </w:p>
        </w:tc>
        <w:tc>
          <w:tcPr>
            <w:tcW w:w="88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0.36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88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0.36</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4):</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w w:val="96"/>
              </w:rPr>
              <w:t>Amortization of acquired technology included in amortization of</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88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website development costs included in</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w w:val="93"/>
              </w:rPr>
              <w:t>(2) Includes stock-based compensation expense as follows (Note 5):</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 of revenue</w:t>
            </w:r>
          </w:p>
        </w:tc>
        <w:tc>
          <w:tcPr>
            <w:tcW w:w="88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Selling and marketing</w:t>
            </w:r>
          </w:p>
        </w:tc>
        <w:tc>
          <w:tcPr>
            <w:tcW w:w="88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Technology and content</w:t>
            </w:r>
          </w:p>
        </w:tc>
        <w:tc>
          <w:tcPr>
            <w:tcW w:w="88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88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60"/>
          </w:cols>
          <w:pgMar w:left="240" w:top="364" w:right="799" w:bottom="1440" w:gutter="0" w:footer="0" w:header="0"/>
        </w:sectPr>
      </w:pPr>
    </w:p>
    <w:bookmarkStart w:id="3" w:name="page4"/>
    <w:bookmarkEnd w:id="3"/>
    <w:p>
      <w:pPr>
        <w:jc w:val="center"/>
        <w:ind w:right="-38"/>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(in millions)</w:t>
      </w:r>
    </w:p>
    <w:p>
      <w:pPr>
        <w:spacing w:after="0" w:line="311" w:lineRule="exact"/>
        <w:rPr>
          <w:sz w:val="20"/>
          <w:szCs w:val="20"/>
          <w:color w:val="auto"/>
        </w:rPr>
      </w:pPr>
    </w:p>
    <w:tbl>
      <w:tblPr>
        <w:tblLayout w:type="fixed"/>
        <w:tblInd w:w="59"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gridSpan w:val="5"/>
          </w:tcPr>
          <w:p>
            <w:pPr>
              <w:jc w:val="right"/>
              <w:ind w:right="4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 (1)</w:t>
            </w:r>
          </w:p>
        </w:tc>
        <w:tc>
          <w:tcPr>
            <w:tcW w:w="1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(10)</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loss</w:t>
            </w:r>
          </w:p>
        </w:tc>
        <w:tc>
          <w:tcPr>
            <w:tcW w:w="12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79" w:right="320" w:hanging="379"/>
        <w:spacing w:after="0" w:line="277" w:lineRule="auto"/>
        <w:tabs>
          <w:tab w:leader="none" w:pos="37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intention to indefinitely reinvest the earnings of our foreign subsidiaries in those operations.</w:t>
      </w:r>
    </w:p>
    <w:p>
      <w:pPr>
        <w:spacing w:after="0" w:line="34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339"/>
          </w:cols>
          <w:pgMar w:left="761" w:top="364"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Short-term marketable securities (Note 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3"/>
              </w:rPr>
              <w:t>Accounts receivable and contract assets, net of allowance for doubtful accounts of $24 and $21, respectively (Note 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Property and equipment, net (Note 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lease right-of-use assets (Note 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$160 and $140,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 (Note 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2,468</w:t>
            </w:r>
          </w:p>
        </w:tc>
        <w:tc>
          <w:tcPr>
            <w:tcW w:w="3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0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Deferred revenue (Note 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2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 (Note 11)</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820</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spacing w:after="0"/>
              <w:rPr>
                <w:sz w:val="20"/>
                <w:szCs w:val="20"/>
                <w:color w:val="auto"/>
              </w:rPr>
            </w:pPr>
            <w:r>
              <w:rPr>
                <w:rFonts w:ascii="Arial" w:cs="Arial" w:eastAsia="Arial" w:hAnsi="Arial"/>
                <w:sz w:val="16"/>
                <w:szCs w:val="16"/>
                <w:color w:val="auto"/>
              </w:rPr>
              <w:t>Stockholders’ equity: (Note 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$0.001 par value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6"/>
                <w:szCs w:val="16"/>
                <w:color w:val="auto"/>
              </w:rPr>
              <w:t>Authorized shares: 100,000,000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Common stock, $0.001 par 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1,600,000,000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6"/>
                <w:szCs w:val="16"/>
                <w:color w:val="auto"/>
              </w:rPr>
              <w:t>Shares issued: 138,615,848 and 137,158,010,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outstanding: 126,559,160 and 125,101,322, respectively</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Class B common stock, $0.001 par 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400,000,000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Treasury stock-common stock, at cost, 12,056,688 and 12,056,688 shares,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(547)</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1,648</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2,468</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11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Three months ended September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9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ind w:left="167"/>
              <w:spacing w:after="0"/>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left="521"/>
              <w:spacing w:after="0"/>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w w:val="99"/>
              </w:rPr>
              <w:t>Balance as of June 30,</w:t>
            </w: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1940" w:type="dxa"/>
            <w:vAlign w:val="bottom"/>
            <w:vMerge w:val="continue"/>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138,525,158</w:t>
            </w:r>
          </w:p>
        </w:tc>
        <w:tc>
          <w:tcPr>
            <w:tcW w:w="54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tcPr>
          <w:p>
            <w:pPr>
              <w:spacing w:after="0"/>
              <w:rPr>
                <w:sz w:val="20"/>
                <w:szCs w:val="20"/>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1,081</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1,106</w:t>
            </w:r>
          </w:p>
        </w:tc>
        <w:tc>
          <w:tcPr>
            <w:tcW w:w="200" w:type="dxa"/>
            <w:vAlign w:val="bottom"/>
          </w:tcPr>
          <w:p>
            <w:pPr>
              <w:spacing w:after="0"/>
              <w:rPr>
                <w:sz w:val="20"/>
                <w:szCs w:val="20"/>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(65)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loss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w w:val="94"/>
              </w:rPr>
              <w:t>stock related to exercises</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w w:val="98"/>
              </w:rPr>
              <w:t>of options and vesting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90,690</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w w:val="97"/>
              </w:rPr>
              <w:t>Withholding taxes on net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 settlements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equity 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4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September 30, 2019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138,615,848</w:t>
            </w:r>
          </w:p>
        </w:tc>
        <w:tc>
          <w:tcPr>
            <w:tcW w:w="180" w:type="dxa"/>
            <w:vAlign w:val="bottom"/>
          </w:tcPr>
          <w:p>
            <w:pPr>
              <w:spacing w:after="0"/>
              <w:rPr>
                <w:sz w:val="20"/>
                <w:szCs w:val="20"/>
                <w:color w:val="auto"/>
              </w:rPr>
            </w:pPr>
          </w:p>
        </w:tc>
        <w:tc>
          <w:tcPr>
            <w:tcW w:w="360" w:type="dxa"/>
            <w:vAlign w:val="bottom"/>
          </w:tcPr>
          <w:p>
            <w:pPr>
              <w:jc w:val="right"/>
              <w:ind w:right="182"/>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tcPr>
          <w:p>
            <w:pPr>
              <w:spacing w:after="0"/>
              <w:rPr>
                <w:sz w:val="20"/>
                <w:szCs w:val="20"/>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1,114</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1,156</w:t>
            </w:r>
          </w:p>
        </w:tc>
        <w:tc>
          <w:tcPr>
            <w:tcW w:w="200" w:type="dxa"/>
            <w:vAlign w:val="bottom"/>
          </w:tcPr>
          <w:p>
            <w:pPr>
              <w:spacing w:after="0"/>
              <w:rPr>
                <w:sz w:val="20"/>
                <w:szCs w:val="20"/>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(75)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9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ind w:left="6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ind w:left="167"/>
              <w:spacing w:after="0"/>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left="521"/>
              <w:spacing w:after="0"/>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19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137,158,010</w:t>
            </w:r>
          </w:p>
        </w:tc>
        <w:tc>
          <w:tcPr>
            <w:tcW w:w="540" w:type="dxa"/>
            <w:vAlign w:val="bottom"/>
            <w:gridSpan w:val="2"/>
            <w:shd w:val="clear" w:color="auto" w:fill="CFF0FC"/>
          </w:tcPr>
          <w:p>
            <w:pPr>
              <w:jc w:val="right"/>
              <w:ind w:right="18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1,037</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1,043</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3"/>
              </w:rPr>
              <w:t>(62)</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1,471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adjustment from</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accounting guidance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(Note 2)</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loss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w w:val="94"/>
              </w:rPr>
              <w:t>stock related to exercises</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w w:val="98"/>
              </w:rPr>
              <w:t>of options and vesting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1,457,838</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w w:val="97"/>
              </w:rPr>
              <w:t>Withholding taxes on net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 settlements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equity 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4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September 30, 2019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138,615,848</w:t>
            </w:r>
          </w:p>
        </w:tc>
        <w:tc>
          <w:tcPr>
            <w:tcW w:w="54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tcPr>
          <w:p>
            <w:pPr>
              <w:spacing w:after="0"/>
              <w:rPr>
                <w:sz w:val="20"/>
                <w:szCs w:val="20"/>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1,114</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1,156</w:t>
            </w:r>
          </w:p>
        </w:tc>
        <w:tc>
          <w:tcPr>
            <w:tcW w:w="200" w:type="dxa"/>
            <w:vAlign w:val="bottom"/>
          </w:tcPr>
          <w:p>
            <w:pPr>
              <w:spacing w:after="0"/>
              <w:rPr>
                <w:sz w:val="20"/>
                <w:szCs w:val="20"/>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(75)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9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ind w:left="167"/>
              <w:spacing w:after="0"/>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left="521"/>
              <w:spacing w:after="0"/>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19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9"/>
              </w:rPr>
              <w:t>Balance as of June 30,</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136,778,032</w:t>
            </w:r>
          </w:p>
        </w:tc>
        <w:tc>
          <w:tcPr>
            <w:tcW w:w="540" w:type="dxa"/>
            <w:vAlign w:val="bottom"/>
            <w:gridSpan w:val="2"/>
            <w:shd w:val="clear" w:color="auto" w:fill="CFF0FC"/>
          </w:tcPr>
          <w:p>
            <w:pPr>
              <w:jc w:val="right"/>
              <w:ind w:right="18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966</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3"/>
              </w:rPr>
              <w:t>(51)</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loss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4"/>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8"/>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91,851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w w:val="97"/>
              </w:rPr>
              <w:t>Withholding taxes on net</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share settlements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equity awards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September 30,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136,869,883</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82"/>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1,035</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3"/>
              </w:rPr>
              <w:t>(56)</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9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ind w:left="60"/>
              <w:spacing w:after="0"/>
              <w:rPr>
                <w:sz w:val="20"/>
                <w:szCs w:val="20"/>
                <w:color w:val="auto"/>
              </w:rPr>
            </w:pPr>
            <w:r>
              <w:rPr>
                <w:rFonts w:ascii="Arial" w:cs="Arial" w:eastAsia="Arial" w:hAnsi="Arial"/>
                <w:sz w:val="18"/>
                <w:szCs w:val="18"/>
                <w:b w:val="1"/>
                <w:bCs w:val="1"/>
                <w:color w:val="auto"/>
                <w:w w:val="90"/>
              </w:rPr>
              <w:t>Nine months ended September 30, 2018</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ind w:left="167"/>
              <w:spacing w:after="0"/>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left="521"/>
              <w:spacing w:after="0"/>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w:t>
            </w: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1940" w:type="dxa"/>
            <w:vAlign w:val="bottom"/>
            <w:vMerge w:val="continue"/>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135,617,263</w:t>
            </w:r>
          </w:p>
        </w:tc>
        <w:tc>
          <w:tcPr>
            <w:tcW w:w="54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tcPr>
          <w:p>
            <w:pPr>
              <w:spacing w:after="0"/>
              <w:rPr>
                <w:sz w:val="20"/>
                <w:szCs w:val="20"/>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926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926</w:t>
            </w:r>
          </w:p>
        </w:tc>
        <w:tc>
          <w:tcPr>
            <w:tcW w:w="200" w:type="dxa"/>
            <w:vAlign w:val="bottom"/>
          </w:tcPr>
          <w:p>
            <w:pPr>
              <w:spacing w:after="0"/>
              <w:rPr>
                <w:sz w:val="20"/>
                <w:szCs w:val="20"/>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(42)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(9,474,490)</w:t>
            </w:r>
          </w:p>
        </w:tc>
        <w:tc>
          <w:tcPr>
            <w:tcW w:w="240" w:type="dxa"/>
            <w:vAlign w:val="bottom"/>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Cumulative effect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adjustment from</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adoption of new</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accounting guidance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loss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(14)</w:t>
            </w: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4"/>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8"/>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1,252,620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stock (Note 13)</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(2,582,198)</w:t>
            </w:r>
          </w:p>
        </w:tc>
        <w:tc>
          <w:tcPr>
            <w:tcW w:w="2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w w:val="97"/>
              </w:rPr>
              <w:t>Withholding taxes on net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 settlements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equity 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4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September 30, 2018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136,869,883</w:t>
            </w:r>
          </w:p>
        </w:tc>
        <w:tc>
          <w:tcPr>
            <w:tcW w:w="54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tcPr>
          <w:p>
            <w:pPr>
              <w:spacing w:after="0"/>
              <w:rPr>
                <w:sz w:val="20"/>
                <w:szCs w:val="20"/>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1,010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1,035</w:t>
            </w:r>
          </w:p>
        </w:tc>
        <w:tc>
          <w:tcPr>
            <w:tcW w:w="200" w:type="dxa"/>
            <w:vAlign w:val="bottom"/>
          </w:tcPr>
          <w:p>
            <w:pPr>
              <w:spacing w:after="0"/>
              <w:rPr>
                <w:sz w:val="20"/>
                <w:szCs w:val="20"/>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(56)</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expense (benefit)</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Accounts receivable and contract assets, prepaid expenses and other assets</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0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Deferred merchant payables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 receivables/payables, net</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Deferred revenue</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0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(118)</w:t>
            </w: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Sales of marketable securities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of marketable securities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Acquisitions and other investments, net of cash acquired</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investing activities, net</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(140)</w:t>
            </w: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of common stock</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2015 credit facility</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to 2015 credit facility</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Chinese credit facilities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to Chinese credit facilities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w:t>
            </w: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Other financing activities, net</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refer to TripAdvisor, Inc. and our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TripAdvisor is an online travel company and our mission is to help people around the world plan, book and experience the perfect trip. We seek to achieve our mission by providing consumers and travel partners a global platform of rich content, price comparison tools and online reservation and related services for destinations, accommodations, travel activities and experiences, and restaurants.</w:t>
      </w:r>
    </w:p>
    <w:p>
      <w:pPr>
        <w:spacing w:after="0" w:line="18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Our flagship brand is TripAdvisor. TripAdvisor-branded websites include tripadvisor.com in the United States and localized versions of the website in 48 markets and 28 languages worldwide. TripAdvisor features approximately 830 million reviews and opinions on approximately 8.6 million places to stay, places to eat and things to do – including 1.4 million hotels, inns, B&amp;Bs and specialty lodging, 885,000 rental properties, 5.1 million restaurants and 1.2 million travel activities and experiences worldwide. We also enable consumers to compare prices and book a number of these travel experiences on either a TripAdvisor website or mobile application (“mobile app”), or on the website or mobile app of one of our travel partners. In addition to the flagship TripAdvisor brand, we manage and operate the following other travel media brands: www.airfarewatchdog.com, www.bokun.io, www.bookingbuddy.com, www.cruisecritic.com, www.familyvacationcritic.com, www.flipkey.com, www.thefork.com (including www.lafourchette.com, www.eltenedor.com, and www.restorando.com), www.holidaylettings.co.uk, www.holidaywatchdog.com, www.housetrip.com, www.jetsetter.com, www.niumba.com, www.onetime.com, www.oyster.com, www.seatguru.com, www.smartertravel.com, www.tingo.com, www.vacationhomerentals.com, and www.viator.com.</w:t>
      </w:r>
    </w:p>
    <w:p>
      <w:pPr>
        <w:spacing w:after="0" w:line="169"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 xml:space="preserve">During the first quarter of 2019, as part of our continuous review of the business, we evaluated our operations and realigned the reportable segment information which our chief operating decision maker, or CODM, regularly assesses to evaluate performance for operating decision-making purposes, including evaluation and allocation of resources. The CODM for the Company is our Chief Executive Officer. The revised segment reporting structure includes the following reportable segments: (1) Hotels, Media &amp; Platform; and (2) Experiences &amp; Dining. For further information on our segments, including the change in segments, and principal revenue streams within these segments 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these notes to our unaudited condensed consolidated financial statements.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financials were not material for all periods presented.</w:t>
      </w:r>
    </w:p>
    <w:p>
      <w:pPr>
        <w:spacing w:after="0" w:line="5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2018, previously filed with the SEC.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ind w:right="160"/>
        <w:spacing w:after="0" w:line="277" w:lineRule="auto"/>
        <w:rPr>
          <w:sz w:val="20"/>
          <w:szCs w:val="20"/>
          <w:color w:val="auto"/>
        </w:rPr>
      </w:pPr>
      <w:r>
        <w:rPr>
          <w:rFonts w:ascii="Arial" w:cs="Arial" w:eastAsia="Arial" w:hAnsi="Arial"/>
          <w:sz w:val="18"/>
          <w:szCs w:val="18"/>
          <w:color w:val="auto"/>
        </w:rPr>
        <w:t>unaudited condensed consolidated balance sheet as of December 31, 2018 included herein was derived from the audited consolidated financial statements as of that date, but does not include all disclosures including notes required by GAAP.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definite-lived intangibles and other long-lived assets; and (ii) accounting for income taxes.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Global travel market expenditures tend to follow a seasonal pattern. Correspondingly, advertising investments made by travel partners and, therefore, our revenue and profits, also tend to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August 2018, the Financial Accounting Standards Board (“FASB”) issued new accounting guidance which require a customer in a cloud computing arrangement (i.e., hosting arrangement) that is a service contract to follow the internal-use software guidance to determine which implementation costs to capitalize as assets or expense as incurred. The accounting for the cost of the hosting component of the arrangement (i.e., service costs the customer pays for the cloud computing service) is not affected by this new guidance. The Company uses both internally-developed software and third-party software to operate its business. This guidance is effective for fiscal years, and interim periods within those fiscal years, beginning after December 15, 2019, with early adoption permitted, including adoption in any interim period. Entities have the option to apply the guidance retrospectively or prospectively to all implementation costs incurred after the date of adoption. We plan on adopting this new guidance on January 1, 2020 on a prospective basis without adjusting the comparative periods presented. We do not expect the adoption of this new guidance will have a material impact on our consolidated financial statements and related disclosures.</w:t>
      </w:r>
    </w:p>
    <w:p>
      <w:pPr>
        <w:spacing w:after="0" w:line="197"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In June 2016, the FASB issued new accounting guidance which replaces the existing incurred loss impairment model with an expected loss methodology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Entities are required to adopt this new guidance on a modified retrospective basis with a cumulative-effect adjustment to retained earnings as of the beginning of the period of adoption. We plan on adopting this new guidance on January 1, 2020. While we continue to evaluate the impact of adopting this new guidance, we currently do not expect it will have a material impact on our consolidated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February 2016, the FASB issued new guidance which revises the accounting for leases (“ASC 842”). ASC 842 requires entities that lease assets to recognize right-of-use (ROU) assets representing its right to use the underlying asset for the lease term and lease liabilities related to the rights and obligations created by those leases on the balance sheet regardless of whether they are classified as finance or operating leases, with classification affecting the pattern and presentation of expenses and cash flows on our consolidated financial statements. In addition, new disclosures are required to meet the objective of enabling users of the financial statements to better understand the amount, timing, and uncertainty of cash flows arising from leases. We adopted ASC 842 on January 1, 2019 and elected the modified retrospective transition method that allowed for a cumulative-effect adjustment in the period of adoption. Financial results for reporting periods beginning after January 1, 2019 are presented under ASC 842, while prior period amounts were not adjusted and continue to be reported under the accounting standards in effect for those periods. The Company has also updated its accounting policies to reflect the new guidance and has implemented lease accounting software to support its accounting process, financial reporting, and new financial disclosure requirements.</w:t>
      </w:r>
    </w:p>
    <w:p>
      <w:pPr>
        <w:spacing w:after="0" w:line="16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elected the following practical expedients available in transition upon adoption of ASC 842 and accounting policy updates: 1) the “practical expedients package of three”, which allows us to not reassess the following as of the adoption date: a) whether any expired or existing contracts are or contain a lease; b) the lease classification for any expired or existing leases ; and c) the accounting treatment for initial direct costs for existing leases ; 2) the “short-term lease recognition exemption”, which allows entities to forego recognition of ROU assets and lease liabilities for leases with a lease term of twelve months or less and which also do not include an option to renew the lease term that the entity is reasonably certain to exercise; 3) elect by asset class as an accounting policy, to combine lease and non-lease components as a single component and subsequently account for the combined single component as the lease component; and 4) apply the portfolio approach to similar types of leases where the Company does not reasonably expect the outcome to differ materially from applying the new guidance to individual leases.</w:t>
      </w:r>
    </w:p>
    <w:p>
      <w:pPr>
        <w:spacing w:after="0" w:line="179"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The adoption of ASC 842 did not have a material impact to both our unaudited condensed consolidated statement of operations during the three and nine months ended September 30, 2019 and unaudited condensed consolidated statement of cash flows during the nine months ended September 30, 2019. The effect on our unaudited condensed consolidated balance sheet as of January 1, 2019 from the adoption of ASC 842 is as follows: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Assets: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Prepaid expenses and other current assets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 net (1)</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right-of-use assets (1)</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income taxes, net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long-term assets</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Liabilities: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Accrued expenses and other current liabilities (2)</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long-term liabilities (1)</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Retained earnings (3)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Balance at</w:t>
            </w:r>
          </w:p>
        </w:tc>
        <w:tc>
          <w:tcPr>
            <w:tcW w:w="144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Adjustments due</w:t>
            </w:r>
          </w:p>
        </w:tc>
        <w:tc>
          <w:tcPr>
            <w:tcW w:w="160" w:type="dxa"/>
            <w:vAlign w:val="bottom"/>
          </w:tcPr>
          <w:p>
            <w:pPr>
              <w:spacing w:after="0"/>
              <w:rPr>
                <w:sz w:val="14"/>
                <w:szCs w:val="14"/>
                <w:color w:val="auto"/>
              </w:rPr>
            </w:pP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rPr>
              <w:t>Balance at</w:t>
            </w:r>
          </w:p>
        </w:tc>
      </w:tr>
      <w:tr>
        <w:trPr>
          <w:trHeight w:val="171"/>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December 31, 2018</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 ASC 842</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January 1, 2019</w:t>
            </w:r>
          </w:p>
        </w:tc>
      </w:tr>
      <w:tr>
        <w:trPr>
          <w:trHeight w:val="252"/>
        </w:trPr>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5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56"/>
        </w:trPr>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743"/>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4"/>
                <w:szCs w:val="24"/>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-1697355</wp:posOffset>
            </wp:positionV>
            <wp:extent cx="579755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-1388745</wp:posOffset>
            </wp:positionV>
            <wp:extent cx="579755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-1080135</wp:posOffset>
            </wp:positionV>
            <wp:extent cx="579755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-770890</wp:posOffset>
            </wp:positionV>
            <wp:extent cx="579755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-454025</wp:posOffset>
            </wp:positionV>
            <wp:extent cx="579755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-145415</wp:posOffset>
            </wp:positionV>
            <wp:extent cx="579755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180"/>
          </w:cols>
          <w:pgMar w:left="240" w:top="580" w:right="239" w:bottom="1440" w:gutter="0" w:footer="0" w:header="0"/>
          <w:type w:val="continuous"/>
        </w:sectPr>
      </w:pPr>
    </w:p>
    <w:p>
      <w:pPr>
        <w:spacing w:after="0" w:line="15" w:lineRule="exact"/>
        <w:rPr>
          <w:sz w:val="20"/>
          <w:szCs w:val="20"/>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 to the below discussion regarding the transition accounting for operating and finance leases upon adoption of ASC 842.</w:t>
      </w:r>
    </w:p>
    <w:p>
      <w:pPr>
        <w:spacing w:after="0" w:line="23" w:lineRule="exact"/>
        <w:rPr>
          <w:rFonts w:ascii="Arial" w:cs="Arial" w:eastAsia="Arial" w:hAnsi="Arial"/>
          <w:sz w:val="18"/>
          <w:szCs w:val="18"/>
          <w:color w:val="auto"/>
        </w:rPr>
      </w:pPr>
    </w:p>
    <w:p>
      <w:pPr>
        <w:ind w:left="760" w:right="640" w:hanging="374"/>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adjustment primarily represents the short-term portion of operating and finance lease obligations recorded upon adoption of ASC 842, discussed below.</w:t>
      </w:r>
    </w:p>
    <w:p>
      <w:pPr>
        <w:ind w:left="760" w:right="200" w:hanging="374"/>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cumulative-effect adjustment of $3 million, net of tax to our beginning balance of retained earnings recorded upon adoption of ASC 842.</w:t>
      </w:r>
    </w:p>
    <w:p>
      <w:pPr>
        <w:spacing w:after="0" w:line="8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lease office space in a number of countries around the world under non-cancelable lease agreements. Our corporate headquarters lease (“Headquarters Lease”) is our most significant office space lease. The Company has also entered into data center and certain equipment leases, such as network equipment and other leases, which are not material to our unaudited condensed consolidated financial statements. We determine whether a contract is or contains a lease at inception of a contract. We define a lease as a contract, or part of a contract, that conveys the right to control the use of identified property, plant,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both"/>
        <w:ind w:firstLine="518"/>
        <w:spacing w:after="0" w:line="270" w:lineRule="auto"/>
        <w:rPr>
          <w:sz w:val="20"/>
          <w:szCs w:val="20"/>
          <w:color w:val="auto"/>
        </w:rPr>
      </w:pPr>
      <w:r>
        <w:rPr>
          <w:rFonts w:ascii="Arial" w:cs="Arial" w:eastAsia="Arial" w:hAnsi="Arial"/>
          <w:sz w:val="17"/>
          <w:szCs w:val="17"/>
          <w:color w:val="auto"/>
        </w:rPr>
        <w:t>Our lease contracts contain both lease and non-lease components. We account separately for the lease and non-lease components of office space leases and certain other leases, such as data center leases. We allocate the consideration in the contract to the lease and non-lease components based on each component’s relative standalone price. We determine standalone prices for the lease components based on the prices for which other lessors lease similar assets on a standalone basis. We determine standalone prices for the non-lease component based on the prices that other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ROU assets and operating lease liabilities, hence we do not expect the outcome to differ materially from applying the new guidance to individual leases.</w:t>
      </w:r>
    </w:p>
    <w:p>
      <w:pPr>
        <w:spacing w:after="0" w:line="18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8"/>
          <w:szCs w:val="18"/>
          <w:color w:val="auto"/>
        </w:rPr>
        <w:t>Our office space leases, exclusive of our Headquarters Lease, are operating leases, which expire at various dates with the latest maturity in June 2027. Based on the present value of remaining lease payments on the Company's existing leases, we recognized $88 million of both operating ROU assets and operating lease liabilities, respectively, on our unaudited condensed consolidated balance sheet upon adoption of ASC 842, as of January 1, 2019. These operating ROU assets were then reduced by a net deferred rent balance of $13 million as of January 1, 2019, which primarily consisted of existing deferred and prepaid rent balances.</w:t>
      </w:r>
    </w:p>
    <w:p>
      <w:pPr>
        <w:spacing w:after="0" w:line="18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Operating lease ROU assets and liabilities commencing after January 1, 2019 are recognized at lease commencement date, or the date the lessor makes the leased asset available for use, based on the present value of lease payments over the lease term using the Company’s estimated incremental borrowing rate. ROU assets related to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 present the combination of both the amortization of operating lease ROU assets and the change in the operating lease liabilities in the same line item in the adjustments to reconcile net income to net cash provided by operating activities in our unaudited condensed consolidated statement of cash flows. Lease incentives are recognized as reductions of rental expense on a straight-line basis over the term of the lease. Certain of our operating leases include options to extend the lease terms for up to 6 years and/or terminate the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unaudited condensed consolidated statement of operations, which were not material during the three and nine months ended September 30, 2019 and 2018. In addition, our short-term lease costs were not material in any period. As of September 30, 2019, we had operating lease ROU assets of $76 million on our unaudited condensed consolidated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w:t>
      </w:r>
    </w:p>
    <w:p>
      <w:pPr>
        <w:spacing w:after="0" w:line="22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June 2013, we entered into our Headquarters Lease. Pursuant to the Headquarters Lease, the landlord built an approximately 280,000 square foot rental building in Needham, Massachusetts (the “Premises”), and leased the Premises to the Company as our new corporate headquarters for an initial term of 15 years and 7 months or through December 2030. The Company also has an option to extend the term of the Headquarters Lease for two consecutive terms of five years each. The Company was deemed to be the owner of the Premises for accounting purposes only during the construction period under legacy GAAP lease accounting rules, or ASC 840. Accordingly, the Company recorded project construction costs during the construction period incurred by the landlord as a construction-in-progress asset and a related construction financing obligation on our consolidated balance sheet. The amounts that the Company incurred for normal tenant improvements and structural improvements had also been recorded to the construction-in-progress asset. Upon completion of construction at the end of the second quarter of 2015, we evaluated the construction-in-progress asset and construction financing obligation for de-recognition under the criteria for “sale-leaseback” treatment under ASC 840. We concluded that it did not meet the provisions for sale-leaseback accounting. Therefore, the Headquarters Lease was accounted for as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right="480"/>
        <w:spacing w:after="0" w:line="277" w:lineRule="auto"/>
        <w:rPr>
          <w:sz w:val="20"/>
          <w:szCs w:val="20"/>
          <w:color w:val="auto"/>
        </w:rPr>
      </w:pPr>
      <w:r>
        <w:rPr>
          <w:rFonts w:ascii="Arial" w:cs="Arial" w:eastAsia="Arial" w:hAnsi="Arial"/>
          <w:sz w:val="18"/>
          <w:szCs w:val="18"/>
          <w:color w:val="auto"/>
        </w:rPr>
        <w:t>financing obligation through December 31, 2018, in which we depreciated the building asset over its estimated useful life and incurred interest expense related to the financing obligation, imputed using the effective interest rate method.</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Upon the adoption of ASC 842 on January 1, 2019, we derecognized the previous asset and liability recorded for the Headquarters Lease described above, with the exception of a net asset of $26 million, primarily related to structural improvements paid by the Company, net of tenant incentives and accumulated amortization, which is classified as prepaid rent under the new guidance. The Company then assessed the lease classification of our Headquarters Lease and concluded it should be classified and accounted for as a finance lease upon adoption on January 1, 2019. Accordingly, on January 1, 2019, we recognized a finance lease ROU asset and a finance lease liability of $114 million and $88 million, respectively, on our unaudited condensed consolidated balance sheet. The difference between the finance lease ROU asset and finance lease liability represents the aforementioned $26 million of net prepaid rent, and is being amortized straight-line over the remaining lease term. As of September 30, 2019, the ROU asset related to our Headquarters Lease was $107 million, net of accumulated amortization of $7 million, and is included in the property and equipment, net on our unaudited condensed consolidated balance sheet.</w:t>
      </w:r>
    </w:p>
    <w:p>
      <w:pPr>
        <w:spacing w:after="0" w:line="19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Finance lease ROU assets and finance lease liabilities commencing after January 1, 2019 are recognized similar to an operating lease, at the lease commencement date or the date the lessor makes the leased asset available for use. Finance lease ROU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193"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We did not update any financial information or provide any disclosures required under the new guidance for the three and nine months ended September 30, 2018, respectively, or as of December 31, 2018. The disclosures provided below for the three and nine months ended September 30, 2018, respectively, or as of December 31, 2018 are based on the disclosure requirements under ASC 840.</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for the periods presented: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September 30, 2019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September 30, 2019</w:t>
            </w:r>
          </w:p>
        </w:tc>
      </w:tr>
      <w:tr>
        <w:trPr>
          <w:trHeight w:val="236"/>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lease cost (1)</w:t>
            </w:r>
          </w:p>
        </w:tc>
        <w:tc>
          <w:tcPr>
            <w:tcW w:w="2160" w:type="dxa"/>
            <w:vAlign w:val="bottom"/>
            <w:gridSpan w:val="2"/>
          </w:tcPr>
          <w:p>
            <w:pPr>
              <w:jc w:val="right"/>
              <w:ind w:right="40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78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80" w:type="dxa"/>
            <w:vAlign w:val="bottom"/>
          </w:tcPr>
          <w:p>
            <w:pPr>
              <w:ind w:left="220"/>
              <w:spacing w:after="0"/>
              <w:rPr>
                <w:sz w:val="20"/>
                <w:szCs w:val="20"/>
                <w:color w:val="auto"/>
              </w:rPr>
            </w:pPr>
            <w:r>
              <w:rPr>
                <w:rFonts w:ascii="Arial" w:cs="Arial" w:eastAsia="Arial" w:hAnsi="Arial"/>
                <w:sz w:val="18"/>
                <w:szCs w:val="18"/>
                <w:color w:val="auto"/>
              </w:rPr>
              <w:t>Amortization of right-of-use assets (2)</w:t>
            </w:r>
          </w:p>
        </w:tc>
        <w:tc>
          <w:tcPr>
            <w:tcW w:w="2160" w:type="dxa"/>
            <w:vAlign w:val="bottom"/>
            <w:gridSpan w:val="2"/>
          </w:tcPr>
          <w:p>
            <w:pPr>
              <w:jc w:val="right"/>
              <w:ind w:right="40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78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on lease liabilities (3)</w:t>
            </w:r>
          </w:p>
        </w:tc>
        <w:tc>
          <w:tcPr>
            <w:tcW w:w="1580" w:type="dxa"/>
            <w:vAlign w:val="bottom"/>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8"/>
                <w:szCs w:val="18"/>
                <w:color w:val="auto"/>
              </w:rPr>
              <w:t>Total finance lease cost</w:t>
            </w:r>
          </w:p>
        </w:tc>
        <w:tc>
          <w:tcPr>
            <w:tcW w:w="2160" w:type="dxa"/>
            <w:vAlign w:val="bottom"/>
            <w:gridSpan w:val="2"/>
          </w:tcPr>
          <w:p>
            <w:pPr>
              <w:jc w:val="right"/>
              <w:ind w:right="40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78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 (1)</w:t>
            </w:r>
          </w:p>
        </w:tc>
        <w:tc>
          <w:tcPr>
            <w:tcW w:w="1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46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8"/>
                <w:szCs w:val="18"/>
                <w:color w:val="auto"/>
              </w:rPr>
              <w:t>Total lease cost, net</w:t>
            </w:r>
          </w:p>
        </w:tc>
        <w:tc>
          <w:tcPr>
            <w:tcW w:w="1580" w:type="dxa"/>
            <w:vAlign w:val="bottom"/>
          </w:tcPr>
          <w:p>
            <w:pPr>
              <w:spacing w:after="0"/>
              <w:rPr>
                <w:sz w:val="20"/>
                <w:szCs w:val="20"/>
                <w:color w:val="auto"/>
              </w:rPr>
            </w:pPr>
          </w:p>
        </w:tc>
        <w:tc>
          <w:tcPr>
            <w:tcW w:w="580" w:type="dxa"/>
            <w:vAlign w:val="bottom"/>
          </w:tcPr>
          <w:p>
            <w:pPr>
              <w:jc w:val="right"/>
              <w:ind w:right="40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78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ind w:left="1140" w:hanging="376"/>
        <w:spacing w:after="0" w:line="271"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Operating lease costs, net of sublease income, are included within operating expenses in our unaudited condensed consolidated statement of operations. During the three and nine months ended September 30, 2018, we recorded operating lease expense of $5 million and $15 million, respectively; and sublease income of $1 million and $2 million, respectively, in our unaudited condensed consolidated statement of operations in accordance with ASC 840.</w:t>
      </w:r>
    </w:p>
    <w:p>
      <w:pPr>
        <w:spacing w:after="0" w:line="8" w:lineRule="exact"/>
        <w:rPr>
          <w:rFonts w:ascii="Arial" w:cs="Arial" w:eastAsia="Arial" w:hAnsi="Arial"/>
          <w:sz w:val="14"/>
          <w:szCs w:val="14"/>
          <w:color w:val="auto"/>
        </w:rPr>
      </w:pPr>
    </w:p>
    <w:p>
      <w:pPr>
        <w:jc w:val="both"/>
        <w:ind w:left="1140" w:right="120" w:hanging="376"/>
        <w:spacing w:after="0" w:line="180" w:lineRule="auto"/>
        <w:tabs>
          <w:tab w:leader="none" w:pos="1140" w:val="left"/>
        </w:tabs>
        <w:numPr>
          <w:ilvl w:val="0"/>
          <w:numId w:val="5"/>
        </w:numPr>
        <w:rPr>
          <w:rFonts w:ascii="Arial" w:cs="Arial" w:eastAsia="Arial" w:hAnsi="Arial"/>
          <w:sz w:val="28"/>
          <w:szCs w:val="28"/>
          <w:color w:val="auto"/>
          <w:vertAlign w:val="superscript"/>
        </w:rPr>
      </w:pPr>
      <w:r>
        <w:rPr>
          <w:rFonts w:ascii="Arial" w:cs="Arial" w:eastAsia="Arial" w:hAnsi="Arial"/>
          <w:sz w:val="14"/>
          <w:szCs w:val="14"/>
          <w:color w:val="auto"/>
        </w:rPr>
        <w:t>Amount is included in depreciation expense in our unaudited condensed consolidated statement of operations. During the three and nine months ended September 30, 2018, we recorded depreciation expense of $1 million and $2 million, respectively, related to our Headquarters Lease in our unaudited condensed consolidated statement of operations in accordance with ASC 840.</w:t>
      </w:r>
    </w:p>
    <w:p>
      <w:pPr>
        <w:spacing w:after="0" w:line="1" w:lineRule="exact"/>
        <w:rPr>
          <w:rFonts w:ascii="Arial" w:cs="Arial" w:eastAsia="Arial" w:hAnsi="Arial"/>
          <w:sz w:val="28"/>
          <w:szCs w:val="28"/>
          <w:color w:val="auto"/>
          <w:vertAlign w:val="superscript"/>
        </w:rPr>
      </w:pPr>
    </w:p>
    <w:p>
      <w:pPr>
        <w:jc w:val="both"/>
        <w:ind w:left="1140" w:right="420" w:hanging="376"/>
        <w:spacing w:after="0" w:line="232"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 is included in interest expense in our unaudited condensed consolidated statement of operations. During the three and nine months ended September 30, 2018, we recorded interest expense of $2 million and $5 million, respectively, related to our Headquarters Lease in our unaudited condensed consolidated statement of operations in accordance with ASC 840.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 w:name="page14"/>
    <w:bookmarkEnd w:id="13"/>
    <w:p>
      <w:pPr>
        <w:ind w:left="760"/>
        <w:spacing w:after="0"/>
        <w:rPr>
          <w:sz w:val="20"/>
          <w:szCs w:val="20"/>
          <w:color w:val="auto"/>
        </w:rPr>
      </w:pPr>
      <w:r>
        <w:rPr>
          <w:rFonts w:ascii="Arial" w:cs="Arial" w:eastAsia="Arial" w:hAnsi="Arial"/>
          <w:sz w:val="18"/>
          <w:szCs w:val="18"/>
          <w:color w:val="auto"/>
        </w:rPr>
        <w:t>Additional information related to our leases is as follows for the periods presented:</w:t>
      </w:r>
    </w:p>
    <w:p>
      <w:pPr>
        <w:spacing w:after="0" w:line="18"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Nine months ended</w:t>
      </w:r>
    </w:p>
    <w:p>
      <w:pPr>
        <w:ind w:left="8740"/>
        <w:spacing w:after="0" w:line="231" w:lineRule="auto"/>
        <w:rPr>
          <w:sz w:val="20"/>
          <w:szCs w:val="20"/>
          <w:color w:val="auto"/>
        </w:rPr>
      </w:pPr>
      <w:r>
        <w:rPr>
          <w:rFonts w:ascii="Arial" w:cs="Arial" w:eastAsia="Arial" w:hAnsi="Arial"/>
          <w:sz w:val="14"/>
          <w:szCs w:val="14"/>
          <w:b w:val="1"/>
          <w:bCs w:val="1"/>
          <w:color w:val="auto"/>
        </w:rPr>
        <w:t>September 30, 2019</w:t>
      </w:r>
    </w:p>
    <w:tbl>
      <w:tblPr>
        <w:tblLayout w:type="fixed"/>
        <w:tblInd w:w="1140" w:type="dxa"/>
        <w:tblCellMar>
          <w:top w:w="0" w:type="dxa"/>
          <w:left w:w="0" w:type="dxa"/>
          <w:bottom w:w="0" w:type="dxa"/>
          <w:right w:w="0" w:type="dxa"/>
        </w:tblCellMar>
      </w:tblP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9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cash outflows from operating leases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outflows from finance lease</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spacing w:after="0"/>
              <w:rPr>
                <w:sz w:val="20"/>
                <w:szCs w:val="20"/>
                <w:color w:val="auto"/>
              </w:rPr>
            </w:pPr>
            <w:r>
              <w:rPr>
                <w:rFonts w:ascii="Arial" w:cs="Arial" w:eastAsia="Arial" w:hAnsi="Arial"/>
                <w:sz w:val="18"/>
                <w:szCs w:val="18"/>
                <w:color w:val="auto"/>
              </w:rPr>
              <w:t>Financing cash outflows from finance lease (1)</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(2)</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Finance lease (3)</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140" w:hanging="376"/>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 is included in other financing activities, net on the unaudited condensed consolidated statement of cash flows.</w:t>
      </w:r>
    </w:p>
    <w:p>
      <w:pPr>
        <w:spacing w:after="0" w:line="21" w:lineRule="exact"/>
        <w:rPr>
          <w:rFonts w:ascii="Arial" w:cs="Arial" w:eastAsia="Arial" w:hAnsi="Arial"/>
          <w:sz w:val="14"/>
          <w:szCs w:val="14"/>
          <w:color w:val="auto"/>
        </w:rPr>
      </w:pPr>
    </w:p>
    <w:p>
      <w:pPr>
        <w:ind w:left="1140" w:hanging="376"/>
        <w:spacing w:after="0" w:line="197" w:lineRule="auto"/>
        <w:tabs>
          <w:tab w:leader="none" w:pos="1140"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Amount includes operating leases existing on January 1, 2019 of $88 million and those that commenced during the nine months ended September 30, 2019 of $16 million.</w:t>
      </w:r>
    </w:p>
    <w:p>
      <w:pPr>
        <w:spacing w:after="0" w:line="5" w:lineRule="exact"/>
        <w:rPr>
          <w:rFonts w:ascii="Arial" w:cs="Arial" w:eastAsia="Arial" w:hAnsi="Arial"/>
          <w:sz w:val="20"/>
          <w:szCs w:val="20"/>
          <w:color w:val="auto"/>
          <w:vertAlign w:val="superscript"/>
        </w:rPr>
      </w:pPr>
    </w:p>
    <w:p>
      <w:pPr>
        <w:ind w:left="1140" w:hanging="376"/>
        <w:spacing w:after="0" w:line="237"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 represents the finance lease liability arising from obtaining the ROU asset related to our Headquarters Lease, which was recognized upon the adoption of ASC 842 on January 1,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As of September 30,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06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Weighted-average remaining lease term: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 years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Finance lease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11.3 years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840" w:type="dxa"/>
            <w:vAlign w:val="bottom"/>
            <w:vMerge w:val="restart"/>
          </w:tcPr>
          <w:p>
            <w:pPr>
              <w:spacing w:after="0"/>
              <w:rPr>
                <w:sz w:val="19"/>
                <w:szCs w:val="19"/>
                <w:color w:val="auto"/>
              </w:rPr>
            </w:pPr>
          </w:p>
        </w:tc>
        <w:tc>
          <w:tcPr>
            <w:tcW w:w="5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Finance lease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7420" w:type="dxa"/>
            <w:vAlign w:val="bottom"/>
            <w:gridSpan w:val="5"/>
          </w:tcPr>
          <w:p>
            <w:pPr>
              <w:ind w:left="520"/>
              <w:spacing w:after="0"/>
              <w:rPr>
                <w:sz w:val="20"/>
                <w:szCs w:val="20"/>
                <w:color w:val="auto"/>
              </w:rPr>
            </w:pPr>
            <w:r>
              <w:rPr>
                <w:rFonts w:ascii="Arial" w:cs="Arial" w:eastAsia="Arial" w:hAnsi="Arial"/>
                <w:sz w:val="18"/>
                <w:szCs w:val="18"/>
                <w:color w:val="auto"/>
                <w:w w:val="89"/>
              </w:rPr>
              <w:t>Future lease payments under non-cancellable leases as of September 30, 2019 were as follows: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20" w:type="dxa"/>
            <w:vAlign w:val="bottom"/>
            <w:gridSpan w:val="3"/>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1"/>
              </w:rPr>
              <w:t>Operating Leases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5"/>
              </w:rPr>
              <w:t>Finance Lease</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220" w:type="dxa"/>
            <w:vAlign w:val="bottom"/>
            <w:gridSpan w:val="3"/>
          </w:tcPr>
          <w:p>
            <w:pPr>
              <w:ind w:left="1140"/>
              <w:spacing w:after="0"/>
              <w:rPr>
                <w:sz w:val="20"/>
                <w:szCs w:val="20"/>
                <w:color w:val="auto"/>
              </w:rPr>
            </w:pPr>
            <w:r>
              <w:rPr>
                <w:rFonts w:ascii="Arial" w:cs="Arial" w:eastAsia="Arial" w:hAnsi="Arial"/>
                <w:sz w:val="18"/>
                <w:szCs w:val="18"/>
                <w:color w:val="auto"/>
              </w:rPr>
              <w:t>2019 (excluding the nine months ended September 30, 2019)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20" w:type="dxa"/>
            <w:vAlign w:val="bottom"/>
            <w:gridSpan w:val="3"/>
          </w:tcPr>
          <w:p>
            <w:pPr>
              <w:ind w:left="1140"/>
              <w:spacing w:after="0"/>
              <w:rPr>
                <w:sz w:val="20"/>
                <w:szCs w:val="20"/>
                <w:color w:val="auto"/>
              </w:rPr>
            </w:pPr>
            <w:r>
              <w:rPr>
                <w:rFonts w:ascii="Arial" w:cs="Arial" w:eastAsia="Arial" w:hAnsi="Arial"/>
                <w:sz w:val="18"/>
                <w:szCs w:val="18"/>
                <w:color w:val="auto"/>
              </w:rPr>
              <w:t>Total future lease payments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gridSpan w:val="3"/>
          </w:tcPr>
          <w:p>
            <w:pPr>
              <w:ind w:left="1140"/>
              <w:spacing w:after="0"/>
              <w:rPr>
                <w:sz w:val="20"/>
                <w:szCs w:val="20"/>
                <w:color w:val="auto"/>
              </w:rPr>
            </w:pPr>
            <w:r>
              <w:rPr>
                <w:rFonts w:ascii="Arial" w:cs="Arial" w:eastAsia="Arial" w:hAnsi="Arial"/>
                <w:sz w:val="18"/>
                <w:szCs w:val="18"/>
                <w:color w:val="auto"/>
              </w:rPr>
              <w:t>Total lease liabilities</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w w:val="88"/>
              </w:rPr>
              <w:t>Reported on unaudited condensed consolidated balance sheet as of September</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1140"/>
              <w:spacing w:after="0"/>
              <w:rPr>
                <w:sz w:val="20"/>
                <w:szCs w:val="20"/>
                <w:color w:val="auto"/>
              </w:rPr>
            </w:pPr>
            <w:r>
              <w:rPr>
                <w:rFonts w:ascii="Arial" w:cs="Arial" w:eastAsia="Arial" w:hAnsi="Arial"/>
                <w:sz w:val="18"/>
                <w:szCs w:val="18"/>
                <w:b w:val="1"/>
                <w:bCs w:val="1"/>
                <w:color w:val="auto"/>
              </w:rPr>
              <w:t>30, 2019</w:t>
            </w: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1"/>
              </w:rPr>
              <w:t>Operating Leases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5"/>
              </w:rPr>
              <w:t>Finance Lease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220" w:type="dxa"/>
            <w:vAlign w:val="bottom"/>
            <w:gridSpan w:val="3"/>
          </w:tcPr>
          <w:p>
            <w:pPr>
              <w:ind w:left="1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gridSpan w:val="3"/>
          </w:tcPr>
          <w:p>
            <w:pPr>
              <w:ind w:left="1140"/>
              <w:spacing w:after="0"/>
              <w:rPr>
                <w:sz w:val="20"/>
                <w:szCs w:val="20"/>
                <w:color w:val="auto"/>
              </w:rPr>
            </w:pPr>
            <w:r>
              <w:rPr>
                <w:rFonts w:ascii="Arial" w:cs="Arial" w:eastAsia="Arial" w:hAnsi="Arial"/>
                <w:sz w:val="18"/>
                <w:szCs w:val="18"/>
                <w:color w:val="auto"/>
              </w:rPr>
              <w:t>Total lease liabilities</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56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 w:name="page15"/>
    <w:bookmarkEnd w:id="14"/>
    <w:p>
      <w:pPr>
        <w:ind w:right="360" w:firstLine="518"/>
        <w:spacing w:after="0" w:line="277" w:lineRule="auto"/>
        <w:rPr>
          <w:sz w:val="20"/>
          <w:szCs w:val="20"/>
          <w:color w:val="auto"/>
        </w:rPr>
      </w:pPr>
      <w:r>
        <w:rPr>
          <w:rFonts w:ascii="Arial" w:cs="Arial" w:eastAsia="Arial" w:hAnsi="Arial"/>
          <w:sz w:val="18"/>
          <w:szCs w:val="18"/>
          <w:color w:val="auto"/>
        </w:rPr>
        <w:t>As of December 31, 2018, future minimum lease commitments under our Headquarters Lease and other non-cancelable operating leases for office space with terms of more than one year and contractual sublease income were as follows:</w:t>
      </w:r>
    </w:p>
    <w:p>
      <w:pPr>
        <w:spacing w:after="0" w:line="5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7"/>
              </w:rPr>
              <w:t>Headquarters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3"/>
              </w:rPr>
              <w:t>Other Operating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Total Lease</w:t>
            </w:r>
          </w:p>
        </w:tc>
        <w:tc>
          <w:tcPr>
            <w:tcW w:w="0" w:type="dxa"/>
            <w:vAlign w:val="bottom"/>
          </w:tcPr>
          <w:p>
            <w:pPr>
              <w:spacing w:after="0"/>
              <w:rPr>
                <w:sz w:val="1"/>
                <w:szCs w:val="1"/>
                <w:color w:val="auto"/>
              </w:rPr>
            </w:pPr>
          </w:p>
        </w:tc>
      </w:tr>
      <w:tr>
        <w:trPr>
          <w:trHeight w:val="149"/>
        </w:trPr>
        <w:tc>
          <w:tcPr>
            <w:tcW w:w="3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Sublease Income</w:t>
            </w:r>
          </w:p>
        </w:tc>
        <w:tc>
          <w:tcPr>
            <w:tcW w:w="80" w:type="dxa"/>
            <w:vAlign w:val="bottom"/>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Commitments (Net</w:t>
            </w: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54"/>
              <w:spacing w:after="0"/>
              <w:rPr>
                <w:sz w:val="20"/>
                <w:szCs w:val="20"/>
                <w:color w:val="auto"/>
              </w:rPr>
            </w:pPr>
            <w:r>
              <w:rPr>
                <w:rFonts w:ascii="Arial" w:cs="Arial" w:eastAsia="Arial" w:hAnsi="Arial"/>
                <w:sz w:val="14"/>
                <w:szCs w:val="14"/>
                <w:b w:val="1"/>
                <w:bCs w:val="1"/>
                <w:color w:val="auto"/>
              </w:rPr>
              <w:t>Lease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of Sublease Income)</w:t>
            </w: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Total</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460" w:hanging="514"/>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includes an $83 million financing obligation in other long-term liabilities on our consolidated balance sheet at December 31, 2018, related to the Headquarters Lease.</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of September 30, 2019, we did not have any additional operating or finance leases that have not yet commenced but that create significant rights and obligations for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 xml:space="preserve">Other than our accounting policy for leases, as described above, there have been no other significant changes to our significant accounting policies and estimates since December 31, 2018, as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under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we recognize revenue for only our commission on the arrangement. We determine revenue recognition through the following steps:</w:t>
      </w:r>
    </w:p>
    <w:p>
      <w:pPr>
        <w:spacing w:after="0" w:line="187"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nine months ended September 30, 2019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reported segment, from which we generate our revenue, are presented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1" w:lineRule="exact"/>
        <w:rPr>
          <w:sz w:val="20"/>
          <w:szCs w:val="20"/>
          <w:color w:val="auto"/>
        </w:rPr>
      </w:pPr>
    </w:p>
    <w:p>
      <w:pPr>
        <w:ind w:right="40" w:firstLine="518"/>
        <w:spacing w:after="0" w:line="266" w:lineRule="auto"/>
        <w:rPr>
          <w:sz w:val="20"/>
          <w:szCs w:val="20"/>
          <w:color w:val="auto"/>
        </w:rPr>
      </w:pPr>
      <w:r>
        <w:rPr>
          <w:rFonts w:ascii="Arial" w:cs="Arial" w:eastAsia="Arial" w:hAnsi="Arial"/>
          <w:sz w:val="18"/>
          <w:szCs w:val="18"/>
          <w:b w:val="1"/>
          <w:bCs w:val="1"/>
          <w:color w:val="auto"/>
        </w:rPr>
        <w:t>TripAdvisor-branded Hotels Revenue</w:t>
      </w:r>
      <w:r>
        <w:rPr>
          <w:rFonts w:ascii="Arial" w:cs="Arial" w:eastAsia="Arial" w:hAnsi="Arial"/>
          <w:sz w:val="18"/>
          <w:szCs w:val="18"/>
          <w:color w:val="auto"/>
        </w:rPr>
        <w:t>. Our largest source of Hotels, Media &amp; Platform segment revenue is generated from click-based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on TripAdvisor-branded websites, which is primarily comprised of contextually-relevant booking links to our travel partners’ websites. Our click-based travel partners are predominantly online travel agencies, or OTAs, and direct suppliers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hotel category. Click-based advertising is generally priced on a cost-per-click, or “CPC”, basis, with payments from travel partners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number of travelers who click on a link multiplied by the CPC rate for each specific click. CPC rates that our travel partners pay are determined in a dynamic,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competitive auction process, also known as our hotel metasearch auction, as travel partner CPC bids for rates and availability listed on our site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submitted. When a CPC bid is submitted, the partner agrees to pay us the bid amount each time a traveler clicks on the link to that partner’s website. Bids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submitted periodically – as often as daily– on a property-by-property basis. We record click-based advertising revenue as the click occurs and traveler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leads are sent to the travel partner websites as our performance obligation is fulfilled at that time. Click-based revenue is generally billed to our travel partners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 monthly basis consistent with the timing of the service. We also generate transaction revenue from our hotel instant booking feature, which enables hotel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shoppers to book directly with a travel partner, with the latter serving as the merchant of record for the transaction, without leaving our website. We earn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from our travel partners for each traveler that completes a hotel reservation on our website based on a pre-determined commission rate. Our hotel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instant booking revenue includes (i) arrangements where commissions are billable on all instant booking hotel reservations; and (ii) arrangements where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commissions are billable only upon the completion of each traveler’s stay resulting from the reservation. The travel partners provide the service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travelers and we act as an agent under ASC 606. Our performance obligation in both arrangements is complete at the time of the booking and the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earned is recognized upon booking, as we have no post-booking service obligations. The amount of revenue recognized for commissions that are billable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contingent upon a traveler stay requires an estimate of the impact of cancellations using historical cancellation rates. Contract assets are recognized at the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booking for commissions that are billable at the time of stay.</w:t>
      </w:r>
    </w:p>
    <w:p>
      <w:pPr>
        <w:spacing w:after="0" w:line="21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we offer subscription-based advertising to hoteliers, owners of B&amp;Bs and other specialty lodging properties. Our performance obligation is generally to enable subscribers to advertise their businesses on our website, as well as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65" w:lineRule="exact"/>
        <w:rPr>
          <w:sz w:val="20"/>
          <w:szCs w:val="20"/>
          <w:color w:val="auto"/>
        </w:rPr>
      </w:pPr>
    </w:p>
    <w:p>
      <w:pPr>
        <w:jc w:val="both"/>
        <w:ind w:right="140" w:firstLine="518"/>
        <w:spacing w:after="0" w:line="276" w:lineRule="auto"/>
        <w:rPr>
          <w:sz w:val="20"/>
          <w:szCs w:val="20"/>
          <w:color w:val="auto"/>
        </w:rPr>
      </w:pPr>
      <w:r>
        <w:rPr>
          <w:rFonts w:ascii="Arial" w:cs="Arial" w:eastAsia="Arial" w:hAnsi="Arial"/>
          <w:sz w:val="17"/>
          <w:szCs w:val="17"/>
          <w:color w:val="auto"/>
        </w:rPr>
        <w:t>We also offer travel partners the opportunity to advertise and promote their business through hotel sponsored placements on our website. This service is generally priced on a CPC basis, with payments from travel partners determined by the number of travelers who click on the sponsored link multiplied by the CPC rate for each specific click. CPC rates that our travel partners pay are based on a pre-determined rate. We record click-based advertising revenue as the click occurs and traveler leads are sent to the travel partner as our performance obligation is fulfilled at that time. Click-based revenue is generally billed to our travel partners on a monthly basis consistent with the timing of the service.</w:t>
      </w:r>
    </w:p>
    <w:p>
      <w:pPr>
        <w:spacing w:after="0" w:line="169"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b w:val="1"/>
          <w:bCs w:val="1"/>
          <w:color w:val="auto"/>
        </w:rPr>
        <w:t>TripAdvisor-branded Display and Platform Revenue</w:t>
      </w:r>
      <w:r>
        <w:rPr>
          <w:rFonts w:ascii="Arial" w:cs="Arial" w:eastAsia="Arial" w:hAnsi="Arial"/>
          <w:sz w:val="17"/>
          <w:szCs w:val="17"/>
          <w:color w:val="auto"/>
        </w:rPr>
        <w:t>. Travel partners can promote their brands through display-based advertising placements on</w:t>
      </w:r>
      <w:r>
        <w:rPr>
          <w:rFonts w:ascii="Arial" w:cs="Arial" w:eastAsia="Arial" w:hAnsi="Arial"/>
          <w:sz w:val="17"/>
          <w:szCs w:val="17"/>
          <w:b w:val="1"/>
          <w:bCs w:val="1"/>
          <w:color w:val="auto"/>
        </w:rPr>
        <w:t xml:space="preserve"> </w:t>
      </w:r>
      <w:r>
        <w:rPr>
          <w:rFonts w:ascii="Arial" w:cs="Arial" w:eastAsia="Arial" w:hAnsi="Arial"/>
          <w:sz w:val="17"/>
          <w:szCs w:val="17"/>
          <w:color w:val="auto"/>
        </w:rPr>
        <w:t>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provide information and services for consumers to research, book and experience activities and attractions in popular travel 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 activities/experiences operators (“the supplier”) to provide consumers the ability to book tours, activities and experiences (“the activity”)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do not control the activity before the supplier provides it to our customer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affiliate partners, or third-party merchant partners who display and promote on their websites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right="80"/>
        <w:spacing w:after="0" w:line="293" w:lineRule="auto"/>
        <w:rPr>
          <w:sz w:val="20"/>
          <w:szCs w:val="20"/>
          <w:color w:val="auto"/>
        </w:rPr>
      </w:pPr>
      <w:r>
        <w:rPr>
          <w:rFonts w:ascii="Arial" w:cs="Arial" w:eastAsia="Arial" w:hAnsi="Arial"/>
          <w:sz w:val="16"/>
          <w:szCs w:val="16"/>
          <w:color w:val="auto"/>
        </w:rPr>
        <w:t>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w:t>
      </w:r>
    </w:p>
    <w:p>
      <w:pPr>
        <w:spacing w:after="0" w:line="16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also provide information and services for consumers to research and book restaurants in popular travel destinations through our dedicated restaurant reservations offering, TheFork, and on our TripAdvisor-branded websites and mobile apps. TheFork is an online restaurant booking platform operating on a number of websites (including www.thefork.com, www.lafourchette.com, www.eltenedor.com, and www.restorando.com), with a network of restaurant partners located primarily across Europe, Australia, and South America. We primarily generate transaction fees (or per seated diner fees) that are paid by restaurants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and marketing analytic tools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users who click on the sponsored link multiplied by the CPC rate for each specific click. CPC rates that our restaurant partners pay are based on a pre-determined rate. We record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provide information and services for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from the traveler at the time of booking payment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385"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In addition, Other includes revenue generated from our flights, cruise, and rental car offerings on TripAdvisor, as well as revenue from non-TripAdvisor-branded websites not otherwise described above, such as www.bookingbuddy.com, www.cruisecritic.com, www.onetime.com and www.smartertravel.com, and TripAdvisor China,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8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disaggregate revenue from contracts with customers into major products/revenue sources. We have determined that disaggregating revenue into these categories achieves the disclosure objective to depict how the nature, amount, timing,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100"/>
        <w:spacing w:after="0" w:line="342" w:lineRule="auto"/>
        <w:rPr>
          <w:sz w:val="20"/>
          <w:szCs w:val="20"/>
          <w:color w:val="auto"/>
        </w:rPr>
      </w:pPr>
      <w:r>
        <w:rPr>
          <w:rFonts w:ascii="Arial" w:cs="Arial" w:eastAsia="Arial" w:hAnsi="Arial"/>
          <w:sz w:val="16"/>
          <w:szCs w:val="16"/>
          <w:color w:val="auto"/>
        </w:rPr>
        <w:t xml:space="preserve">uncertainty of revenue and cash flows are affected by economic factors. As noted in “Note 15: </w:t>
      </w:r>
      <w:r>
        <w:rPr>
          <w:rFonts w:ascii="Arial" w:cs="Arial" w:eastAsia="Arial" w:hAnsi="Arial"/>
          <w:sz w:val="16"/>
          <w:szCs w:val="16"/>
          <w:i w:val="1"/>
          <w:iCs w:val="1"/>
          <w:color w:val="auto"/>
        </w:rPr>
        <w:t>Segment Information</w:t>
      </w:r>
      <w:r>
        <w:rPr>
          <w:rFonts w:ascii="Arial" w:cs="Arial" w:eastAsia="Arial" w:hAnsi="Arial"/>
          <w:sz w:val="16"/>
          <w:szCs w:val="16"/>
          <w:color w:val="auto"/>
        </w:rPr>
        <w:t>”, our business consists of two reportable segments – Hotels, Media &amp; Platform and Experiences &amp; Dining. A reconciliation of disaggregated revenue to segment revenue is also included below.</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Major products/revenue sources (1):</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TripAdvisor-branded hotels</w:t>
            </w:r>
          </w:p>
        </w:tc>
        <w:tc>
          <w:tcPr>
            <w:tcW w:w="1380" w:type="dxa"/>
            <w:vAlign w:val="bottom"/>
            <w:gridSpan w:val="2"/>
            <w:shd w:val="clear" w:color="auto" w:fill="CFF0FC"/>
          </w:tcPr>
          <w:p>
            <w:pPr>
              <w:jc w:val="right"/>
              <w:ind w:right="722"/>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4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229</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5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TripAdvisor-branded display and platform</w:t>
            </w:r>
          </w:p>
        </w:tc>
        <w:tc>
          <w:tcPr>
            <w:tcW w:w="4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ind w:left="60"/>
              <w:spacing w:after="0"/>
              <w:rPr>
                <w:sz w:val="20"/>
                <w:szCs w:val="20"/>
                <w:color w:val="auto"/>
              </w:rPr>
            </w:pPr>
            <w:r>
              <w:rPr>
                <w:rFonts w:ascii="Arial" w:cs="Arial" w:eastAsia="Arial" w:hAnsi="Arial"/>
                <w:sz w:val="18"/>
                <w:szCs w:val="18"/>
                <w:color w:val="auto"/>
              </w:rPr>
              <w:t>Total Hotels, Media &amp; Platform</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440" w:hanging="379"/>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all reported segments.</w:t>
      </w:r>
    </w:p>
    <w:p>
      <w:pPr>
        <w:spacing w:after="0" w:line="200" w:lineRule="exact"/>
        <w:rPr>
          <w:sz w:val="20"/>
          <w:szCs w:val="20"/>
          <w:color w:val="auto"/>
        </w:rPr>
      </w:pPr>
    </w:p>
    <w:p>
      <w:pPr>
        <w:spacing w:after="0" w:line="24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from contracts with customers (in millions):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02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5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10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Contract liabilities generally include payments received in advance of performance under the contract, and are realized as revenue as the performance obligation to the customer is satisfied, which we present as deferred revenue on our consolidated balance sheets. As of January 1, 2019, we had $63 million recorded as deferred revenue on our unaudited condensed consolidated balance sheet, of which $10 million and $56 million was recognized into revenue, during the three and nine months ended September 30, 2019, respectively. As of January 1, 2018, we had $59 million recorded as deferred revenue on our unaudited condensed consolidated balance sheet, of which $8 million and $53 million was recognized in revenue, during the three and nine months ended September 30, 2018, respectively. The difference between the opening and closing balances of our deferred revenue primarily results from the timing differences between when we receive customer payments and the time in which we satisfy our performance obligations.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or deferred revenue during the nine months ended September 30, 2019 and 2018 related to business combinations, impairments, cumulative catch-ups or other material adjustments.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0" w:firstLine="552"/>
        <w:spacing w:after="0" w:line="279"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ind w:right="20"/>
        <w:spacing w:after="0" w:line="259" w:lineRule="auto"/>
        <w:rPr>
          <w:sz w:val="20"/>
          <w:szCs w:val="20"/>
          <w:color w:val="auto"/>
        </w:rPr>
      </w:pPr>
      <w:r>
        <w:rPr>
          <w:rFonts w:ascii="Arial" w:cs="Arial" w:eastAsia="Arial" w:hAnsi="Arial"/>
          <w:sz w:val="18"/>
          <w:szCs w:val="18"/>
          <w:color w:val="auto"/>
        </w:rPr>
        <w:t>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79"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183"/>
        </w:trPr>
        <w:tc>
          <w:tcPr>
            <w:tcW w:w="456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6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189"/>
        </w:trPr>
        <w:tc>
          <w:tcPr>
            <w:tcW w:w="456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60" w:type="dxa"/>
            <w:vAlign w:val="bottom"/>
            <w:gridSpan w:val="3"/>
          </w:tcPr>
          <w:p>
            <w:pPr>
              <w:ind w:left="240"/>
              <w:spacing w:after="0"/>
              <w:rPr>
                <w:sz w:val="20"/>
                <w:szCs w:val="20"/>
                <w:color w:val="auto"/>
              </w:rPr>
            </w:pPr>
            <w:r>
              <w:rPr>
                <w:rFonts w:ascii="Arial" w:cs="Arial" w:eastAsia="Arial" w:hAnsi="Arial"/>
                <w:sz w:val="18"/>
                <w:szCs w:val="18"/>
                <w:color w:val="auto"/>
                <w:w w:val="99"/>
              </w:rPr>
              <w:t>Weighted average shares used to compute Basic EPS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139,324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137,574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138,937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138,239</w:t>
            </w:r>
          </w:p>
        </w:tc>
        <w:tc>
          <w:tcPr>
            <w:tcW w:w="100" w:type="dxa"/>
            <w:vAlign w:val="bottom"/>
          </w:tcPr>
          <w:p>
            <w:pPr>
              <w:spacing w:after="0"/>
              <w:rPr>
                <w:sz w:val="19"/>
                <w:szCs w:val="19"/>
                <w:color w:val="auto"/>
              </w:rPr>
            </w:pPr>
          </w:p>
        </w:tc>
      </w:tr>
      <w:tr>
        <w:trPr>
          <w:trHeight w:val="230"/>
        </w:trPr>
        <w:tc>
          <w:tcPr>
            <w:tcW w:w="45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r>
      <w:tr>
        <w:trPr>
          <w:trHeight w:val="230"/>
        </w:trPr>
        <w:tc>
          <w:tcPr>
            <w:tcW w:w="45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RSUs/MSUs</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FF0FC"/>
          </w:tcPr>
          <w:p>
            <w:pPr>
              <w:spacing w:after="0"/>
              <w:rPr>
                <w:sz w:val="19"/>
                <w:szCs w:val="19"/>
                <w:color w:val="auto"/>
              </w:rPr>
            </w:pPr>
          </w:p>
        </w:tc>
      </w:tr>
      <w:tr>
        <w:trPr>
          <w:trHeight w:val="263"/>
        </w:trPr>
        <w:tc>
          <w:tcPr>
            <w:tcW w:w="45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w w:val="96"/>
              </w:rPr>
              <w:t>Weighted average shares used to compute Diluted EPS</w:t>
            </w:r>
          </w:p>
        </w:tc>
        <w:tc>
          <w:tcPr>
            <w:tcW w:w="3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140,381</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140,513</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140,818</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140,151</w:t>
            </w:r>
          </w:p>
        </w:tc>
        <w:tc>
          <w:tcPr>
            <w:tcW w:w="100" w:type="dxa"/>
            <w:vAlign w:val="bottom"/>
            <w:tcBorders>
              <w:bottom w:val="single" w:sz="8" w:color="CFF0FC"/>
            </w:tcBorders>
          </w:tcPr>
          <w:p>
            <w:pPr>
              <w:spacing w:after="0"/>
              <w:rPr>
                <w:sz w:val="22"/>
                <w:szCs w:val="22"/>
                <w:color w:val="auto"/>
              </w:rPr>
            </w:pPr>
          </w:p>
        </w:tc>
      </w:tr>
      <w:tr>
        <w:trPr>
          <w:trHeight w:val="210"/>
        </w:trPr>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FF0FC"/>
          </w:tcPr>
          <w:p>
            <w:pPr>
              <w:spacing w:after="0"/>
              <w:rPr>
                <w:sz w:val="18"/>
                <w:szCs w:val="18"/>
                <w:color w:val="auto"/>
              </w:rPr>
            </w:pP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0.78</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Potential common shares, consisting of outstanding stock options, service and performance-based restricted stock units (“RSUs”) and market-based restricted stock units (“MSUs”), totaling approximately 7.9 million shares and 5.8 million shares for the three and nine months ended September 30, 2019, respectively, and approximately 3.4 million shares and 7.1 million shares for the three and nine months ended September 30, 2018, respectively, have been excluded from the calculation of Diluted EPS because their effect would have been antidilutive. In addition, potential common shares of certain performance-based awards of approximately 0.7 million shares for both the three and nine months ended September 30, 2019, and approximately 0.5 million shares for both the three and nine months ended September 30, 2018, for which all targets required to trigger vesting had not been achieved, were excluded from the calculation of weighted average shares used to compute Diluted EPS for those reporting periods.</w:t>
      </w:r>
    </w:p>
    <w:p>
      <w:pPr>
        <w:spacing w:after="0" w:line="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75" w:lineRule="exact"/>
        <w:rPr>
          <w:sz w:val="20"/>
          <w:szCs w:val="20"/>
          <w:color w:val="auto"/>
        </w:rPr>
      </w:pPr>
    </w:p>
    <w:p>
      <w:pPr>
        <w:ind w:right="5340"/>
        <w:spacing w:after="0" w:line="378" w:lineRule="auto"/>
        <w:rPr>
          <w:sz w:val="20"/>
          <w:szCs w:val="20"/>
          <w:color w:val="auto"/>
        </w:rPr>
      </w:pPr>
      <w:r>
        <w:rPr>
          <w:rFonts w:ascii="Arial" w:cs="Arial" w:eastAsia="Arial" w:hAnsi="Arial"/>
          <w:sz w:val="18"/>
          <w:szCs w:val="18"/>
          <w:b w:val="1"/>
          <w:bCs w:val="1"/>
          <w:color w:val="auto"/>
        </w:rPr>
        <w:t>NOTE 5: STOCK BASED AWARDS AND OTHER EQUITY INSTRUMENTS Stock-Based Compensation Expense</w:t>
      </w:r>
    </w:p>
    <w:p>
      <w:pPr>
        <w:ind w:right="40" w:firstLine="51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20" w:type="dxa"/>
            <w:vAlign w:val="bottom"/>
            <w:gridSpan w:val="5"/>
          </w:tcPr>
          <w:p>
            <w:pPr>
              <w:jc w:val="center"/>
              <w:ind w:left="262"/>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jc w:val="center"/>
              <w:ind w:left="247"/>
              <w:spacing w:after="0"/>
              <w:rPr>
                <w:sz w:val="20"/>
                <w:szCs w:val="20"/>
                <w:color w:val="auto"/>
              </w:rPr>
            </w:pPr>
            <w:r>
              <w:rPr>
                <w:rFonts w:ascii="Arial" w:cs="Arial" w:eastAsia="Arial" w:hAnsi="Arial"/>
                <w:sz w:val="14"/>
                <w:szCs w:val="14"/>
                <w:b w:val="1"/>
                <w:bCs w:val="1"/>
                <w:color w:val="auto"/>
                <w:w w:val="90"/>
              </w:rPr>
              <w:t>Nine months ended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42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37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56"/>
        </w:trPr>
        <w:tc>
          <w:tcPr>
            <w:tcW w:w="5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00" w:type="dxa"/>
            <w:vAlign w:val="bottom"/>
            <w:gridSpan w:val="4"/>
          </w:tcPr>
          <w:p>
            <w:pPr>
              <w:jc w:val="center"/>
              <w:ind w:right="4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gridSpan w:val="4"/>
          </w:tcPr>
          <w:p>
            <w:pPr>
              <w:jc w:val="center"/>
              <w:ind w:right="39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60" w:type="dxa"/>
            <w:vAlign w:val="bottom"/>
            <w:gridSpan w:val="2"/>
            <w:shd w:val="clear" w:color="auto" w:fill="CFF0FC"/>
          </w:tcPr>
          <w:p>
            <w:pPr>
              <w:jc w:val="right"/>
              <w:ind w:right="64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Selling and marketing</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content</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 benefit from stock-based compensation</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Total stock-based compensation expense, net of tax</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9" w:name="page20"/>
    <w:bookmarkEnd w:id="19"/>
    <w:p>
      <w:pPr>
        <w:ind w:right="160" w:firstLine="518"/>
        <w:spacing w:after="0" w:line="264" w:lineRule="auto"/>
        <w:rPr>
          <w:sz w:val="20"/>
          <w:szCs w:val="20"/>
          <w:color w:val="auto"/>
        </w:rPr>
      </w:pPr>
      <w:r>
        <w:rPr>
          <w:rFonts w:ascii="Arial" w:cs="Arial" w:eastAsia="Arial" w:hAnsi="Arial"/>
          <w:sz w:val="18"/>
          <w:szCs w:val="18"/>
          <w:color w:val="auto"/>
        </w:rPr>
        <w:t>We capitalized $5 million and $14 million of stock-based compensation expense as internal-use software and website development costs during the three and nine months ended September 30, 2019, respectively, and $3 million and $10 million during the three and nine months ended September 30,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Option Activity</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nine months ended September 30, 2019, we granted 687,000 service-based non-qualified stock options under the TripAdvisor, Inc. 2018 Stock and Annual Incentive Plan (the “2018 Plan”). Our stock options generally have a term of ten years from the date of grant and typically vest equally over a four-year requisite service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during the nine months ended September 30, 2019, is presented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2018</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53.09</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Cancelled or expired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57.49</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September 30, 2019</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2019</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60.35</w:t>
            </w:r>
          </w:p>
        </w:tc>
        <w:tc>
          <w:tcPr>
            <w:tcW w:w="2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Vested and expected to vest after September 30, 2019 (2)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6,032</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53.98</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40" w:right="40" w:hanging="386"/>
        <w:spacing w:after="0" w:line="291"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Inclusive of 120,000 of options which were not converted into shares due to net share settlement in order to cover the aggregate exercise price and the required amount of employee withholding taxes. Potential shares which had been convertible under stock options that were withheld under net</w:t>
      </w:r>
    </w:p>
    <w:p>
      <w:pPr>
        <w:ind w:left="840" w:right="440"/>
        <w:spacing w:after="0" w:line="250" w:lineRule="auto"/>
        <w:rPr>
          <w:sz w:val="20"/>
          <w:szCs w:val="20"/>
          <w:color w:val="auto"/>
        </w:rPr>
      </w:pPr>
      <w:r>
        <w:rPr>
          <w:rFonts w:ascii="Arial" w:cs="Arial" w:eastAsia="Arial" w:hAnsi="Arial"/>
          <w:sz w:val="18"/>
          <w:szCs w:val="18"/>
          <w:color w:val="auto"/>
        </w:rPr>
        <w:t>share settlement remain in the authorized but unissued pool under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 w:lineRule="exact"/>
        <w:rPr>
          <w:sz w:val="20"/>
          <w:szCs w:val="20"/>
          <w:color w:val="auto"/>
        </w:rPr>
      </w:pPr>
    </w:p>
    <w:p>
      <w:pPr>
        <w:ind w:left="840" w:right="480" w:hanging="379"/>
        <w:spacing w:after="0" w:line="290"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6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September 30, 2019 was $38.68. The total intrinsic value of stock options exercised for the nine months ended September 30, 2019 and 2018 was $2 million and $7 million, respectively.</w:t>
      </w:r>
    </w:p>
    <w:p>
      <w:pPr>
        <w:spacing w:after="0" w:line="18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21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37"/>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0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9"/>
                <w:szCs w:val="19"/>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41.26%</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40.22%</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42.26%</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920" w:type="dxa"/>
            <w:vAlign w:val="bottom"/>
            <w:gridSpan w:val="2"/>
          </w:tcPr>
          <w:p>
            <w:pPr>
              <w:jc w:val="right"/>
              <w:ind w:right="23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Weighted-average grant date fair value</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total fair value of stock options vested was $11 million and $35 million for the nine months ended September 30,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Cash received from stock option exercises was $2 million and $3 million for the nine months ended September 30, 2019 and 2018, respectively.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2019 RSU Activity</w:t>
      </w:r>
    </w:p>
    <w:p>
      <w:pPr>
        <w:spacing w:after="0" w:line="117" w:lineRule="exact"/>
        <w:rPr>
          <w:sz w:val="20"/>
          <w:szCs w:val="20"/>
          <w:color w:val="auto"/>
        </w:rPr>
      </w:pPr>
    </w:p>
    <w:p>
      <w:pPr>
        <w:ind w:right="380" w:firstLine="518"/>
        <w:spacing w:after="0" w:line="311" w:lineRule="auto"/>
        <w:rPr>
          <w:sz w:val="20"/>
          <w:szCs w:val="20"/>
          <w:color w:val="auto"/>
        </w:rPr>
      </w:pPr>
      <w:r>
        <w:rPr>
          <w:rFonts w:ascii="Arial" w:cs="Arial" w:eastAsia="Arial" w:hAnsi="Arial"/>
          <w:sz w:val="16"/>
          <w:szCs w:val="16"/>
          <w:color w:val="auto"/>
        </w:rPr>
        <w:t>During the nine months ended September 30, 2019, we granted 2,904,000 primarily service-based RSUs under the 2018 Plan which typically vest equally over a four-year requisite service period. A summary of our RSU activity during the nine months ended September 30, 2019 is presented below:</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2"/>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36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36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Value Per Share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53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Unvested RSUs outstanding as of December 31, 2018</w:t>
            </w:r>
          </w:p>
        </w:tc>
        <w:tc>
          <w:tcPr>
            <w:tcW w:w="1400" w:type="dxa"/>
            <w:vAlign w:val="bottom"/>
          </w:tcPr>
          <w:p>
            <w:pPr>
              <w:jc w:val="right"/>
              <w:spacing w:after="0"/>
              <w:rPr>
                <w:sz w:val="20"/>
                <w:szCs w:val="20"/>
                <w:color w:val="auto"/>
              </w:rPr>
            </w:pPr>
            <w:r>
              <w:rPr>
                <w:rFonts w:ascii="Arial" w:cs="Arial" w:eastAsia="Arial" w:hAnsi="Arial"/>
                <w:sz w:val="18"/>
                <w:szCs w:val="18"/>
                <w:color w:val="auto"/>
              </w:rPr>
              <w:t>6,640</w:t>
            </w:r>
          </w:p>
        </w:tc>
        <w:tc>
          <w:tcPr>
            <w:tcW w:w="16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44.93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 and released (1)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Unvested RSUs outstanding as of September 30, 2019</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47.39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840" w:right="60" w:hanging="347"/>
        <w:spacing w:after="0" w:line="279" w:lineRule="auto"/>
        <w:tabs>
          <w:tab w:leader="none" w:pos="80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Inclusive of 493,000 RSUs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MSU activity during the nine months ended September 30, 2019 is presented below:</w:t>
      </w:r>
    </w:p>
    <w:p>
      <w:pPr>
        <w:spacing w:after="0" w:line="36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MSUs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Value Per Share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53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2018</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Granted (1)</w:t>
            </w: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MSUs outstanding as of September 30, 2019</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41.76</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840" w:right="40" w:hanging="386"/>
        <w:spacing w:after="0" w:line="259"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2019 through December 31, 2021 relative to the TSR performance of the Nasdaq Composite Total Return Index. Based upon actual attainment relative to the target performance metric, the grantee has the ability to receive up to 200% of the target number of MSUs originally granted, or to be issued none at all. These MSUs were granted under the 2018 Plan.</w:t>
      </w:r>
    </w:p>
    <w:p>
      <w:pPr>
        <w:spacing w:after="0" w:line="187"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A Monte-Carlo simulation model, which simulated the present value of the potential outcomes of future stock prices and TSR of the Company and the Nasdaq Composite Total Return Index over the performance period, was used to calculate the grant-date fair value of our MSU awards. The estimated grant-date fair value of these awards is being amortized on a straight-line basis over the requisite service period through December 31, 2021.</w:t>
      </w:r>
    </w:p>
    <w:p>
      <w:pPr>
        <w:spacing w:after="0" w:line="147" w:lineRule="exact"/>
        <w:rPr>
          <w:sz w:val="20"/>
          <w:szCs w:val="20"/>
          <w:color w:val="auto"/>
        </w:rPr>
      </w:pPr>
    </w:p>
    <w:p>
      <w:pPr>
        <w:ind w:right="100" w:firstLine="548"/>
        <w:spacing w:after="0" w:line="264"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was $1 million and $23 million during the three and nine months ended September 30, 2019, respectively, and $1 million and $10 million during the three and nine months ended September 30, 2018,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 summary of our remaining unrecognized stock-based compensation expense and the weighted average remaining amortization period at September 30, 2019 related to our non-vested equity awards is presented below (in millions, except in years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RSUs/MSUs</w:t>
            </w:r>
          </w:p>
        </w:tc>
        <w:tc>
          <w:tcPr>
            <w:tcW w:w="1720" w:type="dxa"/>
            <w:vAlign w:val="bottom"/>
          </w:tcPr>
          <w:p>
            <w:pPr>
              <w:spacing w:after="0"/>
              <w:rPr>
                <w:sz w:val="16"/>
                <w:szCs w:val="16"/>
                <w:color w:val="auto"/>
              </w:rPr>
            </w:pPr>
          </w:p>
        </w:tc>
      </w:tr>
      <w:tr>
        <w:trPr>
          <w:trHeight w:val="223"/>
        </w:trPr>
        <w:tc>
          <w:tcPr>
            <w:tcW w:w="17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3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8"/>
              </w:rPr>
              <w:t>Weighted average period remaining (in years)</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553"/>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40" w:type="dxa"/>
            <w:vAlign w:val="bottom"/>
          </w:tcPr>
          <w:p>
            <w:pPr>
              <w:jc w:val="right"/>
              <w:ind w:right="77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Marketable Securities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following tables show our cash, cash equivalents, restricted cash, short-term and long-term available-for-sale marketable debt securities, by major security type, that are measured at fair value on a recurring basis and were categorized using the fair value hierarchy, as well as their classification on our unaudited condensed consolidated balance sheets, as of the periods presented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1"/>
              </w:rPr>
              <w:t>Cash, Cash</w:t>
            </w:r>
          </w:p>
        </w:tc>
        <w:tc>
          <w:tcPr>
            <w:tcW w:w="140" w:type="dxa"/>
            <w:vAlign w:val="bottom"/>
          </w:tcPr>
          <w:p>
            <w:pPr>
              <w:spacing w:after="0"/>
              <w:rPr>
                <w:sz w:val="11"/>
                <w:szCs w:val="11"/>
                <w:color w:val="auto"/>
              </w:rPr>
            </w:pPr>
          </w:p>
        </w:tc>
        <w:tc>
          <w:tcPr>
            <w:tcW w:w="13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1"/>
                <w:szCs w:val="11"/>
                <w:color w:val="auto"/>
              </w:rPr>
            </w:pPr>
          </w:p>
        </w:tc>
        <w:tc>
          <w:tcPr>
            <w:tcW w:w="10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(2)</w:t>
            </w:r>
          </w:p>
        </w:tc>
        <w:tc>
          <w:tcPr>
            <w:tcW w:w="8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Equivalents and</w:t>
            </w:r>
          </w:p>
        </w:tc>
        <w:tc>
          <w:tcPr>
            <w:tcW w:w="1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Restricted Cash</w:t>
            </w:r>
          </w:p>
        </w:tc>
        <w:tc>
          <w:tcPr>
            <w:tcW w:w="1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9"/>
              </w:rPr>
              <w:t>95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74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9"/>
              </w:rPr>
              <w:t>95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1"/>
              </w:rPr>
              <w:t>Cash, Cash</w:t>
            </w:r>
          </w:p>
        </w:tc>
        <w:tc>
          <w:tcPr>
            <w:tcW w:w="140" w:type="dxa"/>
            <w:vAlign w:val="bottom"/>
          </w:tcPr>
          <w:p>
            <w:pPr>
              <w:spacing w:after="0"/>
              <w:rPr>
                <w:sz w:val="11"/>
                <w:szCs w:val="11"/>
                <w:color w:val="auto"/>
              </w:rPr>
            </w:pPr>
          </w:p>
        </w:tc>
        <w:tc>
          <w:tcPr>
            <w:tcW w:w="13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1"/>
                <w:szCs w:val="11"/>
                <w:color w:val="auto"/>
              </w:rPr>
            </w:pPr>
          </w:p>
        </w:tc>
        <w:tc>
          <w:tcPr>
            <w:tcW w:w="10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(2)</w:t>
            </w:r>
          </w:p>
        </w:tc>
        <w:tc>
          <w:tcPr>
            <w:tcW w:w="8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Equivalents and</w:t>
            </w:r>
          </w:p>
        </w:tc>
        <w:tc>
          <w:tcPr>
            <w:tcW w:w="1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Restricted Cash</w:t>
            </w:r>
          </w:p>
        </w:tc>
        <w:tc>
          <w:tcPr>
            <w:tcW w:w="1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9"/>
              </w:rPr>
              <w:t>15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74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9"/>
              </w:rPr>
              <w:t>15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140" w:hanging="372"/>
        <w:spacing w:after="0" w:line="266"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September 30, 2019 and December 31, 2018, our restricted cash, which primarily consists of escrowed security deposits, was not material and is included in other long-term assets on our unaudited condensed consolidated balance sheets.</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September 30, 2019 and December 31, 2018, any unrealized gains or losses related to our marketable securities were not material.</w:t>
      </w:r>
    </w:p>
    <w:p>
      <w:pPr>
        <w:spacing w:after="0" w:line="226"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of purchase. Our short-term marketable securities include maturities that were greater than 90 days at the date purchased and have 12 months or less remaining at September 30, 2019 and December 31, 2018, respectively.</w:t>
      </w:r>
    </w:p>
    <w:p>
      <w:pPr>
        <w:spacing w:after="0" w:line="18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0"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classify our money market funds and other marketable securities within Level 1 and Level 2 as we value these financial instruments using quoted market prices (Level 1) or alternative pricing sources (Level 2). The valuation technique we used to measure the fair value of money market funds was derived from quoted prices in active markets for identical assets or liabilities. Fair values for Level 2 marketable securities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ind w:right="20"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the sales of our marketable securities for both the three and nine months ended September 30, 2019 and 2018. Realized gains and losses on the sale of securities are determined by specific identification of each security’s cost basis. We consider any unrealized loss position in our available-for-sale marketable debt securities to be temporary in nature and do not consider any of these investments other-than-temporarily impaired as of both September 30, 2019 and December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20" w:firstLine="552"/>
        <w:spacing w:after="0" w:line="257" w:lineRule="auto"/>
        <w:rPr>
          <w:sz w:val="20"/>
          <w:szCs w:val="20"/>
          <w:color w:val="auto"/>
        </w:rPr>
      </w:pPr>
      <w:r>
        <w:rPr>
          <w:rFonts w:ascii="Arial" w:cs="Arial" w:eastAsia="Arial" w:hAnsi="Arial"/>
          <w:sz w:val="18"/>
          <w:szCs w:val="18"/>
          <w:color w:val="auto"/>
        </w:rPr>
        <w:t>We typically use forward contracts to reduce the effects of foreign currency exchange rate fluctuations on our cash flows primarily for the Euro versus the U.S. Dollar. Counterparties to our forward contracts consist of major international financial institutions. We monitor our positions and the credit ratings of the counterparties involved and, by policy limits, the amount of credit exposure to any one party. For the three and nine months ended September 30, 2019 and 2018, respectively, our forward contracts have not been designated as hedges and generally had maturities of less than 90 days. We do not use derivatives for trading or speculative purposes.</w:t>
      </w:r>
    </w:p>
    <w:p>
      <w:pPr>
        <w:spacing w:after="0" w:line="80" w:lineRule="exact"/>
        <w:rPr>
          <w:sz w:val="20"/>
          <w:szCs w:val="20"/>
          <w:color w:val="auto"/>
        </w:rPr>
      </w:pPr>
    </w:p>
    <w:p>
      <w:pPr>
        <w:ind w:right="20" w:firstLine="552"/>
        <w:spacing w:after="0" w:line="273" w:lineRule="auto"/>
        <w:rPr>
          <w:sz w:val="20"/>
          <w:szCs w:val="20"/>
          <w:color w:val="auto"/>
        </w:rPr>
      </w:pPr>
      <w:r>
        <w:rPr>
          <w:rFonts w:ascii="Arial" w:cs="Arial" w:eastAsia="Arial" w:hAnsi="Arial"/>
          <w:sz w:val="17"/>
          <w:szCs w:val="17"/>
          <w:color w:val="auto"/>
        </w:rPr>
        <w:t>Our outstanding or unsettled forward contracts were carried at fair value on our unaudited condensed consolidated balance sheets at September 30, 2019 and December 31, 2018.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interest income and other, net on our unaudited condensed consolidated statement of operations. We recorded a net gain of $1 million for both the three and nine months ended September 30, 2019, respectively, and a net loss of $3 million for the nine months ended September 30, 2018, related to our forward contracts.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as of the periods presented:</w:t>
      </w:r>
    </w:p>
    <w:p>
      <w:pPr>
        <w:spacing w:after="0" w:line="200" w:lineRule="exact"/>
        <w:rPr>
          <w:sz w:val="20"/>
          <w:szCs w:val="20"/>
          <w:color w:val="auto"/>
        </w:rPr>
      </w:pP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30, 2019</w:t>
            </w:r>
          </w:p>
        </w:tc>
        <w:tc>
          <w:tcPr>
            <w:tcW w:w="24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2018</w:t>
            </w:r>
          </w:p>
        </w:tc>
      </w:tr>
      <w:tr>
        <w:trPr>
          <w:trHeight w:val="156"/>
        </w:trPr>
        <w:tc>
          <w:tcPr>
            <w:tcW w:w="4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right"/>
              <w:ind w:right="388"/>
              <w:spacing w:after="0" w:line="155"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exchange - forward contracts (1) (2)</w:t>
            </w: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right="560" w:hanging="512"/>
        <w:spacing w:after="0" w:line="274"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derivative contracts address foreign currency exchange fluctuations for the Euro versus the U.S. dollar. The Company had five outstanding derivative contracts as of September 30, 2019 and two outstanding derivative contracts as of December 31, 2018.</w:t>
      </w:r>
    </w:p>
    <w:p>
      <w:pPr>
        <w:ind w:left="520" w:hanging="512"/>
        <w:spacing w:after="0" w:line="277"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fair value of our outstanding derivatives as of September 30, 2019 was not material and is included in prepaid expenses and other current assets on our unaudited condensed consolidated balance sheets. The fair value of our outstanding derivatives as of December 31, 2018 was not material and is included in accrued expenses and other current liabilities on our unaudited condensed consolidated balance sheets.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Other financial instruments not measured at fair value on a recurring basis include accounts receivable and contract assets, accounts payable, deferred merchant payables, and accrued and other current liabilities. The carrying amount of these financial instruments approximate their fair value because of the short maturity of these instruments as reported on our unaudited condensed consolidated balance sheets as of September 30, 2019 and December 31, 2018.</w:t>
      </w:r>
    </w:p>
    <w:p>
      <w:pPr>
        <w:spacing w:after="0" w:line="14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In addition, we hold investments in equity securities of privately-held companies that do not have a readily determinable fair value. As of September 30, 2019 and December 31, 2018, the total carrying value of our equity investments in these privately-held companies was $14 million and $12 million, respectively, and is included in other long-term assets on our unaudited condensed consolidated balance sheets. 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During the three and nine months ended September 30, 2019 and 2018, we did not record any impairment loss on these equity investments or identify any observable price change indicators.</w:t>
      </w:r>
    </w:p>
    <w:p>
      <w:pPr>
        <w:spacing w:after="0" w:line="166"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 did not have any material assets or liabilities measured at fair value on a recurring basis using the Level 3 unobservable inputs at both September 30, 2019 and December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September 30, 2019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December 31, 2018</w:t>
            </w:r>
          </w:p>
        </w:tc>
      </w:tr>
      <w:tr>
        <w:trPr>
          <w:trHeight w:val="156"/>
        </w:trPr>
        <w:tc>
          <w:tcPr>
            <w:tcW w:w="5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2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Building (1)</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 (1)</w:t>
            </w:r>
          </w:p>
        </w:tc>
        <w:tc>
          <w:tcPr>
            <w:tcW w:w="2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2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office equipment and other</w:t>
            </w:r>
          </w:p>
        </w:tc>
        <w:tc>
          <w:tcPr>
            <w:tcW w:w="2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54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r>
      <w:tr>
        <w:trPr>
          <w:trHeight w:val="223"/>
        </w:trPr>
        <w:tc>
          <w:tcPr>
            <w:tcW w:w="54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32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regarding the transition accounting related to our adoption of ASC 842 and the subsequent accounting for our Headquarters 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12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78"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Subsequent to our prior annual impairment test in the fourth quarter of 2018 the composition of our reportable segments has been revised, as discussed in “Note 15: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Prior to implementing the revised segment reporting structure in the first quarter of 2019, our previously disclosed Hotel segment was considered a single reporting unit. Following the change in reportable segments, our legacy Hotel reporting unit was split into four distinct reporting units – (1) Hotels, Media &amp; Platform, (2) SmarterTravel, (3) Flights, Cruises and Car Rentals; and (4) TripAdvisor China for the purposes of goodwill impairment testing. As a result, we first performed </w:t>
      </w:r>
      <w:r>
        <w:rPr>
          <w:rFonts w:ascii="Arial" w:cs="Arial" w:eastAsia="Arial" w:hAnsi="Arial"/>
          <w:sz w:val="16"/>
          <w:szCs w:val="16"/>
          <w:color w:val="252525"/>
        </w:rPr>
        <w:t>a qualitative assessment on our previous Hotel reporting unit prior to implementing the revised</w:t>
      </w:r>
      <w:r>
        <w:rPr>
          <w:rFonts w:ascii="Arial" w:cs="Arial" w:eastAsia="Arial" w:hAnsi="Arial"/>
          <w:sz w:val="16"/>
          <w:szCs w:val="16"/>
          <w:color w:val="auto"/>
        </w:rPr>
        <w:t xml:space="preserve"> </w:t>
      </w:r>
      <w:r>
        <w:rPr>
          <w:rFonts w:ascii="Arial" w:cs="Arial" w:eastAsia="Arial" w:hAnsi="Arial"/>
          <w:sz w:val="16"/>
          <w:szCs w:val="16"/>
          <w:color w:val="252525"/>
        </w:rPr>
        <w:t xml:space="preserve">segment reporting structure and determined that it was more likely than not that the fair value of this reporting unit was greater than the carrying value; which was consistent with our conclusion in the fourth quarter of 2018. </w:t>
      </w:r>
      <w:r>
        <w:rPr>
          <w:rFonts w:ascii="Arial" w:cs="Arial" w:eastAsia="Arial" w:hAnsi="Arial"/>
          <w:sz w:val="16"/>
          <w:szCs w:val="16"/>
          <w:color w:val="000000"/>
        </w:rPr>
        <w:t>We then performed a goodwill impairment test for each of the new reporting units upon the</w:t>
      </w:r>
      <w:r>
        <w:rPr>
          <w:rFonts w:ascii="Arial" w:cs="Arial" w:eastAsia="Arial" w:hAnsi="Arial"/>
          <w:sz w:val="16"/>
          <w:szCs w:val="16"/>
          <w:color w:val="252525"/>
        </w:rPr>
        <w:t xml:space="preserve"> </w:t>
      </w:r>
      <w:r>
        <w:rPr>
          <w:rFonts w:ascii="Arial" w:cs="Arial" w:eastAsia="Arial" w:hAnsi="Arial"/>
          <w:sz w:val="16"/>
          <w:szCs w:val="16"/>
          <w:color w:val="000000"/>
        </w:rPr>
        <w:t>change in reportable segments using a quantitative assessment. We concluded the estimated fair values were significantly in excess of the carrying values for these reporting units. We also performed sensitivity analyses,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in the first quarter of 2019.</w:t>
      </w:r>
    </w:p>
    <w:p>
      <w:pPr>
        <w:spacing w:after="0" w:line="200" w:lineRule="exact"/>
        <w:rPr>
          <w:sz w:val="20"/>
          <w:szCs w:val="20"/>
          <w:color w:val="auto"/>
        </w:rPr>
      </w:pPr>
    </w:p>
    <w:p>
      <w:pPr>
        <w:ind w:right="60" w:firstLine="380"/>
        <w:spacing w:after="0" w:line="288" w:lineRule="auto"/>
        <w:rPr>
          <w:sz w:val="20"/>
          <w:szCs w:val="20"/>
          <w:color w:val="auto"/>
        </w:rPr>
      </w:pPr>
      <w:r>
        <w:rPr>
          <w:rFonts w:ascii="Arial" w:cs="Arial" w:eastAsia="Arial" w:hAnsi="Arial"/>
          <w:sz w:val="16"/>
          <w:szCs w:val="16"/>
          <w:color w:val="auto"/>
        </w:rPr>
        <w:t>Management exercised significant judgment related to the above assessment, including the identification of reporting units, reassignment of assets and liabilities to the new reporting units, reassignment of goodwill to the new reporting units using the relative fair value method, and determination of the fair value of new reporting units. The fair value of our reporting units are generally estimated using an equal weighting of a market approach by using public company multiples and/or other precedent transactions; and a discounted cash flow methodology. The discounted cash flows model indicates the fair value of the reporting units based on the present value of the cash flows that we expect the reporting units to generate in the future. This analysis requires significant judgment, including estimation of future cash flows, which is dependent on internal forecasts, the estimation of the long-term growth rate and profitability of the reporting unit, determination of the Company's weighted average cost of capital and income tax rates.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Changes in these estimates and assumptions could materially affect the estimated fair value of the reporting unit, potentially resulting in a non-cash impairment charge.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Non-Hotel</w:t>
            </w:r>
          </w:p>
        </w:tc>
        <w:tc>
          <w:tcPr>
            <w:tcW w:w="2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Hotels, Media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Experiences &amp;</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Other (3)</w:t>
            </w:r>
          </w:p>
        </w:tc>
        <w:tc>
          <w:tcPr>
            <w:tcW w:w="260" w:type="dxa"/>
            <w:vAlign w:val="bottom"/>
          </w:tcPr>
          <w:p>
            <w:pPr>
              <w:spacing w:after="0"/>
              <w:rPr>
                <w:sz w:val="14"/>
                <w:szCs w:val="1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Platform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Dining</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ind w:right="18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Allocation to new segments (1)</w:t>
            </w:r>
          </w:p>
        </w:tc>
        <w:tc>
          <w:tcPr>
            <w:tcW w:w="7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(451)</w:t>
            </w:r>
          </w:p>
        </w:tc>
        <w:tc>
          <w:tcPr>
            <w:tcW w:w="5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adjustments (2)</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Balance as of September 30, 2019</w:t>
            </w: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Refer to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for information on our reporting segment changes in the first quarter of 2019.</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related to impact of changes in foreign currency exchange rates to goodwill.</w:t>
      </w:r>
    </w:p>
    <w:p>
      <w:pPr>
        <w:spacing w:after="0" w:line="9" w:lineRule="exact"/>
        <w:rPr>
          <w:rFonts w:ascii="Arial" w:cs="Arial" w:eastAsia="Arial" w:hAnsi="Arial"/>
          <w:sz w:val="18"/>
          <w:szCs w:val="18"/>
          <w:color w:val="auto"/>
        </w:rPr>
      </w:pPr>
    </w:p>
    <w:p>
      <w:pPr>
        <w:ind w:left="520" w:right="44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consists of the combination of our Rentals, Flights/Cruises/Car Rentals, SmarterTravel, and TripAdvisor China business units and does not constitute a reportable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right="120" w:firstLine="552"/>
        <w:spacing w:after="0" w:line="285" w:lineRule="auto"/>
        <w:rPr>
          <w:sz w:val="20"/>
          <w:szCs w:val="20"/>
          <w:color w:val="auto"/>
        </w:rPr>
      </w:pPr>
      <w:r>
        <w:rPr>
          <w:rFonts w:ascii="Arial" w:cs="Arial" w:eastAsia="Arial" w:hAnsi="Arial"/>
          <w:sz w:val="16"/>
          <w:szCs w:val="16"/>
          <w:color w:val="auto"/>
        </w:rPr>
        <w:t>We are party to a credit agreement with a group of lenders which, among other things, provides for a $1.2 billion unsecured revolving credit facility (the “2015 Credit Facility”) with a maturity date of May 12, 2022.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w:t>
      </w:r>
    </w:p>
    <w:p>
      <w:pPr>
        <w:spacing w:after="0" w:line="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 sterling. In addition, our 2015 Credit Facility includes $15 million of borrowing capacity available for letters of credit and $40 million for Swing Line borrowings on same-day notice. As of September 30, 2019, we had issued $3 million of outstanding letters of credit under the 2015 Credit Facility. We are also required to pay a quarterly commitment fee, at an applicable rate ranging from 0.15% to 0.30%, on the daily unused portion of the revolving credit facility for each fiscal quarter and additional fees in connection with the issuance of letters of credit. As of September 30, 2019, our unused revolver capacity was subject to a commitment fee of 0.15%, given the Company’s leverage ratio.</w:t>
      </w:r>
    </w:p>
    <w:p>
      <w:pPr>
        <w:spacing w:after="0" w:line="61" w:lineRule="exact"/>
        <w:rPr>
          <w:sz w:val="20"/>
          <w:szCs w:val="20"/>
          <w:color w:val="auto"/>
        </w:rPr>
      </w:pPr>
    </w:p>
    <w:p>
      <w:pPr>
        <w:ind w:right="80" w:firstLine="552"/>
        <w:spacing w:after="0" w:line="273" w:lineRule="auto"/>
        <w:rPr>
          <w:sz w:val="20"/>
          <w:szCs w:val="20"/>
          <w:color w:val="auto"/>
        </w:rPr>
      </w:pPr>
      <w:r>
        <w:rPr>
          <w:rFonts w:ascii="Arial" w:cs="Arial" w:eastAsia="Arial" w:hAnsi="Arial"/>
          <w:sz w:val="17"/>
          <w:szCs w:val="17"/>
          <w:color w:val="auto"/>
        </w:rPr>
        <w:t>As of both September 30, 2019 and December 31, 2018, the Company had no outstanding borrowings under the 2015 Credit Facility. During the nine months ended September 30, 2018, the Company made a net repayment of $230 million on our 2015 Credit Facility. These net repayments were primarily made from a one-time cash repatriation of $325 million of foreign earnings to the United States during the first quarter of 2018. Total interest and commitment fees recorded on our 2015 Credit Facility were not material for both the three months ended September 30, 2019 and 2018, respectively. We recorded total interest and commitment fees on our 2015 Credit Facility of $1 million and $2 million for the nine months ended September 30, 2019 and 2018, respectively, to interest expense on our unaudited condensed consolidated statements of operations.</w:t>
      </w:r>
    </w:p>
    <w:p>
      <w:pPr>
        <w:spacing w:after="0" w:line="70" w:lineRule="exact"/>
        <w:rPr>
          <w:sz w:val="20"/>
          <w:szCs w:val="20"/>
          <w:color w:val="auto"/>
        </w:rPr>
      </w:pPr>
    </w:p>
    <w:p>
      <w:pPr>
        <w:ind w:right="60" w:firstLine="552"/>
        <w:spacing w:after="0" w:line="269" w:lineRule="auto"/>
        <w:rPr>
          <w:sz w:val="20"/>
          <w:szCs w:val="20"/>
          <w:color w:val="auto"/>
        </w:rPr>
      </w:pPr>
      <w:r>
        <w:rPr>
          <w:rFonts w:ascii="Arial" w:cs="Arial" w:eastAsia="Arial" w:hAnsi="Arial"/>
          <w:sz w:val="17"/>
          <w:szCs w:val="17"/>
          <w:color w:val="auto"/>
        </w:rPr>
        <w:t>There is no specific repayment date prior to the maturity date for any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September 30, 2019 and December 31, 2018, we were in compliance with all of our debt covenants.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Chinese Credit Facilities</w:t>
      </w:r>
    </w:p>
    <w:p>
      <w:pPr>
        <w:spacing w:after="0" w:line="121" w:lineRule="exact"/>
        <w:rPr>
          <w:sz w:val="20"/>
          <w:szCs w:val="20"/>
          <w:color w:val="auto"/>
        </w:rPr>
      </w:pPr>
    </w:p>
    <w:p>
      <w:pPr>
        <w:ind w:right="100" w:firstLine="552"/>
        <w:spacing w:after="0" w:line="264" w:lineRule="auto"/>
        <w:rPr>
          <w:sz w:val="20"/>
          <w:szCs w:val="20"/>
          <w:color w:val="auto"/>
        </w:rPr>
      </w:pPr>
      <w:r>
        <w:rPr>
          <w:rFonts w:ascii="Arial" w:cs="Arial" w:eastAsia="Arial" w:hAnsi="Arial"/>
          <w:sz w:val="18"/>
          <w:szCs w:val="18"/>
          <w:color w:val="auto"/>
        </w:rPr>
        <w:t>We are party to a $30 million, one-year revolving credit facility with Bank of America (the “Chinese Credit Facility—BOA”) that is currently subject to review on a periodic basis with no specific expiration period. This credit facility generally bears interest at a rate based on the People’s Bank of China benchmark, including certain adjustments, which may be made in accordance with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conditions at the time of borrowing. As of both September 30, 2019 and December 31, 2018, there were no outstanding borrowings under this credit facility.</w:t>
      </w:r>
    </w:p>
    <w:p>
      <w:pPr>
        <w:spacing w:after="0" w:line="248" w:lineRule="exact"/>
        <w:rPr>
          <w:sz w:val="20"/>
          <w:szCs w:val="20"/>
          <w:color w:val="auto"/>
        </w:rPr>
      </w:pPr>
    </w:p>
    <w:p>
      <w:pPr>
        <w:ind w:right="60" w:firstLine="548"/>
        <w:spacing w:after="0" w:line="264" w:lineRule="auto"/>
        <w:rPr>
          <w:sz w:val="20"/>
          <w:szCs w:val="20"/>
          <w:color w:val="auto"/>
        </w:rPr>
      </w:pPr>
      <w:r>
        <w:rPr>
          <w:rFonts w:ascii="Arial" w:cs="Arial" w:eastAsia="Arial" w:hAnsi="Arial"/>
          <w:sz w:val="18"/>
          <w:szCs w:val="18"/>
          <w:color w:val="auto"/>
        </w:rPr>
        <w:t>In September 2019, the Company did not renew our RMB 70,000,000 (approximately $10 million) one-year revolving credit facility with J.P. Morgan Chase Bank (“Chinese Credit Facility—JPM”). We had no outstanding borrowings under this credit facility at the time of termination or at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Tax Cuts and Jobs Act of 2017 (the “2017 Tax Act”) introduced significant changes to U.S. income tax law. Changes include, but are not limited to, a corporate tax rate decrease from 35% to 21% effective for tax years beginning after December 31, 2017, the transition of U.S. international taxation from a worldwide tax system to a territorial system, and a one-time tax on the mandatory deemed repatriation of cumulative foreign earnings (the “Transition Tax”) as of December 31, 2017.</w:t>
      </w:r>
    </w:p>
    <w:p>
      <w:pPr>
        <w:spacing w:after="0" w:line="18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effective tax rate for the three and nine months ended September 30, 2019 was 31.5% and 36.4%, respectively. Our effective tax rate for the three and nine months ended September 30, 2018 was 20.7% and 30.0%, respectively. The change in our effective tax rate during the three months ended September 30, 2019, when compared to the same period in 2018, was primarily due to changes in foreign valuation allowances, a lower benefit from the recognition of excess tax benefits of stock-based compensation, and a change in the relative mix of pretax income among jurisdictions. The change in our effective tax rate during the nine months ended September 30, 2019, when compared to the same period in 2018, was primarily due to the recognition in the second quarter of 2019 of a cumulative income tax expense of $15 million related to the cumulative benefit taken for excluding stock-based compensation from our inter-company cost-sharing arrangements (refer to the discussion below of Altera Corporation (“Altera”) litigation with the Internal Revenue Service (“IRS”) for more information regarding this adjustment), offset by a higher benefit from the recognition of excess tax benefits of stock-based compensation.</w:t>
      </w:r>
    </w:p>
    <w:p>
      <w:pPr>
        <w:spacing w:after="0" w:line="166"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 As of September 30, 2019, we had an accrued interest liability of $19 million, net of federal and state benefit, and no penalties have been accrued.</w:t>
      </w:r>
    </w:p>
    <w:p>
      <w:pPr>
        <w:spacing w:after="0" w:line="124"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By virtue of consolidated income tax returns previously filed with Expedia, we are currently under an IRS audit for the 2009, 2010 and short-period 2011 tax years. We are separately under examination by the IRS for the short-period 2011 and 2012-2016 tax years, under an employment tax audit by the IRS for the 2013 and 2014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September 30, 2019, no material assessments have resulted, except as noted below regarding our 2009, 2010, and 2011 IRS audit with Expedia and our 2012 and 2013 standalone IRS audit.</w:t>
      </w:r>
    </w:p>
    <w:p>
      <w:pPr>
        <w:spacing w:after="0" w:line="16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These proposed adjustments are related to certain transfer pricing arrangements with our foreign subsidiaries, and would result in an increase to our worldwide income tax expense in an estimated range of $50 million to $55 million at the close of the audit if the IRS prevails, after consideration of competent authority relief, exclusive of interest and penalties and potential reductions in transition tax, as part of the 2017 Tax Act, which could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2013 transactions, if the IRS were to seek transfer pricing adjustments of a similar nature for transactions in subsequent years, we would be subject to significant additional tax liabilities.</w:t>
      </w:r>
    </w:p>
    <w:p>
      <w:pPr>
        <w:spacing w:after="0" w:line="17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July 2015, the United States Tax Court (the “Court”) issued an opinion favorable to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stock-based compensation from its inter-company cost-sharing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6" w:name="page27"/>
    <w:bookmarkEnd w:id="26"/>
    <w:p>
      <w:pPr>
        <w:spacing w:after="0" w:line="272" w:lineRule="auto"/>
        <w:rPr>
          <w:sz w:val="20"/>
          <w:szCs w:val="20"/>
          <w:color w:val="auto"/>
        </w:rPr>
      </w:pPr>
      <w:r>
        <w:rPr>
          <w:rFonts w:ascii="Arial" w:cs="Arial" w:eastAsia="Arial" w:hAnsi="Arial"/>
          <w:sz w:val="17"/>
          <w:szCs w:val="17"/>
          <w:color w:val="auto"/>
        </w:rPr>
        <w:t>arrangement. The IRS appealed the Court decision on February 19, 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three months ended June 30, 2019, which was a reversal of income tax benefits taken by the Company since the Court’s 2015 opinion. On July 22, 2019, Altera requested a rehearing before the full Ninth Circuit. As a result, the final outcome of the case is uncertain. If the June 7, 2019 Ninth Circuit Court of Appeals decision is reversed, we would anticipate recording an income tax benefit at that time. The Company will continue to monitor this matter and related potential impacts to its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consists of the following for the periods presented:</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jc w:val="right"/>
              <w:ind w:right="39"/>
              <w:spacing w:after="0"/>
              <w:rPr>
                <w:sz w:val="20"/>
                <w:szCs w:val="20"/>
                <w:color w:val="auto"/>
              </w:rPr>
            </w:pPr>
            <w:r>
              <w:rPr>
                <w:rFonts w:ascii="Arial" w:cs="Arial" w:eastAsia="Arial" w:hAnsi="Arial"/>
                <w:sz w:val="14"/>
                <w:szCs w:val="14"/>
                <w:b w:val="1"/>
                <w:bCs w:val="1"/>
                <w:color w:val="auto"/>
              </w:rPr>
              <w:t>September 30, 2019</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2018</w:t>
            </w:r>
          </w:p>
        </w:tc>
      </w:tr>
      <w:tr>
        <w:trPr>
          <w:trHeight w:val="156"/>
        </w:trPr>
        <w:tc>
          <w:tcPr>
            <w:tcW w:w="4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(in millions)</w:t>
            </w:r>
          </w:p>
        </w:tc>
        <w:tc>
          <w:tcPr>
            <w:tcW w:w="1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2280" w:type="dxa"/>
            <w:vAlign w:val="bottom"/>
            <w:gridSpan w:val="2"/>
            <w:shd w:val="clear" w:color="auto" w:fill="CFF0FC"/>
          </w:tcPr>
          <w:p>
            <w:pPr>
              <w:jc w:val="right"/>
              <w:ind w:right="16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Long-term income taxes payable</w:t>
            </w:r>
          </w:p>
        </w:tc>
        <w:tc>
          <w:tcPr>
            <w:tcW w:w="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net of current portion (1)</w:t>
            </w:r>
          </w:p>
        </w:tc>
        <w:tc>
          <w:tcPr>
            <w:tcW w:w="46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Finance lease liabilities, net of current portion (1)</w:t>
            </w:r>
          </w:p>
        </w:tc>
        <w:tc>
          <w:tcPr>
            <w:tcW w:w="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 (1)</w:t>
            </w:r>
          </w:p>
        </w:tc>
        <w:tc>
          <w:tcPr>
            <w:tcW w:w="46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(1)</w:t>
            </w:r>
          </w:p>
        </w:tc>
        <w:tc>
          <w:tcPr>
            <w:tcW w:w="460" w:type="dxa"/>
            <w:vAlign w:val="bottom"/>
            <w:tcBorders>
              <w:bottom w:val="single" w:sz="8" w:color="CFF0FC"/>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ind w:right="163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3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900" w:right="260" w:firstLine="6"/>
        <w:spacing w:after="0" w:line="277" w:lineRule="auto"/>
        <w:tabs>
          <w:tab w:leader="none" w:pos="11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additional information on our lease information, including transition accounting and updated accounting policy for leases upon adoption of ASC 842.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jc w:val="center"/>
        <w:ind w:right="260"/>
        <w:spacing w:after="0" w:line="342" w:lineRule="auto"/>
        <w:rPr>
          <w:sz w:val="20"/>
          <w:szCs w:val="20"/>
          <w:color w:val="auto"/>
        </w:rPr>
      </w:pPr>
      <w:r>
        <w:rPr>
          <w:rFonts w:ascii="Arial" w:cs="Arial" w:eastAsia="Arial" w:hAnsi="Arial"/>
          <w:sz w:val="16"/>
          <w:szCs w:val="16"/>
          <w:color w:val="auto"/>
        </w:rPr>
        <w:t xml:space="preserve">There have been no material changes to our commitments and contingencies since December 31, 2018. Refer to “Note 14: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notes to our consolidated financial statements in Item 8 of our Annual Report on Form 10-K for the year ended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the ordinary course of business, we are parties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 xml:space="preserve">We are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 Refer to “Note 10: </w:t>
      </w:r>
      <w:r>
        <w:rPr>
          <w:rFonts w:ascii="Arial" w:cs="Arial" w:eastAsia="Arial" w:hAnsi="Arial"/>
          <w:sz w:val="17"/>
          <w:szCs w:val="17"/>
          <w:i w:val="1"/>
          <w:iCs w:val="1"/>
          <w:color w:val="auto"/>
        </w:rPr>
        <w:t>Income Taxes</w:t>
      </w:r>
      <w:r>
        <w:rPr>
          <w:rFonts w:ascii="Arial" w:cs="Arial" w:eastAsia="Arial" w:hAnsi="Arial"/>
          <w:sz w:val="17"/>
          <w:szCs w:val="17"/>
          <w:color w:val="auto"/>
        </w:rPr>
        <w:t>” for further information on potential contingencies surrounding income taxes.</w:t>
      </w:r>
    </w:p>
    <w:p>
      <w:pPr>
        <w:spacing w:after="0" w:line="173"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We intend to indefinitely reinvest the remaining foreign undistributed earnings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certain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income taxes or tax benefits, which are not expected to be material.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121"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On January 31, 2018, our Board of Directors authorized a repurchase of up to $250 million of our shares of common stock under a share repurchase program. This share repurchase program has no expiration date but may be suspended or terminated by our Board of Directors at any time. Our Board of Directors authorized and directed management, working with the Executive Committee of our Board of Directors, to affect the share repurchase program in compliance with applicable legal requirements.</w:t>
      </w:r>
    </w:p>
    <w:p>
      <w:pPr>
        <w:spacing w:after="0" w:line="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Company did not repurchase any shares of outstanding common stock during the three and nine months ended September 30, 2019, respectively, and during the three months ended September 30, 2018 under the share repurchase program. During the nine months ended September 30, 2018, we repurchased 2,582,198 shares of outstanding common stock under the share repurchase program at an aggregate cost of $100 million, or an average share price of $38.73, exclusive of fees and commissions. As of both September 30, 2019 and December 31, 2018, there were 12,056,688 shares of the Company’s common stock held in treasury with an aggregate cost of $547 million. As of September 30, 2019, we had a remaining $150 million available to repurchase shares of our common stock under this share repurchase program.</w:t>
      </w:r>
    </w:p>
    <w:p>
      <w:pPr>
        <w:spacing w:after="0" w:line="4" w:lineRule="exact"/>
        <w:rPr>
          <w:sz w:val="20"/>
          <w:szCs w:val="20"/>
          <w:color w:val="auto"/>
        </w:rPr>
      </w:pPr>
    </w:p>
    <w:p>
      <w:pPr>
        <w:ind w:right="520" w:firstLine="518"/>
        <w:spacing w:after="0" w:line="323" w:lineRule="auto"/>
        <w:rPr>
          <w:sz w:val="20"/>
          <w:szCs w:val="20"/>
          <w:color w:val="auto"/>
        </w:rPr>
      </w:pPr>
      <w:r>
        <w:rPr>
          <w:rFonts w:ascii="Arial" w:cs="Arial" w:eastAsia="Arial" w:hAnsi="Arial"/>
          <w:sz w:val="16"/>
          <w:szCs w:val="16"/>
          <w:color w:val="auto"/>
        </w:rPr>
        <w:t>On November 1, 2019, our Board of Directors authorized the repurchase of an additional $100 million of shares of our common stock under our existing share repurchase program, which increased the amount available to the Company under this share repurchase program to $250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consider Liberty TripAdvisor Holdings, Inc. (“LTRIP”) a related party. As of September 30, 2019, LTRIP beneficially owned approximately 18.2 million shares of our common stock and 12.8 million shares of our Class B common stock, which constitute 14.3% of the outstanding shares of common stock and 100% of the outstanding shares of Class B common stock. Assuming the conversion of all of LTRIP’s shares of Class B common stock into common stock, LTRIP would beneficially own 22.2% of the outstanding common stock. Because each share of Class B common stock is entitled to ten votes per share and each share of common stock is entitled to one vote per share, LTRIP may be deemed to beneficially own equity securities representing 57.4% of our voting power.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both the three and nine months ended September 30, 2019 and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2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Beginning in the first quarter of 2019 we have two reportable segments: (1) Hotels, Media &amp; Platform; and (2) Experiences &amp; Dining. Our Hotels, Media &amp; Platform reportable segment includes the following revenue sources: (1) TripAdvisor-branded hotels revenue – primarily consisting of TripAdvisor-branded hotel metasearch auction-based revenue, transaction revenue from our hotel instant booking feature, subscription-based advertising and hotel sponsored placements advertising revenue; and (2) TripAdvisor-branded display and platform revenue – consisting of TripAdvisor-branded display-based revenue. Our focus within the Hotels, Media &amp; Platform reportable segment is to generate profit while driving increased customer and client engagement with, and high-margin media advertising revenue from, the TripAdvisor platform. Our Experiences &amp; Dining reportable segment, which includes an aggregation of our Experiences and Restaurants operating segments, reflects our ongoing investment focus to drive revenue growth and to reinforce our market leading position in these growing offerings. All remaining business units have been combined into and reported as “Other”, which includes Rentals, Flights/Cruises/Car Rentals, SmarterTravel, and TripAdvisor China, as none of these businesses meet the quantitative thresholds and other criteria to qualify as reportable segments, and therefore are combined and disclosed as Other.</w:t>
      </w:r>
    </w:p>
    <w:p>
      <w:pPr>
        <w:spacing w:after="0" w:line="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and technical infrastructure and other costs supporting the TripAdvisor platform.</w:t>
      </w:r>
    </w:p>
    <w:p>
      <w:pPr>
        <w:spacing w:after="0" w:line="7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The nature of the services provided and revenue recognition policies are summarized by reported segment in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for income taxes; (2) other income (expense), net;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46" w:lineRule="exact"/>
        <w:rPr>
          <w:rFonts w:ascii="Arial" w:cs="Arial" w:eastAsia="Arial" w:hAnsi="Arial"/>
          <w:sz w:val="16"/>
          <w:szCs w:val="16"/>
          <w:color w:val="auto"/>
        </w:rPr>
      </w:pPr>
    </w:p>
    <w:p>
      <w:pPr>
        <w:ind w:right="48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(7) legal reserves and settlements; and (8) non-recurring expenses and income.</w:t>
      </w:r>
    </w:p>
    <w:p>
      <w:pPr>
        <w:spacing w:after="0" w:line="184"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following tables present our segment information for the three and nine months ended September 30, 2019 and 2018 and includes a reconciliation of Adjusted EBITDA to Net Income. We record depreciation of property and equipment, including amortization of internal-use software and website development, amortization of intangible assets, stock-based compensation and other stock-settled obligations, legal reserves and settlements,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in Other.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 2019</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30"/>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1600" w:type="dxa"/>
            <w:vAlign w:val="bottom"/>
            <w:gridSpan w:val="2"/>
          </w:tcPr>
          <w:p>
            <w:pPr>
              <w:jc w:val="right"/>
              <w:ind w:right="150"/>
              <w:spacing w:after="0" w:line="133" w:lineRule="exact"/>
              <w:rPr>
                <w:sz w:val="20"/>
                <w:szCs w:val="20"/>
                <w:color w:val="auto"/>
              </w:rPr>
            </w:pPr>
            <w:r>
              <w:rPr>
                <w:rFonts w:ascii="Arial" w:cs="Arial" w:eastAsia="Arial" w:hAnsi="Arial"/>
                <w:sz w:val="14"/>
                <w:szCs w:val="14"/>
                <w:b w:val="1"/>
                <w:bCs w:val="1"/>
                <w:color w:val="auto"/>
              </w:rPr>
              <w:t>Experiences &amp;</w:t>
            </w:r>
          </w:p>
        </w:tc>
        <w:tc>
          <w:tcPr>
            <w:tcW w:w="12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Other (3)</w:t>
            </w:r>
          </w:p>
        </w:tc>
        <w:tc>
          <w:tcPr>
            <w:tcW w:w="220" w:type="dxa"/>
            <w:vAlign w:val="bottom"/>
          </w:tcPr>
          <w:p>
            <w:pPr>
              <w:spacing w:after="0"/>
              <w:rPr>
                <w:sz w:val="11"/>
                <w:szCs w:val="11"/>
                <w:color w:val="auto"/>
              </w:rPr>
            </w:pPr>
          </w:p>
        </w:tc>
        <w:tc>
          <w:tcPr>
            <w:tcW w:w="1320" w:type="dxa"/>
            <w:vAlign w:val="bottom"/>
            <w:gridSpan w:val="4"/>
          </w:tcPr>
          <w:p>
            <w:pPr>
              <w:jc w:val="center"/>
              <w:ind w:left="216"/>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Platform (1)</w:t>
            </w:r>
          </w:p>
        </w:tc>
        <w:tc>
          <w:tcPr>
            <w:tcW w:w="1200" w:type="dxa"/>
            <w:vAlign w:val="bottom"/>
          </w:tcPr>
          <w:p>
            <w:pPr>
              <w:jc w:val="right"/>
              <w:ind w:right="2"/>
              <w:spacing w:after="0"/>
              <w:rPr>
                <w:sz w:val="20"/>
                <w:szCs w:val="20"/>
                <w:color w:val="auto"/>
              </w:rPr>
            </w:pPr>
            <w:r>
              <w:rPr>
                <w:rFonts w:ascii="Arial" w:cs="Arial" w:eastAsia="Arial" w:hAnsi="Arial"/>
                <w:sz w:val="14"/>
                <w:szCs w:val="14"/>
                <w:b w:val="1"/>
                <w:bCs w:val="1"/>
                <w:color w:val="auto"/>
              </w:rPr>
              <w:t>Dining</w:t>
            </w:r>
          </w:p>
        </w:tc>
        <w:tc>
          <w:tcPr>
            <w:tcW w:w="4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238</w:t>
            </w:r>
          </w:p>
        </w:tc>
        <w:tc>
          <w:tcPr>
            <w:tcW w:w="1200" w:type="dxa"/>
            <w:vAlign w:val="bottom"/>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40" w:type="dxa"/>
            <w:vAlign w:val="bottom"/>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49</w:t>
            </w:r>
          </w:p>
        </w:tc>
        <w:tc>
          <w:tcPr>
            <w:tcW w:w="10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24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6"/>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6"/>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1"/>
              </w:rPr>
              <w:t>Three months ended September 30, 2018</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60" w:type="dxa"/>
            <w:vAlign w:val="bottom"/>
            <w:gridSpan w:val="3"/>
          </w:tcPr>
          <w:p>
            <w:pPr>
              <w:jc w:val="right"/>
              <w:ind w:right="79"/>
              <w:spacing w:after="0" w:line="133" w:lineRule="exact"/>
              <w:rPr>
                <w:sz w:val="20"/>
                <w:szCs w:val="20"/>
                <w:color w:val="auto"/>
              </w:rPr>
            </w:pPr>
            <w:r>
              <w:rPr>
                <w:rFonts w:ascii="Arial" w:cs="Arial" w:eastAsia="Arial" w:hAnsi="Arial"/>
                <w:sz w:val="14"/>
                <w:szCs w:val="14"/>
                <w:b w:val="1"/>
                <w:bCs w:val="1"/>
                <w:color w:val="auto"/>
              </w:rPr>
              <w:t>Hotels, Media &amp;</w:t>
            </w:r>
          </w:p>
        </w:tc>
        <w:tc>
          <w:tcPr>
            <w:tcW w:w="340" w:type="dxa"/>
            <w:vAlign w:val="bottom"/>
          </w:tcPr>
          <w:p>
            <w:pPr>
              <w:spacing w:after="0"/>
              <w:rPr>
                <w:sz w:val="11"/>
                <w:szCs w:val="11"/>
                <w:color w:val="auto"/>
              </w:rPr>
            </w:pPr>
          </w:p>
        </w:tc>
        <w:tc>
          <w:tcPr>
            <w:tcW w:w="1200" w:type="dxa"/>
            <w:vAlign w:val="bottom"/>
          </w:tcPr>
          <w:p>
            <w:pPr>
              <w:jc w:val="right"/>
              <w:ind w:right="182"/>
              <w:spacing w:after="0" w:line="133" w:lineRule="exact"/>
              <w:rPr>
                <w:sz w:val="20"/>
                <w:szCs w:val="20"/>
                <w:color w:val="auto"/>
              </w:rPr>
            </w:pPr>
            <w:r>
              <w:rPr>
                <w:rFonts w:ascii="Arial" w:cs="Arial" w:eastAsia="Arial" w:hAnsi="Arial"/>
                <w:sz w:val="14"/>
                <w:szCs w:val="14"/>
                <w:b w:val="1"/>
                <w:bCs w:val="1"/>
                <w:color w:val="auto"/>
                <w:w w:val="95"/>
              </w:rPr>
              <w:t>Experiences &amp;</w:t>
            </w:r>
          </w:p>
        </w:tc>
        <w:tc>
          <w:tcPr>
            <w:tcW w:w="400" w:type="dxa"/>
            <w:vAlign w:val="bottom"/>
          </w:tcPr>
          <w:p>
            <w:pPr>
              <w:spacing w:after="0"/>
              <w:rPr>
                <w:sz w:val="11"/>
                <w:szCs w:val="11"/>
                <w:color w:val="auto"/>
              </w:rPr>
            </w:pPr>
          </w:p>
        </w:tc>
        <w:tc>
          <w:tcPr>
            <w:tcW w:w="124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Other (3)</w:t>
            </w:r>
          </w:p>
        </w:tc>
        <w:tc>
          <w:tcPr>
            <w:tcW w:w="220" w:type="dxa"/>
            <w:vAlign w:val="bottom"/>
          </w:tcPr>
          <w:p>
            <w:pPr>
              <w:spacing w:after="0"/>
              <w:rPr>
                <w:sz w:val="11"/>
                <w:szCs w:val="11"/>
                <w:color w:val="auto"/>
              </w:rPr>
            </w:pPr>
          </w:p>
        </w:tc>
        <w:tc>
          <w:tcPr>
            <w:tcW w:w="108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91"/>
              </w:rPr>
              <w:t>Corporate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2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Platform (2)</w:t>
            </w:r>
          </w:p>
        </w:tc>
        <w:tc>
          <w:tcPr>
            <w:tcW w:w="340" w:type="dxa"/>
            <w:vAlign w:val="bottom"/>
          </w:tcPr>
          <w:p>
            <w:pPr>
              <w:spacing w:after="0"/>
              <w:rPr>
                <w:sz w:val="14"/>
                <w:szCs w:val="14"/>
                <w:color w:val="auto"/>
              </w:rPr>
            </w:pPr>
          </w:p>
        </w:tc>
        <w:tc>
          <w:tcPr>
            <w:tcW w:w="1200" w:type="dxa"/>
            <w:vAlign w:val="bottom"/>
          </w:tcPr>
          <w:p>
            <w:pPr>
              <w:jc w:val="right"/>
              <w:ind w:right="422"/>
              <w:spacing w:after="0"/>
              <w:rPr>
                <w:sz w:val="20"/>
                <w:szCs w:val="20"/>
                <w:color w:val="auto"/>
              </w:rPr>
            </w:pPr>
            <w:r>
              <w:rPr>
                <w:rFonts w:ascii="Arial" w:cs="Arial" w:eastAsia="Arial" w:hAnsi="Arial"/>
                <w:sz w:val="14"/>
                <w:szCs w:val="14"/>
                <w:b w:val="1"/>
                <w:bCs w:val="1"/>
                <w:color w:val="auto"/>
              </w:rPr>
              <w:t>Dining</w:t>
            </w:r>
          </w:p>
        </w:tc>
        <w:tc>
          <w:tcPr>
            <w:tcW w:w="4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Unallocated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6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52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240" w:type="dxa"/>
            <w:vAlign w:val="bottom"/>
          </w:tcPr>
          <w:p>
            <w:pPr>
              <w:jc w:val="right"/>
              <w:ind w:right="16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gridSpan w:val="2"/>
            <w:vMerge w:val="restart"/>
          </w:tcPr>
          <w:p>
            <w:pPr>
              <w:jc w:val="right"/>
              <w:ind w:right="962"/>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1"/>
              </w:rPr>
              <w:t>Nine months ended September 30, 2019</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80" w:type="dxa"/>
            <w:vAlign w:val="bottom"/>
          </w:tcPr>
          <w:p>
            <w:pPr>
              <w:spacing w:after="0"/>
              <w:rPr>
                <w:sz w:val="11"/>
                <w:szCs w:val="11"/>
                <w:color w:val="auto"/>
              </w:rPr>
            </w:pPr>
          </w:p>
        </w:tc>
        <w:tc>
          <w:tcPr>
            <w:tcW w:w="1300" w:type="dxa"/>
            <w:vAlign w:val="bottom"/>
          </w:tcPr>
          <w:p>
            <w:pPr>
              <w:jc w:val="center"/>
              <w:ind w:right="239"/>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10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Other (3)</w:t>
            </w:r>
          </w:p>
        </w:tc>
        <w:tc>
          <w:tcPr>
            <w:tcW w:w="420" w:type="dxa"/>
            <w:vAlign w:val="bottom"/>
          </w:tcPr>
          <w:p>
            <w:pPr>
              <w:spacing w:after="0"/>
              <w:rPr>
                <w:sz w:val="11"/>
                <w:szCs w:val="11"/>
                <w:color w:val="auto"/>
              </w:rPr>
            </w:pPr>
          </w:p>
        </w:tc>
        <w:tc>
          <w:tcPr>
            <w:tcW w:w="1180" w:type="dxa"/>
            <w:vAlign w:val="bottom"/>
            <w:gridSpan w:val="2"/>
          </w:tcPr>
          <w:p>
            <w:pPr>
              <w:jc w:val="center"/>
              <w:ind w:left="79"/>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Platform (1)</w:t>
            </w:r>
          </w:p>
        </w:tc>
        <w:tc>
          <w:tcPr>
            <w:tcW w:w="280" w:type="dxa"/>
            <w:vAlign w:val="bottom"/>
          </w:tcPr>
          <w:p>
            <w:pPr>
              <w:spacing w:after="0"/>
              <w:rPr>
                <w:sz w:val="14"/>
                <w:szCs w:val="14"/>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Dining</w:t>
            </w: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Unallocated</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346</w:t>
            </w:r>
          </w:p>
        </w:tc>
        <w:tc>
          <w:tcPr>
            <w:tcW w:w="1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6"/>
              </w:rPr>
              <w:t>133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1"/>
              </w:rPr>
              <w:t>Nine months ended September 30, 2018</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80" w:type="dxa"/>
            <w:vAlign w:val="bottom"/>
          </w:tcPr>
          <w:p>
            <w:pPr>
              <w:spacing w:after="0"/>
              <w:rPr>
                <w:sz w:val="11"/>
                <w:szCs w:val="11"/>
                <w:color w:val="auto"/>
              </w:rPr>
            </w:pPr>
          </w:p>
        </w:tc>
        <w:tc>
          <w:tcPr>
            <w:tcW w:w="1300" w:type="dxa"/>
            <w:vAlign w:val="bottom"/>
          </w:tcPr>
          <w:p>
            <w:pPr>
              <w:jc w:val="center"/>
              <w:ind w:right="239"/>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10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Other (3)</w:t>
            </w:r>
          </w:p>
        </w:tc>
        <w:tc>
          <w:tcPr>
            <w:tcW w:w="420" w:type="dxa"/>
            <w:vAlign w:val="bottom"/>
          </w:tcPr>
          <w:p>
            <w:pPr>
              <w:spacing w:after="0"/>
              <w:rPr>
                <w:sz w:val="11"/>
                <w:szCs w:val="11"/>
                <w:color w:val="auto"/>
              </w:rPr>
            </w:pPr>
          </w:p>
        </w:tc>
        <w:tc>
          <w:tcPr>
            <w:tcW w:w="1180" w:type="dxa"/>
            <w:vAlign w:val="bottom"/>
            <w:gridSpan w:val="2"/>
          </w:tcPr>
          <w:p>
            <w:pPr>
              <w:jc w:val="center"/>
              <w:ind w:left="79"/>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Platform (2)</w:t>
            </w:r>
          </w:p>
        </w:tc>
        <w:tc>
          <w:tcPr>
            <w:tcW w:w="280" w:type="dxa"/>
            <w:vAlign w:val="bottom"/>
          </w:tcPr>
          <w:p>
            <w:pPr>
              <w:spacing w:after="0"/>
              <w:rPr>
                <w:sz w:val="14"/>
                <w:szCs w:val="14"/>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Dining</w:t>
            </w: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Unallocated</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795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278</w:t>
            </w:r>
          </w:p>
        </w:tc>
        <w:tc>
          <w:tcPr>
            <w:tcW w:w="1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6"/>
              </w:rPr>
              <w:t>196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39</w:t>
            </w:r>
          </w:p>
        </w:tc>
        <w:tc>
          <w:tcPr>
            <w:tcW w:w="106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80" w:right="100" w:hanging="372"/>
        <w:spacing w:after="0" w:line="233"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unallocated corporate general and administrative costs of $20 million and $51 million and TripAdvisor-branded advertising expenses (primarily television advertising) of $18 million and $73 million for the three and nine months ended September 30, 2019, respectively.</w:t>
      </w:r>
    </w:p>
    <w:p>
      <w:pPr>
        <w:spacing w:after="0" w:line="1" w:lineRule="exact"/>
        <w:rPr>
          <w:rFonts w:ascii="Arial" w:cs="Arial" w:eastAsia="Arial" w:hAnsi="Arial"/>
          <w:sz w:val="15"/>
          <w:szCs w:val="15"/>
          <w:color w:val="auto"/>
        </w:rPr>
      </w:pPr>
    </w:p>
    <w:p>
      <w:pPr>
        <w:ind w:left="380" w:right="100" w:hanging="372"/>
        <w:spacing w:after="0" w:line="225"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unallocated corporate general and administrative costs of $18 million and $57 million and TripAdvisor-branded advertising expenses (primarily television advertising) of $37 million and $98 million for the three and nine months ended September 30, 2018, respectively.</w:t>
      </w:r>
    </w:p>
    <w:p>
      <w:pPr>
        <w:ind w:left="380" w:hanging="372"/>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consists of the combination of our Rentals, Flights/Cruises/Car Rentals, SmarterTravel and TripAdvisor China business units and does not constitute a reportable segment.</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On November 1, 2019, the Company's Board of Directors declared a special cash dividend of $3.50 per share, or estimated to be approximately $490 million in the aggregate. The dividend is payable on December 4, 2019 to stockholders of record on November 20,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2018.</w:t>
      </w:r>
    </w:p>
    <w:p>
      <w:pPr>
        <w:spacing w:after="0" w:line="6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three and nine months ended September 30, 2019,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Other unknown or unpredictable factors also could have a material adverse effect on our business, financial condition and results of operations. Accordingly, readers should not place undue reliance on these forward-looking statements. The use of words such as “anticipates,”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0" w:name="page31"/>
    <w:bookmarkEnd w:id="30"/>
    <w:p>
      <w:pPr>
        <w:ind w:right="20"/>
        <w:spacing w:after="0" w:line="254" w:lineRule="auto"/>
        <w:rPr>
          <w:sz w:val="20"/>
          <w:szCs w:val="20"/>
          <w:color w:val="auto"/>
        </w:rPr>
      </w:pPr>
      <w:r>
        <w:rPr>
          <w:rFonts w:ascii="Arial" w:cs="Arial" w:eastAsia="Arial" w:hAnsi="Arial"/>
          <w:sz w:val="18"/>
          <w:szCs w:val="18"/>
          <w:color w:val="auto"/>
        </w:rPr>
        <w:t>“estimates,”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TripAdvisor is an online travel company and our mission is to help people around the world plan, book and experience the perfect trip. We seek to achieve this mission by providing consumers and travel partners a global platform of rich content, price comparison tools and online reservation and related services for destinations, accommodations, travel activities and experiences, and restaurants.</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TripAdvisor, Inc., by and through its subsidiaries, owns and operates a portfolio of leading online travel brands. Our flagship brand, TripAdvisor, is the world’s largest travel site based on monthly unique visitors, which had nearly 460 million average monthly unique visitors during the quarter ended September 30, 2019, according to our internal log files.</w:t>
      </w:r>
    </w:p>
    <w:p>
      <w:pPr>
        <w:spacing w:after="0" w:line="18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Our TripAdvisor-branded websites include www.tripadvisor.com in the United States and localized versions of the TripAdvisor website in 48 markets and 28 languages worldwide. TripAdvisor features approximately 830 million reviews and opinions on approximately 8.6 million places to stay, places to eat and things to do – including 1.4 million hotels, inns, B&amp;Bs and specialty lodging, 885,000 rental properties, 5.1 million restaurants and 1.2 million travel activities and experiences worldwide. We also enable consumers to compare prices and book a number of these travel experiences on either a TripAdvisor website or mobile application (“mobile app”), or on the website or mobile app of one of our travel partners.</w:t>
      </w:r>
    </w:p>
    <w:p>
      <w:pPr>
        <w:spacing w:after="0" w:line="173" w:lineRule="exact"/>
        <w:rPr>
          <w:sz w:val="20"/>
          <w:szCs w:val="20"/>
          <w:color w:val="auto"/>
        </w:rPr>
      </w:pPr>
    </w:p>
    <w:p>
      <w:pPr>
        <w:ind w:right="540" w:firstLine="518"/>
        <w:spacing w:after="0" w:line="257" w:lineRule="auto"/>
        <w:rPr>
          <w:sz w:val="20"/>
          <w:szCs w:val="20"/>
          <w:color w:val="auto"/>
        </w:rPr>
      </w:pPr>
      <w:r>
        <w:rPr>
          <w:rFonts w:ascii="Arial" w:cs="Arial" w:eastAsia="Arial" w:hAnsi="Arial"/>
          <w:sz w:val="18"/>
          <w:szCs w:val="18"/>
          <w:color w:val="auto"/>
        </w:rPr>
        <w:t>In addition to the flagship TripAdvisor brand, we manage and operate the following other travel media brands: www.airfarewatchdog.com, www.bokun.io, www.bookingbuddy.com, www.cruisecritic.com, www.familyvacationcritic.com, www.flipkey.com, www.thefork.com (including www.lafourchette.com, www.eltenedor.com, and www.restorando.com), www.holidaylettings.co.uk, www.holidaywatchdog.com, www.housetrip.com, www.jetsetter.com, www.niumba.com, www.onetime.com, www.oyster.com, www.seatguru.com, www.smartertravel.com, www.tingo.com, www.vacationhomerentals.com, and www.viator.com.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Business Trends</w:t>
      </w:r>
    </w:p>
    <w:p>
      <w:pPr>
        <w:spacing w:after="0" w:line="229"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TripAdvisor is the world’s largest online travel site, as measured by average unique monthly visitors.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 rentals, vacation rental properties, tours, travel activities and experiences, and restaurants and book a number of these travel experiences either directly on our websites or mobile apps, or on our travel partners’ websites or mobile apps. Key drivers of our financial results are described below, including a summary of our long-term growth strategy, current trends affecting our business, and our segment reporting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Our mission is to help people around the world plan, book and experience the perfect trip. We seek to deliver on this mission by delivering the best consumer experience throughout all phases of the travel journey, helping consumers with inspiration and travel-planning to trip-taking and sharing the experience. Phocuswright, an independent travel, tourism and hospitality research firm, estimates the annual global travel market at $1.7 trillion. Our influence over the $1.7 trillion global travel market is significant. We seek to monetize our influence by deepening customer relationships across our platform. For consumers, this includes delivering the best consumer experience and driving consumer awareness of, and engagement with, our products and offerings. For travel partners, this includes offering an array of advertising opportunities. We also invest prudently in technology, product development, marketing and other strategic areas, to improve and grow the TripAdvisor platform. We believe that executing our growth strategy can generate more value for both consumers and travel partners, resulting in greater monetization on our platform over the long-term. We describe these strategic objectives in more detail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1" w:name="page32"/>
    <w:bookmarkEnd w:id="31"/>
    <w:p>
      <w:pPr>
        <w:ind w:left="860" w:right="60" w:hanging="379"/>
        <w:spacing w:after="0" w:line="272"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 the best consumer experience. </w:t>
      </w:r>
      <w:r>
        <w:rPr>
          <w:rFonts w:ascii="Arial" w:cs="Arial" w:eastAsia="Arial" w:hAnsi="Arial"/>
          <w:sz w:val="17"/>
          <w:szCs w:val="17"/>
          <w:color w:val="auto"/>
        </w:rPr>
        <w:t>TripAdvisor offers consumers 830 million reviews and opinions on approximately 8.6 million places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stay, places to eat and things to do. We have invested – and will continue to efficiently invest – in product innovation and enhancements to ensure consumers receive a comprehensive, assistive experience throughout the many phases of the travel journey – from inspiration and discovery, to researching and price shopping, to finding and booking things to do and places to eat, to sharing their experiences on TripAdvisor. We believe providing consumers a holistic experience helps increase brand awareness and brand loyalty and, over time, can deepen consumer engagement on our platform, grow members and increase loyalty, drive more qualified leads and bookings to travel partners and drive greater long-term monetization on our platform.</w:t>
      </w:r>
    </w:p>
    <w:p>
      <w:pPr>
        <w:spacing w:after="0" w:line="69" w:lineRule="exact"/>
        <w:rPr>
          <w:rFonts w:ascii="Arial" w:cs="Arial" w:eastAsia="Arial" w:hAnsi="Arial"/>
          <w:sz w:val="17"/>
          <w:szCs w:val="17"/>
          <w:color w:val="auto"/>
        </w:rPr>
      </w:pPr>
    </w:p>
    <w:p>
      <w:pPr>
        <w:ind w:left="860" w:right="80" w:hanging="379"/>
        <w:spacing w:after="0" w:line="272"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consumer awareness of, and engagement with, our products and offerings. </w:t>
      </w:r>
      <w:r>
        <w:rPr>
          <w:rFonts w:ascii="Arial" w:cs="Arial" w:eastAsia="Arial" w:hAnsi="Arial"/>
          <w:sz w:val="17"/>
          <w:szCs w:val="17"/>
          <w:color w:val="auto"/>
        </w:rPr>
        <w:t>TripAdvisor’s rich content and global brand attracts a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travel audience and we believe significantly influences how people discover, plan, and book travel experiences. We seek to further amplify our brand by raising consumer awareness for – and engagement with – our end-to-end product offerings. We believe engaging consumers more frequently on (and directly to) our websites and mobile apps or via online channels including search engine optimization, or SEO, (i.e., free, or organic search) and search engine marketing, or SEM, and retargeting, and delivering impactful advertising via offline channels (including television and other brand advertising) can build deeper, more durable consumer relationships, increase advertising opportunities for travel partners and drive greater long-term monetization on our platform.</w:t>
      </w:r>
    </w:p>
    <w:p>
      <w:pPr>
        <w:spacing w:after="0" w:line="69" w:lineRule="exact"/>
        <w:rPr>
          <w:rFonts w:ascii="Arial" w:cs="Arial" w:eastAsia="Arial" w:hAnsi="Arial"/>
          <w:sz w:val="17"/>
          <w:szCs w:val="17"/>
          <w:color w:val="auto"/>
        </w:rPr>
      </w:pPr>
    </w:p>
    <w:p>
      <w:pPr>
        <w:ind w:left="860" w:hanging="379"/>
        <w:spacing w:after="0" w:line="270"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Deepen travel partner engagement on our platform. </w:t>
      </w:r>
      <w:r>
        <w:rPr>
          <w:rFonts w:ascii="Arial" w:cs="Arial" w:eastAsia="Arial" w:hAnsi="Arial"/>
          <w:sz w:val="17"/>
          <w:szCs w:val="17"/>
          <w:color w:val="auto"/>
        </w:rPr>
        <w:t>TripAdvisor’s large, global audience also makes it an attractive platform for travel partners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list and advertise their business and their products in order to generate brand impressions, qualified leads and bookings for their businesses. We believe growing the number of travel partners, listings and bookable supply offered on our platform, especially in our in-destination Experiences and Restaurants offerings, enables consumers to find and book the perfect trip, and helps drive transactions for travel partners’ businesses. We provide travel partners with business-to-business products and services – including subscription-based advertising services for hoteliers and restaurants, which provide access to certain online reservation management services and marketing analytics tools, and media advertising opportunities – that can help our travel partners enhance their visibility and more effectively manage their presence on TripAdvisor, attract customers, and grow their businesses. We believe continuous product and platform improvements enable travel partners to market their businesses, attract qualified leads and drive bookings, and can result in deeper travel partner engagement and drive greater long-term monetization on our platform.</w:t>
      </w:r>
    </w:p>
    <w:p>
      <w:pPr>
        <w:spacing w:after="0" w:line="69" w:lineRule="exact"/>
        <w:rPr>
          <w:rFonts w:ascii="Arial" w:cs="Arial" w:eastAsia="Arial" w:hAnsi="Arial"/>
          <w:sz w:val="17"/>
          <w:szCs w:val="17"/>
          <w:color w:val="auto"/>
        </w:rPr>
      </w:pPr>
    </w:p>
    <w:p>
      <w:pPr>
        <w:ind w:left="860" w:right="100" w:hanging="379"/>
        <w:spacing w:after="0" w:line="25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technology, product and marketing. </w:t>
      </w:r>
      <w:r>
        <w:rPr>
          <w:rFonts w:ascii="Arial" w:cs="Arial" w:eastAsia="Arial" w:hAnsi="Arial"/>
          <w:sz w:val="18"/>
          <w:szCs w:val="18"/>
          <w:color w:val="auto"/>
        </w:rPr>
        <w:t>We prioritize rapid product testing and speed to market as we seek to deliver consumers a richer,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engaging and assistive experience. We launch new product features on our websites and mobile apps on a regular product release cycle. We have invested – and will continue to efficiently invest – to improve the features, functionality and commercialization of our offerings on all devices as we aim to meet and exceed evolving consumer needs and expectations. Over time, we believe this can deepen customer engagement and drive greater long-term monetization on our platform.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280" w:firstLine="518"/>
        <w:spacing w:after="0" w:line="260" w:lineRule="auto"/>
        <w:rPr>
          <w:sz w:val="20"/>
          <w:szCs w:val="20"/>
          <w:color w:val="auto"/>
        </w:rPr>
      </w:pPr>
      <w:r>
        <w:rPr>
          <w:rFonts w:ascii="Arial" w:cs="Arial" w:eastAsia="Arial" w:hAnsi="Arial"/>
          <w:sz w:val="18"/>
          <w:szCs w:val="18"/>
          <w:color w:val="auto"/>
        </w:rPr>
        <w:t xml:space="preserve">During the first quarter of 2019, as part of our continuous review of the business, we evaluated our operations and realigned the reportable segment information, which our chief operating decision maker, or CODM, regularly assesses to evaluate performance for operating decision-making purposes, including evaluation and allocation of resources. The CODM for the Company is our Chief Executive Officer. The revised reporting structure includes the following reportable segments: (1) Hotels, Media &amp; Platform and (2) Experiences &amp; Dining, which includes our Experiences and Restaurants operating segments. For further information, including the change in segments and principal revenue streams within these segments, refer to “Note 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and “Note 15:</w:t>
      </w:r>
      <w:r>
        <w:rPr>
          <w:rFonts w:ascii="Arial" w:cs="Arial" w:eastAsia="Arial" w:hAnsi="Arial"/>
          <w:sz w:val="18"/>
          <w:szCs w:val="18"/>
          <w:i w:val="1"/>
          <w:iCs w:val="1"/>
          <w:color w:val="auto"/>
        </w:rPr>
        <w:t xml:space="preserve"> Segment Information</w:t>
      </w:r>
      <w:r>
        <w:rPr>
          <w:rFonts w:ascii="Arial" w:cs="Arial" w:eastAsia="Arial" w:hAnsi="Arial"/>
          <w:sz w:val="18"/>
          <w:szCs w:val="18"/>
          <w:color w:val="auto"/>
        </w:rPr>
        <w:t>,” in the notes to our unaudited condensed consolidated financial statements in Item 1 in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186"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online travel industry in which we operate is large and growing and also remains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reportable segments. We describe these dynamics, as well as other trends in our business,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Hotels, Media &amp; Platform Segment</w:t>
      </w:r>
    </w:p>
    <w:p>
      <w:pPr>
        <w:spacing w:after="0" w:line="225"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operate the Hotels, Media &amp; Platform segment for profit while also driving increased customer and client engagement with – and high-margin media advertising revenue from – the TripAdvisor platform. We seek to achieve this by delivering consumers a holistic product experience and by offering travel partners a diversified number of advertising opportunities.</w:t>
      </w:r>
    </w:p>
    <w:p>
      <w:pPr>
        <w:spacing w:after="0" w:line="18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For consumers, we seek to implement product enhancements that deliver a more engaging and comprehensive hotel shopping experience. This includes providing rich, immersive content – reviews, photos, videos and ratings, among other contributions – as well as increasing the number of travel partners, properties and room prices for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 This segment has two revenue sources, as described below: (1) TripAdvisor-branded hotels; and (2) TripAdvisor-branded display and platform.</w:t>
      </w:r>
    </w:p>
    <w:p>
      <w:pPr>
        <w:spacing w:after="0" w:line="178"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seek to monetize our influence and achieve revenue growth through hotel-related product, supply and marketing efforts and customer advertising opportunities. In TripAdvisor-branded hotels, we generally seek to maximize the revenue per hotel shopper we generate on our platform. We define hotel shoppers as visitors who view either a listing of hotels in a city or on a specific hotel page. We rely heavily on search engines, such as Google, to generate a significant amount of hotel shoppers to our websites, principally through SEM as well as through SEO. Given our ongoing focus on Hotel, Media &amp; Platform profitability, a key ongoing objective is to attract or acquire hotel shoppers at or above our desired marketing return on investment targets. To that end, starting in mid-2017, we began to reduce inefficient direct selling and marketing investments on paid online channels, primarily SEM, to improve profitability. This reduced the number of hotel shoppers to our platform and reduced TripAdvisor-branded hotels revenue growth, while generating meaningful Hotels, Media &amp; Platform segment profit growth and margin expansion, including year-over-year profit growth during the nine months ended September 30, 2019. Following moderate revenue growth resulting from SEO during 2018, we have experienced revenue headwinds in this marketing channel in 2019, which we believe is related to search engines increasing the prominence of their own hotel products in search results. In addition, and to a lesser extent, progressive optimization in SEM continues to be a trend impacting our hotel metasearch auction as well as, we believe, current macroeconomic factors. However, we believe executing within our long-term growth strategy can enable us to deepen customer engagement on our platform, monetize our influence and stabilize – and eventually grow – Hotels, Media &amp; Platform segment revenue.</w:t>
      </w:r>
    </w:p>
    <w:p>
      <w:pPr>
        <w:spacing w:after="0" w:line="17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An example is in TripAdvisor-branded display and platform revenue, where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are working on initiatives to better leverage our audience, data and platform breadth to open up new media advertising opportunities through a more modern, high-powered advertising suite spanning native, video and programmatic solutions. We also intend to deliver this broadened solution to a larger set of advertising travel endemic and non-travel endemic advertising partners.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Experiences &amp; Dining Segment</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Experiences &amp; Dining segment growth strategy prioritizes near-term investments for platform expansion and bookings and revenue growth. During 2019, we have increased investments in product, supply and marketing to enhance our long-term growth prospects. An example is growing bookable supply in newer experience categories in lower-priced options, such as events, tickets, and other experiences has grown rapidly and we believe offering consumers more selection can contribute to our goals to build deeper, more durable consumer relationships with our platform.</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Over the long-term, these offerings enable us to deliver consumers a more comprehensive experience, which we believe will increase awareness of, loyalty to, and engagement with our products, drive more bookings to Experiences and Restaurants partners and generate greater revenue and increased profitability on our platform. Given the significant market opportunities in these large and growing categories, as well as competition aiming to provide consumers a similar multimodal experience, we expect to continue to strategically prioritize investments to drive bookings and revenue growth over profit margin expansion or profit growth.</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Other is a combination of our Rentals, Flights/Cruises/Car Rentals, SmarterTravel, and TripAdvisor China business units and is not considered a reportable segment. Profits have been relatively stable to positive and revenues have declined in recent periods primarily due to strategic re-alignments and resource re-allocation to other areas of our business. We operate these offerings opportunistically as they complement our overall strategic objectives to deliver more value to consumers and travel partners.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As of September 30, 2019, we had 3,803 employees. Of these employees, nearly 50%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Global travel market expenditures tend to follow a seasonal pattern. Correspondingly, advertising investments made by travel partners and, therefore, our revenue and profits, also tend to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760" w:right="100" w:hanging="374"/>
        <w:spacing w:after="0" w:line="25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8"/>
          <w:szCs w:val="18"/>
          <w:color w:val="auto"/>
        </w:rPr>
      </w:pPr>
    </w:p>
    <w:p>
      <w:pPr>
        <w:ind w:left="760" w:right="200" w:hanging="374"/>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9"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unaudited condensed consolidated financial statements in Item 1 in this Quarterly Report on Form 10-Q for an overview of new accounting pronouncements that we have adopted in 2019 or that we plan to adopt that have had or may have an impact on our unaudited condensed consolidated financial statements.</w:t>
      </w:r>
    </w:p>
    <w:p>
      <w:pPr>
        <w:spacing w:after="0" w:line="18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 xml:space="preserve">Notably, in the first quarter of 2019, we adopted new lease accounting guidance, or ASC 842, using the modified retrospective approach and applied the guidance retrospectively at the effective date of January 1, 2019 through a cumulative-effect adjustment. Under this transition method, we did not update the financial information or provide any disclosures required under the new guidance for dates and periods prior to January 1, 2019. Upon adoption, we recognized ROU assets and lease liabilities for our operating leases, while our Headquarters Lease is accounted for as a finance lease under the new guidance. The adoption of ASC 842 did not have a material impact to our consolidated statement of operations during the three and nine months ended September 30, 2019 or the statement of cash flows during the nine months ended September 30, 2019, respectively.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unaudited condensed consolidated financial statements in Item 1 in this Quarterly Report on Form 10-Q for further discussion of our revised lease accounting policy and the adoption impact of ASC 842 to our unaudited condensed consolidated balance sheet.</w:t>
      </w:r>
    </w:p>
    <w:p>
      <w:pPr>
        <w:spacing w:after="0" w:line="166"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 xml:space="preserve">There have been no significant changes to our significant accounting policies and estimates, other than to our lease accounting policy, as discussed above, as compared to the significant accounting policies and estimates described in our Annual Report on Form 10-K for the fiscal year ended December 31, 2018 under Item 8,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jc w:val="center"/>
        <w:ind w:right="-55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percentages)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2019 vs.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2019 vs.</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458</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206</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6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369</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income and other, net</w:t>
            </w:r>
          </w:p>
        </w:tc>
        <w:tc>
          <w:tcPr>
            <w:tcW w:w="6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gridSpan w:val="2"/>
          </w:tcPr>
          <w:p>
            <w:pPr>
              <w:jc w:val="right"/>
              <w:ind w:right="30"/>
              <w:spacing w:after="0"/>
              <w:rPr>
                <w:sz w:val="20"/>
                <w:szCs w:val="20"/>
                <w:color w:val="auto"/>
              </w:rPr>
            </w:pPr>
            <w:r>
              <w:rPr>
                <w:rFonts w:ascii="Arial" w:cs="Arial" w:eastAsia="Arial" w:hAnsi="Arial"/>
                <w:sz w:val="18"/>
                <w:szCs w:val="18"/>
                <w:color w:val="auto"/>
              </w:rPr>
              <w:t>250%</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6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n.m.</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(23)</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(18)</w:t>
            </w: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2"/>
                <w:szCs w:val="22"/>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Financial Data:</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20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129</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146</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840" w:hanging="258"/>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See “Adjusted EBITDA” discussion below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left="187"/>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c>
          <w:tcPr>
            <w:tcW w:w="258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4"/>
          </w:tcPr>
          <w:p>
            <w:pPr>
              <w:jc w:val="center"/>
              <w:ind w:right="225"/>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580" w:type="dxa"/>
            <w:vAlign w:val="bottom"/>
            <w:gridSpan w:val="8"/>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2019 vs. 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center"/>
              <w:ind w:right="245"/>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68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238</w:t>
            </w:r>
          </w:p>
        </w:tc>
        <w:tc>
          <w:tcPr>
            <w:tcW w:w="220" w:type="dxa"/>
            <w:vAlign w:val="bottom"/>
          </w:tcPr>
          <w:p>
            <w:pPr>
              <w:spacing w:after="0"/>
              <w:rPr>
                <w:sz w:val="19"/>
                <w:szCs w:val="19"/>
                <w:color w:val="auto"/>
              </w:rPr>
            </w:pPr>
          </w:p>
        </w:tc>
        <w:tc>
          <w:tcPr>
            <w:tcW w:w="6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270</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795</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428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458</w:t>
            </w: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Adjusted EBITDA by Segment:</w:t>
            </w: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68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Experiences &amp; Dining</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Adjusted EBITDA</w:t>
            </w:r>
          </w:p>
        </w:tc>
        <w:tc>
          <w:tcPr>
            <w:tcW w:w="10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146</w:t>
            </w:r>
          </w:p>
        </w:tc>
        <w:tc>
          <w:tcPr>
            <w:tcW w:w="30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6"/>
              </w:rPr>
              <w:t>Adjusted EBITDA Margin by Segment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(2)</w:t>
            </w: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117" w:lineRule="exact"/>
        <w:rPr>
          <w:sz w:val="20"/>
          <w:szCs w:val="20"/>
          <w:color w:val="auto"/>
        </w:rPr>
      </w:pPr>
    </w:p>
    <w:p>
      <w:pPr>
        <w:ind w:left="840" w:hanging="386"/>
        <w:spacing w:after="0"/>
        <w:tabs>
          <w:tab w:leader="none" w:pos="8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consists of our Rentals, Flights/Cruises/Car Rentals, SmarterTravel, and TripAdvisor China business units and does not constitute a reportable segment.</w:t>
      </w:r>
    </w:p>
    <w:p>
      <w:pPr>
        <w:spacing w:after="0" w:line="13" w:lineRule="exact"/>
        <w:rPr>
          <w:rFonts w:ascii="Arial" w:cs="Arial" w:eastAsia="Arial" w:hAnsi="Arial"/>
          <w:sz w:val="14"/>
          <w:szCs w:val="14"/>
          <w:color w:val="auto"/>
        </w:rPr>
      </w:pPr>
    </w:p>
    <w:p>
      <w:pPr>
        <w:ind w:left="840" w:hanging="386"/>
        <w:spacing w:after="0"/>
        <w:tabs>
          <w:tab w:leader="none" w:pos="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define “Adjusted EBITDA Margin by Segment”, as Adjusted EBITDA by segment divided by revenue by segment.</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60"/>
          </w:cols>
          <w:pgMar w:left="240" w:top="364" w:right="79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117" w:lineRule="exact"/>
        <w:rPr>
          <w:sz w:val="20"/>
          <w:szCs w:val="20"/>
          <w:color w:val="auto"/>
        </w:rPr>
      </w:pPr>
    </w:p>
    <w:p>
      <w:pPr>
        <w:jc w:val="both"/>
        <w:ind w:right="220" w:firstLine="518"/>
        <w:spacing w:after="0" w:line="259" w:lineRule="auto"/>
        <w:rPr>
          <w:sz w:val="20"/>
          <w:szCs w:val="20"/>
          <w:color w:val="auto"/>
        </w:rPr>
      </w:pPr>
      <w:r>
        <w:rPr>
          <w:rFonts w:ascii="Arial" w:cs="Arial" w:eastAsia="Arial" w:hAnsi="Arial"/>
          <w:sz w:val="18"/>
          <w:szCs w:val="18"/>
          <w:color w:val="auto"/>
        </w:rPr>
        <w:t>Hotels, Media &amp; Platform segment revenue decreased by $32 million and $49 million during the three and nine months ended September 30, 2019, respectively, when compared to the same periods in 2018, primarily due to a decrease in our hotel metasearch auction revenue, as well as to a lesser extent adverse changes in foreign currency, partially offset by increases in hotel sponsored placements advertising revenue, when compared to the same periods in 2018.</w:t>
      </w:r>
    </w:p>
    <w:p>
      <w:pPr>
        <w:spacing w:after="0" w:line="146"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Hotels, Media &amp; Platform segment Adjusted EBITDA decreased $4 million during the three months ended September 30, 2019, when compared to the same period in 2018, primarily due to a decrease in revenue, as discussed above, partially offset by reduced direct selling and marketing expenses related to SEM and other online paid traffic acquisition channels, and television advertising. Hotels, Media &amp; Platform segment Adjusted EBITDA increased $47 million during the nine months ended September 30, 2019, when compared to the same period in 2018, primarily due to reduced direct selling and marketing expenses related to SEM and other online paid traffic acquisition channels, and television advertising, which more than offset the decrease in revenue.</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1"/>
              </w:rPr>
              <w:t>Nine months ended September 30,</w:t>
            </w:r>
          </w:p>
        </w:tc>
        <w:tc>
          <w:tcPr>
            <w:tcW w:w="2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2019 vs. 2018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2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6"/>
              </w:rPr>
              <w:t>2019 vs. 2018</w:t>
            </w:r>
          </w:p>
        </w:tc>
      </w:tr>
      <w:tr>
        <w:trPr>
          <w:trHeight w:val="156"/>
        </w:trPr>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Hotels, Media &amp; Platform:</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TripAdvisor-branded hotels</w:t>
            </w:r>
          </w:p>
        </w:tc>
        <w:tc>
          <w:tcPr>
            <w:tcW w:w="9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197</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677</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and platform</w:t>
            </w:r>
          </w:p>
        </w:tc>
        <w:tc>
          <w:tcPr>
            <w:tcW w:w="28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4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r>
      <w:tr>
        <w:trPr>
          <w:trHeight w:val="209"/>
        </w:trPr>
        <w:tc>
          <w:tcPr>
            <w:tcW w:w="2340" w:type="dxa"/>
            <w:vAlign w:val="bottom"/>
          </w:tcPr>
          <w:p>
            <w:pPr>
              <w:ind w:left="240"/>
              <w:spacing w:after="0"/>
              <w:rPr>
                <w:sz w:val="20"/>
                <w:szCs w:val="20"/>
                <w:color w:val="auto"/>
              </w:rPr>
            </w:pPr>
            <w:r>
              <w:rPr>
                <w:rFonts w:ascii="Arial" w:cs="Arial" w:eastAsia="Arial" w:hAnsi="Arial"/>
                <w:sz w:val="18"/>
                <w:szCs w:val="18"/>
                <w:color w:val="auto"/>
              </w:rPr>
              <w:t>Total Hotels, Media &amp;</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340" w:type="dxa"/>
            <w:vAlign w:val="bottom"/>
          </w:tcPr>
          <w:p>
            <w:pPr>
              <w:ind w:left="240"/>
              <w:spacing w:after="0"/>
              <w:rPr>
                <w:sz w:val="20"/>
                <w:szCs w:val="20"/>
                <w:color w:val="auto"/>
              </w:rPr>
            </w:pPr>
            <w:r>
              <w:rPr>
                <w:rFonts w:ascii="Arial" w:cs="Arial" w:eastAsia="Arial" w:hAnsi="Arial"/>
                <w:sz w:val="18"/>
                <w:szCs w:val="18"/>
                <w:color w:val="auto"/>
              </w:rPr>
              <w:t>Platform revenue</w:t>
            </w:r>
          </w:p>
        </w:tc>
        <w:tc>
          <w:tcPr>
            <w:tcW w:w="9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238</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TripAdvisor-branded hotels revenue includes hotel metasearch auction revenue, as well as other hotel business-to-business revenue, such as click-based revenue related to hotel sponsored placements advertising that enable hotels to enhance their visibility on TripAdvisor hotel pages, and also subscription-based advertising services that we offer to travel partners. Our travel partners are predominantly OTAs and hoteliers. For the three and nine months ended September 30, 2019, 83% and 84%, respectively, of our total Hotels, Media &amp; Platform segment revenue was derived from TripAdvisor-branded hotels revenue. For both the three and nine months ended September 30, 2018, 85% of our total Hotels, Media &amp; Platform segment revenue was derived from TripAdvisor-branded hotels revenue. TripAdvisor-branded hotels revenue decreased $32 million and $53 million during the three and nine months ended September 30, 2019, when compared to the same periods in 2018. This decrease was primarily due to factors impacting our hotel metasearch auction revenue including progressive optimizations in SEM and other online paid traffic acquisition costs, reduced revenue from our SEO marketing channel, which we believe is related to search engines increasing the prominence of their own hotel products in search results, and to a lesser extent, adverse changes in foreign currency and current macroeconomic conditions when compared to the same periods in 2018, all of which was partially offset by growth in our hotel sponsored placements advertising revenue.</w:t>
      </w:r>
    </w:p>
    <w:p>
      <w:pPr>
        <w:spacing w:after="0" w:line="183"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Hotel metasearch auction revenue drivers include the number of average monthly unique hotel shoppers and revenue per hotel shopper growth, the latter of which measures how effectively we convert hotel shoppers into referrals to, and bookings on our travel partner websites. We measure revenue per hotel shopper on an aggregate basis by dividing total hotel metasearch auction revenue by total average monthly unique hotel shoppers on TripAdvisor-branded websites. Revenue per hotel shopper in our metasearch auction decreased during the three months ended September 30, 2019, when compared to the same period in 2018, primarily due to lower revenue generated from our SEO marketing channel, as discussed above, as well as a greater percentage of hotel shoppers visiting TripAdvisor-branded websites and apps on mobile phones. Revenue per hotel shopper in our metasearch auction grew during the nine months ended September 30, 2019, when compared to the same period in 2018, primarily due to product enhancements combined with auction pricing stability, partially offset by lower revenue generated from our SEO marketing channel and a greater percentage of hotel shoppers visiting TripAdvisor-branded websites and apps on mobile phones, as discussed above. Average monthly unique hotel shoppers declined during both the three and nine months ended September 30, 2019, respectively, when compared to the same periods in 2018, primarily due to reduced direct selling and marketing investments on SEM and other paid online marketing campaigns combined with a decrease in traffic from our SEO marketing channel.</w:t>
      </w:r>
    </w:p>
    <w:p>
      <w:pPr>
        <w:spacing w:after="0" w:line="173"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Subscription-based advertising revenue was relatively flat during the three and nine months ended September 30, 2019, when compared to the same periods in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For the three and nine months ended September 30, 2019, 17% and 16%, respectively, of Hotels, Media &amp; Platform segment revenue was derived from our TripAdvisor-branded display and platform revenue, which consists of revenue from TripAdvisor-branded display-based advertising. For the three and nine months ended September 30, 2018, 15% of Hotels, Media &amp; Platform segment revenue was derived from our TripAdvisor-branded display and platform revenue.</w:t>
      </w:r>
    </w:p>
    <w:p>
      <w:pPr>
        <w:spacing w:after="0" w:line="18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TripAdvisor-branded display-based advertising revenue was flat and increased $4 million or 3% during the three and nine months ended September 30, 2019, respectively, when compared to the same periods in 2018, primarily due to an increase in pricing, primarily offset by a decrease in impressions sold.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Experiences &amp; Dining segment revenue increased by $23 million or 19%, and $68 million or 24% during the three and nine months ended September 30, 2019, respectively, when compared to the same periods in 2018, primarily driven by growth in both Experiences bookings and Restaurants bookings, as well as Restaurants media advertising placement revenue, partially offset by adverse changes in foreign currency when compared to the same periods in 2018.</w:t>
      </w:r>
    </w:p>
    <w:p>
      <w:pPr>
        <w:spacing w:after="0" w:line="14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Experiences revenue growth during the three and nine months ended September 30, 2019, when compared to the same periods in 2018, was primarily driven by growth in consumer demand, mobile bookings, and bookable supply on our platform contributing to overall bookings growth, which we believe was supported by platform improvements and expansion. Restaurants revenue growth during the three and nine months ended September 30, 2019, when compared to the same periods in 2018, was primarily driven by growth in seated diners, mobile bookings, media advertising placement revenue, and subscription revenue growth.</w:t>
      </w:r>
    </w:p>
    <w:p>
      <w:pPr>
        <w:spacing w:after="0" w:line="188" w:lineRule="exact"/>
        <w:rPr>
          <w:sz w:val="20"/>
          <w:szCs w:val="20"/>
          <w:color w:val="auto"/>
        </w:rPr>
      </w:pPr>
    </w:p>
    <w:p>
      <w:pPr>
        <w:ind w:right="660" w:firstLine="518"/>
        <w:spacing w:after="0" w:line="312" w:lineRule="auto"/>
        <w:rPr>
          <w:sz w:val="20"/>
          <w:szCs w:val="20"/>
          <w:color w:val="auto"/>
        </w:rPr>
      </w:pPr>
      <w:r>
        <w:rPr>
          <w:rFonts w:ascii="Arial" w:cs="Arial" w:eastAsia="Arial" w:hAnsi="Arial"/>
          <w:sz w:val="16"/>
          <w:szCs w:val="16"/>
          <w:color w:val="auto"/>
        </w:rPr>
        <w:t>Experiences &amp; Dining segment Adjusted EBITDA decreased by $13 million or 46%, and $40 million during the three and nine months ended September 30, 2019, respectively, when compared to the same periods in 2018, primarily due to increased people costs to drive product and supply investments and increased marketing investments to fund long-term growth initiatives, partially offset by an increase in revenue, as noted above.</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9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Other revenue, which primarily includes click-based advertising and display-based advertising revenue from our Rentals, Flights, Cruise and Car Rental offerings on TripAdvisor, and non-TripAdvisor branded websites, such as www.smartertravel.com, www.bookingbuddy.com, www.cruisecritic.com and www.onetime.com, decreased by $21 million or 30%, and $63 million or 32% during the three and nine months ended September 30, 2019, respectively, when compared to the same periods in 2018. This was primarily driven by the elimination of some marginal and unprofitable revenue within these offerings near the end of 2018, as well as strategic resource re-allocation of investment across other areas of our business and continued competition in our Rentals offering.</w:t>
      </w:r>
    </w:p>
    <w:p>
      <w:pPr>
        <w:spacing w:after="0" w:line="193"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Adjusted EBITDA in Other was flat and increased $5 million or 14% during the three and nine months ended September 30, 2019, respectively, when compared to the same periods in 2018. This increase was primarily due to reduced costs related to marketing and operational re-alignments, primarily offset by a decrease in revenue, as described above.</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 w:name="page38"/>
    <w:bookmarkEnd w:id="37"/>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5"/>
          </w:tcPr>
          <w:p>
            <w:pPr>
              <w:jc w:val="center"/>
              <w:ind w:left="167"/>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45"/>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gridSpan w:val="4"/>
            <w:shd w:val="clear" w:color="auto" w:fill="CFF0FC"/>
          </w:tcPr>
          <w:p>
            <w:pPr>
              <w:jc w:val="center"/>
              <w:ind w:right="24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620" w:type="dxa"/>
            <w:vAlign w:val="bottom"/>
            <w:tcBorders>
              <w:top w:val="single" w:sz="8" w:color="auto"/>
            </w:tcBorders>
            <w:gridSpan w:val="4"/>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Direct costs</w:t>
            </w:r>
          </w:p>
        </w:tc>
        <w:tc>
          <w:tcPr>
            <w:tcW w:w="80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70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6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w w:val="99"/>
              </w:rPr>
              <w:t>Personnel and overhead</w:t>
            </w:r>
          </w:p>
        </w:tc>
        <w:tc>
          <w:tcPr>
            <w:tcW w:w="2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CFF0FC"/>
            </w:tcBorders>
          </w:tcPr>
          <w:p>
            <w:pPr>
              <w:spacing w:after="0"/>
              <w:rPr>
                <w:sz w:val="22"/>
                <w:szCs w:val="22"/>
                <w:color w:val="auto"/>
              </w:rPr>
            </w:pPr>
          </w:p>
        </w:tc>
        <w:tc>
          <w:tcPr>
            <w:tcW w:w="10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5.0%</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5.3%</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Cost of revenue increased $2 million and $6 million during the three and nine months ended September 30, 2019, respectively, when compared to the same periods in 2018, primarily due to increased direct costs from credit card payment and other transaction costs in our Experiences &amp; Dining segment as a result of revenue growth and increased personnel and overhead costs related to additional headcount in our Experiences &amp; Dining segment to support business growth, partially offset by decreased credit card transaction fees in Other.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299"/>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3"/>
                <w:szCs w:val="13"/>
                <w:color w:val="auto"/>
              </w:rPr>
            </w:pPr>
          </w:p>
        </w:tc>
        <w:tc>
          <w:tcPr>
            <w:tcW w:w="11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3"/>
                <w:szCs w:val="13"/>
                <w:color w:val="auto"/>
              </w:rPr>
            </w:pPr>
          </w:p>
        </w:tc>
        <w:tc>
          <w:tcPr>
            <w:tcW w:w="10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gridSpan w:val="4"/>
            <w:shd w:val="clear" w:color="auto" w:fill="CFF0FC"/>
          </w:tcPr>
          <w:p>
            <w:pPr>
              <w:jc w:val="center"/>
              <w:ind w:left="3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gridSpan w:val="4"/>
            <w:shd w:val="clear" w:color="auto" w:fill="CFF0FC"/>
          </w:tcPr>
          <w:p>
            <w:pPr>
              <w:jc w:val="center"/>
              <w:ind w:left="3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Direct costs</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w w:val="97"/>
              </w:rPr>
              <w:t>Personnel and overhead</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Total selling and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45.0%</w:t>
            </w: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48.9%</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Direct selling and marketing costs decreased $34 million and $95 million during the three and nine months ended September 30, 2019, respectively, when compared to the same periods in 2018, primarily due to an overall decrease in SEM and other online traffic acquisition costs, as well as lower television advertising costs, driven by our Hotels, Media &amp; Platform segment and Other, partially offset by an increase of marketing expenditures in our Experiences &amp; Dining segment.</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Personnel and overhead costs increased $4 million and $8 million during the three and nine months ended September 30, 2019, respectively, when compared to the same periods in 2018, primarily due to an increase in personnel and overhead costs related to additional headcount in our Experiences &amp; Dining segment to support business growth, partially offset by decreased personnel and overhead costs in Other as a result of strategic personnel re-allocation across the business.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5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38" w:name="page39"/>
    <w:bookmarkEnd w:id="38"/>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2018</w:t>
            </w:r>
          </w:p>
        </w:tc>
        <w:tc>
          <w:tcPr>
            <w:tcW w:w="300" w:type="dxa"/>
            <w:vAlign w:val="bottom"/>
          </w:tcPr>
          <w:p>
            <w:pPr>
              <w:spacing w:after="0"/>
              <w:rPr>
                <w:sz w:val="13"/>
                <w:szCs w:val="13"/>
                <w:color w:val="auto"/>
              </w:rPr>
            </w:pPr>
          </w:p>
        </w:tc>
        <w:tc>
          <w:tcPr>
            <w:tcW w:w="106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2018</w:t>
            </w:r>
          </w:p>
        </w:tc>
        <w:tc>
          <w:tcPr>
            <w:tcW w:w="300" w:type="dxa"/>
            <w:vAlign w:val="bottom"/>
          </w:tcPr>
          <w:p>
            <w:pPr>
              <w:spacing w:after="0"/>
              <w:rPr>
                <w:sz w:val="13"/>
                <w:szCs w:val="13"/>
                <w:color w:val="auto"/>
              </w:rPr>
            </w:pPr>
          </w:p>
        </w:tc>
        <w:tc>
          <w:tcPr>
            <w:tcW w:w="10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gridSpan w:val="4"/>
            <w:shd w:val="clear" w:color="auto" w:fill="CFF0FC"/>
          </w:tcPr>
          <w:p>
            <w:pPr>
              <w:jc w:val="center"/>
              <w:ind w:left="2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gridSpan w:val="4"/>
            <w:shd w:val="clear" w:color="auto" w:fill="CFF0FC"/>
          </w:tcPr>
          <w:p>
            <w:pPr>
              <w:jc w:val="center"/>
              <w:ind w:left="3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9"/>
              </w:rPr>
              <w:t>Personnel and overhead</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Total technology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content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16.3%</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Technology and content costs increased $4 million and $17 million during the three and nine months ended September 30, 2019, respectively, when compared to the same periods in 2018. Personnel and overhead costs increased by $3 million and $13 million during the three and nine months ended September 30, 2019, respectively, when compared to the same periods in 2018, primarily due to additional headcount in our Experiences &amp; Dining segment to support business growth, partially offset by a decrease of personnel and overhead costs in Other as a result of strategic personnel re-allocation across the business.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299"/>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w w:val="83"/>
              </w:rPr>
              <w:t>2018</w:t>
            </w:r>
          </w:p>
        </w:tc>
        <w:tc>
          <w:tcPr>
            <w:tcW w:w="300" w:type="dxa"/>
            <w:vAlign w:val="bottom"/>
          </w:tcPr>
          <w:p>
            <w:pPr>
              <w:spacing w:after="0"/>
              <w:rPr>
                <w:sz w:val="13"/>
                <w:szCs w:val="13"/>
                <w:color w:val="auto"/>
              </w:rPr>
            </w:pPr>
          </w:p>
        </w:tc>
        <w:tc>
          <w:tcPr>
            <w:tcW w:w="106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2018</w:t>
            </w:r>
          </w:p>
        </w:tc>
        <w:tc>
          <w:tcPr>
            <w:tcW w:w="300" w:type="dxa"/>
            <w:vAlign w:val="bottom"/>
          </w:tcPr>
          <w:p>
            <w:pPr>
              <w:spacing w:after="0"/>
              <w:rPr>
                <w:sz w:val="13"/>
                <w:szCs w:val="13"/>
                <w:color w:val="auto"/>
              </w:rPr>
            </w:pPr>
          </w:p>
        </w:tc>
        <w:tc>
          <w:tcPr>
            <w:tcW w:w="10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gridSpan w:val="4"/>
            <w:shd w:val="clear" w:color="auto" w:fill="CFF0FC"/>
          </w:tcPr>
          <w:p>
            <w:pPr>
              <w:jc w:val="center"/>
              <w:ind w:left="27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gridSpan w:val="4"/>
            <w:shd w:val="clear" w:color="auto" w:fill="CFF0FC"/>
          </w:tcPr>
          <w:p>
            <w:pPr>
              <w:jc w:val="center"/>
              <w:ind w:left="3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Personnel and overhead</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w w:val="99"/>
              </w:rPr>
              <w:t>Professional service fees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and other</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tcPr>
          <w:p>
            <w:pPr>
              <w:ind w:left="240"/>
              <w:spacing w:after="0"/>
              <w:rPr>
                <w:sz w:val="20"/>
                <w:szCs w:val="20"/>
                <w:color w:val="auto"/>
              </w:rPr>
            </w:pPr>
            <w:r>
              <w:rPr>
                <w:rFonts w:ascii="Arial" w:cs="Arial" w:eastAsia="Arial" w:hAnsi="Arial"/>
                <w:sz w:val="18"/>
                <w:szCs w:val="18"/>
                <w:color w:val="auto"/>
              </w:rPr>
              <w:t>Total general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General and administrative costs increased $11 million and $9 million during the three and nine months ended September 30, 2019, respectively, when compared to the same periods in 2018. Personnel and overhead costs increased $4 million and $2 million during the three and nine months ended September 30, 2019, respectively, when compared to the same periods in 2018, primarily related to additional headcount in our Experiences &amp; Dining segment to support business growth, partially offset by a decrease in personnel and overhead costs in Other as a result of strategic personnel re-allocation across the business. Professional service fees and other increased $7 million during both the three and nine months ended September 30, 2019, respectively, when compared to the same periods in 2018, primarily related to $3 million of French digital service tax recorded in the three months ended September 30, 2019, in addition to increased bad debt expense and legal costs.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software and website development costs and ROU assets related to our finance lease.</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left="5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69</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r>
        <w:trPr>
          <w:trHeight w:val="230"/>
        </w:trPr>
        <w:tc>
          <w:tcPr>
            <w:tcW w:w="19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bl>
    <w:p>
      <w:pPr>
        <w:spacing w:after="0" w:line="20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 xml:space="preserve">Depreciation expense increased $3 million and $8 million during the three and nine months ended September 30, 2019, respectively, when compared to the same periods in 2018, primarily due to incremental amortization related to the ROU asset related to our Headquarters Lease recorded upon adoption of ASC 842 and to a lesser extent increased amortization related to capitalized software and website development costs. Refer to “Note 2: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in the notes to our unaudited condensed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consolidated financial statements in Item 1 in this Quarterly Report on Form 10-Q for additional information on our adoption of ASC 842.</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Chinese Credit Facilities, as well as interest on finance leases.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Three months ended 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84"/>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left="5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(5)</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firstLine="552"/>
        <w:spacing w:after="0" w:line="302" w:lineRule="auto"/>
        <w:rPr>
          <w:sz w:val="20"/>
          <w:szCs w:val="20"/>
          <w:color w:val="auto"/>
        </w:rPr>
      </w:pPr>
      <w:r>
        <w:rPr>
          <w:rFonts w:ascii="Arial" w:cs="Arial" w:eastAsia="Arial" w:hAnsi="Arial"/>
          <w:sz w:val="16"/>
          <w:szCs w:val="16"/>
          <w:color w:val="auto"/>
        </w:rPr>
        <w:t xml:space="preserve">Interest expense decreased $2 million and $5 million during the three and nine months ended September 30, 2019, respectively, when compared to the same periods in 2018, primarily due to lower finance costs related to our Headquarters Lease under ASC 842 and lower average outstanding borrowings on our 2015 Credit Facility during 2019.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unaudited condensed consolidated financial statements in Item 1 in this Quarterly Report on Form 10-Q for additional information regarding our adoption of ASC 842.</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225"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Interest income and other, net primarily consists of interest earned from our money market funds and marketable securities, amortization of discounts and premiums on our marketable securities, net foreign exchange gains and losses, and realized gains and losses on sales of our marketable securities.</w:t>
      </w:r>
    </w:p>
    <w:p>
      <w:pPr>
        <w:spacing w:after="0" w:line="8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32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w w:val="91"/>
              </w:rPr>
              <w:t>Three months ended September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28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24"/>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gridSpan w:val="2"/>
          </w:tcPr>
          <w:p>
            <w:pPr>
              <w:jc w:val="center"/>
              <w:ind w:right="5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left="5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w:t>
            </w:r>
          </w:p>
        </w:tc>
        <w:tc>
          <w:tcPr>
            <w:tcW w:w="11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Interest income and other, net increased $5 million and $14 million during the three and nine months ended September 30, 2019, respectively, when compared to the same periods in 2018, primarily due to an increase in interest income earned from our money market funds and other investments due to increased interest rates and increased investment, as well as lower foreign currency transaction losses as a result of the fluctuation of foreign exchange rates during 2019.</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29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Three months ended September 30,</w:t>
            </w:r>
          </w:p>
        </w:tc>
        <w:tc>
          <w:tcPr>
            <w:tcW w:w="2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26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6"/>
        </w:trPr>
        <w:tc>
          <w:tcPr>
            <w:tcW w:w="2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gridSpan w:val="2"/>
          </w:tcPr>
          <w:p>
            <w:pPr>
              <w:jc w:val="center"/>
              <w:ind w:left="36"/>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lef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FF0FC"/>
          </w:tcPr>
          <w:p>
            <w:pPr>
              <w:jc w:val="right"/>
              <w:ind w:right="4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r>
      <w:tr>
        <w:trPr>
          <w:trHeight w:val="230"/>
        </w:trPr>
        <w:tc>
          <w:tcPr>
            <w:tcW w:w="260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640" w:type="dxa"/>
            <w:vAlign w:val="bottom"/>
          </w:tcPr>
          <w:p>
            <w:pPr>
              <w:spacing w:after="0"/>
              <w:rPr>
                <w:sz w:val="20"/>
                <w:szCs w:val="20"/>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93"/>
              </w:rPr>
              <w:t>31.5%</w:t>
            </w:r>
          </w:p>
        </w:tc>
        <w:tc>
          <w:tcPr>
            <w:tcW w:w="4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20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effective tax rates were 31.5% and 36.4% for the three and nine months ended September 30, 2019, respectively, and 20.7% and 30.0% for the three and nine months ended September 30, 2018, respectively. The change in our effective tax rate for the three months ended September 30, 2019, when compared to the same period in 2018, was primarily due to changes in foreign valuation allowances, a lower benefit from the recognition of excess tax benefits of stock-based compensation, and a change in the relative mix of pretax income among jurisdictions. The change in the effective tax rate for the nine months ended September 30, 2019, when compared to the same period in 2018, was primarily due to recognition in the second quarter of 2019 of a cumulative income tax expense of $15 million related to the cumulative benefit taken for excluding stock-based compensation from our inter-company cost-sharing arrangements (refer to the discussion below of Altera Corporation (“Altera”) litigation with the Internal Revenue Service (“IRS”) for more information regarding this adjustment), partially offset by a higher benefit from the recognition of excess tax benefits of stock-based compensation.</w:t>
      </w:r>
    </w:p>
    <w:p>
      <w:pPr>
        <w:spacing w:after="0" w:line="166"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0" w:name="page41"/>
    <w:bookmarkEnd w:id="40"/>
    <w:p>
      <w:pPr>
        <w:ind w:right="120"/>
        <w:spacing w:after="0" w:line="255" w:lineRule="auto"/>
        <w:rPr>
          <w:sz w:val="20"/>
          <w:szCs w:val="20"/>
          <w:color w:val="auto"/>
        </w:rPr>
      </w:pPr>
      <w:r>
        <w:rPr>
          <w:rFonts w:ascii="Arial" w:cs="Arial" w:eastAsia="Arial" w:hAnsi="Arial"/>
          <w:sz w:val="18"/>
          <w:szCs w:val="18"/>
          <w:color w:val="auto"/>
        </w:rPr>
        <w:t>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three months ended June 30, 2019, which was a reversal of income tax benefits taken by the Company since the Court’s 2015 opinion. On July 22, 2019, Altera requested a rehearing before the full Ninth Circuit. As a result, the final outcome of the case is uncertain. If the June 7, 2019 Ninth Circuit Court of Appeals decision is reversed, we would anticipate recording an income tax benefit at that time. The Company will continue to monitor this matter and related potential impacts to its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(7) legal reserves and settlements; and (8) other non-recurring expenses and income. The items above are excluded from our Adjusted EBITDA measure because these items are noncash in nature, or because the amount is not driven by core operating results and renders comparisons with prior periods less meaningful.</w:t>
      </w:r>
    </w:p>
    <w:p>
      <w:pPr>
        <w:spacing w:after="0" w:line="169"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right="8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cash requirements necessary to service interest or principal payments on our debt, if any;</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40" w:hanging="384"/>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core operations of our business, such as legal reserves and settlements;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ind w:right="58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presented in accordance with GAAP, for the periods presented:</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gridSpan w:val="5"/>
          </w:tcPr>
          <w:p>
            <w:pPr>
              <w:jc w:val="right"/>
              <w:ind w:right="105"/>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jc w:val="right"/>
              <w:ind w:right="105"/>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1"/>
        </w:trPr>
        <w:tc>
          <w:tcPr>
            <w:tcW w:w="3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gridSpan w:val="3"/>
          </w:tcPr>
          <w:p>
            <w:pPr>
              <w:jc w:val="right"/>
              <w:ind w:right="125"/>
              <w:spacing w:after="0" w:line="151" w:lineRule="exact"/>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tcPr>
          <w:p>
            <w:pPr>
              <w:jc w:val="right"/>
              <w:ind w:right="947"/>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80" w:type="dxa"/>
            <w:vAlign w:val="bottom"/>
          </w:tcPr>
          <w:p>
            <w:pPr>
              <w:spacing w:after="0"/>
              <w:rPr>
                <w:sz w:val="20"/>
                <w:szCs w:val="20"/>
                <w:color w:val="auto"/>
              </w:rPr>
            </w:pPr>
          </w:p>
        </w:tc>
        <w:tc>
          <w:tcPr>
            <w:tcW w:w="1240" w:type="dxa"/>
            <w:vAlign w:val="bottom"/>
            <w:gridSpan w:val="2"/>
          </w:tcPr>
          <w:p>
            <w:pPr>
              <w:jc w:val="right"/>
              <w:ind w:right="945"/>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64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300" w:type="dxa"/>
            <w:vAlign w:val="bottom"/>
          </w:tcPr>
          <w:p>
            <w:pPr>
              <w:spacing w:after="0"/>
              <w:rPr>
                <w:sz w:val="20"/>
                <w:szCs w:val="20"/>
                <w:color w:val="auto"/>
              </w:rPr>
            </w:pPr>
          </w:p>
        </w:tc>
        <w:tc>
          <w:tcPr>
            <w:tcW w:w="38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20"/>
                <w:szCs w:val="20"/>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Add: Provision for income taxes</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Add: Other expense (income), net</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Add: Stock-based compensation</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Add: Amortization of intangible assets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Add: Depreciation</w:t>
            </w:r>
          </w:p>
        </w:tc>
        <w:tc>
          <w:tcPr>
            <w:tcW w:w="4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Adjusted EBITDA</w:t>
            </w:r>
          </w:p>
        </w:tc>
        <w:tc>
          <w:tcPr>
            <w:tcW w:w="420" w:type="dxa"/>
            <w:vAlign w:val="bottom"/>
          </w:tcPr>
          <w:p>
            <w:pPr>
              <w:spacing w:after="0"/>
              <w:rPr>
                <w:sz w:val="19"/>
                <w:szCs w:val="19"/>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57.4% of our voting power as of September 30, 2019, refer to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and nine months ended September 30, 2019 and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unaudited condensed consolidated financial statements in Item 1 in this Quarterly Report on Form 10-Q for further information on current year equity award activity, including the issuance of 687,000 service-based stock options with a weighted average grant-date fair value per option of $21.69, 2,904,000 primarily service-based RSUs with a weighted average grant-date fair value of $52.52, and 78,050 MSUs with a weighted average grant-date fair value of $57.62 during the nine months ended September 30,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principal source of liquidity is cash flow generated from operations, and our liquidity needs can also be met through drawdowns under our 2015 Credit Facility and Chinese Credit Facility—BOA. As of September 30, 2019 and December 31, 2018, we had $933 million and $670 million, respectively, of cash, cash equivalents and short-term available-for-sale marketable debt securities. As of September 30, 2019, approximately $246 million of our cash and cash equivalents, and $95 million of short-term available-for-sale marketable debt securities, were held by our international subsidiaries outside of the United States, with approximately 50% located in the United Kingdom</w:t>
      </w:r>
      <w:r>
        <w:rPr>
          <w:rFonts w:ascii="Arial" w:cs="Arial" w:eastAsia="Arial" w:hAnsi="Arial"/>
          <w:sz w:val="13"/>
          <w:szCs w:val="13"/>
          <w:color w:val="auto"/>
        </w:rPr>
        <w:t>.</w:t>
      </w:r>
      <w:r>
        <w:rPr>
          <w:rFonts w:ascii="Arial" w:cs="Arial" w:eastAsia="Arial" w:hAnsi="Arial"/>
          <w:sz w:val="16"/>
          <w:szCs w:val="16"/>
          <w:color w:val="auto"/>
        </w:rPr>
        <w:t xml:space="preserve"> As of September 30, 2019, the significant majority of our total cash on hand was denominated in U.S. dollars. During the three months ended March 31, 2018, we made a one-time repatriation of $325 million of foreign earnings to the United States primarily to repay our remaining outstanding debt under the 2015 Credit Facility. Cumulative undistributed earnings of foreign subsidiaries totaled approximately $761 million as of September 30, 2019. On November 1, 2019, the Company's Board of Directors declared a special cash dividend of $3.50 per share, or estimated to be approximately $490 million in the aggregate. The dividend is payable on December 4, 2019 to stockholders of record on November 20, 2019. The Company expects to fund this special cash dividend with cash on hand primarily from the U.S. and to a lesser extent from a foreign subsidiary, with any related income tax impact estimated not to be material. We intend to indefinitely reinvest the remaining foreign undistributed earnings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certain income taxes or tax benefits, which are not expected to be material.</w:t>
      </w:r>
    </w:p>
    <w:p>
      <w:pPr>
        <w:spacing w:after="0" w:line="172"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 xml:space="preserve">As of September 30, 2019, we had no outstanding borrowings and approximately $1.2 billion of borrowing capacity available under our 2015 Credit Facility and $30 million of borrowing capacity available under our Chinese Credit Facility—BOA. For further discussion on our credit facilities, refer to “Note 9: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unaudited condensed consolidated financial statements in Item 1 in this Quarterly Report on Form 10-Q.</w:t>
      </w:r>
    </w:p>
    <w:p>
      <w:pPr>
        <w:spacing w:after="0" w:line="166"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6"/>
          <w:szCs w:val="16"/>
          <w:color w:val="auto"/>
        </w:rPr>
        <w:t>On January 31, 2018, our Board of Directors authorized a repurchase of up to $250 million of our shares of common stock under a share repurchase program. Our Board of Directors authorized and directed management, working with the Executive Committee of our Board of Directors, to affect the share repurchase program discussed above in compliance with applicable legal requirements. The Company did not repurchase any shares of outstanding common stock during the three and nine months end September 30, 2019 or during the three months ended September 30, 2018 under the share repurchase program.</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nine months ended September 30, 2018, we repurchased 2,582,198 shares of outstanding common stock under the share repurchase program at an aggregate cost of $100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2" w:name="page43"/>
    <w:bookmarkEnd w:id="42"/>
    <w:p>
      <w:pPr>
        <w:ind w:right="40"/>
        <w:spacing w:after="0" w:line="257" w:lineRule="auto"/>
        <w:rPr>
          <w:sz w:val="20"/>
          <w:szCs w:val="20"/>
          <w:color w:val="auto"/>
        </w:rPr>
      </w:pPr>
      <w:r>
        <w:rPr>
          <w:rFonts w:ascii="Arial" w:cs="Arial" w:eastAsia="Arial" w:hAnsi="Arial"/>
          <w:sz w:val="18"/>
          <w:szCs w:val="18"/>
          <w:color w:val="auto"/>
        </w:rPr>
        <w:t>million, or an average share price of $38.73, exclusive of fees and commissions. As of September 30, 2019, we had a remaining $150 million available to repurchase shares of our common stock under this share repurchase program. On November 1, 2019, our Board of Directors authorized the repurchase of an additional $100 million in shares of our common stock under our existing share repurchase program, which increased the amount available to the Company under this share repurchase program to $250 million. This share repurchase program has no expiration date but may be suspended or terminated by the Board of Directors at any time.</w:t>
      </w:r>
    </w:p>
    <w:p>
      <w:pPr>
        <w:spacing w:after="0" w:line="18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business experiences seasonal fluctuations that affect the timing of our annual cash flows related to working capital. In our Rentals free-to-list model and our Experiences business, we generally receive cash from travelers at the time of booking and we record these amounts, net of commissions, on our consolidated balance sheets as deferred merchant payables. We pay the suppliers, or the property rental owners and experience providers, after the travelers’ use. Therefore, we receive cash from the traveler prior to paying the supplier and this operating cycle represents a working capital source or use of cash to us. During the first half of the year Rentals and Experiences bookings typically exceed the amount of completed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 In addition, new or different payment options offered to our customers could impact the timing of cash flows. For example, in September 2019 we introduced a new payment feature which allows our Experiences customers the option to reserve certain experience activities and defer payment until a date no later than two days before the experience date, and as a result, this new payment option may affect the timing of our future cash flows.</w:t>
      </w:r>
    </w:p>
    <w:p>
      <w:pPr>
        <w:spacing w:after="0" w:line="17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believe that our available cash, cash equivalents and marketable securities, combined with expected cash flows generated by operating activities and available borrowings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cash dividends, and/or other expenditures in support of our business strategy, and may potentially reduce our cash balance and/or increase our debt.</w:t>
      </w:r>
    </w:p>
    <w:p>
      <w:pPr>
        <w:spacing w:after="0" w:line="17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Our cash flows for the nine months ended September 30, 2019 and 2018, as reflected in our unaudited condensed consolidated statements of cash flows, are summarized in the following table: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Nine months ended September 30,</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34"/>
              <w:spacing w:after="0" w:line="155"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w:t>
            </w: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activities</w:t>
            </w:r>
          </w:p>
        </w:tc>
        <w:tc>
          <w:tcPr>
            <w:tcW w:w="2320" w:type="dxa"/>
            <w:vAlign w:val="bottom"/>
            <w:gridSpan w:val="2"/>
            <w:shd w:val="clear" w:color="auto" w:fill="CFF0FC"/>
          </w:tcPr>
          <w:p>
            <w:pPr>
              <w:jc w:val="right"/>
              <w:ind w:right="100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364</w:t>
            </w:r>
          </w:p>
        </w:tc>
        <w:tc>
          <w:tcPr>
            <w:tcW w:w="102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(140)</w:t>
            </w:r>
          </w:p>
        </w:tc>
        <w:tc>
          <w:tcPr>
            <w:tcW w:w="10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Financing activities</w:t>
            </w:r>
          </w:p>
        </w:tc>
        <w:tc>
          <w:tcPr>
            <w:tcW w:w="1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(30)</w:t>
            </w:r>
          </w:p>
        </w:tc>
        <w:tc>
          <w:tcPr>
            <w:tcW w:w="10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During the nine months ended September 30, 2019, our primary use of cash was from operations, financing activities (including payment of withholding taxes on net share settlements of our equity awards of $28 million), and investing activities (including capital expenditures incurred during the nine months ended September 30, 2019 of $60 million and cash used of $118 million in purchases of marketable securities). This use of cash was funded with cash on hand and cash equivalents, cash provided by operations, and also investing activities, which consisted of $40 million generated from maturities of marketable securities.</w:t>
      </w:r>
    </w:p>
    <w:p>
      <w:pPr>
        <w:spacing w:after="0" w:line="18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During the nine months ended September 30, 2018, our primary use of cash was from operations, financing activities (including the repayment of outstanding borrowings under the 2015 Credit Facility of $235 million, repurchases of our outstanding common stock at an aggregate cost of $100 million under our existing share repurchase program, and payment of withholding taxes on net share settlements of equity awards of $19 million), and investing activities (including capital expenditures incurred during the year of $45 million and business acquisitions and other investing activities of $36 million). This use of cash was funded primarily with cash on hand and cash equivalents, which included a one-time cash repatriation $325 million of foreign earnings to the United States, cash provided by operations, and investing activities, which consisted of $64 million from sales and maturities of marketable securities.</w:t>
      </w:r>
    </w:p>
    <w:p>
      <w:pPr>
        <w:spacing w:after="0" w:line="16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Net cash provided by operating activities for the nine months ended September 30, 2019 decreased by $10 million or 3% when compared to the same period in 2018, primarily due to a decrease in working capital movements of $40 million primarily due to the timing of vendor and deferred merchant payments. This decrease was partially offset by an increase in incremental non-cash items affecting cash flow of $25 million, which was primarily due to an increase in deferred income tax expense.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3" w:name="page44"/>
    <w:bookmarkEnd w:id="43"/>
    <w:p>
      <w:pPr>
        <w:ind w:right="220" w:firstLine="518"/>
        <w:spacing w:after="0" w:line="279" w:lineRule="auto"/>
        <w:rPr>
          <w:sz w:val="20"/>
          <w:szCs w:val="20"/>
          <w:color w:val="auto"/>
        </w:rPr>
      </w:pPr>
      <w:r>
        <w:rPr>
          <w:rFonts w:ascii="Arial" w:cs="Arial" w:eastAsia="Arial" w:hAnsi="Arial"/>
          <w:sz w:val="17"/>
          <w:szCs w:val="17"/>
          <w:color w:val="auto"/>
        </w:rPr>
        <w:t>Net cash used in investing activities for the nine months ended September 30, 2019 increased by $122 million when compared to the same period in 2018, due to a decrease in net cash generated from the purchases, sales and maturities of marketable securities of $141 million and an increase in capital expenditures of $15 million, partially offset by a decrease in cash paid for business acquisitions and other investments of $22 million; and other investing activities of $12 million during the nine months ended September 30, 2018, which did not reoccur in 2019.</w:t>
      </w:r>
    </w:p>
    <w:p>
      <w:pPr>
        <w:spacing w:after="0" w:line="17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Net cash used in financing activities for the nine months ended September 30, 2019 decreased by $324 million when compared to the same period in 2018, primarily due to a net repayment on our 2015 Credit Facility of $230 million and cash used to purchase shares of our common stock under our existing share repurchase program of $100 million, both during the nine months ended September 30, 2018, which did not reoccur in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since December 31, 2018. As of September 30, 2019, other than our contractual obligations and commercial commitments, we did not have any off-balance sheet arrangements, as defined in Item 303(a)(4)(ii) of Regulation S-K promulgated by the SEC.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in Part II, Item 7. — Management’s Discussion and Analysis of Financial Condition and Results of Operations of our Annual Report on Form 10-K for the year ended December 31, 2018 for a discussion of our contractual obligations and commercial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the ordinary course of business, we are parties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By virtue of consolidated income tax returns previously filed with Expedia, we are currently under an IRS audit for the 2009, 2010 and short-period 2011 tax years. We are separately under examination by the IRS for the short-period 2011 and 2012-2016 tax years, under an employment tax audit by the IRS for the 2013 and 2014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September 30, 2019, no material assessments have resulted, except as noted below regarding our 2009, 2010, and 2011 IRS audit with Expedia and our 2012 and 2013 standalone IRS audit.</w:t>
      </w:r>
    </w:p>
    <w:p>
      <w:pPr>
        <w:spacing w:after="0" w:line="16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These proposed adjustments are related to certain transfer pricing arrangements with our foreign subsidiaries, and would result in an increase to our worldwide income tax expense in an estimated range of $50 million to $55 million at the close of the audit if the IRS prevails, after consideration of competent authority relief, exclusive of interest and penalties and potential reductions in transition tax, as part of the 2017 Tax Act, which could be significant. We disagree with the proposed adjustments and we intend to defend our position through applicable administrative and, if necessary, judicial remedies. Our policy is to review and update tax reserves as facts and circumstances change. Based on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4" w:name="page45"/>
    <w:bookmarkEnd w:id="44"/>
    <w:p>
      <w:pPr>
        <w:ind w:right="20"/>
        <w:spacing w:after="0" w:line="264" w:lineRule="auto"/>
        <w:rPr>
          <w:sz w:val="20"/>
          <w:szCs w:val="20"/>
          <w:color w:val="auto"/>
        </w:rPr>
      </w:pPr>
      <w:r>
        <w:rPr>
          <w:rFonts w:ascii="Arial" w:cs="Arial" w:eastAsia="Arial" w:hAnsi="Arial"/>
          <w:sz w:val="18"/>
          <w:szCs w:val="18"/>
          <w:color w:val="auto"/>
        </w:rPr>
        <w:t>interpretation of the regulations and available case law, we believe the position we have taken with regard to transfer pricing with our foreign subsidiaries is sustainable. In addition to the risk of additional tax for 2009 through 2013 transactions, if the IRS were to seek transfer pricing adjustments of a similar nature for transactions in subsequent years, we would be subject to significant additional tax liabilities.</w:t>
      </w:r>
    </w:p>
    <w:p>
      <w:pPr>
        <w:spacing w:after="0" w:line="18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Organization for Economic Cooperation and Development (“OECD”) has been working on a Base Erosion and Profit Shifting Project, and issued the Action 1 report in 2015 to address the tax challenges arising from digitalization. Since then, the OECD/G20 Inclusive Framework have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In July 2019, France signed into law a 3% digital services tax to be applied retroactively as of January 1, 2019. We recorded an estimate of $3 million for digital service tax to general and administrative expense on our unaudited condensed consolidated statement of operations during the three months ended September 30, 2019, however we continue to assess the financial impact of this new law. The Company is also monitoring other countries in which we do business, such as Italy, Spain, and the United Kingdom who have also proposed similar taxes which are likely to be applicable at some point during 2020. The Company will continue to monitor developments and determine the financial impact worldwide of these initiatives.</w:t>
      </w:r>
    </w:p>
    <w:p>
      <w:pPr>
        <w:spacing w:after="0" w:line="178" w:lineRule="exact"/>
        <w:rPr>
          <w:sz w:val="20"/>
          <w:szCs w:val="20"/>
          <w:color w:val="auto"/>
        </w:rPr>
      </w:pPr>
    </w:p>
    <w:p>
      <w:pPr>
        <w:ind w:right="220" w:firstLine="518"/>
        <w:spacing w:after="0" w:line="254"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certain income taxes or tax benefits, which are not expected to be material.</w:t>
      </w:r>
    </w:p>
    <w:p>
      <w:pPr>
        <w:spacing w:after="0" w:line="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the impact of potential contingencies surrounding current audits by the IRS and various other domestic and foreign tax authorities, and other income tax matters.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Market risk refers to the risk of loss arising from adverse changes in stock prices, interest rates and foreign currency exchange rates. We are exposed to market risks primarily due to our international operations, and our ongoing investment and financial activities. The risk of loss can be assessed from the perspective of adverse changes in our future earnings, cash flows, fair values, and financial condition. Our exposure to market risk includes our credit facilities, derivative instruments, cash, cash equivalents, short term and long term marketable securities,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89"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nine months ended September 30, 2019. For additional information, refer to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Item 7A. in Part II of our Annual Report on Form 10-K for the year ended December 31, 2018.</w:t>
      </w:r>
    </w:p>
    <w:p>
      <w:pPr>
        <w:spacing w:after="0" w:line="181"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We have significant operations in both the United Kingdom and the European Union. Those operations are highly integrated across the United Kingdom and the European Union, and are highly dependent on the free flow of labor and goods in those regions. The United Kingdom’s referendum to exit the European Union, known as Brexit, creates uncertainty about the future relationship between the United Kingdom and the European Union. The ongoing uncertainty and potential re-imposition of border controls and customs duties on trade between the United Kingdom and European Union nations could negatively impact our merchant and customer relationships and financial performance. In addition, uncertainty regarding the terms and timeline for Brexit could continue to adversely affect consumer confidence and spending in the United Kingdom. We are unable to predict the effect Brexit will have on our business and results of operations since it is unclear whether Brexit will occur and, if so, the terms and timing of the withdrawal.</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As of September 30, 2019,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September 30, 2019, our disclosure controls and procedures were effective in ensuring that material information required to be disclosed in the reports that we file or submit under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right="20"/>
        <w:spacing w:after="0" w:line="286" w:lineRule="auto"/>
        <w:rPr>
          <w:sz w:val="20"/>
          <w:szCs w:val="20"/>
          <w:color w:val="auto"/>
        </w:rPr>
      </w:pPr>
      <w:r>
        <w:rPr>
          <w:rFonts w:ascii="Arial" w:cs="Arial" w:eastAsia="Arial" w:hAnsi="Arial"/>
          <w:sz w:val="17"/>
          <w:szCs w:val="17"/>
          <w:color w:val="auto"/>
        </w:rPr>
        <w:t>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2019 that have materially affected, or are reasonably likely to materially affect, our internal control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33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If we are unable to continue to attract a significant amount of visitors to our websites and mobile apps, to cost-effectively convert these visitors into revenue-generating users and to continue to engage our users, our revenue, financial results and business could be harmed.</w:t>
      </w:r>
    </w:p>
    <w:p>
      <w:pPr>
        <w:spacing w:after="0" w:line="124"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Our long-term success depends on our continued ability to attract a significant number of visitors to our platforms in a cost-effective manner, to convert those visitors into consumers and then to continue to engage those consumers throughout the travel planning, booking and trip-taking phases. Our traffic and user engagement could be adversely affected by a number of factors, including but not limited to, increased competition; inability to provide quality content, inventory or supply to our consumers; declines or inefficiencies in traffic acquisition; reduced awareness of our brands; and macroeconomic conditions. Certain of our competitors have advertising campaigns expressly designed to drive traffic directly to their websites, and these campaigns may negatively impact traffic to our site. Our traffic growth could decline over time, as our business matures, and our success could become increasingly dependent on our ability to increase levels of user engagement on our platform. There can be no assurances that we will continue to provide content and products in a manner that meets rapidly changing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7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websites and apps are not displayed prominently, traffic to our platform could decline and our business would be negatively affected.</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rely heavily on internet search engines to generate a significant amount of traffic to our websites, principally through SEM (i.e., the purchase of travel-related keywords) as well as through SEO (i.e., free, or organic, search). The number of consumers we attract from search engines to our platform is due in large part to how and where information from, and links to, our websites are displayed on search engine results pages. The display, including rankings, of search results can be affected by a number of factors, many of which are not in our control and may change frequently. Search engines frequently update and change the logic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6" w:name="page47"/>
    <w:bookmarkEnd w:id="46"/>
    <w:p>
      <w:pPr>
        <w:ind w:right="80"/>
        <w:spacing w:after="0" w:line="293" w:lineRule="auto"/>
        <w:rPr>
          <w:sz w:val="20"/>
          <w:szCs w:val="20"/>
          <w:color w:val="auto"/>
        </w:rPr>
      </w:pPr>
      <w:r>
        <w:rPr>
          <w:rFonts w:ascii="Arial" w:cs="Arial" w:eastAsia="Arial" w:hAnsi="Arial"/>
          <w:sz w:val="16"/>
          <w:szCs w:val="16"/>
          <w:color w:val="auto"/>
        </w:rPr>
        <w:t>determines the placement and display of the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travel partners, or if competitive dynamics impact the cost or effectiveness of SEO or SEM in a negative manner, our business and financial performance would be adversely affected. 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16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some instances, search and metasearch companies and application marketplaces may change their displays or rankings in order to promote their own competing products or services or the products or services of one or more of our competitors. For example, Google, a significant source of traffic to our website accounting for a substantial portion of the visits to our websites, frequently promotes its own competing products in its web search results, which has negatively impacted the search ranking of our website. Google’s promotion of its own competing products, or similar actions by Google in the future that have the effect of reducing our prominence or ranking on its search results, could have a substantial negative effect on our business and results of operations.</w:t>
      </w:r>
    </w:p>
    <w:p>
      <w:pPr>
        <w:spacing w:after="0" w:line="15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and subscription-based advertising. We enter into advertising contracts with our advertising partners; however, the agreement terms are generally limited to legal matters, with campaign details and economics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effectiveness of online advertising,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advertising revenue could be impacted by a number of other factors, including, but not limited to, the following:</w:t>
      </w:r>
    </w:p>
    <w:p>
      <w:pPr>
        <w:spacing w:after="0" w:line="117"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increase or maintain user engagement, including time spent on our platform;</w:t>
      </w:r>
    </w:p>
    <w:p>
      <w:pPr>
        <w:spacing w:after="0" w:line="117" w:lineRule="exact"/>
        <w:rPr>
          <w:rFonts w:ascii="Arial" w:cs="Arial" w:eastAsia="Arial" w:hAnsi="Arial"/>
          <w:sz w:val="18"/>
          <w:szCs w:val="18"/>
          <w:color w:val="auto"/>
        </w:rPr>
      </w:pPr>
    </w:p>
    <w:p>
      <w:pPr>
        <w:ind w:left="1040" w:right="56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increase or maintain the quantity and quality of ads shown to consumers, including as a result of technical infrastructure constraints;</w:t>
      </w:r>
    </w:p>
    <w:p>
      <w:pPr>
        <w:spacing w:after="0" w:line="62"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block our ad measurement tools, particularly for advertising displayed on tablets and/or on mobile platforms;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ad targeting or degree to which consumers opt out of certain types of ad targeting;</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government actions or legal developments relating to advertising, including legislative and regulatory developments and developments in litigation that limit our ability to deliver or target advertising, particularly in mobile devices; and</w:t>
      </w:r>
    </w:p>
    <w:p>
      <w:pPr>
        <w:spacing w:after="0" w:line="62" w:lineRule="exact"/>
        <w:rPr>
          <w:rFonts w:ascii="Arial" w:cs="Arial" w:eastAsia="Arial" w:hAnsi="Arial"/>
          <w:sz w:val="18"/>
          <w:szCs w:val="18"/>
          <w:color w:val="auto"/>
        </w:rPr>
      </w:pPr>
    </w:p>
    <w:p>
      <w:pPr>
        <w:ind w:left="1040" w:right="66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or among special types of marketers or within particular geographies.</w:t>
      </w:r>
    </w:p>
    <w:p>
      <w:pPr>
        <w:spacing w:after="0" w:line="170"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occurrence of any of these or other factors could result in a reduction in demand for our ads, which may reduce the prices we receive for our ads, or cause marketers to stop advertising with us altogether, either of which would negatively affect our revenue and financial results.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7" w:name="page48"/>
    <w:bookmarkEnd w:id="47"/>
    <w:p>
      <w:pPr>
        <w:jc w:val="both"/>
        <w:ind w:right="40" w:firstLine="518"/>
        <w:spacing w:after="0" w:line="259"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derive a substantial portion of our revenue from a relatively small number of advertising partners and rely significantly on our relationships. For example, for the year ended December 31, 2018, our two most significant advertising partners, Expedia Group, Inc., or Expedia, and Booking Holdings, Inc., or Booking (and their subsidiaries), accounted for a combined 37% of total revenue. While we enter into master advertising 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business depends on a strong brand and any failure to maintain, protect and enhance our brand could hurt our ability to retain and expand our base of consumers and partners, as well as increase the frequency with which consumers utilize our products and services.</w:t>
      </w:r>
    </w:p>
    <w:p>
      <w:pPr>
        <w:spacing w:after="0" w:line="14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believe that the strength of our brands (particularly the TripAdvisor brand) has contributed significantly to our success. We also believe that maintaining, protecting and enhancing our brands is critical to expanding our base of consumers, increasing the frequency with which consumers utilize our solutions and attracting advertisers and business partners. Our ability to maintain and protect our brand depends, in part, on our ability to maintain consumer trust in our products and in the quality, integrity, reliability of usefulness of the content and other information found on our platform. For example, if consumers do not view our reviews to be useful and reliable, they may seek other sources to obtain the information they are looking for and may not return to our platform as often in the future, or at all. This would negatively impact our ability to attract and retain consumers and partners and the frequency with which they use our platform. We dedicate significant resources to these goals, primarily through our computer algorithms and teams of moderators that are focused on identifying inappropriate, unreliable or deceptive content. We remove those types of content from our website and, in certain cases, take legal action against individuals or businesses that we believe have engaged in deceptive practices.</w:t>
      </w:r>
    </w:p>
    <w:p>
      <w:pPr>
        <w:spacing w:after="0" w:line="182" w:lineRule="exact"/>
        <w:rPr>
          <w:sz w:val="20"/>
          <w:szCs w:val="20"/>
          <w:color w:val="auto"/>
        </w:rPr>
      </w:pPr>
    </w:p>
    <w:p>
      <w:pPr>
        <w:ind w:right="80" w:firstLine="502"/>
        <w:spacing w:after="0" w:line="270" w:lineRule="auto"/>
        <w:rPr>
          <w:sz w:val="20"/>
          <w:szCs w:val="20"/>
          <w:color w:val="auto"/>
        </w:rPr>
      </w:pPr>
      <w:r>
        <w:rPr>
          <w:rFonts w:ascii="Arial" w:cs="Arial" w:eastAsia="Arial" w:hAnsi="Arial"/>
          <w:sz w:val="17"/>
          <w:szCs w:val="17"/>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and potentially even our share price. For example, certain media outlets have alleged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consumers; we do not establish rankings and ratings in favor of our advertisers. Nevertheless, our reputation and brand, the traffic to our platform, our business and potentially even our share price may suffer from negative publicity about our company or if consumers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product changes, competitive pressures, litigation or regulatory activity, could adversely affect our reputation with our consumers and our partners. Such negative publicity also could have an adverse effect on the size, engagement, and loyalty of our user base and result in decreased revenue.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continue to be successful.</w:t>
      </w:r>
    </w:p>
    <w:p>
      <w:pPr>
        <w:spacing w:after="0" w:line="17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an effort to enhance our brand we invest significantly in brand marketing including, but not limited to, television advertising. We expect these investments to continue, and potentially even increase, as a result of a variety of factors, including relatively high levels of advertising spending by competitors, the increasing costs of supporting multiple brands, expansion into new geographies, product positioning where our brands are less well known, and the continued emergence and relative traffic share growth of search engines as destination sites for travelers. We expect to continue our television advertising campaign and to adjust our marketing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8" w:name="page49"/>
    <w:bookmarkEnd w:id="48"/>
    <w:p>
      <w:pPr>
        <w:ind w:right="60"/>
        <w:spacing w:after="0" w:line="277" w:lineRule="auto"/>
        <w:rPr>
          <w:sz w:val="20"/>
          <w:szCs w:val="20"/>
          <w:color w:val="auto"/>
        </w:rPr>
      </w:pPr>
      <w:r>
        <w:rPr>
          <w:rFonts w:ascii="Arial" w:cs="Arial" w:eastAsia="Arial" w:hAnsi="Arial"/>
          <w:sz w:val="18"/>
          <w:szCs w:val="18"/>
          <w:color w:val="auto"/>
        </w:rPr>
        <w:t>efforts and spend among the different marketing channels, in each case as we think appropriate based on the relative growth opportunity, the expected returns and the competitive environment in the different segments and businesses in which we operate.</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 such efforts. Furthermore, some of our current and potential competitors have access to significantly greater and more diverse resources than we do, and they may also be able to leverage other aspects of their businesses to enable them to compete more effectively with us.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devices creates new challenges. If we are unable to operate effectively on these platforms or our products for such devices are not compelling, our business may be adversely affected.</w:t>
      </w:r>
    </w:p>
    <w:p>
      <w:pPr>
        <w:spacing w:after="0" w:line="184"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Widespread adoption of mobile devices, such as the iPhone, Android-enabled smartphones and tablets such as the iPad, coupled with web browsing functionality and development of thousands of useful apps available on these devices, is driving substantial online traffic and commerce to mobile platforms. We have seen a significant shift of business to mobile platforms and our advertising partners are also seeing a rapid shift of traffic to mobile platforms. We anticipate that the rate of use of these devices will continue to grow. The functionality and user experience associated with these alternative devices, such as a smaller screen size or lack of a screen, may make the use of our platform through such devices more difficult. For example, mobile phone devices monetize at a significantly lower rate than desktops and advertising opportunities are more limited on these mobile devices. Additionally, consumer purchasing patterns differ on alternative devices. For example, accommodation reservations made on a mobile device typically are for shorter lengths of stay and are not made as far in advance. Mobile consumers may also be unwilling to download multiple apps from multiple companies providing similar services or contribute high quality content through such devices. As a result, the consumer experience with mobile apps and brand recognition are likely to become increasingly important. We expect that the ways in which consumers engage with our platform will continue to change over time as consumers increasingly engage via alternative devices.</w:t>
      </w:r>
    </w:p>
    <w:p>
      <w:pPr>
        <w:spacing w:after="0" w:line="183"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As a result, it is increasingly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to them – and developing competitive new products and services - and we may need to devote significant resources to the creation, support and maintenance of such products. If we are unable to continue to rapidly innovate and create new, user-friendly and differentiated offerings and efficiently and effectively advertise and distribute on these platforms, or if our offerings are not used by consumers, we could lose market share and our business, future growth and results of operations could be adversely affected.</w:t>
      </w:r>
    </w:p>
    <w:p>
      <w:pPr>
        <w:spacing w:after="0" w:line="178"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Our success will also depend on the interoperability of our products with a range of technologies, systems, networks and standards or in creating, maintaining and developing relationships with key participants in related industries, some of which may be our competitors. For example, Google’s Android and Apple’s iPhone are the leading smartphones in the world. Therefore, our products need to synergistically function on their respective operating systems in order to create a positive user experience on a mobile device. However, Google could leverage its Android operating system to give its travel services a competitive advantage, either technically or with prominence on its Google Play app store or within its mobile search results. Similarly, Apple obtained a patent for “iTravel,” a mobile app that would allow a traveler to check in for a travel reservation. In addition, Apple’s iPhone operating system includes “Wallet,” a virtual wallet app that holds tickets, boarding passes, coupons and gift cards, and, along with iTravel, may be indicative of Apple’s intent to enter the travel reservations business in some capacity. Apple has substantial market share in the smartphone category and controls integration of offerings, including travel services, into its mobile operating system. Apple also has more experience producing and developing mobile apps and has access to greater resources than we do. Apple may use or expand iTravel, Wallet, Siri (Apple’s voice recognition “concierge” service), Apple Pay (Apple’s mobile payment system) or another mobile app or functionality as a means of entering the travel reservations marketplace. To the extent Google or Apple use their mobile operating systems, app distribution channels or, in the case of Google, search services, to favor their own travel service offerings, there may be an adverse effect on our ability to compete in the mobile space. 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elect not to include our products in their devices, make changes that degrade the functionality of our products, give preferential treatment to competitive products or prevent us from delivering advertising, our user growth and results of operations may be harmed. This risk may be exacerbated by the frequency with which consumers change or upgrade their devices. In the event consumers choose devices that do not already include or support our platform or do not install our products when they change or upgrade their devices, our traffic and user engagement may be harmed.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9" w:name="page50"/>
    <w:bookmarkEnd w:id="49"/>
    <w:p>
      <w:pPr>
        <w:ind w:firstLine="518"/>
        <w:spacing w:after="0" w:line="255" w:lineRule="auto"/>
        <w:rPr>
          <w:sz w:val="20"/>
          <w:szCs w:val="20"/>
          <w:color w:val="auto"/>
        </w:rPr>
      </w:pPr>
      <w:r>
        <w:rPr>
          <w:rFonts w:ascii="Arial" w:cs="Arial" w:eastAsia="Arial" w:hAnsi="Arial"/>
          <w:sz w:val="18"/>
          <w:szCs w:val="18"/>
          <w:color w:val="auto"/>
        </w:rPr>
        <w:t>In addition, the market for advertising products on mobile and other devices is rapidly evolving. As new devices and platforms are released, consumers may begin consuming content in a manner that is more difficult to monetize. Similarly, as advertising products for mobile and other platforms develop, demand may increase for products that we do not offer or that may alienate our user base, which we must balance against our commitment to prioritizing the quality of user experience over short-term monetization. If we are not able to balance these competing considerations successfully to develop compelling advertising products, advertisers may stop or reduce their advertising with us and we may not be able to generate meaningful revenue from alternative devices despite the expected growth in their usage.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declines in consumer confidence. Decreased travel spending could reduce the demand for our services and have a negative impact on our business and financial performance. 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our results of operations.</w:t>
      </w:r>
    </w:p>
    <w:p>
      <w:pPr>
        <w:spacing w:after="0" w:line="169"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For example, since the United Kingdom’s referendum to exit the European Union, known as Brexit, global markets and foreign exchange rates have experienced increased volatility, including a decline in the value of the British pound as compared to the U.S. Dollar. We have significant operations in both the United Kingdom and the European Union. Our operations and those of our merchants are highly integrated across the United Kingdom and the European Union and are highly dependent on the free flow of labor and goods in those regions. There remains significant uncertainty about the future relationship between the United Kingdom and the European Union. The ongoing uncertainty and potential outcomes could negatively impact our merchant and customer relationships and financial performance. In addition, uncertainty could continue to adversely affect consumer confidence and spending in the United Kingdom. We could face new regulatory costs and challenges if Brexit does occur and the U.K. regulations diverge from those of the European Union. Since the United Kingdom’s exit from the European Union and the terms of that exit are uncertain, we are unable to predict the effect Brexit will have on our business and results of operations.</w:t>
      </w:r>
    </w:p>
    <w:p>
      <w:pPr>
        <w:spacing w:after="0" w:line="2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compete in rapidly evolving and competitive markets. We face competition for content, consumers, advertisers, online travel search and price comparison services, or what is known in the industry as metasearch, and online reservations.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w:t>
      </w:r>
    </w:p>
    <w:p>
      <w:pPr>
        <w:spacing w:after="0" w:line="17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62" w:lineRule="exact"/>
        <w:rPr>
          <w:sz w:val="20"/>
          <w:szCs w:val="20"/>
          <w:color w:val="auto"/>
        </w:rPr>
      </w:pPr>
    </w:p>
    <w:p>
      <w:pPr>
        <w:ind w:left="1040" w:right="320" w:hanging="384"/>
        <w:spacing w:after="0" w:line="255"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our Hotels, Media &amp; Platform segment, we face competition from, and in some cases partner with, the following businesses: OTAs (including Expedia and Booking and many of their respective subsidiaries and operating companies); hotel metasearch providers (including trivago, a subsidiary of Expedia, Kayak and HotelsCombined, subsidiaries of Booking, and Trip.com Group Limited, formerly known as Ctrip.com International, Ltd); large online search, social media, and marketplace platforms and companies (including Google, Facebook, Microsoft’s Bing, Yahoo, Baidu, Alibaba, and Amazon); and traditional offline travel agencies; and global hotel chains seeking to promote direct bookings.</w:t>
      </w:r>
    </w:p>
    <w:p>
      <w:pPr>
        <w:spacing w:after="0" w:line="85" w:lineRule="exact"/>
        <w:rPr>
          <w:rFonts w:ascii="Arial" w:cs="Arial" w:eastAsia="Arial" w:hAnsi="Arial"/>
          <w:sz w:val="18"/>
          <w:szCs w:val="18"/>
          <w:color w:val="auto"/>
        </w:rPr>
      </w:pPr>
    </w:p>
    <w:p>
      <w:pPr>
        <w:ind w:left="1040" w:right="160" w:hanging="384"/>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in each of the offerings in our Experiences &amp; Dining segment. Experiences competes with online travel agencies, such as Airbnb, Booking, and GetYourGuide; traditional travel agencies; online travel service providers; and wholesalers, among others. Restaurants competes with other online restaurant reservation services, such as SeatMe (owned by Yelp) and OpenTable (a subsidiary of Booking).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ind w:left="1040" w:right="20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Rentals business competes with companies focused on alternative lodging, shared accommodations and online accommodation searches, including Airbnb, HomeAway (a subsidiary of Expedia) and Booking.</w:t>
      </w:r>
    </w:p>
    <w:p>
      <w:pPr>
        <w:spacing w:after="0" w:line="170"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There has been a proliferation of new channels through which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and potential competitors offer a variety of online services, many of which are used by competitors more frequently than online travel services. In addition, in some cases, our competitors are willing to make little or no profit on a transaction, or offer travel services at a loss, in order gain market share. Many of our competitors (such as Google, Booking and Trip.com Group)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For example, Google has entered various aspects of the online travel market, including by establishing a flight metasearch product ("Google Flights") and a hotel metasearch product ("Google Hotel Ads") that are growing rapidly, as well as its "Book on Google" reservation functionality and its Google Trips app.</w:t>
      </w:r>
    </w:p>
    <w:p>
      <w:pPr>
        <w:spacing w:after="0" w:line="195"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In addition, Google and other large, established companies with substantial resources and expertise in developing online commerce and facilitating internet traffic have launched travel or travel-related search, metasearch and/or reservation booking services and may create additional inroads into online travel. Google's travel metasearch services, Google Hotel Ads and Google Flights, are growing rapidly and have achieved significant market share in a relatively short time.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6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compete with certain companies that we also do business with, including some of our click-based advertising travel partners. The consolidation of our competitors and travel partners, including Expedia (through its acquisitions of Orbitz, Travelocity, and HomeAway) and Booking (through its acquisitions of KAYAK and OpenTable), may affect our relative competitiveness and our travel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user engagement, any of which could adversely affect our business and financial performance.</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165"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In addition, the emergence of alternative devices, such as mobile phones and tablets, and the emergence of niche competitors who may be able to optimize products, services or strategies for such platforms, will require additional investment in technology. New developments in other areas could also make it easier for competitors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users, we may not remain competitive, and our business and financial performance could suffer.</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Our success depends in part on continued innovation to provide products, features and services that make our platform compelling to users and engage our consumers. Our competitors are continually developing innovations in online travel-related services and features. As a result, we are continually working to improve our business model and consumer experience in order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1" w:name="page52"/>
    <w:bookmarkEnd w:id="51"/>
    <w:p>
      <w:pPr>
        <w:ind w:right="80"/>
        <w:spacing w:after="0" w:line="257" w:lineRule="auto"/>
        <w:rPr>
          <w:sz w:val="20"/>
          <w:szCs w:val="20"/>
          <w:color w:val="auto"/>
        </w:rPr>
      </w:pPr>
      <w:r>
        <w:rPr>
          <w:rFonts w:ascii="Arial" w:cs="Arial" w:eastAsia="Arial" w:hAnsi="Arial"/>
          <w:sz w:val="18"/>
          <w:szCs w:val="18"/>
          <w:color w:val="auto"/>
        </w:rPr>
        <w:t>engage our consumers and drive user traffic and conversion rates. We have invested, and expect to continue to invest, significant resources in developing and marketing these innovations. We can give no assurances that the changes we make will yield the benefits we expect and will not have unintended or adverse impacts that we did not anticipate. If we are unable to continue offering innovative products and services and quality features that users want to use, existing consumers may become dissatisfied and use competitors’ offerings and we may be unable to attract additional consumers, which could adversely affect our business and financial performance.</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strive to create the best experience for our users, providing them with the information, products and tools to enable them to plan, book, and experience the perfect trip. We believe that in doing so we will increase our rates of conversion, our revenue per hotel shopper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new products or changes to existing products or the user experience that decrease rates of conversion but increases revenue per hotel shopper. In addition, our approach of putting users first may negatively impact our relationship with existing or prospective partners. These actions and practices could result in a loss of partners,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consumers and travel partners, and our business and results of operations could be harmed. In addition, if new or enhanced products fail to engage users or if we are unsuccessful in our effort to monetize these initiatives, we may fail to generate sufficient revenue, profit margin or other value to justify our investments, in which case our business and results of operations would be adversely affected.</w:t>
      </w:r>
    </w:p>
    <w:p>
      <w:pPr>
        <w:spacing w:after="0" w:line="2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our partners, and any failure in our ability to deliver quality traffic and/or the metrics to demonstrate the value of the traffic could have a material adverse effect on the value of our websites to our partners and adversely affect our revenue.</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our partners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partners. Furthermore, low-quality or invalid traffic may be detrimental to our relationships with partners, and could adversely affect our advertising pricing and revenue.</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believe that certain metrics are key to our business. As both the industry in which we operate and our businesses continue to evolve, so too might the metrics by which we evaluate our businesses and the company.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Finally, we may, in the future, identify new or other metrics that enable us to more accurately evaluate our business. Accordingly, readers should not place undue reliance on these metrics.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2" w:name="page53"/>
    <w:bookmarkEnd w:id="52"/>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retain or motivate key personnel or hire, retain and motivate qualified personnel, our business would be harmed.</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Our future success is largely dependent on the talents and efforts of highly skilled individuals. In particular, the contributions of Stephen Kaufer, our co-founder, Chief Executive Officer and President, the contributions of key senior 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30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Our success will depend, in part, on our ability to expand our product offerings in order to grow our business in response to changing technologies, user and travel partner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80" w:lineRule="exact"/>
        <w:rPr>
          <w:sz w:val="20"/>
          <w:szCs w:val="20"/>
          <w:color w:val="auto"/>
        </w:rPr>
      </w:pPr>
    </w:p>
    <w:p>
      <w:pPr>
        <w:ind w:left="104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040" w:right="38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product development, stock repurchases, and/or dividend payments;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and other claims relating to the acquired company;</w:t>
      </w:r>
    </w:p>
    <w:p>
      <w:pPr>
        <w:spacing w:after="0" w:line="62"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right="760" w:hanging="384"/>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while subtracting any impairments,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ind w:right="100"/>
        <w:spacing w:after="0" w:line="259" w:lineRule="auto"/>
        <w:rPr>
          <w:sz w:val="20"/>
          <w:szCs w:val="20"/>
          <w:color w:val="auto"/>
        </w:rPr>
      </w:pPr>
      <w:r>
        <w:rPr>
          <w:rFonts w:ascii="Arial" w:cs="Arial" w:eastAsia="Arial" w:hAnsi="Arial"/>
          <w:sz w:val="18"/>
          <w:szCs w:val="18"/>
          <w:color w:val="auto"/>
        </w:rPr>
        <w:t>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8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Over the years, we have experienced rapid growth in some areas of our business, including through acquisitions of other businesses and in new international markets. We continue to make substantial investments in our technology, product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0" w:lineRule="exact"/>
        <w:rPr>
          <w:sz w:val="20"/>
          <w:szCs w:val="20"/>
          <w:color w:val="auto"/>
        </w:rPr>
      </w:pPr>
    </w:p>
    <w:p>
      <w:pPr>
        <w:ind w:right="400" w:firstLine="518"/>
        <w:spacing w:after="0" w:line="279" w:lineRule="auto"/>
        <w:rPr>
          <w:sz w:val="20"/>
          <w:szCs w:val="20"/>
          <w:color w:val="auto"/>
        </w:rPr>
      </w:pPr>
      <w:r>
        <w:rPr>
          <w:rFonts w:ascii="Arial" w:cs="Arial" w:eastAsia="Arial" w:hAnsi="Arial"/>
          <w:sz w:val="17"/>
          <w:szCs w:val="17"/>
          <w:color w:val="auto"/>
        </w:rPr>
        <w:t>We operate in a number of jurisdictions both inside and outside of the United States and continue to expand our operations both domestically and internationally. Many regions have different economic conditions, languages, currencies, consumer expectations, legislation, regulatory environments (including labor laws and customs), tax laws, levels of consumer acceptance and use of the internet for commerce and levels of political stability. We are subject to associated risks typical of global businesses, including, but not limited to, the following:</w:t>
      </w:r>
    </w:p>
    <w:p>
      <w:pPr>
        <w:spacing w:after="0" w:line="63" w:lineRule="exact"/>
        <w:rPr>
          <w:sz w:val="20"/>
          <w:szCs w:val="20"/>
          <w:color w:val="auto"/>
        </w:rPr>
      </w:pPr>
    </w:p>
    <w:p>
      <w:pPr>
        <w:jc w:val="both"/>
        <w:ind w:left="1040" w:right="160" w:hanging="344"/>
        <w:spacing w:after="0" w:line="264" w:lineRule="auto"/>
        <w:tabs>
          <w:tab w:leader="none" w:pos="9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the U.K. Bribery Act and the EU General Data Protection Regulation (or GDPR)), data privacy requirements, labor and employment law, laws regarding advertisements and promotions and anti-competition regulations;</w:t>
      </w:r>
    </w:p>
    <w:p>
      <w:pPr>
        <w:spacing w:after="0" w:line="73" w:lineRule="exact"/>
        <w:rPr>
          <w:rFonts w:ascii="Arial" w:cs="Arial" w:eastAsia="Arial" w:hAnsi="Arial"/>
          <w:sz w:val="18"/>
          <w:szCs w:val="18"/>
          <w:color w:val="auto"/>
        </w:rPr>
      </w:pPr>
    </w:p>
    <w:p>
      <w:pPr>
        <w:ind w:left="980" w:hanging="28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7" w:lineRule="exact"/>
        <w:rPr>
          <w:rFonts w:ascii="Arial" w:cs="Arial" w:eastAsia="Arial" w:hAnsi="Arial"/>
          <w:sz w:val="18"/>
          <w:szCs w:val="18"/>
          <w:color w:val="auto"/>
        </w:rPr>
      </w:pPr>
    </w:p>
    <w:p>
      <w:pPr>
        <w:ind w:left="1040" w:right="260" w:hanging="344"/>
        <w:spacing w:after="0" w:line="277" w:lineRule="auto"/>
        <w:tabs>
          <w:tab w:leader="none" w:pos="9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2" w:lineRule="exact"/>
        <w:rPr>
          <w:rFonts w:ascii="Arial" w:cs="Arial" w:eastAsia="Arial" w:hAnsi="Arial"/>
          <w:sz w:val="18"/>
          <w:szCs w:val="18"/>
          <w:color w:val="auto"/>
        </w:rPr>
      </w:pPr>
    </w:p>
    <w:p>
      <w:pPr>
        <w:ind w:left="980" w:hanging="28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or political instability or laws and regulations involving economic or trade prohibitions or sanctions; and</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Our strategy includes continued expansion in existing international and new international markets. Many of these markets have different economic conditions, customers, languages, currencies, consumer expectations, levels of consumer acceptance and use of the internet for commerce, legislation, regulatory environments, tax laws and levels of political stability, and we are subject to associated risks typical of international businesses. International markets have strong local competitors with established brands and travel service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4" w:name="page55"/>
    <w:bookmarkEnd w:id="54"/>
    <w:p>
      <w:pPr>
        <w:ind w:right="20"/>
        <w:spacing w:after="0" w:line="289" w:lineRule="auto"/>
        <w:rPr>
          <w:sz w:val="20"/>
          <w:szCs w:val="20"/>
          <w:color w:val="auto"/>
        </w:rPr>
      </w:pPr>
      <w:r>
        <w:rPr>
          <w:rFonts w:ascii="Arial" w:cs="Arial" w:eastAsia="Arial" w:hAnsi="Arial"/>
          <w:sz w:val="16"/>
          <w:szCs w:val="16"/>
          <w:color w:val="auto"/>
        </w:rPr>
        <w:t>providers or relationships that may make expansion in certain markets difficult and costly and take more time than anticipated. In addition, compliance with legal, regulatory or tax requirements in multiple jurisdictions places demands on our time and resources, and we may nonetheless experience unforeseen and potentially adverse legal, regulatory or tax consequences. In some markets, such as China,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new and existing markets and effectively managing that expansion, our business and results of operations could be adversely affected. A number of countries are actively pursuing changes to their tax laws applicable to corporate multinationals, such as the recently enacted U.S. tax legislation, the 2017 Tax Act. Foreign governments may enact tax laws that could result in further changes to global taxation and materially affect our financial position and results of operations.</w:t>
      </w:r>
    </w:p>
    <w:p>
      <w:pPr>
        <w:spacing w:after="0" w:line="16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The repatriation of such funds for use in the United States, including for corporate purposes such as acquisitions, stock repurchases, or debt refinancing, may result in additional U.S. income tax expense and higher cost for such capital.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lawsuits, government investigations, and other proceedings that may result in adverse outcomes.</w:t>
      </w:r>
    </w:p>
    <w:p>
      <w:pPr>
        <w:spacing w:after="0" w:line="22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regularly subject to claims, lawsuits, government investigations and other proceedings involving, among other matters, patent and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labor and employment matters and commercial disputes.</w:t>
      </w:r>
    </w:p>
    <w:p>
      <w:pPr>
        <w:spacing w:after="0" w:line="18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Such claims, lawsuits,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damages, fines or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internet and online commerce, internet advertising, consumer protection, data security and privacy, travel and rental licensing and listing requirements and tax. In some cases, these laws continue to evolve.</w:t>
      </w:r>
    </w:p>
    <w:p>
      <w:pPr>
        <w:spacing w:after="0" w:line="18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ind w:right="160" w:firstLine="518"/>
        <w:spacing w:after="0" w:line="269" w:lineRule="auto"/>
        <w:rPr>
          <w:sz w:val="20"/>
          <w:szCs w:val="20"/>
          <w:color w:val="auto"/>
        </w:rPr>
      </w:pPr>
      <w:r>
        <w:rPr>
          <w:rFonts w:ascii="Arial" w:cs="Arial" w:eastAsia="Arial" w:hAnsi="Arial"/>
          <w:sz w:val="17"/>
          <w:szCs w:val="17"/>
          <w:color w:val="auto"/>
        </w:rPr>
        <w:t>Further, Rentals has been and continues to be subject to regulatory developments globally that affect the rental industry and the ability of companies like us to list those rentals online. For example, some states and local jurisdictions, both domestically and internationally, have adopted, or are considering adopting, statutes or ordinances that prohibit property owners and managers from renting certain properties on a short-term basis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In addition, many homeowners, condominium and neighborhood associations have adopted or are considering adopting rules that prohibit or restrict property owners and managers from short-term rentals.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183"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5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For example, in 2018, the European Union adopted GDPR implementing enhanced data protection requirements and other jurisdictions have adopted or are contemplating similar legislation. This legislation could increase the cost and complexity of delivering our services. Unfavorable changes could decrease demand for products and services, limit marketing methods and capabilities, impede development of new products, result in negative publicity, require significant management time, increase costs and/or subject us to additional liabilities. Violations of these laws and regulations could result in penalties and/or criminal sanctions against us, our officers or our employees and/or restrictions on the conduct of parts of our business in certain jurisdictions.</w:t>
      </w:r>
    </w:p>
    <w:p>
      <w:pPr>
        <w:spacing w:after="0" w:line="166"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Likewise, the SEC, Department of Justice (“DOJ”) and Office of Foreign Assets Controls (“OFAC”), as well as foreign regulatory authorities, have continued to increase the enforcement of economic sanctions and trade regulations, anti-money laundering, and anti-corruption laws, across industries. U.S. economic sanctions relate to transactions with designated foreign countries, including Cuba, Iran, North Korea, Syria and nationals and others of those countries, Ukraine/Russia related sanctions, as well as certain specifically targeted individuals and entities. We believe that our activities comply with OFAC, European Union, United Kingdom and other regulatory authorities’ economic sanction and trade regulations, as well as anti-money laundering and anti-corruption regulations, including the Foreign Corrupt Practices Act (“FCPA”), the UK Bribery Act and the UK Criminal Finances Act. As regulations continue to evolve and regulatory oversight continues to increase, we cannot guarantee that our programs and policies will be deemed compliant by all applicable regulatory authorities. In the event our controls should fail or are found to be out of compliance for other reasons, we could be subject to monetary damages, civil and criminal money penalties, litigation and damage to our reputation and the value of our brands.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1"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ind w:right="500"/>
        <w:spacing w:after="0" w:line="264" w:lineRule="auto"/>
        <w:rPr>
          <w:sz w:val="20"/>
          <w:szCs w:val="20"/>
          <w:color w:val="auto"/>
        </w:rPr>
      </w:pPr>
      <w:r>
        <w:rPr>
          <w:rFonts w:ascii="Arial" w:cs="Arial" w:eastAsia="Arial" w:hAnsi="Arial"/>
          <w:sz w:val="18"/>
          <w:szCs w:val="18"/>
          <w:color w:val="auto"/>
        </w:rPr>
        <w:t>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Data and Privacy</w:t>
      </w:r>
    </w:p>
    <w:p>
      <w:pPr>
        <w:spacing w:after="0" w:line="3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collect, process, store and transmit data, including personal information, for our consumers. As a result, 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w:t>
      </w:r>
    </w:p>
    <w:p>
      <w:pPr>
        <w:spacing w:after="0" w:line="167"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In addition, we are subject to legislation intended to enhance the privacy and security of personal data, including credit card information (such GDPR and the California Consumer Privacy Act). There are a number of proposals for data privacy laws pending or proposed in other jurisdictions, including at both the state and federal level of the United States as well as internationally. Implementing and complying with these laws and regulations may be more costly or take longer than we anticipate, or could otherwise affect our business operations. We strive to comply with all applicable laws, policies, legal obligations and industry codes of conduct relating to privacy and data protection. Any failure or perceived failure by us to comply with our privacy policies, privacy-related obligations to consumers or other third parties, or privacy-related legal obligations, may result in governmental enforcement actions, fines and/or penalties, litigation or public statements that could harm our reputation and cause our users and travel partners to lose trust in us, any of which could have an adverse effect on our business, brand, market share and results of operations.</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processing credit card and other payment transactions and failure to manage those risks may subject us to fines, penalties and additional costs and could have a negative impact on our business.</w:t>
      </w:r>
    </w:p>
    <w:p>
      <w:pPr>
        <w:spacing w:after="0" w:line="170"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We accept payments from consumers and travel partners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These regulations and/or requirements could result in significant costs and reduce the ease of use of our payment products and yet may still be susceptible to fraudulent activity. In addition, we may be held liable for accepting fraudulent credit cards on our websites as well as other payment disputes with our customers.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 We are also subject to a number of other laws and 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right="820"/>
        <w:spacing w:after="0" w:line="381" w:lineRule="auto"/>
        <w:rPr>
          <w:sz w:val="20"/>
          <w:szCs w:val="20"/>
          <w:color w:val="auto"/>
        </w:rPr>
      </w:pPr>
      <w:r>
        <w:rPr>
          <w:rFonts w:ascii="Arial" w:cs="Arial" w:eastAsia="Arial" w:hAnsi="Arial"/>
          <w:sz w:val="15"/>
          <w:szCs w:val="15"/>
          <w:b w:val="1"/>
          <w:bCs w:val="1"/>
          <w:i w:val="1"/>
          <w:iCs w:val="1"/>
          <w:color w:val="auto"/>
        </w:rPr>
        <w:t>System security issues, data protection breaches, cyberattacks and system outage issues could disrupt our operations or services provided to our consumers, and any such disruption could damage our reputation and adversely affect our business, financial results and stock price.</w:t>
      </w:r>
    </w:p>
    <w:p>
      <w:pPr>
        <w:spacing w:after="0" w:line="10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reputation and ability to attract, retain and service our consumers and travel partners is dependent upon the reliable performance and security of our computer systems and those of third parties we utilize in our operations. 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result in government enforcement actions and litigation and potential liability for us.</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Computer programmers and hackers also may be able to develop and deploy viruses, worms, ransomware and other malicious software programs that attack our products or otherwise exploit any security vulnerabilities of our products,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w:t>
      </w:r>
    </w:p>
    <w:p>
      <w:pPr>
        <w:spacing w:after="0" w:line="178"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may be unable to proactively address these techniques or to implement adequate preventive measures and our efforts to address these problems may not be successful and could result in interruptions, delays, cessation of service and loss of existing or potential customers that may impede our sales, manufacturing, distribution or other critical functions. Failure to adequately protect against attacks or intrusions, whether for our own systems or systems of vendors, could expose us to security breaches that could have an adverse impact on our financial performance.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16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Much of our business is conducted with third party marketing affiliates or, to a lesser degree, through business partners powering our instant booking feature. A security breach at such third party could be perceived by consumers as a security breach of our systems and could result in negative publicity or damage our reputation, expose us to risk of loss or litigation and possible liability and subject us to regulatory penalties and sanctions. In addition, such incidents may also result in a decline in our active user base or engagement levels. Finally, failure of such third parties to comply with applicable disclosure requirements could expose us to liability.</w:t>
      </w:r>
    </w:p>
    <w:p>
      <w:pPr>
        <w:spacing w:after="0" w:line="188"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have acquired a number of companies over the years and may continue to do so in the future. As a result of these acquisitions, we may increase the volume of personal data that we collect, store, process and transmit. While we make significant efforts to address any information technology security issues and personal data protection issues with respect to our acquisitions, we may still inherit such risks when we integrate the acquired businesses.</w:t>
      </w:r>
    </w:p>
    <w:p>
      <w:pPr>
        <w:spacing w:after="0" w:line="14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Media coverage of data breaches has escalated, in part because of the increased number of enforcement actions, investigations and lawsuits. Security breaches could result in negative publicity, damage to reputation, exposure to risk of loss or litigation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consumers to lose confidence in our data security, which would have a negative effect on the value of our brand.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"Cookie" laws could negatively impact the way we do business.</w:t>
      </w:r>
    </w:p>
    <w:p>
      <w:pPr>
        <w:spacing w:after="0" w:line="225"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A "cookie" is a text file that is stored on a user's web browser by a website. Cookies are common tools used by thousands of websites, including ours, to, among other things, store or gather information (e.g., remember log-on details so a user does not have to re-enter them when revisiting a website), market to consumers and enhance the user experience on a website. Cookies are valuable tools for websites like ours to improve the customer experience and increase conversion on their websites. Many countries have adopted regulations governing the use of "cookies" by websites servicing consumers. To the extent any such regulations require "opt-in" consent before certain cookies can be placed on a user's web browser or the ability of users to “opt-out”, our ability to serve certain customers in the manner we currently do, including with respect to retargeting of advertising, might be adversely affected and our ability to continue to improve and optimize performance on our websites might be impaired, either of which could negatively affect a consumer's experience using our services and our business, market share and results of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Risks Related to the Financial and Tax Matters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are currently party to a credit agreement with respect to a $1.2 billion revolving credit facility maturing in May 2022 (the “2015 Credit Facility”, as more fully discussed in Note 9: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unaudited condensed consolidated financial statements in Item 1 in this Quarterly Report on Form 10-Q). This agreement includes restrictive covenants that may impact the way 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or desirable, or even any, terms to fund investments, acquisitions, stock repurchases, dividends, debt refinancing or extraordinary actions or that counterparties in any such financings would honor their contractual commitments.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At September 30, 2019, we had no outstanding long-term debt; however, we continue to have existing credit facilities from which we can borrow significant amounts. As such, we are still subject to risks relating to our indebtedness that include:</w:t>
      </w:r>
    </w:p>
    <w:p>
      <w:pPr>
        <w:spacing w:after="0" w:line="170"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160" w:hanging="384"/>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the then existing debt levels, the risks described above could intensify.</w:t>
      </w:r>
    </w:p>
    <w:p>
      <w:pPr>
        <w:spacing w:after="0" w:line="25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these covenants could have a material adverse effect on us.</w:t>
      </w:r>
    </w:p>
    <w:p>
      <w:pPr>
        <w:spacing w:after="0" w:line="124"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9" w:name="page60"/>
    <w:bookmarkEnd w:id="59"/>
    <w:p>
      <w:pPr>
        <w:ind w:right="140" w:firstLine="518"/>
        <w:spacing w:after="0" w:line="279"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facility.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will fluctuate from quarter to quarter and are difficult to predict.</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quarterly financial results have fluctuated in the past and will likely fluctuate in the future. Additionally, we have limited operating history with the current scale of our business, which means it is difficult to forecast our financial results. As a result, you should not rely upon our quarterly financial results as indicators of future performance. Our financial results in any given quarter can be influenced by numerous factors, many of which we are unable to predict or are outside of our control, including:</w:t>
      </w:r>
    </w:p>
    <w:p>
      <w:pPr>
        <w:spacing w:after="0" w:line="79" w:lineRule="exact"/>
        <w:rPr>
          <w:sz w:val="20"/>
          <w:szCs w:val="20"/>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grow our user base and to increase user engagement;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 in marketing, sales and other operation expenses that we will incur to grow and expand our operations and to remain competitive;</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episodic global or regional events or other factors;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of our ads and other products;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117" w:lineRule="exact"/>
        <w:rPr>
          <w:rFonts w:ascii="Arial" w:cs="Arial" w:eastAsia="Arial" w:hAnsi="Arial"/>
          <w:sz w:val="18"/>
          <w:szCs w:val="18"/>
          <w:color w:val="auto"/>
        </w:rPr>
      </w:pPr>
    </w:p>
    <w:p>
      <w:pPr>
        <w:ind w:left="1040" w:right="320" w:hanging="384"/>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data protection, or engagement by government regulators, including final orders or consent decrees;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impact of changes in tax laws, which are recorded in the period enacted and may significantly affect our effective income tax rates;</w:t>
      </w:r>
    </w:p>
    <w:p>
      <w:pPr>
        <w:spacing w:after="0" w:line="128" w:lineRule="exact"/>
        <w:rPr>
          <w:rFonts w:ascii="Arial" w:cs="Arial" w:eastAsia="Arial" w:hAnsi="Arial"/>
          <w:sz w:val="17"/>
          <w:szCs w:val="17"/>
          <w:color w:val="auto"/>
        </w:rPr>
      </w:pPr>
    </w:p>
    <w:p>
      <w:pPr>
        <w:ind w:left="1040" w:right="280" w:hanging="384"/>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obligations that may arise from resolutions of tax examinations, including the examinations we are currently under that may materially differ from the amounts we have anticipated;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3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60" w:name="page61"/>
    <w:bookmarkEnd w:id="60"/>
    <w:p>
      <w:pPr>
        <w:ind w:right="620"/>
        <w:spacing w:after="0" w:line="277" w:lineRule="auto"/>
        <w:rPr>
          <w:sz w:val="20"/>
          <w:szCs w:val="20"/>
          <w:color w:val="auto"/>
        </w:rPr>
      </w:pPr>
      <w:r>
        <w:rPr>
          <w:rFonts w:ascii="Arial" w:cs="Arial" w:eastAsia="Arial" w:hAnsi="Arial"/>
          <w:sz w:val="18"/>
          <w:szCs w:val="18"/>
          <w:b w:val="1"/>
          <w:bCs w:val="1"/>
          <w:i w:val="1"/>
          <w:iCs w:val="1"/>
          <w:color w:val="auto"/>
        </w:rPr>
        <w:t>Our effective income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income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For example, the OECD has recently recommended changes to numerous long-standing international tax principles. If countries amend their tax laws to adopt certain parts of the OECD guidelines, this may increase tax uncertainty and may adversely impact our tax liabilities. Any of these changes could affect our financial performance.</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final determination of audits could be materially different from our income tax provisions and accruals and could have a material effect on our financial position, results of operations, or cash flows in the period or periods for which that determination is made. Also, our future effective income tax rates could be affected by changes in the mix of earnings in countries with differing statutory tax rates, changes in valuation of deferred tax assets or changes in tax laws or their interpretation. If our effective income tax rates were to increase, our results of operations and cash flows would be adversely affected.</w:t>
      </w:r>
    </w:p>
    <w:p>
      <w:pPr>
        <w:spacing w:after="0" w:line="15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income tax rate. In periods in which our stock price is higher than the grant-date price of the share-based compensation awards vesting in that period, we will recognize excess tax benefits that will decrease our effective income tax rate. In periods in which our stock price is lower than the grant-date price of the share-based compensation awards vesting in that period, our effective income tax rate will increase.</w:t>
      </w:r>
    </w:p>
    <w:p>
      <w:pPr>
        <w:spacing w:after="0" w:line="18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Additionally, we continue to accumulate positive cash flow in foreign jurisdictions, which we consider indefinitely reinvested,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certain income taxes or tax benefits, which are not expected to be material.</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Application of U.S. state and local or international tax laws, changes in tax laws or tax rulings, or the examination of our tax positions, could materially affect our financial position and results of operations.</w:t>
      </w:r>
    </w:p>
    <w:p>
      <w:pPr>
        <w:spacing w:after="0" w:line="170"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As an international business, we are subject to incomes taxes and non-income-based taxes in the United States and various other international jurisdictions. 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due to economic and political conditions, tax rates and tax regimes in various jurisdictions may be subject to significant change and the tax benefits that we intend to eventually derive could be undermined due to changing tax laws. Governments are increasingly focused on ways to increase tax revenues, which has contributed to an increase in audit activity,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w:t>
      </w:r>
    </w:p>
    <w:p>
      <w:pPr>
        <w:spacing w:after="0" w:line="16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2017 Tax Act has resulted in significant changes to the U.S. corporate income tax system. The tax law changes by the 2017 Tax Act are broad and complex and there are still uncertainties about how the 2017 Tax Act will be interpreted at both the U.S. federal and state levels. The U.S. Treasury Department, the IRS and other standard-setting bodies could interpret or issue guidance on how provisions of the 2017 Tax Act will be applied or otherwise administered that is different from our interpretation. This could materially change the taxes that we recorded in 2017 and 2018, and the expected future impact of the 2017 Tax Act on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p>
      <w:pPr>
        <w:ind w:firstLine="518"/>
        <w:spacing w:after="0" w:line="270" w:lineRule="auto"/>
        <w:rPr>
          <w:sz w:val="20"/>
          <w:szCs w:val="20"/>
          <w:color w:val="auto"/>
        </w:rPr>
      </w:pPr>
      <w:r>
        <w:rPr>
          <w:rFonts w:ascii="Arial" w:cs="Arial" w:eastAsia="Arial" w:hAnsi="Arial"/>
          <w:sz w:val="17"/>
          <w:szCs w:val="17"/>
          <w:color w:val="auto"/>
        </w:rPr>
        <w:t>The OECD has been working on a Base Erosion and Profit Shifting Project, and issued the Action 1 report in 2015 to address the tax challenges arising from digitalization. Since then, the OECD/G20 Inclusive Framework have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In July 2019, France signed into law a 3% digital services tax to be applied retroactively as of January 1, 2019. We recorded an estimate of $3 million for digital service tax to general and administrative expense on our unaudited condensed consolidated statement of operations during the three months ended September 30, 2019, however we continue to assess the financial impact of this new law. The Company is also monitoring other countries in which we do business, such as Italy, Spain, and the United Kingdom who have also proposed similar taxes which are likely to be applicable at some point during 2020. The Company will continue to monitor developments and determine the financial impact worldwide of these initiatives.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Any changes to international tax laws, including new definitions of permanent establishment, could affect the tax treatment of our foreign earnings and adversely impact our effective income tax rate. Further, changes to tax laws and additional reporting requirements could increase the complexity, burden and cost of compliance. Due to the large and expanding scale of our international business activities, any changes in U.S. or international taxation of our activities or the combined effect of tax laws in multiple jurisdictions may increase our worldwide effective income tax rate, increase the complexity and costs associated with tax compliance (especially if changes are implemented or interpreted inconsistently across tax jurisdictions) and adversely affect our cash flows and results of operations.</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treatment of companies engaged in e-commerce may adversely affect the commercial use of our sites and our financial results.</w:t>
      </w:r>
    </w:p>
    <w:p>
      <w:pPr>
        <w:spacing w:after="0" w:line="248" w:lineRule="exact"/>
        <w:rPr>
          <w:sz w:val="20"/>
          <w:szCs w:val="20"/>
          <w:color w:val="auto"/>
        </w:rPr>
      </w:pPr>
    </w:p>
    <w:p>
      <w:pPr>
        <w:ind w:firstLine="507"/>
        <w:spacing w:after="0" w:line="286" w:lineRule="auto"/>
        <w:rPr>
          <w:sz w:val="20"/>
          <w:szCs w:val="20"/>
          <w:color w:val="auto"/>
        </w:rPr>
      </w:pPr>
      <w:r>
        <w:rPr>
          <w:rFonts w:ascii="Arial" w:cs="Arial" w:eastAsia="Arial" w:hAnsi="Arial"/>
          <w:sz w:val="16"/>
          <w:szCs w:val="16"/>
          <w:color w:val="auto"/>
        </w:rPr>
        <w:t>Due to the global nature of the internet, it is possible that various states or foreign countries might attempt to levy additional or new sales, income or other taxes relating to our activities. Tax authorities at the international, federal, state and local levels are currently reviewing the appropriate treatment of companies engaged in e-commerce.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Also, as described in more detail above, the European Commission released two draft directives on the Taxation of the Digital Economy and, on July 24, 2019, President Macron signed into law the French Digital Services Tax.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condition and operating results.</w:t>
      </w:r>
    </w:p>
    <w:p>
      <w:pPr>
        <w:spacing w:after="0" w:line="17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Taxing authorities may successfully assert that we should have collected or in the future should collect sales and use, occupancy, VAT or similar taxes, and we could be subject to liability with respect to past or future sales, which could adversely affect our operating results.</w:t>
      </w:r>
    </w:p>
    <w:p>
      <w:pPr>
        <w:spacing w:after="0" w:line="147" w:lineRule="exact"/>
        <w:rPr>
          <w:sz w:val="20"/>
          <w:szCs w:val="20"/>
          <w:color w:val="auto"/>
        </w:rPr>
      </w:pPr>
    </w:p>
    <w:p>
      <w:pPr>
        <w:ind w:right="20" w:firstLine="507"/>
        <w:spacing w:after="0" w:line="290" w:lineRule="auto"/>
        <w:rPr>
          <w:sz w:val="20"/>
          <w:szCs w:val="20"/>
          <w:color w:val="auto"/>
        </w:rPr>
      </w:pPr>
      <w:r>
        <w:rPr>
          <w:rFonts w:ascii="Arial" w:cs="Arial" w:eastAsia="Arial" w:hAnsi="Arial"/>
          <w:sz w:val="16"/>
          <w:szCs w:val="16"/>
          <w:color w:val="auto"/>
        </w:rPr>
        <w:t>We do not collect and 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or cases that are pending in the courts. In the event of an adverse outcome, we could face assessments for additional time periods since the last assessments we received,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We continue to be subject to significant potential tax liabilities in connection with the Spin-Off.</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78"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2011 tax years. In connection with that audit, we received, in January 2017 and April 2019, notices of proposed adjustment from the IRS for the 2009, 2010, and 2011 tax years, which would result in an increase in our worldwide income tax expense. The proposed adjustments would result in an increase to our worldwide income tax expense in an estimated range totaling $15 million to $20 million for those specific years related to the pre spin-off years after consideration of competent authority relief, exclusive of interest and penalties and potential reductions in transition tax, as part of the 2017 Tax Act, which could be significant. The outcome of these matters or any other audits could subject us to significant tax liabilities.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conduct a significant and growing portion of our business outside the United States but report our results in U.S. dollars. As a result, we face exposure to movements in foreign currency exchange rates, particularly those related to the Euro, British pound,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Brexit caused significant volatility in currency exchange rates, especially between the U.S. dollar and the British pound. Continued uncertainty regarding Brexit may result in future exchange rate volatility. In addition,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16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one of our Directors, Albert Rosenthaler, also serve as officers and directors of LTRIP. LTRIP may have interests that differ from those of our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3" w:name="page64"/>
    <w:bookmarkEnd w:id="63"/>
    <w:p>
      <w:pPr>
        <w:ind w:right="140"/>
        <w:spacing w:after="0" w:line="259" w:lineRule="auto"/>
        <w:rPr>
          <w:sz w:val="20"/>
          <w:szCs w:val="20"/>
          <w:color w:val="auto"/>
        </w:rPr>
      </w:pPr>
      <w:r>
        <w:rPr>
          <w:rFonts w:ascii="Arial" w:cs="Arial" w:eastAsia="Arial" w:hAnsi="Arial"/>
          <w:sz w:val="18"/>
          <w:szCs w:val="18"/>
          <w:color w:val="auto"/>
        </w:rPr>
        <w:t>other stockholders and they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40" w:hanging="384"/>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20" w:hanging="384"/>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40" w:right="82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8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do not pay regular quarterly or annual cash dividends on our stock.</w:t>
      </w:r>
    </w:p>
    <w:p>
      <w:pPr>
        <w:spacing w:after="0" w:line="225" w:lineRule="exact"/>
        <w:rPr>
          <w:sz w:val="20"/>
          <w:szCs w:val="20"/>
          <w:color w:val="auto"/>
        </w:rPr>
      </w:pPr>
    </w:p>
    <w:p>
      <w:pPr>
        <w:jc w:val="both"/>
        <w:ind w:right="180" w:firstLine="518"/>
        <w:spacing w:after="0" w:line="288" w:lineRule="auto"/>
        <w:rPr>
          <w:sz w:val="20"/>
          <w:szCs w:val="20"/>
          <w:color w:val="auto"/>
        </w:rPr>
      </w:pPr>
      <w:r>
        <w:rPr>
          <w:rFonts w:ascii="Arial" w:cs="Arial" w:eastAsia="Arial" w:hAnsi="Arial"/>
          <w:sz w:val="16"/>
          <w:szCs w:val="16"/>
          <w:color w:val="auto"/>
        </w:rPr>
        <w:t>On November 1, 2019, the Company's Board of Directors declared a special cash dividend of $3.50 per share, or approximately $490 million in the aggregate.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w:t>
      </w:r>
    </w:p>
    <w:p>
      <w:pPr>
        <w:jc w:val="both"/>
        <w:spacing w:after="0" w:line="255" w:lineRule="auto"/>
        <w:rPr>
          <w:sz w:val="20"/>
          <w:szCs w:val="20"/>
          <w:color w:val="auto"/>
        </w:rPr>
      </w:pPr>
      <w:r>
        <w:rPr>
          <w:rFonts w:ascii="Arial" w:cs="Arial" w:eastAsia="Arial" w:hAnsi="Arial"/>
          <w:sz w:val="18"/>
          <w:szCs w:val="18"/>
          <w:color w:val="auto"/>
        </w:rPr>
        <w:t>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Sales 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equity securities.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62" w:lineRule="exact"/>
        <w:rPr>
          <w:sz w:val="20"/>
          <w:szCs w:val="20"/>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040" w:right="80" w:hanging="384"/>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During the quarter ended September 30, 2019,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On January 31, 2018, our Board of Directors authorized a repurchase of up to $250 million of our shares of common stock under a share repurchase program. This share repurchase program has no expiration date but may be suspended or terminated by the Board of Directors at any time. Our Board of Directors authorized and directed management, working with the Executive Committee of our Board of Directors, to affect the share repurchase program in compliance with applicable legal requirements. The Company did not repurchase any shares of outstanding common stock during the three and nine months ended September 30, 2019 under this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5" w:name="page66"/>
    <w:bookmarkEnd w:id="65"/>
    <w:p>
      <w:pPr>
        <w:ind w:right="80"/>
        <w:spacing w:after="0" w:line="259" w:lineRule="auto"/>
        <w:rPr>
          <w:sz w:val="20"/>
          <w:szCs w:val="20"/>
          <w:color w:val="auto"/>
        </w:rPr>
      </w:pPr>
      <w:r>
        <w:rPr>
          <w:rFonts w:ascii="Arial" w:cs="Arial" w:eastAsia="Arial" w:hAnsi="Arial"/>
          <w:sz w:val="18"/>
          <w:szCs w:val="18"/>
          <w:color w:val="auto"/>
        </w:rPr>
        <w:t>existing share repurchase program. As of September 30, 2019, we had a remaining $150 million available to repurchase shares of our common stock under this share repurchase program. On November 1, 2019, the Company's Board of Directors authorized the repurchase of an additional $100 million in shares of our common stock under our existing share repurchase program, which increased the amount available to the Company under this share repurchase program to $250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70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Filed</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42"/>
        </w:trPr>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7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rPr>
              <w:t>Form  SEC File No.  Exhibit  Filing Date</w:t>
            </w:r>
          </w:p>
        </w:tc>
        <w:tc>
          <w:tcPr>
            <w:tcW w:w="0" w:type="dxa"/>
            <w:vAlign w:val="bottom"/>
          </w:tcPr>
          <w:p>
            <w:pPr>
              <w:spacing w:after="0"/>
              <w:rPr>
                <w:sz w:val="1"/>
                <w:szCs w:val="1"/>
                <w:color w:val="auto"/>
              </w:rPr>
            </w:pPr>
          </w:p>
        </w:tc>
      </w:tr>
      <w:tr>
        <w:trPr>
          <w:trHeight w:val="291"/>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0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w w:val="92"/>
              </w:rPr>
              <w:t>Certification of the Chief Executive Officer pursuant to Section 302 of the Sarbanes-Oxley Act of</w:t>
            </w: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60" w:type="dxa"/>
            <w:vAlign w:val="bottom"/>
            <w:gridSpan w:val="2"/>
          </w:tcPr>
          <w:p>
            <w:pPr>
              <w:ind w:left="100"/>
              <w:spacing w:after="0" w:line="182" w:lineRule="exact"/>
              <w:rPr>
                <w:sz w:val="20"/>
                <w:szCs w:val="20"/>
                <w:color w:val="auto"/>
              </w:rPr>
            </w:pPr>
            <w:r>
              <w:rPr>
                <w:rFonts w:ascii="Arial" w:cs="Arial" w:eastAsia="Arial" w:hAnsi="Arial"/>
                <w:sz w:val="18"/>
                <w:szCs w:val="18"/>
                <w:color w:val="0000EE"/>
                <w:w w:val="84"/>
              </w:rPr>
              <w:t>2002</w:t>
            </w:r>
          </w:p>
        </w:tc>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X</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70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the Chief Financial Officer pursuant to Section 302 of the Sarbanes-Oxley Act of</w:t>
            </w:r>
          </w:p>
        </w:tc>
        <w:tc>
          <w:tcPr>
            <w:tcW w:w="1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60" w:type="dxa"/>
            <w:vAlign w:val="bottom"/>
            <w:gridSpan w:val="2"/>
          </w:tcPr>
          <w:p>
            <w:pPr>
              <w:ind w:left="100"/>
              <w:spacing w:after="0" w:line="182" w:lineRule="exact"/>
              <w:rPr>
                <w:sz w:val="20"/>
                <w:szCs w:val="20"/>
                <w:color w:val="auto"/>
              </w:rPr>
            </w:pPr>
            <w:r>
              <w:rPr>
                <w:rFonts w:ascii="Arial" w:cs="Arial" w:eastAsia="Arial" w:hAnsi="Arial"/>
                <w:sz w:val="18"/>
                <w:szCs w:val="18"/>
                <w:color w:val="0000EE"/>
                <w:w w:val="84"/>
              </w:rPr>
              <w:t>2002</w:t>
            </w:r>
          </w:p>
        </w:tc>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X</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0000EE"/>
                <w:w w:val="93"/>
              </w:rPr>
              <w:t>Certification of the Chief Executive Officer pursuant to Section 906 of the Sarbanes-Oxley Act of</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60" w:type="dxa"/>
            <w:vAlign w:val="bottom"/>
            <w:gridSpan w:val="2"/>
          </w:tcPr>
          <w:p>
            <w:pPr>
              <w:ind w:left="100"/>
              <w:spacing w:after="0" w:line="182" w:lineRule="exact"/>
              <w:rPr>
                <w:sz w:val="20"/>
                <w:szCs w:val="20"/>
                <w:color w:val="auto"/>
              </w:rPr>
            </w:pPr>
            <w:r>
              <w:rPr>
                <w:rFonts w:ascii="Arial" w:cs="Arial" w:eastAsia="Arial" w:hAnsi="Arial"/>
                <w:sz w:val="18"/>
                <w:szCs w:val="18"/>
                <w:color w:val="0000EE"/>
                <w:w w:val="84"/>
              </w:rPr>
              <w:t>2002</w:t>
            </w:r>
          </w:p>
        </w:tc>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X</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70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the Chief Financial Officer pursuant to Section 906 of the Sarbanes-Oxley Act of</w:t>
            </w:r>
          </w:p>
        </w:tc>
        <w:tc>
          <w:tcPr>
            <w:tcW w:w="1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60" w:type="dxa"/>
            <w:vAlign w:val="bottom"/>
            <w:gridSpan w:val="2"/>
          </w:tcPr>
          <w:p>
            <w:pPr>
              <w:ind w:left="100"/>
              <w:spacing w:after="0" w:line="182" w:lineRule="exact"/>
              <w:rPr>
                <w:sz w:val="20"/>
                <w:szCs w:val="20"/>
                <w:color w:val="auto"/>
              </w:rPr>
            </w:pPr>
            <w:r>
              <w:rPr>
                <w:rFonts w:ascii="Arial" w:cs="Arial" w:eastAsia="Arial" w:hAnsi="Arial"/>
                <w:sz w:val="18"/>
                <w:szCs w:val="18"/>
                <w:color w:val="0000EE"/>
                <w:w w:val="84"/>
              </w:rPr>
              <w:t>2002</w:t>
            </w:r>
          </w:p>
        </w:tc>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X</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6" w:name="page67"/>
    <w:bookmarkEnd w:id="66"/>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66"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Ernst Teunissen</w:t>
      </w:r>
    </w:p>
    <w:p>
      <w:pPr>
        <w:spacing w:after="0" w:line="23"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27012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November 6,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60"/>
          </w:cols>
          <w:pgMar w:left="240" w:top="364" w:right="7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2019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2019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2019,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2019,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3"/>
    </w:lvl>
  </w:abstractNum>
  <w:abstractNum w:abstractNumId="18">
    <w:nsid w:val="3A95F874"/>
    <w:multiLevelType w:val="hybridMultilevel"/>
    <w:lvl w:ilvl="0">
      <w:lvlJc w:val="left"/>
      <w:lvlText w:val="(%1)"/>
      <w:numFmt w:val="decimal"/>
      <w:start w:val="5"/>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2019-12-28T02:30:58Z</dcterms:created>
  <dcterms:modified xsi:type="dcterms:W3CDTF">2019-12-28T02:30:58Z</dcterms:modified>
</cp:coreProperties>
</file>