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2" w:lineRule="exact"/>
        <w:rPr>
          <w:sz w:val="24"/>
          <w:szCs w:val="24"/>
          <w:color w:val="auto"/>
        </w:rPr>
      </w:pPr>
    </w:p>
    <w:p>
      <w:pPr>
        <w:ind w:left="520" w:right="42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520" w:right="40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34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40" w:type="dxa"/>
            <w:vAlign w:val="bottom"/>
            <w:tcBorders>
              <w:bottom w:val="single" w:sz="8" w:color="auto"/>
            </w:tcBorders>
          </w:tcPr>
          <w:p>
            <w:pPr>
              <w:spacing w:after="0"/>
              <w:rPr>
                <w:sz w:val="17"/>
                <w:szCs w:val="17"/>
                <w:color w:val="auto"/>
              </w:rPr>
            </w:pPr>
          </w:p>
        </w:tc>
      </w:tr>
      <w:tr>
        <w:trPr>
          <w:trHeight w:val="399"/>
        </w:trPr>
        <w:tc>
          <w:tcPr>
            <w:tcW w:w="4460" w:type="dxa"/>
            <w:vAlign w:val="bottom"/>
            <w:gridSpan w:val="4"/>
          </w:tcPr>
          <w:p>
            <w:pPr>
              <w:ind w:left="840"/>
              <w:spacing w:after="0"/>
              <w:rPr>
                <w:sz w:val="20"/>
                <w:szCs w:val="20"/>
                <w:color w:val="auto"/>
              </w:rPr>
            </w:pPr>
            <w:r>
              <w:rPr>
                <w:rFonts w:ascii="Arial" w:cs="Arial" w:eastAsia="Arial" w:hAnsi="Arial"/>
                <w:sz w:val="18"/>
                <w:szCs w:val="18"/>
                <w:b w:val="1"/>
                <w:bCs w:val="1"/>
                <w:color w:val="auto"/>
              </w:rPr>
              <w:t>Commission file number: 001-35362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TRIPADVISOR,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p>
      <w:pPr>
        <w:spacing w:after="0" w:line="286"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80-0743202</w:t>
      </w:r>
    </w:p>
    <w:p>
      <w:pPr>
        <w:spacing w:after="0" w:line="31" w:lineRule="exact"/>
        <w:rPr>
          <w:sz w:val="24"/>
          <w:szCs w:val="24"/>
          <w:color w:val="auto"/>
        </w:rPr>
      </w:pPr>
    </w:p>
    <w:p>
      <w:pPr>
        <w:sectPr>
          <w:pgSz w:w="11900" w:h="16838" w:orient="portrait"/>
          <w:cols w:equalWidth="0" w:num="2">
            <w:col w:w="8160" w:space="720"/>
            <w:col w:w="2560"/>
          </w:cols>
          <w:pgMar w:left="240" w:top="341" w:right="219" w:bottom="1440" w:gutter="0" w:footer="0" w:header="0"/>
          <w:type w:val="continuous"/>
        </w:sectPr>
      </w:pPr>
    </w:p>
    <w:p>
      <w:pPr>
        <w:spacing w:after="0" w:line="12" w:lineRule="exact"/>
        <w:rPr>
          <w:sz w:val="24"/>
          <w:szCs w:val="24"/>
          <w:color w:val="auto"/>
        </w:rPr>
      </w:pPr>
    </w:p>
    <w:p>
      <w:pPr>
        <w:ind w:left="2600"/>
        <w:spacing w:after="0"/>
        <w:rPr>
          <w:sz w:val="20"/>
          <w:szCs w:val="20"/>
          <w:color w:val="auto"/>
        </w:rPr>
      </w:pPr>
      <w:r>
        <w:rPr>
          <w:rFonts w:ascii="Arial" w:cs="Arial" w:eastAsia="Arial" w:hAnsi="Arial"/>
          <w:sz w:val="13"/>
          <w:szCs w:val="13"/>
          <w:b w:val="1"/>
          <w:bCs w:val="1"/>
          <w:color w:val="auto"/>
        </w:rPr>
        <w:t>(State or other jurisdiction of</w:t>
      </w:r>
    </w:p>
    <w:p>
      <w:pPr>
        <w:ind w:left="25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36" w:lineRule="exact"/>
        <w:rPr>
          <w:sz w:val="24"/>
          <w:szCs w:val="24"/>
          <w:color w:val="auto"/>
        </w:rPr>
      </w:pPr>
    </w:p>
    <w:p>
      <w:pPr>
        <w:sectPr>
          <w:pgSz w:w="11900" w:h="16838" w:orient="portrait"/>
          <w:cols w:equalWidth="0" w:num="2">
            <w:col w:w="8020" w:space="720"/>
            <w:col w:w="2700"/>
          </w:cols>
          <w:pgMar w:left="240" w:top="341" w:right="21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400 1</w:t>
      </w:r>
      <w:r>
        <w:rPr>
          <w:rFonts w:ascii="Arial" w:cs="Arial" w:eastAsia="Arial" w:hAnsi="Arial"/>
          <w:sz w:val="15"/>
          <w:szCs w:val="15"/>
          <w:b w:val="1"/>
          <w:bCs w:val="1"/>
          <w:color w:val="auto"/>
        </w:rPr>
        <w:t>st</w:t>
      </w:r>
      <w:r>
        <w:rPr>
          <w:rFonts w:ascii="Arial" w:cs="Arial" w:eastAsia="Arial" w:hAnsi="Arial"/>
          <w:sz w:val="18"/>
          <w:szCs w:val="18"/>
          <w:b w:val="1"/>
          <w:bCs w:val="1"/>
          <w:color w:val="auto"/>
        </w:rPr>
        <w:t xml:space="preserve">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Needham, MA 02494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134620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type w:val="continuous"/>
        </w:sectPr>
      </w:pPr>
    </w:p>
    <w:p>
      <w:pPr>
        <w:spacing w:after="0" w:line="391" w:lineRule="exact"/>
        <w:rPr>
          <w:sz w:val="24"/>
          <w:szCs w:val="24"/>
          <w:color w:val="auto"/>
        </w:rPr>
      </w:pPr>
    </w:p>
    <w:p>
      <w:pPr>
        <w:ind w:right="36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38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0" w:firstLine="518"/>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00" w:type="dxa"/>
            <w:vAlign w:val="bottom"/>
          </w:tcPr>
          <w:p>
            <w:pPr>
              <w:spacing w:after="0"/>
              <w:rPr>
                <w:sz w:val="20"/>
                <w:szCs w:val="20"/>
                <w:color w:val="auto"/>
              </w:rPr>
            </w:pPr>
            <w:r>
              <w:rPr>
                <w:rFonts w:ascii="Arial" w:cs="Arial" w:eastAsia="Arial" w:hAnsi="Arial"/>
                <w:sz w:val="18"/>
                <w:szCs w:val="18"/>
                <w:color w:val="auto"/>
                <w:w w:val="94"/>
              </w:rPr>
              <w:t>Large accelerated filer</w:t>
            </w:r>
          </w:p>
        </w:tc>
        <w:tc>
          <w:tcPr>
            <w:tcW w:w="6260" w:type="dxa"/>
            <w:vAlign w:val="bottom"/>
            <w:gridSpan w:val="3"/>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82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0"/>
                <w:szCs w:val="20"/>
                <w:color w:val="auto"/>
              </w:rPr>
            </w:pPr>
            <w:r>
              <w:rPr>
                <w:rFonts w:ascii="Arial" w:cs="Arial" w:eastAsia="Arial" w:hAnsi="Arial"/>
                <w:sz w:val="18"/>
                <w:szCs w:val="18"/>
                <w:color w:val="auto"/>
              </w:rPr>
              <w:t>Non-accelerated filer</w:t>
            </w:r>
          </w:p>
        </w:tc>
        <w:tc>
          <w:tcPr>
            <w:tcW w:w="6260" w:type="dxa"/>
            <w:vAlign w:val="bottom"/>
            <w:gridSpan w:val="3"/>
          </w:tcPr>
          <w:p>
            <w:pPr>
              <w:ind w:left="8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82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960" w:type="dxa"/>
            <w:vAlign w:val="bottom"/>
            <w:gridSpan w:val="4"/>
          </w:tcPr>
          <w:p>
            <w:pPr>
              <w:ind w:left="520"/>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282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00" w:type="dxa"/>
            <w:vAlign w:val="bottom"/>
            <w:tcBorders>
              <w:bottom w:val="single" w:sz="8" w:color="auto"/>
            </w:tcBorders>
          </w:tcPr>
          <w:p>
            <w:pPr>
              <w:spacing w:after="0"/>
              <w:rPr>
                <w:sz w:val="22"/>
                <w:szCs w:val="22"/>
                <w:color w:val="auto"/>
              </w:rPr>
            </w:pPr>
          </w:p>
        </w:tc>
        <w:tc>
          <w:tcPr>
            <w:tcW w:w="5480" w:type="dxa"/>
            <w:vAlign w:val="bottom"/>
            <w:tcBorders>
              <w:bottom w:val="single" w:sz="8" w:color="auto"/>
            </w:tcBorders>
          </w:tcPr>
          <w:p>
            <w:pPr>
              <w:jc w:val="center"/>
              <w:ind w:right="1614"/>
              <w:spacing w:after="0"/>
              <w:rPr>
                <w:sz w:val="20"/>
                <w:szCs w:val="20"/>
                <w:color w:val="auto"/>
              </w:rPr>
            </w:pPr>
            <w:r>
              <w:rPr>
                <w:rFonts w:ascii="Arial" w:cs="Arial" w:eastAsia="Arial" w:hAnsi="Arial"/>
                <w:sz w:val="14"/>
                <w:szCs w:val="14"/>
                <w:color w:val="auto"/>
                <w:w w:val="85"/>
              </w:rPr>
              <w:t>Class</w:t>
            </w:r>
          </w:p>
        </w:tc>
        <w:tc>
          <w:tcPr>
            <w:tcW w:w="780" w:type="dxa"/>
            <w:vAlign w:val="bottom"/>
            <w:gridSpan w:val="2"/>
          </w:tcPr>
          <w:p>
            <w:pPr>
              <w:spacing w:after="0"/>
              <w:rPr>
                <w:sz w:val="22"/>
                <w:szCs w:val="22"/>
                <w:color w:val="auto"/>
              </w:rPr>
            </w:pPr>
          </w:p>
        </w:tc>
        <w:tc>
          <w:tcPr>
            <w:tcW w:w="2820" w:type="dxa"/>
            <w:vAlign w:val="bottom"/>
          </w:tcPr>
          <w:p>
            <w:pPr>
              <w:jc w:val="center"/>
              <w:spacing w:after="0"/>
              <w:rPr>
                <w:sz w:val="20"/>
                <w:szCs w:val="20"/>
                <w:color w:val="auto"/>
              </w:rPr>
            </w:pPr>
            <w:r>
              <w:rPr>
                <w:rFonts w:ascii="Arial" w:cs="Arial" w:eastAsia="Arial" w:hAnsi="Arial"/>
                <w:sz w:val="14"/>
                <w:szCs w:val="14"/>
                <w:color w:val="auto"/>
                <w:w w:val="91"/>
              </w:rPr>
              <w:t>Outstanding Shares at July 29, 2016</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580" w:type="dxa"/>
            <w:vAlign w:val="bottom"/>
            <w:gridSpan w:val="2"/>
            <w:vMerge w:val="restart"/>
          </w:tcPr>
          <w:p>
            <w:pPr>
              <w:jc w:val="center"/>
              <w:ind w:right="1780"/>
              <w:spacing w:after="0"/>
              <w:rPr>
                <w:sz w:val="20"/>
                <w:szCs w:val="20"/>
                <w:color w:val="auto"/>
              </w:rPr>
            </w:pPr>
            <w:r>
              <w:rPr>
                <w:rFonts w:ascii="Arial" w:cs="Arial" w:eastAsia="Arial" w:hAnsi="Arial"/>
                <w:sz w:val="18"/>
                <w:szCs w:val="18"/>
                <w:color w:val="auto"/>
                <w:w w:val="89"/>
              </w:rPr>
              <w:t>Common Stock, $0.001 par value per share</w:t>
            </w:r>
          </w:p>
        </w:tc>
        <w:tc>
          <w:tcPr>
            <w:tcW w:w="6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700" w:type="dxa"/>
            <w:vAlign w:val="bottom"/>
          </w:tcPr>
          <w:p>
            <w:pPr>
              <w:spacing w:after="0"/>
              <w:rPr>
                <w:sz w:val="15"/>
                <w:szCs w:val="15"/>
                <w:color w:val="auto"/>
              </w:rPr>
            </w:pPr>
          </w:p>
        </w:tc>
        <w:tc>
          <w:tcPr>
            <w:tcW w:w="558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2820" w:type="dxa"/>
            <w:vAlign w:val="bottom"/>
          </w:tcPr>
          <w:p>
            <w:pPr>
              <w:jc w:val="center"/>
              <w:spacing w:after="0" w:line="182" w:lineRule="exact"/>
              <w:rPr>
                <w:sz w:val="20"/>
                <w:szCs w:val="20"/>
                <w:color w:val="auto"/>
              </w:rPr>
            </w:pPr>
            <w:r>
              <w:rPr>
                <w:rFonts w:ascii="Arial" w:cs="Arial" w:eastAsia="Arial" w:hAnsi="Arial"/>
                <w:sz w:val="18"/>
                <w:szCs w:val="18"/>
                <w:color w:val="auto"/>
                <w:w w:val="87"/>
              </w:rPr>
              <w:t>132,857,694 shares</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6260" w:type="dxa"/>
            <w:vAlign w:val="bottom"/>
            <w:gridSpan w:val="3"/>
          </w:tcPr>
          <w:p>
            <w:pPr>
              <w:jc w:val="center"/>
              <w:ind w:right="2480"/>
              <w:spacing w:after="0"/>
              <w:rPr>
                <w:sz w:val="20"/>
                <w:szCs w:val="20"/>
                <w:color w:val="auto"/>
              </w:rPr>
            </w:pPr>
            <w:r>
              <w:rPr>
                <w:rFonts w:ascii="Arial" w:cs="Arial" w:eastAsia="Arial" w:hAnsi="Arial"/>
                <w:sz w:val="18"/>
                <w:szCs w:val="18"/>
                <w:color w:val="auto"/>
                <w:w w:val="89"/>
              </w:rPr>
              <w:t>Class B common stock, $0.001 par value per share</w:t>
            </w:r>
          </w:p>
        </w:tc>
        <w:tc>
          <w:tcPr>
            <w:tcW w:w="2820" w:type="dxa"/>
            <w:vAlign w:val="bottom"/>
          </w:tcPr>
          <w:p>
            <w:pPr>
              <w:jc w:val="center"/>
              <w:spacing w:after="0"/>
              <w:rPr>
                <w:sz w:val="20"/>
                <w:szCs w:val="20"/>
                <w:color w:val="auto"/>
              </w:rPr>
            </w:pPr>
            <w:r>
              <w:rPr>
                <w:rFonts w:ascii="Arial" w:cs="Arial" w:eastAsia="Arial" w:hAnsi="Arial"/>
                <w:sz w:val="18"/>
                <w:szCs w:val="18"/>
                <w:color w:val="auto"/>
                <w:w w:val="87"/>
              </w:rPr>
              <w:t>12,799,999 shares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00" w:type="dxa"/>
            <w:vAlign w:val="bottom"/>
            <w:tcBorders>
              <w:bottom w:val="single" w:sz="8" w:color="auto"/>
            </w:tcBorders>
          </w:tcPr>
          <w:p>
            <w:pPr>
              <w:spacing w:after="0"/>
              <w:rPr>
                <w:sz w:val="9"/>
                <w:szCs w:val="9"/>
                <w:color w:val="auto"/>
              </w:rPr>
            </w:pPr>
          </w:p>
        </w:tc>
        <w:tc>
          <w:tcPr>
            <w:tcW w:w="5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170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8"/>
        </w:trPr>
        <w:tc>
          <w:tcPr>
            <w:tcW w:w="170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06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6"/>
        </w:trPr>
        <w:tc>
          <w:tcPr>
            <w:tcW w:w="11060" w:type="dxa"/>
            <w:vAlign w:val="bottom"/>
            <w:gridSpan w:val="19"/>
            <w:vMerge w:val="continue"/>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1060" w:type="dxa"/>
            <w:vAlign w:val="bottom"/>
            <w:gridSpan w:val="19"/>
          </w:tcPr>
          <w:p>
            <w:pPr>
              <w:spacing w:after="0"/>
              <w:rPr>
                <w:sz w:val="20"/>
                <w:szCs w:val="20"/>
                <w:color w:val="auto"/>
              </w:rPr>
            </w:pPr>
            <w:r>
              <w:rPr>
                <w:rFonts w:ascii="Arial" w:cs="Arial" w:eastAsia="Arial" w:hAnsi="Arial"/>
                <w:sz w:val="18"/>
                <w:szCs w:val="18"/>
                <w:color w:val="auto"/>
              </w:rPr>
              <w:t>Item 1. Financial Statements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0" w:type="dxa"/>
            <w:vAlign w:val="bottom"/>
          </w:tcPr>
          <w:p>
            <w:pPr>
              <w:spacing w:after="0"/>
              <w:rPr>
                <w:sz w:val="24"/>
                <w:szCs w:val="24"/>
                <w:color w:val="auto"/>
              </w:rPr>
            </w:pPr>
          </w:p>
        </w:tc>
        <w:tc>
          <w:tcPr>
            <w:tcW w:w="89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Condensed Consolidated Statements of Operations for the Three and Six Months Ended June 30, 2016 and 2015</w:t>
              </w:r>
            </w:hyperlink>
          </w:p>
        </w:tc>
        <w:tc>
          <w:tcPr>
            <w:tcW w:w="1720" w:type="dxa"/>
            <w:vAlign w:val="bottom"/>
            <w:gridSpan w:val="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18"/>
          </w:tcPr>
          <w:p>
            <w:pPr>
              <w:spacing w:after="0" w:line="196"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Unaudited Condensed Consolidated Statements of Comprehensive Income for the Three and Six Months Ended June 30, 2016 and 2015</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8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Balance Sheets at June 30, 2016 and December 31, 2015</w:t>
              </w:r>
            </w:hyperlink>
          </w:p>
        </w:tc>
        <w:tc>
          <w:tcPr>
            <w:tcW w:w="8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9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Condensed Consolidated Statement of Changes in Stockholders’ Equity for the Six Months Ended June 30, 2016</w:t>
              </w:r>
            </w:hyperlink>
          </w:p>
        </w:tc>
        <w:tc>
          <w:tcPr>
            <w:tcW w:w="16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Statements of Cash Flows for the Six Months Ended June 30, 2016 and 2015</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3380" w:type="dxa"/>
            <w:vAlign w:val="bottom"/>
            <w:tcBorders>
              <w:top w:val="single" w:sz="8" w:color="0000EE"/>
            </w:tcBorders>
            <w:gridSpan w:val="3"/>
          </w:tcPr>
          <w:p>
            <w:pPr>
              <w:spacing w:after="0"/>
              <w:rPr>
                <w:sz w:val="17"/>
                <w:szCs w:val="17"/>
                <w:color w:val="auto"/>
              </w:rPr>
            </w:pPr>
          </w:p>
        </w:tc>
        <w:tc>
          <w:tcPr>
            <w:tcW w:w="244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11060" w:type="dxa"/>
            <w:vAlign w:val="bottom"/>
            <w:gridSpan w:val="1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404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Item 4. Controls and Procedures</w:t>
              </w:r>
            </w:hyperlink>
          </w:p>
        </w:tc>
        <w:tc>
          <w:tcPr>
            <w:tcW w:w="872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2160" w:type="dxa"/>
            <w:vAlign w:val="bottom"/>
            <w:tcBorders>
              <w:bottom w:val="single" w:sz="8" w:color="0000EE"/>
            </w:tcBorders>
            <w:gridSpan w:val="7"/>
          </w:tcPr>
          <w:p>
            <w:pPr>
              <w:spacing w:after="0"/>
              <w:rPr>
                <w:rFonts w:ascii="Arial" w:cs="Arial" w:eastAsia="Arial" w:hAnsi="Arial"/>
                <w:sz w:val="18"/>
                <w:szCs w:val="18"/>
                <w:b w:val="1"/>
                <w:bCs w:val="1"/>
                <w:color w:val="0000EE"/>
                <w:w w:val="97"/>
              </w:rPr>
            </w:pPr>
            <w:hyperlink w:anchor="page37">
              <w:r>
                <w:rPr>
                  <w:rFonts w:ascii="Arial" w:cs="Arial" w:eastAsia="Arial" w:hAnsi="Arial"/>
                  <w:sz w:val="18"/>
                  <w:szCs w:val="18"/>
                  <w:b w:val="1"/>
                  <w:bCs w:val="1"/>
                  <w:color w:val="0000EE"/>
                  <w:w w:val="97"/>
                </w:rPr>
                <w:t>Part II—Other Information</w:t>
              </w:r>
            </w:hyperlink>
          </w:p>
        </w:tc>
        <w:tc>
          <w:tcPr>
            <w:tcW w:w="890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Item 1. Legal Proceedings</w:t>
              </w:r>
            </w:hyperlink>
          </w:p>
        </w:tc>
        <w:tc>
          <w:tcPr>
            <w:tcW w:w="9160" w:type="dxa"/>
            <w:vAlign w:val="bottom"/>
            <w:gridSpan w:val="1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Item 1A. Risk Factors</w:t>
              </w:r>
            </w:hyperlink>
          </w:p>
        </w:tc>
        <w:tc>
          <w:tcPr>
            <w:tcW w:w="946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Item 2. Unregistered Sales of Equity Securities and Use of Proceeds</w:t>
              </w:r>
            </w:hyperlink>
          </w:p>
        </w:tc>
        <w:tc>
          <w:tcPr>
            <w:tcW w:w="614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1060" w:type="dxa"/>
            <w:vAlign w:val="bottom"/>
            <w:gridSpan w:val="19"/>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Item 3. Defaults Upon Senior Securities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17"/>
                <w:szCs w:val="17"/>
                <w:color w:val="auto"/>
              </w:rPr>
            </w:pPr>
          </w:p>
        </w:tc>
        <w:tc>
          <w:tcPr>
            <w:tcW w:w="818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Item 5. Other Information</w:t>
              </w:r>
            </w:hyperlink>
          </w:p>
        </w:tc>
        <w:tc>
          <w:tcPr>
            <w:tcW w:w="918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1060" w:type="dxa"/>
            <w:vAlign w:val="bottom"/>
            <w:gridSpan w:val="1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Item 6. Exhibits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55">
              <w:r>
                <w:rPr>
                  <w:rFonts w:ascii="Arial" w:cs="Arial" w:eastAsia="Arial" w:hAnsi="Arial"/>
                  <w:sz w:val="18"/>
                  <w:szCs w:val="18"/>
                  <w:color w:val="0000EE"/>
                  <w:w w:val="88"/>
                </w:rPr>
                <w:t>Signature</w:t>
              </w:r>
            </w:hyperlink>
          </w:p>
        </w:tc>
        <w:tc>
          <w:tcPr>
            <w:tcW w:w="460" w:type="dxa"/>
            <w:vAlign w:val="bottom"/>
            <w:tcBorders>
              <w:top w:val="single" w:sz="8" w:color="0000EE"/>
            </w:tcBorders>
          </w:tcPr>
          <w:p>
            <w:pPr>
              <w:spacing w:after="0"/>
              <w:rPr>
                <w:sz w:val="24"/>
                <w:szCs w:val="24"/>
                <w:color w:val="auto"/>
              </w:rPr>
            </w:pPr>
          </w:p>
        </w:tc>
        <w:tc>
          <w:tcPr>
            <w:tcW w:w="9900" w:type="dxa"/>
            <w:vAlign w:val="bottom"/>
            <w:gridSpan w:val="16"/>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20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760" w:type="dxa"/>
            <w:vAlign w:val="bottom"/>
            <w:tcBorders>
              <w:top w:val="single" w:sz="8" w:color="auto"/>
            </w:tcBorders>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Cost of revenue (1)</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 (2)</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Technology and content (2)</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 (2)</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7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7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income (expense):</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income and other, net</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7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7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income taxes</w:t>
            </w:r>
          </w:p>
        </w:tc>
        <w:tc>
          <w:tcPr>
            <w:tcW w:w="7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63"/>
        </w:trPr>
        <w:tc>
          <w:tcPr>
            <w:tcW w:w="59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6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Earnings per share attributable to common stockholders (Note 4):</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760" w:type="dxa"/>
            <w:vAlign w:val="bottom"/>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0.40</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Diluted</w:t>
            </w: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Pr>
          <w:p>
            <w:pPr>
              <w:spacing w:after="0"/>
              <w:rPr>
                <w:sz w:val="19"/>
                <w:szCs w:val="19"/>
                <w:color w:val="auto"/>
              </w:rPr>
            </w:pPr>
          </w:p>
        </w:tc>
        <w:tc>
          <w:tcPr>
            <w:tcW w:w="9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0.40</w:t>
            </w:r>
          </w:p>
        </w:tc>
        <w:tc>
          <w:tcPr>
            <w:tcW w:w="120" w:type="dxa"/>
            <w:vAlign w:val="bottom"/>
          </w:tcPr>
          <w:p>
            <w:pPr>
              <w:spacing w:after="0"/>
              <w:rPr>
                <w:sz w:val="19"/>
                <w:szCs w:val="19"/>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0.42</w:t>
            </w:r>
          </w:p>
        </w:tc>
        <w:tc>
          <w:tcPr>
            <w:tcW w:w="26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(Note 4):</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Basic</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(1) Excludes amortization as follows:</w:t>
            </w:r>
          </w:p>
        </w:tc>
        <w:tc>
          <w:tcPr>
            <w:tcW w:w="7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w w:val="96"/>
              </w:rPr>
              <w:t>Amortization of acquired technology included in amortization of intangible</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assets</w:t>
            </w: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9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website development costs included in depreciation</w:t>
            </w:r>
          </w:p>
        </w:tc>
        <w:tc>
          <w:tcPr>
            <w:tcW w:w="7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spacing w:after="0"/>
              <w:rPr>
                <w:sz w:val="20"/>
                <w:szCs w:val="20"/>
                <w:color w:val="auto"/>
              </w:rPr>
            </w:pPr>
            <w:r>
              <w:rPr>
                <w:rFonts w:ascii="Arial" w:cs="Arial" w:eastAsia="Arial" w:hAnsi="Arial"/>
                <w:sz w:val="18"/>
                <w:szCs w:val="18"/>
                <w:color w:val="auto"/>
              </w:rPr>
              <w:t>(2) Includes stock-based compensation expense as follows:</w:t>
            </w: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w:t>
            </w:r>
          </w:p>
        </w:tc>
        <w:tc>
          <w:tcPr>
            <w:tcW w:w="760" w:type="dxa"/>
            <w:vAlign w:val="bottom"/>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Technology and content</w:t>
            </w: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9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20" w:type="dxa"/>
            <w:vAlign w:val="bottom"/>
            <w:gridSpan w:val="5"/>
          </w:tcPr>
          <w:p>
            <w:pPr>
              <w:jc w:val="right"/>
              <w:ind w:right="125"/>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505"/>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20" w:type="dxa"/>
            <w:vAlign w:val="bottom"/>
          </w:tcPr>
          <w:p>
            <w:pPr>
              <w:jc w:val="right"/>
              <w:ind w:right="27"/>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5"/>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278"/>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6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(1)</w:t>
            </w:r>
          </w:p>
        </w:tc>
        <w:tc>
          <w:tcPr>
            <w:tcW w:w="16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Total other comprehensive income (loss)</w:t>
            </w:r>
          </w:p>
        </w:tc>
        <w:tc>
          <w:tcPr>
            <w:tcW w:w="1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6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right="520" w:hanging="379"/>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currency translation adjustments exclude income taxes due to our practice and intention to indefinitely reinvest the earnings of our foreign subsidiaries in those operations.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1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44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1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Current assets:</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and cash equivalents (Note 5)</w:t>
            </w:r>
          </w:p>
        </w:tc>
        <w:tc>
          <w:tcPr>
            <w:tcW w:w="2120" w:type="dxa"/>
            <w:vAlign w:val="bottom"/>
            <w:gridSpan w:val="2"/>
            <w:shd w:val="clear" w:color="auto" w:fill="CFF0FC"/>
          </w:tcPr>
          <w:p>
            <w:pPr>
              <w:jc w:val="right"/>
              <w:ind w:right="848"/>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Short-term marketable securities (Note 5)</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receivable, net of allowance for doubtful accounts of $6 and $6, respectively</w:t>
            </w:r>
          </w:p>
        </w:tc>
        <w:tc>
          <w:tcPr>
            <w:tcW w:w="1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1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6"/>
                <w:szCs w:val="16"/>
                <w:color w:val="auto"/>
              </w:rPr>
              <w:t>Total current assets</w:t>
            </w:r>
          </w:p>
        </w:tc>
        <w:tc>
          <w:tcPr>
            <w:tcW w:w="1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1,107</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Long-term marketable securities (Note 5)</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Property and equipment, net of accumulated depreciation of $120 and $88, respectively</w:t>
            </w:r>
          </w:p>
        </w:tc>
        <w:tc>
          <w:tcPr>
            <w:tcW w:w="1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Intangible assets, net of accumulated amortization of $68 and $52, respectively</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169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Goodwill</w:t>
            </w:r>
          </w:p>
        </w:tc>
        <w:tc>
          <w:tcPr>
            <w:tcW w:w="1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733</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Other long-term assets</w:t>
            </w:r>
          </w:p>
        </w:tc>
        <w:tc>
          <w:tcPr>
            <w:tcW w:w="11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ASSETS</w:t>
            </w:r>
          </w:p>
        </w:tc>
        <w:tc>
          <w:tcPr>
            <w:tcW w:w="2120" w:type="dxa"/>
            <w:vAlign w:val="bottom"/>
            <w:gridSpan w:val="2"/>
            <w:shd w:val="clear" w:color="auto" w:fill="CFF0FC"/>
          </w:tcPr>
          <w:p>
            <w:pPr>
              <w:jc w:val="right"/>
              <w:ind w:right="848"/>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2,385</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7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Current liabilities:</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payable</w:t>
            </w:r>
          </w:p>
        </w:tc>
        <w:tc>
          <w:tcPr>
            <w:tcW w:w="2120" w:type="dxa"/>
            <w:vAlign w:val="bottom"/>
            <w:gridSpan w:val="2"/>
            <w:shd w:val="clear" w:color="auto" w:fill="CFF0FC"/>
          </w:tcPr>
          <w:p>
            <w:pPr>
              <w:jc w:val="right"/>
              <w:ind w:right="848"/>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Deferred merchant payables</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288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revenue</w:t>
            </w:r>
          </w:p>
        </w:tc>
        <w:tc>
          <w:tcPr>
            <w:tcW w:w="1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Current portion of debt (Note 6)</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Taxes payable</w:t>
            </w:r>
          </w:p>
        </w:tc>
        <w:tc>
          <w:tcPr>
            <w:tcW w:w="1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Accrued expenses and other current liabilities (Note 8)</w:t>
            </w:r>
          </w:p>
        </w:tc>
        <w:tc>
          <w:tcPr>
            <w:tcW w:w="11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6"/>
                <w:szCs w:val="16"/>
                <w:color w:val="auto"/>
              </w:rPr>
              <w:t>Total current liabilities</w:t>
            </w:r>
          </w:p>
        </w:tc>
        <w:tc>
          <w:tcPr>
            <w:tcW w:w="1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Deferred income taxes, net</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long-term liabilities</w:t>
            </w:r>
          </w:p>
        </w:tc>
        <w:tc>
          <w:tcPr>
            <w:tcW w:w="1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Long-term debt (Note 6)</w:t>
            </w:r>
          </w:p>
        </w:tc>
        <w:tc>
          <w:tcPr>
            <w:tcW w:w="11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112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880</w:t>
            </w: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10)</w:t>
            </w:r>
          </w:p>
        </w:tc>
        <w:tc>
          <w:tcPr>
            <w:tcW w:w="1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Stockholders’ equity:</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Preferred stock, $0.001 par value</w:t>
            </w:r>
          </w:p>
        </w:tc>
        <w:tc>
          <w:tcPr>
            <w:tcW w:w="1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480"/>
              <w:spacing w:after="0"/>
              <w:rPr>
                <w:sz w:val="20"/>
                <w:szCs w:val="20"/>
                <w:color w:val="auto"/>
              </w:rPr>
            </w:pPr>
            <w:r>
              <w:rPr>
                <w:rFonts w:ascii="Arial" w:cs="Arial" w:eastAsia="Arial" w:hAnsi="Arial"/>
                <w:sz w:val="16"/>
                <w:szCs w:val="16"/>
                <w:color w:val="auto"/>
              </w:rPr>
              <w:t>Authorized shares: 100,000,000</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Shares issued and outstanding: 0 and 0</w:t>
            </w:r>
          </w:p>
        </w:tc>
        <w:tc>
          <w:tcPr>
            <w:tcW w:w="1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Common stock, $0.001 par value</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Authorized shares: 1,600,000,000</w:t>
            </w:r>
          </w:p>
        </w:tc>
        <w:tc>
          <w:tcPr>
            <w:tcW w:w="1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480"/>
              <w:spacing w:after="0"/>
              <w:rPr>
                <w:sz w:val="20"/>
                <w:szCs w:val="20"/>
                <w:color w:val="auto"/>
              </w:rPr>
            </w:pPr>
            <w:r>
              <w:rPr>
                <w:rFonts w:ascii="Arial" w:cs="Arial" w:eastAsia="Arial" w:hAnsi="Arial"/>
                <w:sz w:val="16"/>
                <w:szCs w:val="16"/>
                <w:color w:val="auto"/>
              </w:rPr>
              <w:t>Shares issued: 134,430,268 and 133,836,242, respectively</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Shares outstanding: 132,829,000 and 132,443,111, respectively</w:t>
            </w:r>
          </w:p>
        </w:tc>
        <w:tc>
          <w:tcPr>
            <w:tcW w:w="1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Class B common stock, $0.001 par value</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Authorized shares: 400,000,000</w:t>
            </w:r>
          </w:p>
        </w:tc>
        <w:tc>
          <w:tcPr>
            <w:tcW w:w="1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480"/>
              <w:spacing w:after="0"/>
              <w:rPr>
                <w:sz w:val="20"/>
                <w:szCs w:val="20"/>
                <w:color w:val="auto"/>
              </w:rPr>
            </w:pPr>
            <w:r>
              <w:rPr>
                <w:rFonts w:ascii="Arial" w:cs="Arial" w:eastAsia="Arial" w:hAnsi="Arial"/>
                <w:sz w:val="16"/>
                <w:szCs w:val="16"/>
                <w:color w:val="auto"/>
              </w:rPr>
              <w:t>Shares issued and outstanding: 12,799,999 and 12,799,999, respectively</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Additional paid-in capital</w:t>
            </w:r>
          </w:p>
        </w:tc>
        <w:tc>
          <w:tcPr>
            <w:tcW w:w="1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Retained earnings</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888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Accumulated other comprehensive income (loss)</w:t>
            </w:r>
          </w:p>
        </w:tc>
        <w:tc>
          <w:tcPr>
            <w:tcW w:w="1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(62)</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Treasury stock-common stock, at cost, 1,601,268 and 1,393,131 shares, respectively</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(104)</w:t>
            </w: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11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1,505</w:t>
            </w: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2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2120" w:type="dxa"/>
            <w:vAlign w:val="bottom"/>
            <w:gridSpan w:val="2"/>
          </w:tcPr>
          <w:p>
            <w:pPr>
              <w:jc w:val="right"/>
              <w:ind w:right="848"/>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4"/>
              </w:rPr>
              <w:t>2,385</w:t>
            </w:r>
          </w:p>
        </w:tc>
        <w:tc>
          <w:tcPr>
            <w:tcW w:w="3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4"/>
          </w:tcPr>
          <w:p>
            <w:pPr>
              <w:ind w:left="18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other</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620"/>
              <w:spacing w:after="0"/>
              <w:rPr>
                <w:sz w:val="20"/>
                <w:szCs w:val="20"/>
                <w:color w:val="auto"/>
              </w:rPr>
            </w:pPr>
            <w:r>
              <w:rPr>
                <w:rFonts w:ascii="Arial" w:cs="Arial" w:eastAsia="Arial" w:hAnsi="Arial"/>
                <w:sz w:val="14"/>
                <w:szCs w:val="14"/>
                <w:b w:val="1"/>
                <w:bCs w:val="1"/>
                <w:color w:val="auto"/>
                <w:w w:val="85"/>
              </w:rPr>
              <w:t>Class B</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paid-in</w:t>
            </w: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Retained</w:t>
            </w:r>
          </w:p>
        </w:tc>
        <w:tc>
          <w:tcPr>
            <w:tcW w:w="13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comprehensive</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earnings</w:t>
            </w:r>
          </w:p>
        </w:tc>
        <w:tc>
          <w:tcPr>
            <w:tcW w:w="2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220" w:type="dxa"/>
            <w:vAlign w:val="bottom"/>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Treasury Stock</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20" w:type="dxa"/>
            <w:vAlign w:val="bottom"/>
          </w:tcPr>
          <w:p>
            <w:pPr>
              <w:jc w:val="right"/>
              <w:ind w:right="237"/>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9"/>
                <w:szCs w:val="19"/>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86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as of</w:t>
            </w: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2015</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133,836,242</w:t>
            </w:r>
          </w:p>
        </w:tc>
        <w:tc>
          <w:tcPr>
            <w:tcW w:w="54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12,799,999</w:t>
            </w:r>
          </w:p>
        </w:tc>
        <w:tc>
          <w:tcPr>
            <w:tcW w:w="1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b w:val="1"/>
                <w:bCs w:val="1"/>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FF0FC"/>
          </w:tcPr>
          <w:p>
            <w:pPr>
              <w:ind w:left="180"/>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741</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826</w:t>
            </w:r>
          </w:p>
        </w:tc>
        <w:tc>
          <w:tcPr>
            <w:tcW w:w="3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(63)</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w w:val="99"/>
              </w:rPr>
              <w:t>(1,393,131)</w:t>
            </w:r>
          </w:p>
        </w:tc>
        <w:tc>
          <w:tcPr>
            <w:tcW w:w="34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(92)</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rPr>
              <w:t>income</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Issuance of common</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stock related to</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w w:val="95"/>
              </w:rPr>
              <w:t>exercises of options and</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vesting of RSUs</w:t>
            </w:r>
          </w:p>
        </w:tc>
        <w:tc>
          <w:tcPr>
            <w:tcW w:w="1020" w:type="dxa"/>
            <w:vAlign w:val="bottom"/>
          </w:tcPr>
          <w:p>
            <w:pPr>
              <w:jc w:val="right"/>
              <w:spacing w:after="0"/>
              <w:rPr>
                <w:sz w:val="20"/>
                <w:szCs w:val="20"/>
                <w:color w:val="auto"/>
              </w:rPr>
            </w:pPr>
            <w:r>
              <w:rPr>
                <w:rFonts w:ascii="Arial" w:cs="Arial" w:eastAsia="Arial" w:hAnsi="Arial"/>
                <w:sz w:val="18"/>
                <w:szCs w:val="18"/>
                <w:color w:val="auto"/>
              </w:rPr>
              <w:t>594,026</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w w:val="96"/>
              </w:rPr>
              <w:t>Repurchase of common</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rPr>
              <w:t>stock</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(208,137)</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Tax benefits on equity</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awards, net</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rPr>
              <w:t>Minimum withholding</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rPr>
              <w:t>taxes on net share</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rPr>
              <w:t>settlements of equity</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rPr>
              <w:t>awards</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Stock-based</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8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b w:val="1"/>
                <w:bCs w:val="1"/>
                <w:color w:val="auto"/>
                <w:w w:val="95"/>
              </w:rPr>
              <w:t>Balance as of June 30,</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2016</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7"/>
              </w:rPr>
              <w:t>134,430,268</w:t>
            </w:r>
          </w:p>
        </w:tc>
        <w:tc>
          <w:tcPr>
            <w:tcW w:w="540" w:type="dxa"/>
            <w:vAlign w:val="bottom"/>
            <w:gridSpan w:val="2"/>
          </w:tcPr>
          <w:p>
            <w:pPr>
              <w:jc w:val="right"/>
              <w:ind w:right="208"/>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5"/>
              </w:rPr>
              <w:t>12,799,999</w:t>
            </w:r>
          </w:p>
        </w:tc>
        <w:tc>
          <w:tcPr>
            <w:tcW w:w="180" w:type="dxa"/>
            <w:vAlign w:val="bottom"/>
          </w:tcPr>
          <w:p>
            <w:pPr>
              <w:spacing w:after="0"/>
              <w:rPr>
                <w:sz w:val="20"/>
                <w:szCs w:val="20"/>
                <w:color w:val="auto"/>
              </w:rPr>
            </w:pPr>
          </w:p>
        </w:tc>
        <w:tc>
          <w:tcPr>
            <w:tcW w:w="380" w:type="dxa"/>
            <w:vAlign w:val="bottom"/>
            <w:gridSpan w:val="2"/>
          </w:tcPr>
          <w:p>
            <w:pPr>
              <w:jc w:val="right"/>
              <w:ind w:right="208"/>
              <w:spacing w:after="0"/>
              <w:rPr>
                <w:sz w:val="20"/>
                <w:szCs w:val="20"/>
                <w:color w:val="auto"/>
              </w:rPr>
            </w:pPr>
            <w:r>
              <w:rPr>
                <w:rFonts w:ascii="Arial" w:cs="Arial" w:eastAsia="Arial" w:hAnsi="Arial"/>
                <w:sz w:val="18"/>
                <w:szCs w:val="18"/>
                <w:b w:val="1"/>
                <w:bCs w:val="1"/>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783</w:t>
            </w:r>
          </w:p>
        </w:tc>
        <w:tc>
          <w:tcPr>
            <w:tcW w:w="120" w:type="dxa"/>
            <w:vAlign w:val="bottom"/>
          </w:tcPr>
          <w:p>
            <w:pPr>
              <w:spacing w:after="0"/>
              <w:rPr>
                <w:sz w:val="20"/>
                <w:szCs w:val="20"/>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888</w:t>
            </w:r>
          </w:p>
        </w:tc>
        <w:tc>
          <w:tcPr>
            <w:tcW w:w="38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9"/>
              </w:rPr>
              <w:t>(1,601,268)</w:t>
            </w:r>
          </w:p>
        </w:tc>
        <w:tc>
          <w:tcPr>
            <w:tcW w:w="34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(104)</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1,505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262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46"/>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9"/>
                <w:szCs w:val="19"/>
                <w:color w:val="auto"/>
              </w:rPr>
            </w:pP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Depreciation of property and equipment, including amortization of internal-use</w:t>
            </w: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360"/>
              <w:spacing w:after="0"/>
              <w:rPr>
                <w:sz w:val="20"/>
                <w:szCs w:val="20"/>
                <w:color w:val="auto"/>
              </w:rPr>
            </w:pPr>
            <w:r>
              <w:rPr>
                <w:rFonts w:ascii="Arial" w:cs="Arial" w:eastAsia="Arial" w:hAnsi="Arial"/>
                <w:sz w:val="18"/>
                <w:szCs w:val="18"/>
                <w:color w:val="auto"/>
              </w:rPr>
              <w:t>software and website development</w:t>
            </w:r>
          </w:p>
        </w:tc>
        <w:tc>
          <w:tcPr>
            <w:tcW w:w="9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 (benefit) expense</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w:t>
            </w: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Excess tax benefits from stock-based compensation</w:t>
            </w:r>
          </w:p>
        </w:tc>
        <w:tc>
          <w:tcPr>
            <w:tcW w:w="9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 net of effects from acquisitions: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480"/>
              <w:spacing w:after="0"/>
              <w:rPr>
                <w:sz w:val="20"/>
                <w:szCs w:val="20"/>
                <w:color w:val="auto"/>
              </w:rPr>
            </w:pPr>
            <w:r>
              <w:rPr>
                <w:rFonts w:ascii="Arial" w:cs="Arial" w:eastAsia="Arial" w:hAnsi="Arial"/>
                <w:sz w:val="18"/>
                <w:szCs w:val="18"/>
                <w:color w:val="auto"/>
              </w:rPr>
              <w:t>Accounts receivable, prepaid expenses and other assets</w:t>
            </w:r>
          </w:p>
        </w:tc>
        <w:tc>
          <w:tcPr>
            <w:tcW w:w="9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accrued expenses and other liabilities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480"/>
              <w:spacing w:after="0"/>
              <w:rPr>
                <w:sz w:val="20"/>
                <w:szCs w:val="20"/>
                <w:color w:val="auto"/>
              </w:rPr>
            </w:pPr>
            <w:r>
              <w:rPr>
                <w:rFonts w:ascii="Arial" w:cs="Arial" w:eastAsia="Arial" w:hAnsi="Arial"/>
                <w:sz w:val="18"/>
                <w:szCs w:val="18"/>
                <w:color w:val="auto"/>
              </w:rPr>
              <w:t>Deferred merchant payables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179</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taxes, net</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Deferred revenue</w:t>
            </w: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Capital expenditures, including internal-use software and website development</w:t>
            </w:r>
          </w:p>
        </w:tc>
        <w:tc>
          <w:tcPr>
            <w:tcW w:w="9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Acquisitions, net of cash acquired</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Purchases of marketable securities</w:t>
            </w:r>
          </w:p>
        </w:tc>
        <w:tc>
          <w:tcPr>
            <w:tcW w:w="9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of marketable securities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Maturities of marketable securities</w:t>
            </w: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Repurchase of common stock</w:t>
            </w:r>
          </w:p>
        </w:tc>
        <w:tc>
          <w:tcPr>
            <w:tcW w:w="9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Chinese credit facilities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Payments to Chinese credit facilities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Principal payments on term loan</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Proceeds from revolving credit facility, net of financing costs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to revolving credit facility</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(109)</w:t>
            </w: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 of minimum withholding taxes on net share settlements of equity awards</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w:t>
            </w: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Excess tax benefits from stock-based compensation</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financing activities, net</w:t>
            </w:r>
          </w:p>
        </w:tc>
        <w:tc>
          <w:tcPr>
            <w:tcW w:w="9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9"/>
              </w:rPr>
              <w:t>(123)</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w:t>
            </w: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9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9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40" w:type="dxa"/>
            <w:vAlign w:val="bottom"/>
            <w:tcBorders>
              <w:bottom w:val="single" w:sz="8" w:color="auto"/>
            </w:tcBorders>
          </w:tcPr>
          <w:p>
            <w:pPr>
              <w:jc w:val="right"/>
              <w:ind w:right="78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280" w:type="dxa"/>
            <w:vAlign w:val="bottom"/>
          </w:tcPr>
          <w:p>
            <w:pPr>
              <w:spacing w:after="0"/>
              <w:rPr>
                <w:sz w:val="22"/>
                <w:szCs w:val="22"/>
                <w:color w:val="auto"/>
              </w:rPr>
            </w:pPr>
          </w:p>
        </w:tc>
        <w:tc>
          <w:tcPr>
            <w:tcW w:w="96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Capitalization of construction in-process related to build to suit lease obligation</w:t>
            </w:r>
          </w:p>
        </w:tc>
        <w:tc>
          <w:tcPr>
            <w:tcW w:w="940" w:type="dxa"/>
            <w:vAlign w:val="bottom"/>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Capital expenditures incurred but not yet paid related to build to suit lease</w:t>
            </w: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 AND BASIS OF PRESENTATION</w:t>
      </w:r>
    </w:p>
    <w:p>
      <w:pPr>
        <w:spacing w:after="0" w:line="121"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140" w:firstLine="552"/>
        <w:spacing w:after="0" w:line="257" w:lineRule="auto"/>
        <w:rPr>
          <w:sz w:val="20"/>
          <w:szCs w:val="20"/>
          <w:color w:val="auto"/>
        </w:rPr>
      </w:pPr>
      <w:r>
        <w:rPr>
          <w:rFonts w:ascii="Arial" w:cs="Arial" w:eastAsia="Arial" w:hAnsi="Arial"/>
          <w:sz w:val="18"/>
          <w:szCs w:val="18"/>
          <w:color w:val="auto"/>
        </w:rPr>
        <w:t>TripAdvisor is an online travel company, empowering users to plan and book the perfect trip. TripAdvisor’s travel research platform aggregates reviews and opinions of members about destinations, accommodations, activities and attractions, and restaurants throughout the world so that our users have access to trusted advice wherever their trips take them. Our platform not only helps users plan their trips with our unique user-generated content, but also enables users to compare real-time pricing and availability so that they can book hotels, flights, cruises, vacation rentals, activities and attractions, and restaurant reservations.</w:t>
      </w:r>
    </w:p>
    <w:p>
      <w:pPr>
        <w:spacing w:after="0" w:line="188" w:lineRule="exact"/>
        <w:rPr>
          <w:sz w:val="20"/>
          <w:szCs w:val="20"/>
          <w:color w:val="auto"/>
        </w:rPr>
      </w:pPr>
    </w:p>
    <w:p>
      <w:pPr>
        <w:ind w:right="20" w:firstLine="548"/>
        <w:spacing w:after="0" w:line="254" w:lineRule="auto"/>
        <w:rPr>
          <w:sz w:val="20"/>
          <w:szCs w:val="20"/>
          <w:color w:val="auto"/>
        </w:rPr>
      </w:pPr>
      <w:r>
        <w:rPr>
          <w:rFonts w:ascii="Arial" w:cs="Arial" w:eastAsia="Arial" w:hAnsi="Arial"/>
          <w:sz w:val="18"/>
          <w:szCs w:val="18"/>
          <w:color w:val="auto"/>
        </w:rPr>
        <w:t>Our flagship brand is TripAdvisor. TripAdvisor-branded websites include tripadvisor.com in the United States and localized versions of the website in 47 markets worldwide. In addition to the flagship TripAdvisor brand, we manage and operate the following 23 other media brands, connected by the common goal of providing comprehensive travel planning resources across the travel sector: www.airfarewatchdog.com, www.bookingbuddy.com, www.cruisecritic.com, www.familyvacationcritic.com, www.flipkey.com, www.gateguru.com, www.holidaylettings.co.uk, www.holidaywatchdog.com, www.housetrip.com, www.independenttraveler.com, www.jetsetter.com, www.thefork.com (including www.lafourchette.com, www.eltenedor.com, www.iens.nl, www.besttables.com, and www.dimmi.com.au), www.niumba.com, www.onetime.com, www.oyster.com, www.seatguru.com, www.smartertravel.com, www.tingo.com, www.travelpod.com, www.tripbod.com, www.vacationhomerentals.com, www.viator.com, and www.virtualtourist.com.</w:t>
      </w:r>
    </w:p>
    <w:p>
      <w:pPr>
        <w:spacing w:after="0" w:line="192" w:lineRule="exact"/>
        <w:rPr>
          <w:sz w:val="20"/>
          <w:szCs w:val="20"/>
          <w:color w:val="auto"/>
        </w:rPr>
      </w:pPr>
    </w:p>
    <w:p>
      <w:pPr>
        <w:ind w:right="100" w:firstLine="548"/>
        <w:spacing w:after="0" w:line="297" w:lineRule="auto"/>
        <w:rPr>
          <w:sz w:val="20"/>
          <w:szCs w:val="20"/>
          <w:color w:val="auto"/>
        </w:rPr>
      </w:pPr>
      <w:r>
        <w:rPr>
          <w:rFonts w:ascii="Arial" w:cs="Arial" w:eastAsia="Arial" w:hAnsi="Arial"/>
          <w:sz w:val="16"/>
          <w:szCs w:val="16"/>
          <w:color w:val="auto"/>
        </w:rPr>
        <w:t>We have two reportable segments: Hotel and Non-Hotel. In the first quarter of 2016, we renamed our “Other” reportable segment “Non-Hotel.” This change had no effect on our consolidated financial statements or to previously reported segment information, as there was no change in the composition of our operating or reportable segments. Our operating segments are determined based on how our chief operating decision maker manages our business, regularly assesses information and evaluates performance for operating decision-making purposes, including allocation of resources. For further information on our reportable segments see “Note 11: Segment Information,” in these notes to our unaudited condensed consolidated financial statements.</w:t>
      </w:r>
    </w:p>
    <w:p>
      <w:pPr>
        <w:spacing w:after="0" w:line="158" w:lineRule="exact"/>
        <w:rPr>
          <w:sz w:val="20"/>
          <w:szCs w:val="20"/>
          <w:color w:val="auto"/>
        </w:rPr>
      </w:pPr>
    </w:p>
    <w:p>
      <w:pPr>
        <w:ind w:right="280" w:firstLine="548"/>
        <w:spacing w:after="0" w:line="297" w:lineRule="auto"/>
        <w:rPr>
          <w:sz w:val="20"/>
          <w:szCs w:val="20"/>
          <w:color w:val="auto"/>
        </w:rPr>
      </w:pPr>
      <w:r>
        <w:rPr>
          <w:rFonts w:ascii="Arial" w:cs="Arial" w:eastAsia="Arial" w:hAnsi="Arial"/>
          <w:sz w:val="16"/>
          <w:szCs w:val="16"/>
          <w:color w:val="auto"/>
        </w:rPr>
        <w:t>We derive the substantial portion of our revenue from our Hotel segment, through the sale of advertising, primarily through click-based advertising and commission-based transactions via our instant booking feature and, to a lesser extent, display-based advertising, subscription-based hotel advertising, room reservations sold through our websites, and from content licensing. Our Non-Hotel segment consists of our Vacation Rentals, Restaurants and Attractions businesses. We derive revenue from our Non-Hotel segment from subscription and commission-based transaction offerings from our Vacation Rental business; destination activities primarily sold through Viator; and online restaurant reservations booked primarily through thefork.com.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accompanying unaudited condensed consolidated financial statements present our results of operations, financial position and cash flows on a consolidated basis. The accompanying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w:t>
      </w:r>
    </w:p>
    <w:p>
      <w:pPr>
        <w:spacing w:after="0" w:line="18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One of our subsidiaries that operates in China has a variable interest in an affiliated entity in China in order to comply with Chinese laws and regulations, which restrict foreign investment in Internet content provision businesses. Although we do not own the capital stock of this Chinese affiliate, we consolidate its results as we are the primary beneficiary of the cash losses or profits of this variable interest affiliate and have the power to direct the activity of this affiliate. Our variable interest entity is not material for all periods presented.</w:t>
      </w:r>
    </w:p>
    <w:p>
      <w:pPr>
        <w:spacing w:after="0" w:line="18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have prepared the accompanying unaudited condensed consolidated financial statements in accordance with accounting principles generally accepted in the United States (“GAAP”). In the opinion of management, all adjustments necessary for a fair presentation of the results of the interim period have been included. These adjustments consist of normal recurring items. We prepared the unaudited condensed consolidated financial statements following the requirements of the U.S. Securities and Exchange Commission (“SEC”) for interim reporting. As permitted under those rules, we have condensed or omitted certain footnotes or other financial information that are normally required by GAAP for annual financial statements. Our interim unaudited condensed consolidated financial statements are not necessarily indicative of results that may be expected for any other interim period or for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spacing w:after="0" w:line="259" w:lineRule="auto"/>
        <w:rPr>
          <w:sz w:val="20"/>
          <w:szCs w:val="20"/>
          <w:color w:val="auto"/>
        </w:rPr>
      </w:pPr>
      <w:r>
        <w:rPr>
          <w:rFonts w:ascii="Arial" w:cs="Arial" w:eastAsia="Arial" w:hAnsi="Arial"/>
          <w:sz w:val="18"/>
          <w:szCs w:val="18"/>
          <w:color w:val="auto"/>
        </w:rPr>
        <w:t>full year. These interim unaudited condensed consolidated financial statements should be read in conjunction with the audited consolidated financial statements and related notes included in our Annual Report on Form 10-K for the year ended December 31, 2015, previously filed with the SEC. The condensed consolidated balance sheet as of December 31, 2015 included herein was derived from the audited consolidated financial statements as of that date, but does not include all disclosures including notes required by GAAP.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include: (i) recognition and recoverability of goodwill, intangible and other long-lived assets; (ii) accounting for income taxes; and (iii) stock-based compensation.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Traveler expenditures in the global travel market tend to follow a seasonal pattern. As such, expenditures by travel advertisers to market to potential travelers, and, therefore, our financial performance, tend to be seasonal as well. As a result, our financial results tend to be seasonally highest in the third quarter of a year, as it is a key period for travel research and trip-taking, compared to the first and fourth quarters which represent seasonal low points. Further significant shifts in our business mix or adverse economic conditions could result in future seasonal patterns that are different from historical trends.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121"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In March 2016, the Financial Accounting Standards Board (“FASB”) issued new accounting guidance on stock compensation which changes how companies account for certain aspects of stock-based payment awards to employees, including the accounting for income taxes, forfeitures, and statutory tax withholding requirements, as well as classification in the statement of cash flows. This guidance is effective for fiscal years, and interim periods within those fiscal years, beginning after December 15, 2016, with early adoption permitted. We plan to adopt this guidance in the third quarter of 2016. For the six months ended June 30, 2016, we recognized net tax benefits totaling $3 million as additional paid-in capital on our Unaudited Condensed Consolidated Balance Sheet. Under the new accounting guidance this amount would have instead been recorded to provision for income taxes on our Unaudited Condensed Consolidated Statements of Operations, and will be reclassified in the third quarter of 2016. In addition, the excess tax benefits from stock-based award settlements that are currently reported as cash flows from financing activities on our Unaudited Condensed Consolidated Statement of Cash Flows totaling $6 million for the six months ended June 30, 2016 will instead, be reported as cash flows from operating activities and reclassified in the third quarter of 2016. Finally, we plan to account for forfeitures as they occur rather than continue to estimate expected forfeitures. The net cumulative effect of this change will be recorded to retained earnings upon adoption. The changes described above will be made retroactively as of January 1, 2016.</w:t>
      </w:r>
    </w:p>
    <w:p>
      <w:pPr>
        <w:spacing w:after="0" w:line="65"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 February 2016, the FASB issued new accounting guidance on leases that is intended to provide enhanced transparency and comparability by requiring lessees to record right-of-use assets and corresponding lease liabilities on the balance sheet. The new guidance will continue to classify leases as either finance or operating, with classification affecting the pattern of expense recognition in the statement of operations. This guidance is effective for fiscal years, and interim periods within those fiscal years, beginning after December 15, 2018, with early adoption permitted. We are currently evaluating the effect that the updated standard will have on our consolidated financial statements and related disclosures.</w:t>
      </w:r>
    </w:p>
    <w:p>
      <w:pPr>
        <w:spacing w:after="0" w:line="64"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In May 2014, the FASB issued new accounting guidance on revenue from contracts with customers. The new guidance requires an entity to recognize the amount of revenue to which it expects to be entitled for the transfer of promised goods or services to customers. This new guidance also requires additional disclosures about the nature, amount, timing and uncertainty of revenue and cash flows arising from customer contracts, including significant judgments and changes in judgments and assets recognized from costs incurred to obtain or fulfill a contract. In March 2016, the FASB issued additional guidance which clarifies principal versus agent considerations and in April 2016, the FASB issued further guidance which clarifies the identification of performance obligations and the implementation guidance for licensing. The updated guidance will replace most existing revenue recognition guidance in GAAP when it becomes effective and permits the use of either a full retrospective approach or a modified retrospective approach, which requires the initial cumulative effect to be recognized at the date of initial application. This guidance is effective for fiscal years, and interim periods within those fiscal years, beginning after December 15, 2017 and early adoption is permitted for fiscal years beginning after December 15, 2016. We have not yet selected a transition method and are currently evaluating the effect that the updated standard will have on our consolidated financial statements and related disclosures.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In April 2015, the FASB issued new accounting guidance which clarifies the accounting for fees paid by a customer in a cloud computing arrangement. This standard clarified whether a customer should account for a cloud computing arrangement as an acquisition of a software license or as a service arrangement by providing characteristics that a cloud computing arrangement must have in order to be accounted for as a software license acquisition. If a cloud computing arrangement includes a software license, the customer should account for the software license element of the arrangement consistent with the acquisition of other software licenses. If the arrangement does not include a software license, the customer should account for a cloud computing arrangement as a service contract. The company prospectively adopted this guidance in the first quarter of 2016. The adoption of this guidance did not have a material impact on our consolidated financial statements and related disclosures.</w:t>
      </w:r>
    </w:p>
    <w:p>
      <w:pPr>
        <w:spacing w:after="0" w:line="70"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In September 2015, the FASB issued new accounting guidance which eliminates the requirement for an acquirer in a business combination to account for measurement-period adjustments retrospectively. Instead, acquirers must recognize measurement-period adjustments during the period in which they determine the amounts, including the effect on earnings of any amounts that would have been recorded in previous periods if the accounting had been completed at the acquisition date. The Company adopted this guidance in the first quarter of 2016. The adoption of this guidance did not have a material impact on our consolidated financial statements and related disclosures.</w:t>
      </w:r>
    </w:p>
    <w:p>
      <w:pPr>
        <w:spacing w:after="0" w:line="173" w:lineRule="exact"/>
        <w:rPr>
          <w:sz w:val="20"/>
          <w:szCs w:val="20"/>
          <w:color w:val="auto"/>
        </w:rPr>
      </w:pPr>
    </w:p>
    <w:p>
      <w:pPr>
        <w:jc w:val="both"/>
        <w:ind w:right="240" w:firstLine="518"/>
        <w:spacing w:after="0" w:line="264" w:lineRule="auto"/>
        <w:rPr>
          <w:sz w:val="20"/>
          <w:szCs w:val="20"/>
          <w:color w:val="auto"/>
        </w:rPr>
      </w:pPr>
      <w:r>
        <w:rPr>
          <w:rFonts w:ascii="Arial" w:cs="Arial" w:eastAsia="Arial" w:hAnsi="Arial"/>
          <w:sz w:val="18"/>
          <w:szCs w:val="18"/>
          <w:color w:val="auto"/>
        </w:rPr>
        <w:t>There have been no material changes to our significant accounting policies since December 31, 2015. For additional information about our critical accounting policies and estimates, refer to “Note 2: Significant Accounting Policies”, in the notes to our consolidated financial statements in Item 8 of our Annual Report on Form 10-K for the year ended December 31, 2015.</w:t>
      </w:r>
    </w:p>
    <w:p>
      <w:pPr>
        <w:spacing w:after="0" w:line="285" w:lineRule="exact"/>
        <w:rPr>
          <w:sz w:val="20"/>
          <w:szCs w:val="20"/>
          <w:color w:val="auto"/>
        </w:rPr>
      </w:pPr>
    </w:p>
    <w:p>
      <w:pPr>
        <w:ind w:right="5320"/>
        <w:spacing w:after="0" w:line="378" w:lineRule="auto"/>
        <w:rPr>
          <w:sz w:val="20"/>
          <w:szCs w:val="20"/>
          <w:color w:val="auto"/>
        </w:rPr>
      </w:pPr>
      <w:r>
        <w:rPr>
          <w:rFonts w:ascii="Arial" w:cs="Arial" w:eastAsia="Arial" w:hAnsi="Arial"/>
          <w:sz w:val="18"/>
          <w:szCs w:val="18"/>
          <w:b w:val="1"/>
          <w:bCs w:val="1"/>
          <w:color w:val="auto"/>
        </w:rPr>
        <w:t>NOTE 3: STOCK BASED AWARDS AND OTHER EQUITY INSTRUMENTS Stock-Based Compensation Expense</w:t>
      </w:r>
    </w:p>
    <w:p>
      <w:pPr>
        <w:ind w:right="20" w:firstLine="518"/>
        <w:spacing w:after="0" w:line="277" w:lineRule="auto"/>
        <w:rPr>
          <w:sz w:val="20"/>
          <w:szCs w:val="20"/>
          <w:color w:val="auto"/>
        </w:rPr>
      </w:pPr>
      <w:r>
        <w:rPr>
          <w:rFonts w:ascii="Arial" w:cs="Arial" w:eastAsia="Arial" w:hAnsi="Arial"/>
          <w:sz w:val="18"/>
          <w:szCs w:val="18"/>
          <w:color w:val="auto"/>
        </w:rPr>
        <w:t>The following table presents the amount of stock-based compensation expense related to stock-based awards on our unaudited condensed consolidated statements of operations during the periods presented:</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1840" w:type="dxa"/>
            <w:vAlign w:val="bottom"/>
            <w:gridSpan w:val="5"/>
          </w:tcPr>
          <w:p>
            <w:pPr>
              <w:jc w:val="center"/>
              <w:ind w:left="179"/>
              <w:spacing w:after="0"/>
              <w:rPr>
                <w:sz w:val="20"/>
                <w:szCs w:val="20"/>
                <w:color w:val="auto"/>
              </w:rPr>
            </w:pPr>
            <w:r>
              <w:rPr>
                <w:rFonts w:ascii="Arial" w:cs="Arial" w:eastAsia="Arial" w:hAnsi="Arial"/>
                <w:sz w:val="14"/>
                <w:szCs w:val="14"/>
                <w:b w:val="1"/>
                <w:bCs w:val="1"/>
                <w:color w:val="auto"/>
                <w:w w:val="91"/>
              </w:rPr>
              <w:t>Three months ended</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Six months ended</w:t>
            </w:r>
          </w:p>
        </w:tc>
      </w:tr>
      <w:tr>
        <w:trPr>
          <w:trHeight w:val="188"/>
        </w:trPr>
        <w:tc>
          <w:tcPr>
            <w:tcW w:w="34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56"/>
        </w:trPr>
        <w:tc>
          <w:tcPr>
            <w:tcW w:w="348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13"/>
                <w:szCs w:val="13"/>
                <w:color w:val="auto"/>
              </w:rPr>
            </w:pPr>
          </w:p>
        </w:tc>
      </w:tr>
      <w:tr>
        <w:trPr>
          <w:trHeight w:val="156"/>
        </w:trPr>
        <w:tc>
          <w:tcPr>
            <w:tcW w:w="3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gridSpan w:val="4"/>
          </w:tcPr>
          <w:p>
            <w:pPr>
              <w:jc w:val="center"/>
              <w:ind w:right="38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3"/>
          </w:tcPr>
          <w:p>
            <w:pPr>
              <w:jc w:val="center"/>
              <w:ind w:left="337"/>
              <w:spacing w:after="0" w:line="155" w:lineRule="exact"/>
              <w:rPr>
                <w:sz w:val="20"/>
                <w:szCs w:val="20"/>
                <w:color w:val="auto"/>
              </w:rPr>
            </w:pPr>
            <w:r>
              <w:rPr>
                <w:rFonts w:ascii="Arial" w:cs="Arial" w:eastAsia="Arial" w:hAnsi="Arial"/>
                <w:sz w:val="14"/>
                <w:szCs w:val="14"/>
                <w:b w:val="1"/>
                <w:bCs w:val="1"/>
                <w:color w:val="auto"/>
                <w:w w:val="94"/>
              </w:rPr>
              <w:t>(in millions)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640" w:type="dxa"/>
            <w:vAlign w:val="bottom"/>
            <w:shd w:val="clear" w:color="auto" w:fill="CFF0FC"/>
          </w:tcPr>
          <w:p>
            <w:pPr>
              <w:jc w:val="right"/>
              <w:ind w:right="45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Technology and content</w:t>
            </w: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r>
      <w:tr>
        <w:trPr>
          <w:trHeight w:val="223"/>
        </w:trPr>
        <w:tc>
          <w:tcPr>
            <w:tcW w:w="3480" w:type="dxa"/>
            <w:vAlign w:val="bottom"/>
          </w:tcPr>
          <w:p>
            <w:pPr>
              <w:ind w:left="240"/>
              <w:spacing w:after="0"/>
              <w:rPr>
                <w:sz w:val="20"/>
                <w:szCs w:val="20"/>
                <w:color w:val="auto"/>
              </w:rPr>
            </w:pPr>
            <w:r>
              <w:rPr>
                <w:rFonts w:ascii="Arial" w:cs="Arial" w:eastAsia="Arial" w:hAnsi="Arial"/>
                <w:sz w:val="18"/>
                <w:szCs w:val="18"/>
                <w:color w:val="auto"/>
              </w:rPr>
              <w:t>Total stock-based compensation</w:t>
            </w: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r>
      <w:tr>
        <w:trPr>
          <w:trHeight w:val="215"/>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from stock-based</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compensation</w:t>
            </w:r>
          </w:p>
        </w:tc>
        <w:tc>
          <w:tcPr>
            <w:tcW w:w="6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r>
      <w:tr>
        <w:trPr>
          <w:trHeight w:val="209"/>
        </w:trPr>
        <w:tc>
          <w:tcPr>
            <w:tcW w:w="3480" w:type="dxa"/>
            <w:vAlign w:val="bottom"/>
          </w:tcPr>
          <w:p>
            <w:pPr>
              <w:spacing w:after="0"/>
              <w:rPr>
                <w:sz w:val="20"/>
                <w:szCs w:val="20"/>
                <w:color w:val="auto"/>
              </w:rPr>
            </w:pPr>
            <w:r>
              <w:rPr>
                <w:rFonts w:ascii="Arial" w:cs="Arial" w:eastAsia="Arial" w:hAnsi="Arial"/>
                <w:sz w:val="18"/>
                <w:szCs w:val="18"/>
                <w:color w:val="auto"/>
              </w:rPr>
              <w:t>Total stock-based compensation, net of tax</w:t>
            </w:r>
          </w:p>
        </w:tc>
        <w:tc>
          <w:tcPr>
            <w:tcW w:w="6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effect</w:t>
            </w:r>
          </w:p>
        </w:tc>
        <w:tc>
          <w:tcPr>
            <w:tcW w:w="640" w:type="dxa"/>
            <w:vAlign w:val="bottom"/>
          </w:tcPr>
          <w:p>
            <w:pPr>
              <w:jc w:val="right"/>
              <w:ind w:right="459"/>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7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r>
      <w:tr>
        <w:trPr>
          <w:trHeight w:val="20"/>
        </w:trPr>
        <w:tc>
          <w:tcPr>
            <w:tcW w:w="3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 Activity and Valuation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Option Activity</w:t>
      </w:r>
    </w:p>
    <w:p>
      <w:pPr>
        <w:spacing w:after="0" w:line="117"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During the six months ended June 30, 2016, we issued 1,033,246 of primarily service-based non-qualified stock options under the Company’s Amended and Restated 2011 Stock and Annual Incentive Plan (the “2011 Plan”). These stock options have a term of ten years from the date of grant and generally vest equitably over a four-year requisite service period.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0" w:name="page11"/>
    <w:bookmarkEnd w:id="10"/>
    <w:p>
      <w:pPr>
        <w:ind w:left="520"/>
        <w:spacing w:after="0"/>
        <w:rPr>
          <w:sz w:val="20"/>
          <w:szCs w:val="20"/>
          <w:color w:val="auto"/>
        </w:rPr>
      </w:pPr>
      <w:r>
        <w:rPr>
          <w:rFonts w:ascii="Arial" w:cs="Arial" w:eastAsia="Arial" w:hAnsi="Arial"/>
          <w:sz w:val="17"/>
          <w:szCs w:val="17"/>
          <w:color w:val="auto"/>
        </w:rPr>
        <w:t>A summary of the status and activity for stock option awards relating to our common stock for the six months ended June 30, 2016, is presented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Exercise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Price Per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Share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458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12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at January 1, 2016</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5,720</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53.71</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1,033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63.44</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Exercised (1)</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29.34</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Cancelled or expired</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69.53</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June 30, 2016</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57.18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40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Exercisable as of June 30, 2016</w:t>
            </w: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42.45</w:t>
            </w:r>
          </w:p>
        </w:tc>
        <w:tc>
          <w:tcPr>
            <w:tcW w:w="26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FF0FC"/>
            </w:tcBorders>
            <w:vMerge w:val="continue"/>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w:t>
            </w:r>
          </w:p>
        </w:tc>
        <w:tc>
          <w:tcPr>
            <w:tcW w:w="16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gridSpan w:val="2"/>
            <w:vMerge w:val="continue"/>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vMerge w:val="continue"/>
          </w:tcPr>
          <w:p>
            <w:pPr>
              <w:spacing w:after="0"/>
              <w:rPr>
                <w:sz w:val="21"/>
                <w:szCs w:val="21"/>
                <w:color w:val="auto"/>
              </w:rPr>
            </w:pPr>
          </w:p>
        </w:tc>
        <w:tc>
          <w:tcPr>
            <w:tcW w:w="400" w:type="dxa"/>
            <w:vAlign w:val="bottom"/>
            <w:tcBorders>
              <w:bottom w:val="single" w:sz="8" w:color="CFF0FC"/>
            </w:tcBorders>
            <w:gridSpan w:val="2"/>
            <w:vMerge w:val="continue"/>
          </w:tcPr>
          <w:p>
            <w:pPr>
              <w:spacing w:after="0"/>
              <w:rPr>
                <w:sz w:val="21"/>
                <w:szCs w:val="21"/>
                <w:color w:val="auto"/>
              </w:rPr>
            </w:pPr>
          </w:p>
        </w:tc>
        <w:tc>
          <w:tcPr>
            <w:tcW w:w="106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after June 30, 2016</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5,647</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56.59</w:t>
            </w:r>
          </w:p>
        </w:tc>
        <w:tc>
          <w:tcPr>
            <w:tcW w:w="26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840" w:right="100" w:hanging="319"/>
        <w:spacing w:after="0" w:line="25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Inclusive of 246,826 options which were not converted into shares due to net share settlement in order to cover the aggregate exercise price and the minimum amount of required employee withholding taxes. Potential shares that had been convertible under stock options that were withheld under net share settlement remain in the authorized but unissued pool under the 2011 Plan and can be reissued by the Company. Total payments for the employees’ tax obligations to the taxing authorities due to net share settlements are reflected as a financing activity within the unaudited condensed consolidated statements of cash flows.</w:t>
      </w:r>
    </w:p>
    <w:p>
      <w:pPr>
        <w:spacing w:after="0" w:line="188"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Aggregate intrinsic value represents the difference between the closing stock price of our common stock and the exercise price of outstanding, in-the-money options. Our closing stock price as reported on The NASDAQ Global Select Market as of June 30, 2016 was $64.30. The total intrinsic value of stock options exercised for the six months ended June 30, 2016 and 2015 was $19 million and $122 million, respectively.</w:t>
      </w:r>
    </w:p>
    <w:p>
      <w:pPr>
        <w:spacing w:after="0" w:line="166"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fair value of stock option grants under the 2011 Plan has been estimated at the date of grant using the Black–Scholes option pricing model with the following weighted average assumptions for the periods presented:</w:t>
      </w:r>
    </w:p>
    <w:p>
      <w:pPr>
        <w:spacing w:after="0" w:line="270"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2080" w:type="dxa"/>
            <w:vAlign w:val="bottom"/>
            <w:gridSpan w:val="5"/>
          </w:tcPr>
          <w:p>
            <w:pPr>
              <w:jc w:val="center"/>
              <w:ind w:right="210"/>
              <w:spacing w:after="0"/>
              <w:rPr>
                <w:sz w:val="20"/>
                <w:szCs w:val="20"/>
                <w:color w:val="auto"/>
              </w:rPr>
            </w:pPr>
            <w:r>
              <w:rPr>
                <w:rFonts w:ascii="Arial" w:cs="Arial" w:eastAsia="Arial" w:hAnsi="Arial"/>
                <w:sz w:val="14"/>
                <w:szCs w:val="14"/>
                <w:b w:val="1"/>
                <w:bCs w:val="1"/>
                <w:color w:val="auto"/>
                <w:w w:val="91"/>
              </w:rPr>
              <w:t>Three months ended</w:t>
            </w:r>
          </w:p>
        </w:tc>
        <w:tc>
          <w:tcPr>
            <w:tcW w:w="1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Six months ended</w:t>
            </w:r>
          </w:p>
        </w:tc>
      </w:tr>
      <w:tr>
        <w:trPr>
          <w:trHeight w:val="171"/>
        </w:trPr>
        <w:tc>
          <w:tcPr>
            <w:tcW w:w="2780" w:type="dxa"/>
            <w:vAlign w:val="bottom"/>
          </w:tcPr>
          <w:p>
            <w:pPr>
              <w:spacing w:after="0"/>
              <w:rPr>
                <w:sz w:val="14"/>
                <w:szCs w:val="14"/>
                <w:color w:val="auto"/>
              </w:rPr>
            </w:pPr>
          </w:p>
        </w:tc>
        <w:tc>
          <w:tcPr>
            <w:tcW w:w="120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78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3"/>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1.52%</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760" w:type="dxa"/>
            <w:vAlign w:val="bottom"/>
          </w:tcPr>
          <w:p>
            <w:pPr>
              <w:jc w:val="right"/>
              <w:spacing w:after="0"/>
              <w:rPr>
                <w:sz w:val="20"/>
                <w:szCs w:val="20"/>
                <w:color w:val="auto"/>
              </w:rPr>
            </w:pPr>
            <w:r>
              <w:rPr>
                <w:rFonts w:ascii="Arial" w:cs="Arial" w:eastAsia="Arial" w:hAnsi="Arial"/>
                <w:sz w:val="18"/>
                <w:szCs w:val="18"/>
                <w:color w:val="auto"/>
              </w:rPr>
              <w:t>4.31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5.24</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5.21</w:t>
            </w:r>
          </w:p>
        </w:tc>
        <w:tc>
          <w:tcPr>
            <w:tcW w:w="180" w:type="dxa"/>
            <w:vAlign w:val="bottom"/>
          </w:tcPr>
          <w:p>
            <w:pPr>
              <w:spacing w:after="0"/>
              <w:rPr>
                <w:sz w:val="19"/>
                <w:szCs w:val="19"/>
                <w:color w:val="auto"/>
              </w:rPr>
            </w:pPr>
          </w:p>
        </w:tc>
      </w:tr>
      <w:tr>
        <w:trPr>
          <w:trHeight w:val="230"/>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42.09%</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40.66%</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41.82%</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41.83%</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210"/>
              <w:spacing w:after="0"/>
              <w:rPr>
                <w:sz w:val="20"/>
                <w:szCs w:val="20"/>
                <w:color w:val="auto"/>
              </w:rPr>
            </w:pPr>
            <w:r>
              <w:rPr>
                <w:rFonts w:ascii="Arial" w:cs="Arial" w:eastAsia="Arial" w:hAnsi="Arial"/>
                <w:sz w:val="18"/>
                <w:szCs w:val="18"/>
                <w:color w:val="auto"/>
              </w:rPr>
              <w:t>— %</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weighted-average grant date fair value of options granted was $22.85 and $33.68 for the six months ended June 30, 2016 and 2015,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stock options vested for the six months ended June 30, 2016 and 2015 was $25 million and $26 million,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RSU Activity</w:t>
      </w:r>
    </w:p>
    <w:p>
      <w:pPr>
        <w:spacing w:after="0" w:line="117" w:lineRule="exact"/>
        <w:rPr>
          <w:sz w:val="20"/>
          <w:szCs w:val="20"/>
          <w:color w:val="auto"/>
        </w:rPr>
      </w:pPr>
    </w:p>
    <w:p>
      <w:pPr>
        <w:ind w:right="440" w:firstLine="518"/>
        <w:spacing w:after="0" w:line="308" w:lineRule="auto"/>
        <w:rPr>
          <w:sz w:val="20"/>
          <w:szCs w:val="20"/>
          <w:color w:val="auto"/>
        </w:rPr>
      </w:pPr>
      <w:r>
        <w:rPr>
          <w:rFonts w:ascii="Arial" w:cs="Arial" w:eastAsia="Arial" w:hAnsi="Arial"/>
          <w:sz w:val="17"/>
          <w:szCs w:val="17"/>
          <w:color w:val="auto"/>
        </w:rPr>
        <w:t>During the six months ended June 30, 2016, we issued 1,731,401 RSUs under the 2011 Plan for which the fair value was measured based on the quoted price of our common stock on the date of grant. These RSUs generally vest over a four-year requisite service period.</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color w:val="auto"/>
        </w:rPr>
        <w:t>The following table presents a summary of our RSU activity during the six months ended June 30, 2016:</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w w:val="99"/>
              </w:rPr>
              <w:t>Grant-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RSUs</w:t>
            </w:r>
          </w:p>
        </w:tc>
        <w:tc>
          <w:tcPr>
            <w:tcW w:w="200" w:type="dxa"/>
            <w:vAlign w:val="bottom"/>
          </w:tcPr>
          <w:p>
            <w:pPr>
              <w:spacing w:after="0"/>
              <w:rPr>
                <w:sz w:val="14"/>
                <w:szCs w:val="14"/>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w w:val="96"/>
              </w:rPr>
              <w:t>Date Fair</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Outstanding</w:t>
            </w:r>
          </w:p>
        </w:tc>
        <w:tc>
          <w:tcPr>
            <w:tcW w:w="200" w:type="dxa"/>
            <w:vAlign w:val="bottom"/>
          </w:tcPr>
          <w:p>
            <w:pPr>
              <w:spacing w:after="0"/>
              <w:rPr>
                <w:sz w:val="14"/>
                <w:szCs w:val="14"/>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Value Per Share</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15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182"/>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Unvested RSUs outstanding as of January 1, 2016</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79.02</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1,731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63.95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 (1)</w:t>
            </w:r>
          </w:p>
        </w:tc>
        <w:tc>
          <w:tcPr>
            <w:tcW w:w="1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(409)</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72.57</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Cancelled</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74.69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 outstanding as of June 30, 2016</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71.21</w:t>
            </w:r>
          </w:p>
        </w:tc>
        <w:tc>
          <w:tcPr>
            <w:tcW w:w="580" w:type="dxa"/>
            <w:vAlign w:val="bottom"/>
            <w:tcBorders>
              <w:top w:val="single" w:sz="8" w:color="CFF0FC"/>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Expected to vest after June 30, 2016</w:t>
            </w: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71.48</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w:t>
            </w:r>
          </w:p>
        </w:tc>
        <w:tc>
          <w:tcPr>
            <w:tcW w:w="3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840" w:right="100" w:hanging="319"/>
        <w:spacing w:after="0" w:line="279"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Inclusive of 121,869 RSUs withheld to satisfy employee minimum tax withholding requirements due to net share settlement. Potential shares which had been convertible under RSUs that were withheld under net share settlement remain in the authorized but unissued pool under the 2011 Plan and can be reissued by the Company. Total payments for the employees’ tax obligations to the taxing authorities due to net share settlements are reflected as a financing activity within the unaudited condensed consolidated statements of cash flows.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17"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A summary of our remaining unrecognized stock-based compensation expense, net of estimated forfeitures, and the weighted average remaining amortization period at June 30, 2016 related to our non-vested stock options and RSU awards is presented below (in millions, except per year information):</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280" w:type="dxa"/>
            <w:vAlign w:val="bottom"/>
          </w:tcPr>
          <w:p>
            <w:pPr>
              <w:jc w:val="center"/>
              <w:ind w:left="347"/>
              <w:spacing w:after="0"/>
              <w:rPr>
                <w:sz w:val="20"/>
                <w:szCs w:val="20"/>
                <w:color w:val="auto"/>
              </w:rPr>
            </w:pPr>
            <w:r>
              <w:rPr>
                <w:rFonts w:ascii="Arial" w:cs="Arial" w:eastAsia="Arial" w:hAnsi="Arial"/>
                <w:sz w:val="14"/>
                <w:szCs w:val="14"/>
                <w:b w:val="1"/>
                <w:bCs w:val="1"/>
                <w:color w:val="auto"/>
                <w:w w:val="89"/>
              </w:rPr>
              <w:t>Stock</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400" w:type="dxa"/>
            <w:vAlign w:val="bottom"/>
          </w:tcPr>
          <w:p>
            <w:pPr>
              <w:spacing w:after="0"/>
              <w:rPr>
                <w:sz w:val="14"/>
                <w:szCs w:val="14"/>
                <w:color w:val="auto"/>
              </w:rPr>
            </w:pPr>
          </w:p>
        </w:tc>
        <w:tc>
          <w:tcPr>
            <w:tcW w:w="1280" w:type="dxa"/>
            <w:vAlign w:val="bottom"/>
          </w:tcPr>
          <w:p>
            <w:pPr>
              <w:jc w:val="center"/>
              <w:ind w:left="347"/>
              <w:spacing w:after="0"/>
              <w:rPr>
                <w:sz w:val="20"/>
                <w:szCs w:val="20"/>
                <w:color w:val="auto"/>
              </w:rPr>
            </w:pPr>
            <w:r>
              <w:rPr>
                <w:rFonts w:ascii="Arial" w:cs="Arial" w:eastAsia="Arial" w:hAnsi="Arial"/>
                <w:sz w:val="14"/>
                <w:szCs w:val="14"/>
                <w:b w:val="1"/>
                <w:bCs w:val="1"/>
                <w:color w:val="auto"/>
                <w:w w:val="94"/>
              </w:rPr>
              <w:t>Options</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2"/>
          </w:tcPr>
          <w:p>
            <w:pPr>
              <w:ind w:left="300"/>
              <w:spacing w:after="0"/>
              <w:rPr>
                <w:sz w:val="20"/>
                <w:szCs w:val="20"/>
                <w:color w:val="auto"/>
              </w:rPr>
            </w:pPr>
            <w:r>
              <w:rPr>
                <w:rFonts w:ascii="Arial" w:cs="Arial" w:eastAsia="Arial" w:hAnsi="Arial"/>
                <w:sz w:val="14"/>
                <w:szCs w:val="14"/>
                <w:b w:val="1"/>
                <w:bCs w:val="1"/>
                <w:color w:val="auto"/>
              </w:rPr>
              <w:t>RSUs</w:t>
            </w:r>
          </w:p>
        </w:tc>
      </w:tr>
      <w:tr>
        <w:trPr>
          <w:trHeight w:val="223"/>
        </w:trPr>
        <w:tc>
          <w:tcPr>
            <w:tcW w:w="6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compensation expense (net of estimated forfeitures)</w:t>
            </w:r>
          </w:p>
        </w:tc>
        <w:tc>
          <w:tcPr>
            <w:tcW w:w="1280" w:type="dxa"/>
            <w:vAlign w:val="bottom"/>
            <w:tcBorders>
              <w:top w:val="single" w:sz="8" w:color="auto"/>
            </w:tcBorders>
            <w:shd w:val="clear" w:color="auto" w:fill="CFF0FC"/>
          </w:tcPr>
          <w:p>
            <w:pPr>
              <w:jc w:val="right"/>
              <w:ind w:right="11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3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Weighted average period remaining (in years)</w:t>
            </w:r>
          </w:p>
        </w:tc>
        <w:tc>
          <w:tcPr>
            <w:tcW w:w="1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p>
      <w:pPr>
        <w:spacing w:after="0" w:line="121" w:lineRule="exact"/>
        <w:rPr>
          <w:sz w:val="20"/>
          <w:szCs w:val="20"/>
          <w:color w:val="auto"/>
        </w:rPr>
      </w:pPr>
    </w:p>
    <w:p>
      <w:pPr>
        <w:ind w:right="20" w:firstLine="552"/>
        <w:spacing w:after="0" w:line="279" w:lineRule="auto"/>
        <w:rPr>
          <w:sz w:val="20"/>
          <w:szCs w:val="20"/>
          <w:color w:val="auto"/>
        </w:rPr>
      </w:pPr>
      <w:r>
        <w:rPr>
          <w:rFonts w:ascii="Arial" w:cs="Arial" w:eastAsia="Arial" w:hAnsi="Arial"/>
          <w:sz w:val="17"/>
          <w:szCs w:val="17"/>
          <w:color w:val="auto"/>
        </w:rPr>
        <w:t>We compute basic earnings per share (“Basic EPS”) by dividing net income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treasury shares repurchased during the reporting period.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p>
      <w:pPr>
        <w:spacing w:after="0" w:line="121" w:lineRule="exact"/>
        <w:rPr>
          <w:sz w:val="20"/>
          <w:szCs w:val="20"/>
          <w:color w:val="auto"/>
        </w:rPr>
      </w:pPr>
    </w:p>
    <w:p>
      <w:pPr>
        <w:ind w:right="20" w:firstLine="552"/>
        <w:spacing w:after="0" w:line="255" w:lineRule="auto"/>
        <w:rPr>
          <w:sz w:val="20"/>
          <w:szCs w:val="20"/>
          <w:color w:val="auto"/>
        </w:rPr>
      </w:pPr>
      <w:r>
        <w:rPr>
          <w:rFonts w:ascii="Arial" w:cs="Arial" w:eastAsia="Arial" w:hAnsi="Arial"/>
          <w:sz w:val="18"/>
          <w:szCs w:val="18"/>
          <w:color w:val="auto"/>
        </w:rPr>
        <w:t>We compute diluted earnings per share (“Diluted EPS”) by dividing net income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earnings per share calculation as indicated above, and (ii) if dilutive, the incremental weighted average common stock that we would issue upon the assumed exercise of outstanding common equivalent shares related to stock options and the vesting of restricted stock units using the treasury stock method, and (iii) if dilutive, performance based awards based on the number of shares that would be issuable as of the end of the reporting period assuming the end of the reporting period was also the end of the contingency period.</w:t>
      </w:r>
    </w:p>
    <w:p>
      <w:pPr>
        <w:spacing w:after="0" w:line="189" w:lineRule="exact"/>
        <w:rPr>
          <w:sz w:val="20"/>
          <w:szCs w:val="20"/>
          <w:color w:val="auto"/>
        </w:rPr>
      </w:pPr>
    </w:p>
    <w:p>
      <w:pPr>
        <w:ind w:right="60" w:firstLine="552"/>
        <w:spacing w:after="0" w:line="255" w:lineRule="auto"/>
        <w:rPr>
          <w:sz w:val="20"/>
          <w:szCs w:val="20"/>
          <w:color w:val="auto"/>
        </w:rPr>
      </w:pPr>
      <w:r>
        <w:rPr>
          <w:rFonts w:ascii="Arial" w:cs="Arial" w:eastAsia="Arial" w:hAnsi="Arial"/>
          <w:sz w:val="18"/>
          <w:szCs w:val="18"/>
          <w:color w:val="auto"/>
        </w:rPr>
        <w:t>Under the treasury stock method, the assumed proceeds calculation includes the actual proceeds to be received from the employee upon exercise, the average unrecognized compensation cost during the period and any tax benefits credited upon exercise to additional paid-in-capital. The treasury stock method assumes that a company uses the proceeds from the exercise of an award to repurchase common stock at the average market price for the period. Windfall tax benefits created upon the exercise of an award would be added to assumed proceeds, while shortfalls charged to additional paid-in-capital would be deducted from assumed proceeds. Any shortfalls not covered by the windfall tax pool would be charged to the income statement and would be excluded from the calculation of assumed proceeds, if 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ind w:right="80" w:firstLine="518"/>
        <w:spacing w:after="0" w:line="277"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7"/>
              </w:rPr>
              <w:t>Three months ended June 30,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9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46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183"/>
        </w:trPr>
        <w:tc>
          <w:tcPr>
            <w:tcW w:w="4540" w:type="dxa"/>
            <w:vAlign w:val="bottom"/>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4540" w:type="dxa"/>
            <w:vAlign w:val="bottom"/>
            <w:gridSpan w:val="3"/>
          </w:tcPr>
          <w:p>
            <w:pPr>
              <w:ind w:left="240"/>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r>
      <w:tr>
        <w:trPr>
          <w:trHeight w:val="189"/>
        </w:trPr>
        <w:tc>
          <w:tcPr>
            <w:tcW w:w="454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CFF0FC"/>
          </w:tcPr>
          <w:p>
            <w:pPr>
              <w:spacing w:after="0" w:line="20" w:lineRule="exact"/>
              <w:rPr>
                <w:sz w:val="1"/>
                <w:szCs w:val="1"/>
                <w:color w:val="auto"/>
              </w:rPr>
            </w:pPr>
          </w:p>
        </w:tc>
        <w:tc>
          <w:tcPr>
            <w:tcW w:w="34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4540" w:type="dxa"/>
            <w:vAlign w:val="bottom"/>
            <w:gridSpan w:val="3"/>
          </w:tcPr>
          <w:p>
            <w:pPr>
              <w:ind w:left="240"/>
              <w:spacing w:after="0"/>
              <w:rPr>
                <w:sz w:val="20"/>
                <w:szCs w:val="20"/>
                <w:color w:val="auto"/>
              </w:rPr>
            </w:pPr>
            <w:r>
              <w:rPr>
                <w:rFonts w:ascii="Arial" w:cs="Arial" w:eastAsia="Arial" w:hAnsi="Arial"/>
                <w:sz w:val="18"/>
                <w:szCs w:val="18"/>
                <w:color w:val="auto"/>
                <w:w w:val="98"/>
              </w:rPr>
              <w:t>Weighted average shares used to compute Basic EPS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145,732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143,709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145,588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143,427</w:t>
            </w:r>
          </w:p>
        </w:tc>
        <w:tc>
          <w:tcPr>
            <w:tcW w:w="100" w:type="dxa"/>
            <w:vAlign w:val="bottom"/>
          </w:tcPr>
          <w:p>
            <w:pPr>
              <w:spacing w:after="0"/>
              <w:rPr>
                <w:sz w:val="19"/>
                <w:szCs w:val="19"/>
                <w:color w:val="auto"/>
              </w:rPr>
            </w:pPr>
          </w:p>
        </w:tc>
      </w:tr>
      <w:tr>
        <w:trPr>
          <w:trHeight w:val="230"/>
        </w:trPr>
        <w:tc>
          <w:tcPr>
            <w:tcW w:w="45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Weighted average effect of dilutive securities:</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40" w:type="dxa"/>
            <w:vAlign w:val="bottom"/>
            <w:gridSpan w:val="3"/>
          </w:tcPr>
          <w:p>
            <w:pPr>
              <w:ind w:left="50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19"/>
                <w:szCs w:val="19"/>
                <w:color w:val="auto"/>
              </w:rPr>
            </w:pPr>
          </w:p>
        </w:tc>
      </w:tr>
      <w:tr>
        <w:trPr>
          <w:trHeight w:val="230"/>
        </w:trPr>
        <w:tc>
          <w:tcPr>
            <w:tcW w:w="454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RSUs</w:t>
            </w:r>
          </w:p>
        </w:tc>
        <w:tc>
          <w:tcPr>
            <w:tcW w:w="3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FF0FC"/>
          </w:tcPr>
          <w:p>
            <w:pPr>
              <w:spacing w:after="0"/>
              <w:rPr>
                <w:sz w:val="19"/>
                <w:szCs w:val="19"/>
                <w:color w:val="auto"/>
              </w:rPr>
            </w:pPr>
          </w:p>
        </w:tc>
      </w:tr>
      <w:tr>
        <w:trPr>
          <w:trHeight w:val="263"/>
        </w:trPr>
        <w:tc>
          <w:tcPr>
            <w:tcW w:w="454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w w:val="96"/>
              </w:rPr>
              <w:t>Weighted average shares used to compute Diluted EPS</w:t>
            </w:r>
          </w:p>
        </w:tc>
        <w:tc>
          <w:tcPr>
            <w:tcW w:w="3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147,060</w:t>
            </w:r>
          </w:p>
        </w:tc>
        <w:tc>
          <w:tcPr>
            <w:tcW w:w="2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145,959</w:t>
            </w:r>
          </w:p>
        </w:tc>
        <w:tc>
          <w:tcPr>
            <w:tcW w:w="2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146,982</w:t>
            </w:r>
          </w:p>
        </w:tc>
        <w:tc>
          <w:tcPr>
            <w:tcW w:w="2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145,916</w:t>
            </w:r>
          </w:p>
        </w:tc>
        <w:tc>
          <w:tcPr>
            <w:tcW w:w="100" w:type="dxa"/>
            <w:vAlign w:val="bottom"/>
            <w:tcBorders>
              <w:bottom w:val="single" w:sz="8" w:color="CFF0FC"/>
            </w:tcBorders>
          </w:tcPr>
          <w:p>
            <w:pPr>
              <w:spacing w:after="0"/>
              <w:rPr>
                <w:sz w:val="22"/>
                <w:szCs w:val="22"/>
                <w:color w:val="auto"/>
              </w:rPr>
            </w:pPr>
          </w:p>
        </w:tc>
      </w:tr>
      <w:tr>
        <w:trPr>
          <w:trHeight w:val="210"/>
        </w:trPr>
        <w:tc>
          <w:tcPr>
            <w:tcW w:w="4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Basic EPS</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FF0FC"/>
          </w:tcPr>
          <w:p>
            <w:pPr>
              <w:spacing w:after="0"/>
              <w:rPr>
                <w:sz w:val="18"/>
                <w:szCs w:val="18"/>
                <w:color w:val="auto"/>
              </w:rPr>
            </w:pPr>
          </w:p>
        </w:tc>
      </w:t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5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0.23</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0.40</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0.42</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0"/>
                <w:szCs w:val="20"/>
                <w:color w:val="auto"/>
              </w:rPr>
            </w:pPr>
          </w:p>
        </w:tc>
      </w:tr>
    </w:tbl>
    <w:p>
      <w:pPr>
        <w:spacing w:after="0" w:line="174"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following potential common shares related to stock options and RSUs were excluded from the calculation of Diluted EPS (in thousands) because their effect would have been anti-dilutive for the periods presented:</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80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2700" w:type="dxa"/>
            <w:vAlign w:val="bottom"/>
            <w:gridSpan w:val="4"/>
          </w:tcPr>
          <w:p>
            <w:pPr>
              <w:ind w:left="460"/>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4780" w:type="dxa"/>
            <w:vAlign w:val="bottom"/>
            <w:tcBorders>
              <w:bottom w:val="single" w:sz="8" w:color="CFF0FC"/>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2016(1)</w:t>
            </w:r>
          </w:p>
        </w:tc>
        <w:tc>
          <w:tcPr>
            <w:tcW w:w="240" w:type="dxa"/>
            <w:vAlign w:val="bottom"/>
            <w:tcBorders>
              <w:top w:val="single" w:sz="8" w:color="auto"/>
              <w:bottom w:val="single" w:sz="8" w:color="CFF0FC"/>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2015(2)</w:t>
            </w:r>
          </w:p>
        </w:tc>
        <w:tc>
          <w:tcPr>
            <w:tcW w:w="240" w:type="dxa"/>
            <w:vAlign w:val="bottom"/>
            <w:tcBorders>
              <w:bottom w:val="single" w:sz="8" w:color="CFF0FC"/>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2016(1)</w:t>
            </w:r>
          </w:p>
        </w:tc>
        <w:tc>
          <w:tcPr>
            <w:tcW w:w="240" w:type="dxa"/>
            <w:vAlign w:val="bottom"/>
            <w:tcBorders>
              <w:top w:val="single" w:sz="8" w:color="auto"/>
              <w:bottom w:val="single" w:sz="8" w:color="CFF0FC"/>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2015(2)</w:t>
            </w:r>
          </w:p>
        </w:tc>
        <w:tc>
          <w:tcPr>
            <w:tcW w:w="120" w:type="dxa"/>
            <w:vAlign w:val="bottom"/>
            <w:tcBorders>
              <w:bottom w:val="single" w:sz="8" w:color="CFF0FC"/>
            </w:tcBorders>
          </w:tcPr>
          <w:p>
            <w:pPr>
              <w:spacing w:after="0"/>
              <w:rPr>
                <w:sz w:val="19"/>
                <w:szCs w:val="19"/>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2,107</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2,124</w:t>
            </w:r>
          </w:p>
        </w:tc>
        <w:tc>
          <w:tcPr>
            <w:tcW w:w="120" w:type="dxa"/>
            <w:vAlign w:val="bottom"/>
            <w:shd w:val="clear" w:color="auto" w:fill="CFF0FC"/>
          </w:tcPr>
          <w:p>
            <w:pPr>
              <w:spacing w:after="0"/>
              <w:rPr>
                <w:sz w:val="19"/>
                <w:szCs w:val="19"/>
                <w:color w:val="auto"/>
              </w:rPr>
            </w:pPr>
          </w:p>
        </w:tc>
      </w:tr>
      <w:tr>
        <w:trPr>
          <w:trHeight w:val="230"/>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RSUs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24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Borders>
              <w:bottom w:val="single" w:sz="8" w:color="CFF0FC"/>
            </w:tcBorders>
          </w:tcPr>
          <w:p>
            <w:pPr>
              <w:spacing w:after="0"/>
              <w:rPr>
                <w:sz w:val="19"/>
                <w:szCs w:val="19"/>
                <w:color w:val="auto"/>
              </w:rPr>
            </w:pPr>
          </w:p>
        </w:tc>
      </w:tr>
      <w:tr>
        <w:trPr>
          <w:trHeight w:val="223"/>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3,737</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2,852</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3,747</w:t>
            </w:r>
          </w:p>
        </w:tc>
        <w:tc>
          <w:tcPr>
            <w:tcW w:w="24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840" w:right="280" w:hanging="319"/>
        <w:spacing w:after="0" w:line="264"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totals do not include 125,000 performance based options and 12,799 performance based RSUs representing the right to acquire 137,799 shares of common stock for which all targets required to trigger vesting had not been achieved; therefore, such awards were excluded from the calculation of weighted average shares used to compute Diluted EPS for those reporting periods.</w:t>
      </w:r>
    </w:p>
    <w:p>
      <w:pPr>
        <w:spacing w:after="0" w:line="140" w:lineRule="exact"/>
        <w:rPr>
          <w:rFonts w:ascii="Arial" w:cs="Arial" w:eastAsia="Arial" w:hAnsi="Arial"/>
          <w:sz w:val="18"/>
          <w:szCs w:val="18"/>
          <w:color w:val="auto"/>
        </w:rPr>
      </w:pPr>
    </w:p>
    <w:p>
      <w:pPr>
        <w:ind w:left="840" w:hanging="319"/>
        <w:spacing w:after="0" w:line="256"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totals do not include 66,666 performance based options and 12,799 performance based RSUs representing the right to acquire 79,465 shares of common stock for which all targets required to trigger vesting had not been achieved; therefore, such awards were excluded from the calculation of weighted average shares used to compute Diluted EPS for those reporting periods.</w:t>
      </w:r>
    </w:p>
    <w:p>
      <w:pPr>
        <w:ind w:right="300" w:firstLine="518"/>
        <w:spacing w:after="0" w:line="261"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5: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Marketable Securities</w:t>
      </w:r>
    </w:p>
    <w:p>
      <w:pPr>
        <w:spacing w:after="0" w:line="121"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The following tables show our cash and available-for-sale securities’ amortized cost, gross unrealized gains, gross unrealized losses and fair value by significant investment category recorded as cash and cash equivalents or short and long-term marketable securities for the periods presented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2016</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w w:val="91"/>
              </w:rPr>
              <w:t>Cash and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4"/>
              <w:spacing w:after="0" w:line="147" w:lineRule="exact"/>
              <w:rPr>
                <w:sz w:val="20"/>
                <w:szCs w:val="20"/>
                <w:color w:val="auto"/>
              </w:rPr>
            </w:pPr>
            <w:r>
              <w:rPr>
                <w:rFonts w:ascii="Arial" w:cs="Arial" w:eastAsia="Arial" w:hAnsi="Arial"/>
                <w:sz w:val="14"/>
                <w:szCs w:val="14"/>
                <w:b w:val="1"/>
                <w:bCs w:val="1"/>
                <w:color w:val="auto"/>
                <w:w w:val="95"/>
              </w:rPr>
              <w:t>Short-Term</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4"/>
              <w:spacing w:after="0" w:line="147" w:lineRule="exact"/>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920" w:type="dxa"/>
            <w:vAlign w:val="bottom"/>
          </w:tcPr>
          <w:p>
            <w:pPr>
              <w:jc w:val="center"/>
              <w:ind w:left="27"/>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left="47"/>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4"/>
              <w:spacing w:after="0"/>
              <w:rPr>
                <w:sz w:val="20"/>
                <w:szCs w:val="20"/>
                <w:color w:val="auto"/>
              </w:rPr>
            </w:pPr>
            <w:r>
              <w:rPr>
                <w:rFonts w:ascii="Arial" w:cs="Arial" w:eastAsia="Arial" w:hAnsi="Arial"/>
                <w:sz w:val="14"/>
                <w:szCs w:val="14"/>
                <w:b w:val="1"/>
                <w:bCs w:val="1"/>
                <w:color w:val="auto"/>
                <w:w w:val="87"/>
              </w:rPr>
              <w:t>Cash</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4"/>
              <w:spacing w:after="0"/>
              <w:rPr>
                <w:sz w:val="20"/>
                <w:szCs w:val="20"/>
                <w:color w:val="auto"/>
              </w:rPr>
            </w:pPr>
            <w:r>
              <w:rPr>
                <w:rFonts w:ascii="Arial" w:cs="Arial" w:eastAsia="Arial" w:hAnsi="Arial"/>
                <w:sz w:val="14"/>
                <w:szCs w:val="14"/>
                <w:b w:val="1"/>
                <w:bCs w:val="1"/>
                <w:color w:val="auto"/>
                <w:w w:val="98"/>
              </w:rPr>
              <w:t>Marketable</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ind w:left="247"/>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left="47"/>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left="67"/>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Equivalents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740</w:t>
            </w: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Corporate debt securities</w:t>
            </w:r>
          </w:p>
        </w:tc>
        <w:tc>
          <w:tcPr>
            <w:tcW w:w="1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133</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891</w:t>
            </w: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left="68"/>
              <w:spacing w:after="0"/>
              <w:rPr>
                <w:sz w:val="20"/>
                <w:szCs w:val="20"/>
                <w:color w:val="auto"/>
              </w:rPr>
            </w:pPr>
            <w:r>
              <w:rPr>
                <w:rFonts w:ascii="Arial" w:cs="Arial" w:eastAsia="Arial" w:hAnsi="Arial"/>
                <w:sz w:val="14"/>
                <w:szCs w:val="14"/>
                <w:b w:val="1"/>
                <w:bCs w:val="1"/>
                <w:color w:val="auto"/>
                <w:w w:val="91"/>
              </w:rPr>
              <w:t>December 31, 2015</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w w:val="91"/>
              </w:rPr>
              <w:t>Cash and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4"/>
              <w:spacing w:after="0" w:line="147" w:lineRule="exact"/>
              <w:rPr>
                <w:sz w:val="20"/>
                <w:szCs w:val="20"/>
                <w:color w:val="auto"/>
              </w:rPr>
            </w:pPr>
            <w:r>
              <w:rPr>
                <w:rFonts w:ascii="Arial" w:cs="Arial" w:eastAsia="Arial" w:hAnsi="Arial"/>
                <w:sz w:val="14"/>
                <w:szCs w:val="14"/>
                <w:b w:val="1"/>
                <w:bCs w:val="1"/>
                <w:color w:val="auto"/>
                <w:w w:val="95"/>
              </w:rPr>
              <w:t>Short-Term</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4"/>
              <w:spacing w:after="0" w:line="147" w:lineRule="exact"/>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920" w:type="dxa"/>
            <w:vAlign w:val="bottom"/>
          </w:tcPr>
          <w:p>
            <w:pPr>
              <w:jc w:val="center"/>
              <w:ind w:left="27"/>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left="47"/>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4"/>
              <w:spacing w:after="0"/>
              <w:rPr>
                <w:sz w:val="20"/>
                <w:szCs w:val="20"/>
                <w:color w:val="auto"/>
              </w:rPr>
            </w:pPr>
            <w:r>
              <w:rPr>
                <w:rFonts w:ascii="Arial" w:cs="Arial" w:eastAsia="Arial" w:hAnsi="Arial"/>
                <w:sz w:val="14"/>
                <w:szCs w:val="14"/>
                <w:b w:val="1"/>
                <w:bCs w:val="1"/>
                <w:color w:val="auto"/>
                <w:w w:val="87"/>
              </w:rPr>
              <w:t>Cash</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4"/>
              <w:spacing w:after="0"/>
              <w:rPr>
                <w:sz w:val="20"/>
                <w:szCs w:val="20"/>
                <w:color w:val="auto"/>
              </w:rPr>
            </w:pPr>
            <w:r>
              <w:rPr>
                <w:rFonts w:ascii="Arial" w:cs="Arial" w:eastAsia="Arial" w:hAnsi="Arial"/>
                <w:sz w:val="14"/>
                <w:szCs w:val="14"/>
                <w:b w:val="1"/>
                <w:bCs w:val="1"/>
                <w:color w:val="auto"/>
                <w:w w:val="98"/>
              </w:rPr>
              <w:t>Marketable</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71"/>
        </w:trPr>
        <w:tc>
          <w:tcPr>
            <w:tcW w:w="2220" w:type="dxa"/>
            <w:vAlign w:val="bottom"/>
            <w:vMerge w:val="restart"/>
          </w:tcPr>
          <w:p>
            <w:pPr>
              <w:spacing w:after="0"/>
              <w:rPr>
                <w:sz w:val="20"/>
                <w:szCs w:val="20"/>
                <w:color w:val="auto"/>
              </w:rPr>
            </w:pPr>
            <w:r>
              <w:rPr>
                <w:rFonts w:ascii="Arial" w:cs="Arial" w:eastAsia="Arial" w:hAnsi="Arial"/>
                <w:sz w:val="18"/>
                <w:szCs w:val="18"/>
                <w:color w:val="auto"/>
              </w:rPr>
              <w:t>Cash</w:t>
            </w:r>
          </w:p>
        </w:tc>
        <w:tc>
          <w:tcPr>
            <w:tcW w:w="180" w:type="dxa"/>
            <w:vAlign w:val="bottom"/>
          </w:tcPr>
          <w:p>
            <w:pPr>
              <w:spacing w:after="0"/>
              <w:rPr>
                <w:sz w:val="14"/>
                <w:szCs w:val="14"/>
                <w:color w:val="auto"/>
              </w:rPr>
            </w:pPr>
          </w:p>
        </w:tc>
        <w:tc>
          <w:tcPr>
            <w:tcW w:w="720" w:type="dxa"/>
            <w:vAlign w:val="bottom"/>
          </w:tcPr>
          <w:p>
            <w:pPr>
              <w:jc w:val="center"/>
              <w:ind w:left="247"/>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left="47"/>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left="67"/>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Equivalents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23"/>
        </w:trPr>
        <w:tc>
          <w:tcPr>
            <w:tcW w:w="22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598</w:t>
            </w:r>
          </w:p>
        </w:tc>
        <w:tc>
          <w:tcPr>
            <w:tcW w:w="240" w:type="dxa"/>
            <w:vAlign w:val="bottom"/>
          </w:tcPr>
          <w:p>
            <w:pPr>
              <w:spacing w:after="0"/>
              <w:rPr>
                <w:sz w:val="19"/>
                <w:szCs w:val="19"/>
                <w:color w:val="auto"/>
              </w:rPr>
            </w:pPr>
          </w:p>
        </w:tc>
        <w:tc>
          <w:tcPr>
            <w:tcW w:w="920" w:type="dxa"/>
            <w:vAlign w:val="bottom"/>
            <w:tcBorders>
              <w:top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Borders>
              <w:top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Level 1:</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Level 2:</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260"/>
              <w:spacing w:after="0"/>
              <w:rPr>
                <w:sz w:val="20"/>
                <w:szCs w:val="20"/>
                <w:color w:val="auto"/>
              </w:rPr>
            </w:pPr>
            <w:r>
              <w:rPr>
                <w:rFonts w:ascii="Arial" w:cs="Arial" w:eastAsia="Arial" w:hAnsi="Arial"/>
                <w:sz w:val="18"/>
                <w:szCs w:val="18"/>
                <w:color w:val="auto"/>
              </w:rPr>
              <w:t>U.S. agency securities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96"/>
              </w:rPr>
              <w:t>Corporate debt securities</w:t>
            </w:r>
          </w:p>
        </w:tc>
        <w:tc>
          <w:tcPr>
            <w:tcW w:w="1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20" w:type="dxa"/>
            <w:vAlign w:val="bottom"/>
          </w:tcPr>
          <w:p>
            <w:pPr>
              <w:ind w:left="7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720" w:type="dxa"/>
            <w:vAlign w:val="bottom"/>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698</w:t>
            </w:r>
          </w:p>
        </w:tc>
        <w:tc>
          <w:tcPr>
            <w:tcW w:w="240" w:type="dxa"/>
            <w:vAlign w:val="bottom"/>
          </w:tcPr>
          <w:p>
            <w:pPr>
              <w:spacing w:after="0"/>
              <w:rPr>
                <w:sz w:val="19"/>
                <w:szCs w:val="19"/>
                <w:color w:val="auto"/>
              </w:rPr>
            </w:pP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ind w:right="747"/>
              <w:spacing w:after="0"/>
              <w:rPr>
                <w:sz w:val="20"/>
                <w:szCs w:val="20"/>
                <w:color w:val="auto"/>
              </w:rPr>
            </w:pPr>
            <w:r>
              <w:rPr>
                <w:rFonts w:ascii="Arial" w:cs="Arial" w:eastAsia="Arial" w:hAnsi="Arial"/>
                <w:sz w:val="15"/>
                <w:szCs w:val="15"/>
                <w:color w:val="auto"/>
                <w:w w:val="71"/>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cash and cash equivalents consist of cash on hand in global financial institutions, money market funds and marketable securities with maturities of 90 days or less at the date purchased. The remaining maturities of our long-term marketable securities range from one to three years and our short-term marketable securities include maturities that were greater than 90 days at the date purchased and have 12 months or less remaining at June 30, 2016 and December 31, 2015, respectively.</w:t>
      </w:r>
    </w:p>
    <w:p>
      <w:pPr>
        <w:spacing w:after="0" w:line="187" w:lineRule="exact"/>
        <w:rPr>
          <w:sz w:val="20"/>
          <w:szCs w:val="20"/>
          <w:color w:val="auto"/>
        </w:rPr>
      </w:pPr>
    </w:p>
    <w:p>
      <w:pPr>
        <w:ind w:right="360" w:firstLine="518"/>
        <w:spacing w:after="0" w:line="273" w:lineRule="auto"/>
        <w:rPr>
          <w:sz w:val="20"/>
          <w:szCs w:val="20"/>
          <w:color w:val="auto"/>
        </w:rPr>
      </w:pPr>
      <w:r>
        <w:rPr>
          <w:rFonts w:ascii="Arial" w:cs="Arial" w:eastAsia="Arial" w:hAnsi="Arial"/>
          <w:sz w:val="17"/>
          <w:szCs w:val="17"/>
          <w:color w:val="auto"/>
        </w:rPr>
        <w:t>We classify our cash equivalents and marketable securities within Level 1 and Level 2 as we value our cash equivalents and marketable securities using quoted market prices (Level 1) or alternative pricing sources (Level 2). The valuation technique we used to measure the fair value of money market funds were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4" w:name="page15"/>
    <w:bookmarkEnd w:id="14"/>
    <w:p>
      <w:pPr>
        <w:ind w:firstLine="518"/>
        <w:spacing w:after="0" w:line="259" w:lineRule="auto"/>
        <w:rPr>
          <w:sz w:val="20"/>
          <w:szCs w:val="20"/>
          <w:color w:val="auto"/>
        </w:rPr>
      </w:pPr>
      <w:r>
        <w:rPr>
          <w:rFonts w:ascii="Arial" w:cs="Arial" w:eastAsia="Arial" w:hAnsi="Arial"/>
          <w:sz w:val="18"/>
          <w:szCs w:val="18"/>
          <w:color w:val="auto"/>
        </w:rPr>
        <w:t>There were no material realized gains or losses related to sales of our marketable securities for the three and six months ended June 30, 2016 and 2015, respectively. Realized gains and losses on the sale of securities are determined by specific identification of each security’s cost basis. We consider any individual investments in an unrealized loss position to be temporary in nature and do not consider any of our investments other-than-temporarily impaired as of June 30,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140" w:firstLine="552"/>
        <w:spacing w:after="0" w:line="308" w:lineRule="auto"/>
        <w:rPr>
          <w:sz w:val="20"/>
          <w:szCs w:val="20"/>
          <w:color w:val="auto"/>
        </w:rPr>
      </w:pPr>
      <w:r>
        <w:rPr>
          <w:rFonts w:ascii="Arial" w:cs="Arial" w:eastAsia="Arial" w:hAnsi="Arial"/>
          <w:sz w:val="17"/>
          <w:szCs w:val="17"/>
          <w:color w:val="auto"/>
        </w:rPr>
        <w:t>In certain circumstances, we enter into foreign currency forward exchange contracts (“forward contracts”) to reduce the effects of fluctuating foreign currency exchange rates on our cash flows denominated in foreign currencies. We do not use derivatives for trading or speculative purposes.</w:t>
      </w:r>
    </w:p>
    <w:p>
      <w:pPr>
        <w:spacing w:after="0" w:line="38" w:lineRule="exact"/>
        <w:rPr>
          <w:sz w:val="20"/>
          <w:szCs w:val="20"/>
          <w:color w:val="auto"/>
        </w:rPr>
      </w:pPr>
    </w:p>
    <w:p>
      <w:pPr>
        <w:ind w:right="20" w:firstLine="552"/>
        <w:spacing w:after="0" w:line="293" w:lineRule="auto"/>
        <w:rPr>
          <w:sz w:val="20"/>
          <w:szCs w:val="20"/>
          <w:color w:val="auto"/>
        </w:rPr>
      </w:pPr>
      <w:r>
        <w:rPr>
          <w:rFonts w:ascii="Arial" w:cs="Arial" w:eastAsia="Arial" w:hAnsi="Arial"/>
          <w:sz w:val="16"/>
          <w:szCs w:val="16"/>
          <w:color w:val="auto"/>
        </w:rPr>
        <w:t>Our current forward contracts are not designated as hedges and have current maturities of less than 90 days. We account for our derivative instruments as either assets or liabilities and carry them at fair value. Consequently, any gain or loss resulting from the change in fair value was recognized in our unaudited condensed consolidated statements of operations. We recorded a net gain of $2 million and $1 million for the three and six months ended June 30, 2016, respectively, related to our settled and outstanding forward contracts in our unaudited condensed consolidated statements of operations in “Interest income and other, net.” We recorded a net loss of $1 million and a net gain of $2 million for the three and six months ended June 30, 2015, respectively, related to our settled and outstanding forward contracts in our unaudited condensed consolidated statements of operations in “Interest income and other, net.”</w:t>
      </w:r>
    </w:p>
    <w:p>
      <w:pPr>
        <w:spacing w:after="0" w:line="165"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following table shows the fair value and notional principal amounts of our outstanding derivative instruments that are not designated as hedging instruments for the periods presented:</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Balance Sheet Caption</w:t>
            </w:r>
          </w:p>
        </w:tc>
        <w:tc>
          <w:tcPr>
            <w:tcW w:w="1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2016</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0" w:type="dxa"/>
            <w:vAlign w:val="bottom"/>
            <w:gridSpan w:val="3"/>
            <w:vMerge w:val="restart"/>
          </w:tcPr>
          <w:p>
            <w:pPr>
              <w:jc w:val="right"/>
              <w:ind w:right="324"/>
              <w:spacing w:after="0"/>
              <w:rPr>
                <w:sz w:val="20"/>
                <w:szCs w:val="20"/>
                <w:color w:val="auto"/>
              </w:rPr>
            </w:pPr>
            <w:r>
              <w:rPr>
                <w:rFonts w:ascii="Arial" w:cs="Arial" w:eastAsia="Arial" w:hAnsi="Arial"/>
                <w:sz w:val="14"/>
                <w:szCs w:val="14"/>
                <w:b w:val="1"/>
                <w:bCs w:val="1"/>
                <w:color w:val="auto"/>
              </w:rPr>
              <w:t>Fair Value of Derivative (2)</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42"/>
              <w:spacing w:after="0" w:line="133" w:lineRule="exact"/>
              <w:rPr>
                <w:sz w:val="20"/>
                <w:szCs w:val="20"/>
                <w:color w:val="auto"/>
              </w:rPr>
            </w:pPr>
            <w:r>
              <w:rPr>
                <w:rFonts w:ascii="Arial" w:cs="Arial" w:eastAsia="Arial" w:hAnsi="Arial"/>
                <w:sz w:val="14"/>
                <w:szCs w:val="14"/>
                <w:b w:val="1"/>
                <w:bCs w:val="1"/>
                <w:color w:val="auto"/>
                <w:w w:val="95"/>
              </w:rPr>
              <w:t>U.S. Dollar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Notional</w:t>
            </w: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Asset</w:t>
            </w:r>
          </w:p>
        </w:tc>
        <w:tc>
          <w:tcPr>
            <w:tcW w:w="3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Liability</w:t>
            </w:r>
          </w:p>
        </w:tc>
        <w:tc>
          <w:tcPr>
            <w:tcW w:w="160" w:type="dxa"/>
            <w:vAlign w:val="bottom"/>
            <w:tcBorders>
              <w:top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(in millions)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FF0FC"/>
          </w:tcPr>
          <w:p>
            <w:pPr>
              <w:spacing w:after="0"/>
              <w:rPr>
                <w:sz w:val="18"/>
                <w:szCs w:val="18"/>
                <w:color w:val="auto"/>
              </w:rPr>
            </w:pPr>
          </w:p>
        </w:tc>
        <w:tc>
          <w:tcPr>
            <w:tcW w:w="2900" w:type="dxa"/>
            <w:vAlign w:val="bottom"/>
            <w:gridSpan w:val="2"/>
            <w:shd w:val="clear" w:color="auto" w:fill="CFF0FC"/>
          </w:tcPr>
          <w:p>
            <w:pPr>
              <w:jc w:val="center"/>
              <w:ind w:left="250"/>
              <w:spacing w:after="0"/>
              <w:rPr>
                <w:sz w:val="20"/>
                <w:szCs w:val="20"/>
                <w:color w:val="auto"/>
              </w:rPr>
            </w:pPr>
            <w:r>
              <w:rPr>
                <w:rFonts w:ascii="Arial" w:cs="Arial" w:eastAsia="Arial" w:hAnsi="Arial"/>
                <w:sz w:val="18"/>
                <w:szCs w:val="18"/>
                <w:color w:val="auto"/>
                <w:w w:val="88"/>
              </w:rPr>
              <w:t>Prepaid expenses and other current</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exchange-forward contracts (1)</w:t>
            </w:r>
          </w:p>
        </w:tc>
        <w:tc>
          <w:tcPr>
            <w:tcW w:w="360" w:type="dxa"/>
            <w:vAlign w:val="bottom"/>
            <w:shd w:val="clear" w:color="auto" w:fill="CFF0FC"/>
          </w:tcPr>
          <w:p>
            <w:pPr>
              <w:spacing w:after="0"/>
              <w:rPr>
                <w:sz w:val="20"/>
                <w:szCs w:val="20"/>
                <w:color w:val="auto"/>
              </w:rPr>
            </w:pPr>
          </w:p>
        </w:tc>
        <w:tc>
          <w:tcPr>
            <w:tcW w:w="2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0"/>
              </w:rPr>
              <w:t>assets</w:t>
            </w:r>
          </w:p>
        </w:tc>
        <w:tc>
          <w:tcPr>
            <w:tcW w:w="112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300" w:type="dxa"/>
            <w:vAlign w:val="bottom"/>
            <w:shd w:val="clear" w:color="auto" w:fill="CFF0FC"/>
          </w:tcPr>
          <w:p>
            <w:pPr>
              <w:jc w:val="right"/>
              <w:ind w:right="924"/>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3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Balance Sheet Caption</w:t>
            </w:r>
          </w:p>
        </w:tc>
        <w:tc>
          <w:tcPr>
            <w:tcW w:w="1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0" w:type="dxa"/>
            <w:vAlign w:val="bottom"/>
            <w:gridSpan w:val="3"/>
            <w:vMerge w:val="restart"/>
          </w:tcPr>
          <w:p>
            <w:pPr>
              <w:jc w:val="right"/>
              <w:ind w:right="324"/>
              <w:spacing w:after="0"/>
              <w:rPr>
                <w:sz w:val="20"/>
                <w:szCs w:val="20"/>
                <w:color w:val="auto"/>
              </w:rPr>
            </w:pPr>
            <w:r>
              <w:rPr>
                <w:rFonts w:ascii="Arial" w:cs="Arial" w:eastAsia="Arial" w:hAnsi="Arial"/>
                <w:sz w:val="14"/>
                <w:szCs w:val="14"/>
                <w:b w:val="1"/>
                <w:bCs w:val="1"/>
                <w:color w:val="auto"/>
              </w:rPr>
              <w:t>Fair Value of Derivative (2)</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42"/>
              <w:spacing w:after="0" w:line="133" w:lineRule="exact"/>
              <w:rPr>
                <w:sz w:val="20"/>
                <w:szCs w:val="20"/>
                <w:color w:val="auto"/>
              </w:rPr>
            </w:pPr>
            <w:r>
              <w:rPr>
                <w:rFonts w:ascii="Arial" w:cs="Arial" w:eastAsia="Arial" w:hAnsi="Arial"/>
                <w:sz w:val="14"/>
                <w:szCs w:val="14"/>
                <w:b w:val="1"/>
                <w:bCs w:val="1"/>
                <w:color w:val="auto"/>
                <w:w w:val="95"/>
              </w:rPr>
              <w:t>U.S. Dollar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Notional</w:t>
            </w: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Asset</w:t>
            </w:r>
          </w:p>
        </w:tc>
        <w:tc>
          <w:tcPr>
            <w:tcW w:w="3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Liability</w:t>
            </w:r>
          </w:p>
        </w:tc>
        <w:tc>
          <w:tcPr>
            <w:tcW w:w="160" w:type="dxa"/>
            <w:vAlign w:val="bottom"/>
            <w:tcBorders>
              <w:top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(in millions)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FF0FC"/>
          </w:tcPr>
          <w:p>
            <w:pPr>
              <w:spacing w:after="0"/>
              <w:rPr>
                <w:sz w:val="18"/>
                <w:szCs w:val="18"/>
                <w:color w:val="auto"/>
              </w:rPr>
            </w:pPr>
          </w:p>
        </w:tc>
        <w:tc>
          <w:tcPr>
            <w:tcW w:w="2900" w:type="dxa"/>
            <w:vAlign w:val="bottom"/>
            <w:gridSpan w:val="2"/>
            <w:shd w:val="clear" w:color="auto" w:fill="CFF0FC"/>
          </w:tcPr>
          <w:p>
            <w:pPr>
              <w:jc w:val="center"/>
              <w:ind w:left="250"/>
              <w:spacing w:after="0"/>
              <w:rPr>
                <w:sz w:val="20"/>
                <w:szCs w:val="20"/>
                <w:color w:val="auto"/>
              </w:rPr>
            </w:pPr>
            <w:r>
              <w:rPr>
                <w:rFonts w:ascii="Arial" w:cs="Arial" w:eastAsia="Arial" w:hAnsi="Arial"/>
                <w:sz w:val="18"/>
                <w:szCs w:val="18"/>
                <w:color w:val="auto"/>
                <w:w w:val="88"/>
              </w:rPr>
              <w:t>Prepaid expenses and other current</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exchange-forward contracts (1)</w:t>
            </w:r>
          </w:p>
        </w:tc>
        <w:tc>
          <w:tcPr>
            <w:tcW w:w="360" w:type="dxa"/>
            <w:vAlign w:val="bottom"/>
            <w:shd w:val="clear" w:color="auto" w:fill="CFF0FC"/>
          </w:tcPr>
          <w:p>
            <w:pPr>
              <w:spacing w:after="0"/>
              <w:rPr>
                <w:sz w:val="20"/>
                <w:szCs w:val="20"/>
                <w:color w:val="auto"/>
              </w:rPr>
            </w:pPr>
          </w:p>
        </w:tc>
        <w:tc>
          <w:tcPr>
            <w:tcW w:w="2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0"/>
              </w:rPr>
              <w:t>assets</w:t>
            </w:r>
          </w:p>
        </w:tc>
        <w:tc>
          <w:tcPr>
            <w:tcW w:w="112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924"/>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840" w:hanging="319"/>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Derivative contracts address foreign exchange fluctuations for the Euro versus the U.S. Dollar.</w:t>
      </w:r>
    </w:p>
    <w:p>
      <w:pPr>
        <w:spacing w:after="0" w:line="23" w:lineRule="exact"/>
        <w:rPr>
          <w:rFonts w:ascii="Arial" w:cs="Arial" w:eastAsia="Arial" w:hAnsi="Arial"/>
          <w:sz w:val="18"/>
          <w:szCs w:val="18"/>
          <w:color w:val="auto"/>
        </w:rPr>
      </w:pPr>
    </w:p>
    <w:p>
      <w:pPr>
        <w:ind w:left="840" w:right="360" w:hanging="319"/>
        <w:spacing w:after="0" w:line="261"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measure the fair value of our outstanding or unsettled derivatives using Level 2 fair value inputs, as we use a pricing model that takes into account the contract terms as well as current foreign currency exchange rates in active markets.</w:t>
      </w:r>
    </w:p>
    <w:p>
      <w:pPr>
        <w:spacing w:after="0" w:line="184"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Counterparties to currency exchange derivatives consist of major international financial institutions. We monitor our positions and the credit ratings of the counterparties involved and, by policy limits, the amount of credit exposure to any one party. While we may be exposed to potential losses due to the credit risk of non-performance by these counterparties, losses are not anticipated and any credit risk amounts associated with our outstanding or unsettled derivative instruments are deemed to be not material for any period presented.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Other financial instruments not measured at fair value on a recurring basis include trade receivables, trade payables, deferred merchant payables, short-term debt, accrued and other current liabilities and long-term debt. With the exception of long-term debt, the carrying amount approximates fair value because of the short maturity of these instruments as reported on our unaudited condensed consolidated balance sheets as of June 30, 2016 and December 31, 2015, respectively. The carrying value of the long-term debt from our 2015 Credit Facility bears interest at a variable rate and therefore is also considered to approximate fair value.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Level 3 assets or liabilities at June 30, 2016 and December 31, 2015.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DEBT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outstanding debt consisted of the following for the periods presented:</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jc w:val="right"/>
              <w:ind w:right="146"/>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940" w:type="dxa"/>
            <w:vAlign w:val="bottom"/>
            <w:gridSpan w:val="2"/>
          </w:tcPr>
          <w:p>
            <w:pPr>
              <w:jc w:val="right"/>
              <w:ind w:right="246"/>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jc w:val="right"/>
              <w:ind w:right="776"/>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right"/>
              <w:ind w:right="45"/>
              <w:spacing w:after="0" w:line="155" w:lineRule="exact"/>
              <w:rPr>
                <w:sz w:val="20"/>
                <w:szCs w:val="20"/>
                <w:color w:val="auto"/>
              </w:rPr>
            </w:pPr>
            <w:r>
              <w:rPr>
                <w:rFonts w:ascii="Arial" w:cs="Arial" w:eastAsia="Arial" w:hAnsi="Arial"/>
                <w:sz w:val="14"/>
                <w:szCs w:val="14"/>
                <w:b w:val="1"/>
                <w:bCs w:val="1"/>
                <w:color w:val="auto"/>
              </w:rPr>
              <w:t>(in millions)</w:t>
            </w:r>
          </w:p>
        </w:tc>
        <w:tc>
          <w:tcPr>
            <w:tcW w:w="1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Short-Term Debt:</w:t>
            </w:r>
          </w:p>
        </w:tc>
        <w:tc>
          <w:tcPr>
            <w:tcW w:w="15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240"/>
              <w:spacing w:after="0"/>
              <w:rPr>
                <w:sz w:val="20"/>
                <w:szCs w:val="20"/>
                <w:color w:val="auto"/>
              </w:rPr>
            </w:pPr>
            <w:r>
              <w:rPr>
                <w:rFonts w:ascii="Arial" w:cs="Arial" w:eastAsia="Arial" w:hAnsi="Arial"/>
                <w:sz w:val="18"/>
                <w:szCs w:val="18"/>
                <w:color w:val="auto"/>
              </w:rPr>
              <w:t>Chinese Credit Facilities</w:t>
            </w:r>
          </w:p>
        </w:tc>
        <w:tc>
          <w:tcPr>
            <w:tcW w:w="2940" w:type="dxa"/>
            <w:vAlign w:val="bottom"/>
            <w:gridSpan w:val="2"/>
          </w:tcPr>
          <w:p>
            <w:pPr>
              <w:jc w:val="right"/>
              <w:ind w:right="1286"/>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52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Debt</w:t>
            </w: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128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5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240"/>
              <w:spacing w:after="0"/>
              <w:rPr>
                <w:sz w:val="20"/>
                <w:szCs w:val="20"/>
                <w:color w:val="auto"/>
              </w:rPr>
            </w:pPr>
            <w:r>
              <w:rPr>
                <w:rFonts w:ascii="Arial" w:cs="Arial" w:eastAsia="Arial" w:hAnsi="Arial"/>
                <w:sz w:val="18"/>
                <w:szCs w:val="18"/>
                <w:color w:val="auto"/>
              </w:rPr>
              <w:t>2015 Credit Facility</w:t>
            </w:r>
          </w:p>
        </w:tc>
        <w:tc>
          <w:tcPr>
            <w:tcW w:w="2940" w:type="dxa"/>
            <w:vAlign w:val="bottom"/>
            <w:gridSpan w:val="2"/>
          </w:tcPr>
          <w:p>
            <w:pPr>
              <w:jc w:val="right"/>
              <w:ind w:right="1286"/>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91</w:t>
            </w:r>
          </w:p>
        </w:tc>
        <w:tc>
          <w:tcPr>
            <w:tcW w:w="52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128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Credit Facility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December 20, 2011, we entered into a credit agreement (the “2011 Credit Facility”), which provided $600 million of borrowing including:</w:t>
      </w:r>
    </w:p>
    <w:p>
      <w:pPr>
        <w:spacing w:after="0" w:line="230" w:lineRule="exact"/>
        <w:rPr>
          <w:sz w:val="20"/>
          <w:szCs w:val="20"/>
          <w:color w:val="auto"/>
        </w:rPr>
      </w:pPr>
    </w:p>
    <w:p>
      <w:pPr>
        <w:ind w:left="820" w:right="2300" w:hanging="257"/>
        <w:spacing w:after="0" w:line="215" w:lineRule="auto"/>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a term loan facility in an aggregate principal amount of $400 million with a term of five years due December 2016</w:t>
      </w:r>
      <w:r>
        <w:rPr>
          <w:rFonts w:ascii="Arial" w:cs="Arial" w:eastAsia="Arial" w:hAnsi="Arial"/>
          <w:sz w:val="22"/>
          <w:szCs w:val="22"/>
          <w:color w:val="auto"/>
        </w:rPr>
        <w:t xml:space="preserve"> </w:t>
      </w:r>
      <w:r>
        <w:rPr>
          <w:rFonts w:ascii="Arial" w:cs="Arial" w:eastAsia="Arial" w:hAnsi="Arial"/>
          <w:sz w:val="18"/>
          <w:szCs w:val="18"/>
          <w:color w:val="auto"/>
        </w:rPr>
        <w:t>(“Term Loan”); and</w:t>
      </w:r>
    </w:p>
    <w:p>
      <w:pPr>
        <w:ind w:left="820" w:right="2540" w:hanging="257"/>
        <w:spacing w:after="0" w:line="205" w:lineRule="auto"/>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a revolving credit facility in an aggregate principal amount of $200 million available in U.S. dollars, Euros and</w:t>
      </w:r>
      <w:r>
        <w:rPr>
          <w:rFonts w:ascii="Arial" w:cs="Arial" w:eastAsia="Arial" w:hAnsi="Arial"/>
          <w:sz w:val="22"/>
          <w:szCs w:val="22"/>
          <w:color w:val="auto"/>
        </w:rPr>
        <w:t xml:space="preserve"> </w:t>
      </w:r>
      <w:r>
        <w:rPr>
          <w:rFonts w:ascii="Arial" w:cs="Arial" w:eastAsia="Arial" w:hAnsi="Arial"/>
          <w:sz w:val="18"/>
          <w:szCs w:val="18"/>
          <w:color w:val="auto"/>
        </w:rPr>
        <w:t>British pound sterling with a term of five years expiring December 2016.</w:t>
      </w:r>
    </w:p>
    <w:p>
      <w:pPr>
        <w:spacing w:after="0" w:line="310" w:lineRule="exact"/>
        <w:rPr>
          <w:sz w:val="20"/>
          <w:szCs w:val="20"/>
          <w:color w:val="auto"/>
        </w:rPr>
      </w:pPr>
    </w:p>
    <w:p>
      <w:pPr>
        <w:ind w:right="20" w:firstLine="552"/>
        <w:spacing w:after="0" w:line="259" w:lineRule="auto"/>
        <w:rPr>
          <w:sz w:val="20"/>
          <w:szCs w:val="20"/>
          <w:color w:val="auto"/>
        </w:rPr>
      </w:pPr>
      <w:r>
        <w:rPr>
          <w:rFonts w:ascii="Arial" w:cs="Arial" w:eastAsia="Arial" w:hAnsi="Arial"/>
          <w:sz w:val="18"/>
          <w:szCs w:val="18"/>
          <w:color w:val="auto"/>
        </w:rPr>
        <w:t>On June 26, 2015, the entire outstanding principal on our Term Loan in the amount of $290 million was repaid with borrowings from our 2015 Credit Facility (described below) and the 2011 Credit Facility was subsequently terminated. During the three and six months ended June 30, 2015, we recorded total interest and commitment fees on our 2011 Credit Facility of $1 million and $3 million, respectively, to interest expense on our unaudited condensed consolidated statements of operations. There was no resulting loss on early extinguishment of this debt.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Credit Facility</w:t>
      </w:r>
    </w:p>
    <w:p>
      <w:pPr>
        <w:spacing w:after="0" w:line="121" w:lineRule="exact"/>
        <w:rPr>
          <w:sz w:val="20"/>
          <w:szCs w:val="20"/>
          <w:color w:val="auto"/>
        </w:rPr>
      </w:pPr>
    </w:p>
    <w:p>
      <w:pPr>
        <w:ind w:firstLine="548"/>
        <w:spacing w:after="0" w:line="271" w:lineRule="auto"/>
        <w:rPr>
          <w:sz w:val="20"/>
          <w:szCs w:val="20"/>
          <w:color w:val="auto"/>
        </w:rPr>
      </w:pPr>
      <w:r>
        <w:rPr>
          <w:rFonts w:ascii="Arial" w:cs="Arial" w:eastAsia="Arial" w:hAnsi="Arial"/>
          <w:sz w:val="17"/>
          <w:szCs w:val="17"/>
          <w:color w:val="auto"/>
        </w:rPr>
        <w:t>On June 26, 2015, we entered into a five year credit agreement (the “2015 Credit Facility”) and immediately borrowed $290 million. The 2015 Credit Facility, among other things, provides for (i) a $1 billion unsecured revolving credit facility, (ii) an interest rate on borrowings and commitment fees based on the Company’s and its subsidiaries’ consolidated leverage ratio; and (iii) uncommitted incremental revolving loan and term loan facilities, subject to compliance with a leverage covenant and other conditions. Any overdue amounts under or in respect of the revolving credit facility not paid when due shall bear interest at (i) in the case of principal, the applicable interest rate plus 2.00% per annum, (ii) in the case of interest denominated in Sterling or Euro, the applicable rate plus 2.00% per annum; and (iii) in the case of interest denominated in US Dollars, 2.00% per annum plus the Alternate Base Rate plus the interest rate spread applicable to ABR loans. The Company may borrow from the 2015 Credit Facility in U.S dollars, Euros and British pound sterling with a term of five years expiring June 26, 2020.</w:t>
      </w:r>
    </w:p>
    <w:p>
      <w:pPr>
        <w:spacing w:after="0" w:line="179" w:lineRule="exact"/>
        <w:rPr>
          <w:sz w:val="20"/>
          <w:szCs w:val="20"/>
          <w:color w:val="auto"/>
        </w:rPr>
      </w:pPr>
    </w:p>
    <w:p>
      <w:pPr>
        <w:jc w:val="both"/>
        <w:ind w:right="60" w:firstLine="518"/>
        <w:spacing w:after="0" w:line="276" w:lineRule="auto"/>
        <w:rPr>
          <w:sz w:val="20"/>
          <w:szCs w:val="20"/>
          <w:color w:val="auto"/>
        </w:rPr>
      </w:pPr>
      <w:r>
        <w:rPr>
          <w:rFonts w:ascii="Arial" w:cs="Arial" w:eastAsia="Arial" w:hAnsi="Arial"/>
          <w:sz w:val="17"/>
          <w:szCs w:val="17"/>
          <w:color w:val="auto"/>
        </w:rPr>
        <w:t>There is no specific repayment date prior to the five-year maturity date for our outstanding borrowings under the 2015 Credit Facility. During the six months ended June 30, 2016, the Company repaid $109 million of our outstanding borrowings on the 2015 Credit Facility. Based on the Company’s current leverage ratio, our borrowings bear interest at LIBOR plus 125 basis points, or the Eurocurrency Spread. The Company is currently borrowing under a one-month interest period of 1.8% per annum, using a one-month interest period Eurocurrency Spread, which will reset periodically. Interest will be payable on a monthly basis while the Company is borrowing under the one-month interest rate period.</w:t>
      </w:r>
    </w:p>
    <w:p>
      <w:pPr>
        <w:spacing w:after="0" w:line="173" w:lineRule="exact"/>
        <w:rPr>
          <w:sz w:val="20"/>
          <w:szCs w:val="20"/>
          <w:color w:val="auto"/>
        </w:rPr>
      </w:pPr>
    </w:p>
    <w:p>
      <w:pPr>
        <w:ind w:firstLine="552"/>
        <w:spacing w:after="0" w:line="279" w:lineRule="auto"/>
        <w:rPr>
          <w:sz w:val="20"/>
          <w:szCs w:val="20"/>
          <w:color w:val="auto"/>
        </w:rPr>
      </w:pPr>
      <w:r>
        <w:rPr>
          <w:rFonts w:ascii="Arial" w:cs="Arial" w:eastAsia="Arial" w:hAnsi="Arial"/>
          <w:sz w:val="17"/>
          <w:szCs w:val="17"/>
          <w:color w:val="auto"/>
        </w:rPr>
        <w:t>We are also required to pay a quarterly commitment fee, on the daily unused portion of the revolving credit facility for each fiscal quarter and fees in connection with the issuance of letters of credit. Unused revolver capacity is currently subject to a commitment fee of 20.0 basis points, given the Company’s current leverage ratio. The 2015 Credit Facility includes $15 million of borrowing capacity available for letters of credit and $40 million for borrowings on same-day notice. As of June 30, 2016, we had issued $2 million of outstanding letters of credit under the 2015 Credit Facility.</w:t>
      </w:r>
    </w:p>
    <w:p>
      <w:pPr>
        <w:spacing w:after="0" w:line="171" w:lineRule="exact"/>
        <w:rPr>
          <w:sz w:val="20"/>
          <w:szCs w:val="20"/>
          <w:color w:val="auto"/>
        </w:rPr>
      </w:pPr>
    </w:p>
    <w:p>
      <w:pPr>
        <w:jc w:val="both"/>
        <w:ind w:right="120" w:firstLine="552"/>
        <w:spacing w:after="0" w:line="264" w:lineRule="auto"/>
        <w:rPr>
          <w:sz w:val="20"/>
          <w:szCs w:val="20"/>
          <w:color w:val="auto"/>
        </w:rPr>
      </w:pPr>
      <w:r>
        <w:rPr>
          <w:rFonts w:ascii="Arial" w:cs="Arial" w:eastAsia="Arial" w:hAnsi="Arial"/>
          <w:sz w:val="18"/>
          <w:szCs w:val="18"/>
          <w:color w:val="auto"/>
        </w:rPr>
        <w:t>During the three and six months ended June 30, 2016, we recorded total interest and commitment fees on our 2015 Credit Facility of $1 million and $3 million, respectively, to interest expense on our unaudited condensed consolidated statements of operations. During the three and six months ended June 30, 2015, respectively, total interest and commitment fees recorded under our</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16" w:name="page17"/>
    <w:bookmarkEnd w:id="16"/>
    <w:p>
      <w:pPr>
        <w:ind w:right="880"/>
        <w:spacing w:after="0" w:line="277" w:lineRule="auto"/>
        <w:rPr>
          <w:sz w:val="20"/>
          <w:szCs w:val="20"/>
          <w:color w:val="auto"/>
        </w:rPr>
      </w:pPr>
      <w:r>
        <w:rPr>
          <w:rFonts w:ascii="Arial" w:cs="Arial" w:eastAsia="Arial" w:hAnsi="Arial"/>
          <w:sz w:val="18"/>
          <w:szCs w:val="18"/>
          <w:color w:val="auto"/>
        </w:rPr>
        <w:t>2015 Credit Facility to interest expense on our unaudited condensed consolidated statements of operations were not material. Unpaid interest and commitment fees as of June 30, 2016 were not material.</w:t>
      </w:r>
    </w:p>
    <w:p>
      <w:pPr>
        <w:spacing w:after="0" w:line="170"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We may voluntarily repay any outstanding borrowing under the 2015 Credit Facility at any time without premium or penalty, other than customary breakage costs with respect to Eurocurrency loans. Certain wholly-owned domestic subsidiaries of the Company have agreed to guarantee the Company’s obligations under the 2015 Credit Facility.</w:t>
      </w:r>
    </w:p>
    <w:p>
      <w:pPr>
        <w:spacing w:after="0" w:line="181" w:lineRule="exact"/>
        <w:rPr>
          <w:sz w:val="20"/>
          <w:szCs w:val="20"/>
          <w:color w:val="auto"/>
        </w:rPr>
      </w:pPr>
    </w:p>
    <w:p>
      <w:pPr>
        <w:ind w:right="60" w:firstLine="548"/>
        <w:spacing w:after="0" w:line="277" w:lineRule="auto"/>
        <w:rPr>
          <w:sz w:val="20"/>
          <w:szCs w:val="20"/>
          <w:color w:val="auto"/>
        </w:rPr>
      </w:pPr>
      <w:r>
        <w:rPr>
          <w:rFonts w:ascii="Arial" w:cs="Arial" w:eastAsia="Arial" w:hAnsi="Arial"/>
          <w:sz w:val="17"/>
          <w:szCs w:val="17"/>
          <w:color w:val="auto"/>
        </w:rPr>
        <w:t>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2015 Credit Facility. As of June 30, 2016, we are in compliance with all of our debt covenants.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Chinese Credit Facilities</w:t>
      </w:r>
    </w:p>
    <w:p>
      <w:pPr>
        <w:spacing w:after="0" w:line="121" w:lineRule="exact"/>
        <w:rPr>
          <w:sz w:val="20"/>
          <w:szCs w:val="20"/>
          <w:color w:val="auto"/>
        </w:rPr>
      </w:pPr>
    </w:p>
    <w:p>
      <w:pPr>
        <w:ind w:right="80" w:firstLine="552"/>
        <w:spacing w:after="0" w:line="277" w:lineRule="auto"/>
        <w:rPr>
          <w:sz w:val="20"/>
          <w:szCs w:val="20"/>
          <w:color w:val="auto"/>
        </w:rPr>
      </w:pPr>
      <w:r>
        <w:rPr>
          <w:rFonts w:ascii="Arial" w:cs="Arial" w:eastAsia="Arial" w:hAnsi="Arial"/>
          <w:sz w:val="18"/>
          <w:szCs w:val="18"/>
          <w:color w:val="auto"/>
        </w:rPr>
        <w:t>In addition to our borrowings under the 2015 Credit Facility, we maintain our Chinese Credit Facilities. As of June 30, 2016 and December 31, 2015, we had short-term borrowings outstanding of $1 million.</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are parties to a $30 million, one-year revolving credit facility with Bank of America (the “Chinese Credit Facility—BOA”) that is currently subject to review on a periodic basis with no specific expiration period. Our Chinese Credit Facility—BOA currently bears interest at a rate based on 100% of the People’s Bank of China’s base rate, which was 4.35% as of June 30, 2016. As of June 30, 2016, we had $1 million of outstanding borrowings from the Chinese Credit Facility—BOA.</w:t>
      </w:r>
    </w:p>
    <w:p>
      <w:pPr>
        <w:spacing w:after="0" w:line="187" w:lineRule="exact"/>
        <w:rPr>
          <w:sz w:val="20"/>
          <w:szCs w:val="20"/>
          <w:color w:val="auto"/>
        </w:rPr>
      </w:pPr>
    </w:p>
    <w:p>
      <w:pPr>
        <w:ind w:right="100" w:firstLine="552"/>
        <w:spacing w:after="0" w:line="286" w:lineRule="auto"/>
        <w:rPr>
          <w:sz w:val="20"/>
          <w:szCs w:val="20"/>
          <w:color w:val="auto"/>
        </w:rPr>
      </w:pPr>
      <w:r>
        <w:rPr>
          <w:rFonts w:ascii="Arial" w:cs="Arial" w:eastAsia="Arial" w:hAnsi="Arial"/>
          <w:sz w:val="17"/>
          <w:szCs w:val="17"/>
          <w:color w:val="auto"/>
        </w:rPr>
        <w:t>We are also parties to a RMB 125,000,000 (approximately $20 million), one-year revolving credit facility with J.P. Morgan Chase Bank (“Chinese Credit Facility—JPM”). Our Chinese Credit Facility—JPM currently bears interest at a rate based on 100% of the People’s Bank of China’s base rate, which was 4.35% as of June 30, 2016. As of June 30, 2016, there are no outstanding borrowings under our Chinese Credit Facility – JPM.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Each interim period is considered an integral part of the annual period and, accordingly, we measure our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Our effective tax rate for the three and six months ended June 30, 2016 was 24.4% and 26.2%, respectively. Our effective tax rate for the three and six months ended June 30, 2015 was 29.3% and 28.0%, respectively. For both the three and six months periods ended June 30, 2016, the effective tax rate is less than the federal statutory rate primarily due to earnings in jurisdictions outside the United States, where our effective tax rate is lower, which was partially offset by state income taxes, non-deductible stock compensation and accruals on uncertain tax positions. The change in the effective tax rate for 2016 compared to the 2015 rate was primarily due to a change in jurisdictional earnings.</w:t>
      </w:r>
    </w:p>
    <w:p>
      <w:pPr>
        <w:spacing w:after="0" w:line="188"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Our policy is to recognize accrued interest and penalties related to unrecognized tax benefits and income tax liabilities as part of our income tax expense. As of June 30, 2016, accrued interest is $5 million, net of federal benefit, and no penalties have been accrued. We do not anticipate any material releases in the next twelve months.</w:t>
      </w:r>
    </w:p>
    <w:p>
      <w:pPr>
        <w:spacing w:after="0" w:line="181"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By virtue of previously filed consolidated income tax returns filed with Expedia, we are currently under an Internal Revenue Service (“IRS”) audit for the 2009 and 2010 tax years, and have various ongoing state income tax audits. We are separately under examination by the IRS for the 2012 and 2013 tax years and have an employment tax audit with the IRS for the 2013 and 2014 tax years. These audits include questioning of the timing and the amount of income and deductions and the allocation of income among various tax jurisdictions. These examinations may lead to proposed adjustments to our taxes. We are no longer subject to tax examinations by tax authorities for years prior to 2007. As of June 30, 2016, no material assessments have resulted.</w:t>
      </w:r>
    </w:p>
    <w:p>
      <w:pPr>
        <w:spacing w:after="0" w:line="15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During the year ended December 31, 2015, we received notification of a draft proposed adjustment from the IRS for the 2009 and 2010 tax years and we anticipate receiving additional notices of proposed adjustments for the same years. These proposed adjustments are related to transfer pricing with our foreign subsidiaries, and would result in an increase to U.S. taxable income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7" w:name="page18"/>
    <w:bookmarkEnd w:id="17"/>
    <w:p>
      <w:pPr>
        <w:ind w:right="40"/>
        <w:spacing w:after="0" w:line="259" w:lineRule="auto"/>
        <w:rPr>
          <w:sz w:val="20"/>
          <w:szCs w:val="20"/>
          <w:color w:val="auto"/>
        </w:rPr>
      </w:pPr>
      <w:r>
        <w:rPr>
          <w:rFonts w:ascii="Arial" w:cs="Arial" w:eastAsia="Arial" w:hAnsi="Arial"/>
          <w:sz w:val="18"/>
          <w:szCs w:val="18"/>
          <w:color w:val="auto"/>
        </w:rPr>
        <w:t>federal tax expense for 2009 and 2010, subject to interest. Our policy is to review and update tax reserves as facts and circumstances change. Based on our interpretation of the regulations and available case law, we believe the position we have taken with regard to transfer pricing with our foreign subsidiaries is sustainable. We intend to defend our position through IRS administrative and, if necessary, judicial remedies. As of June 30, 2016, no additional adjustments have been proposed.</w:t>
      </w:r>
    </w:p>
    <w:p>
      <w:pPr>
        <w:spacing w:after="0" w:line="18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July 2015, the United States Tax Court (the “Court”) issued an opinion favorable to Altera Corporation (“Altera”) with respect to Altera’s litigation with the IRS. This opinion was submitted as a final decision under Tax Court Rule 155 during December 2015. The litigation relates to the treatment of stock-based compensation expense in an inter-company cost-sharing arrangement with Altera’s foreign subsidiary. In its opinion, the Court accepted Altera’s position of excluding stock based compensation from its inter-company cost-sharing arrangement. The IRS appealed the Court decision on February 19, 2016. At this time, the U.S. Department of the Treasury has not withdrawn the requirement from its regulations to include stock-based compensation in intercompany cost-sharing arrangements. The Company recorded a tax benefit of $13 million in its consolidated statement of operations for the year ended December 31, 2015 and an additional $1 million and $2 million during the three and six months ended June 30, 2016, respectively. The Company will continue to monitor this matter and related potential impacts to its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EXPENSES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for the periods presented:</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Arial" w:cs="Arial" w:eastAsia="Arial" w:hAnsi="Arial"/>
                <w:sz w:val="14"/>
                <w:szCs w:val="14"/>
                <w:b w:val="1"/>
                <w:bCs w:val="1"/>
                <w:color w:val="auto"/>
              </w:rPr>
              <w:t>June 30, 2016</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2015</w:t>
            </w:r>
          </w:p>
        </w:tc>
      </w:tr>
      <w:tr>
        <w:trPr>
          <w:trHeight w:val="156"/>
        </w:trPr>
        <w:tc>
          <w:tcPr>
            <w:tcW w:w="46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4"/>
          </w:tcPr>
          <w:p>
            <w:pPr>
              <w:jc w:val="right"/>
              <w:ind w:right="5"/>
              <w:spacing w:after="0" w:line="155" w:lineRule="exact"/>
              <w:rPr>
                <w:sz w:val="20"/>
                <w:szCs w:val="20"/>
                <w:color w:val="auto"/>
              </w:rPr>
            </w:pPr>
            <w:r>
              <w:rPr>
                <w:rFonts w:ascii="Arial" w:cs="Arial" w:eastAsia="Arial" w:hAnsi="Arial"/>
                <w:sz w:val="14"/>
                <w:szCs w:val="14"/>
                <w:b w:val="1"/>
                <w:bCs w:val="1"/>
                <w:color w:val="auto"/>
              </w:rPr>
              <w:t>(in millions)</w:t>
            </w:r>
          </w:p>
        </w:tc>
        <w:tc>
          <w:tcPr>
            <w:tcW w:w="1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Accrued salary, bonus, and related benefits</w:t>
            </w:r>
          </w:p>
        </w:tc>
        <w:tc>
          <w:tcPr>
            <w:tcW w:w="2960" w:type="dxa"/>
            <w:vAlign w:val="bottom"/>
            <w:gridSpan w:val="2"/>
            <w:shd w:val="clear" w:color="auto" w:fill="CFF0FC"/>
          </w:tcPr>
          <w:p>
            <w:pPr>
              <w:jc w:val="right"/>
              <w:ind w:right="1267"/>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Accrued marketing costs</w:t>
            </w:r>
          </w:p>
        </w:tc>
        <w:tc>
          <w:tcPr>
            <w:tcW w:w="15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54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r>
      <w:tr>
        <w:trPr>
          <w:trHeight w:val="223"/>
        </w:trPr>
        <w:tc>
          <w:tcPr>
            <w:tcW w:w="4640" w:type="dxa"/>
            <w:vAlign w:val="bottom"/>
          </w:tcPr>
          <w:p>
            <w:pPr>
              <w:ind w:left="240"/>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9"/>
                <w:szCs w:val="19"/>
                <w:color w:val="auto"/>
              </w:rPr>
            </w:pPr>
          </w:p>
        </w:tc>
        <w:tc>
          <w:tcPr>
            <w:tcW w:w="1420" w:type="dxa"/>
            <w:vAlign w:val="bottom"/>
            <w:tcBorders>
              <w:bottom w:val="single" w:sz="8" w:color="auto"/>
            </w:tcBorders>
          </w:tcPr>
          <w:p>
            <w:pPr>
              <w:jc w:val="right"/>
              <w:ind w:right="126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8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On February 15, 2013, our Board of Directors authorized the repurchase of $250 million of our shares of common stock under a share repurchase program. The repurchase program has no expiration but may be suspended or terminated by the Board of Directors at any time.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134"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During the six months ended June 30, 2016, we repurchased 208,137 shares of outstanding common stock under the share repurchase program at an aggregate cost of $12 million, or an average share price of $59.79. As of June 30, 2016, we have repurchased 2,328,846 shares of outstanding common stock under the share repurchase program at an aggregate cost of $158 million. As of June 30, 2016, we have a remaining amount from the authorized share repurchase program granted by the Board of Directors of $92 million to repurchase shares of our common stock.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21" w:lineRule="exact"/>
        <w:rPr>
          <w:sz w:val="20"/>
          <w:szCs w:val="20"/>
          <w:color w:val="auto"/>
        </w:rPr>
      </w:pPr>
    </w:p>
    <w:p>
      <w:pPr>
        <w:ind w:right="260" w:firstLine="518"/>
        <w:spacing w:after="0" w:line="342" w:lineRule="auto"/>
        <w:rPr>
          <w:sz w:val="20"/>
          <w:szCs w:val="20"/>
          <w:color w:val="auto"/>
        </w:rPr>
      </w:pPr>
      <w:r>
        <w:rPr>
          <w:rFonts w:ascii="Arial" w:cs="Arial" w:eastAsia="Arial" w:hAnsi="Arial"/>
          <w:sz w:val="16"/>
          <w:szCs w:val="16"/>
          <w:color w:val="auto"/>
        </w:rPr>
        <w:t>There have been no material changes to our commitments and contingencies since December 31, 2015. Refer to “Note 12: Commitments and Contingencies,” in the notes to our consolidated financial statements in Item 8 of our Annual Report on Form 10-K for the year ended December 31,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In the ordinary course of business, we are parties to regulatory and legal matters arising out of our operations. These matters may involve claims involving alleged infringement of third-party intellectual property rights (including patent infringement), defamation, taxes, regulatory compliance privacy issues and other claims.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probability that a loss may have been incurred and whether such loss is reasonably estimable. We base accruals made on the best information available at the time which can be highly subjective. Although occasional adverse decisions or settlements may occur, the Company does not believe that the final disposition of any of these matters will have a material adverse effect on the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80"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 xml:space="preserve">Additionally, we earn an increasing portion of our income, and accumulate a greater portion of cash flows, in foreign jurisdictions which we consider indefinitely reinvested.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 See “Note 7: </w:t>
      </w:r>
      <w:r>
        <w:rPr>
          <w:rFonts w:ascii="Arial" w:cs="Arial" w:eastAsia="Arial" w:hAnsi="Arial"/>
          <w:sz w:val="16"/>
          <w:szCs w:val="16"/>
          <w:i w:val="1"/>
          <w:iCs w:val="1"/>
          <w:color w:val="auto"/>
        </w:rPr>
        <w:t>Income Taxes</w:t>
      </w:r>
      <w:r>
        <w:rPr>
          <w:rFonts w:ascii="Arial" w:cs="Arial" w:eastAsia="Arial" w:hAnsi="Arial"/>
          <w:sz w:val="16"/>
          <w:szCs w:val="16"/>
          <w:color w:val="auto"/>
        </w:rPr>
        <w:t>” above for further information on potential contingencies surrounding income taxes.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reporting structure includes two reportable segments: Hotel and Non-Hotel.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Hotel</w:t>
      </w:r>
    </w:p>
    <w:p>
      <w:pPr>
        <w:spacing w:after="0" w:line="121" w:lineRule="exact"/>
        <w:rPr>
          <w:sz w:val="20"/>
          <w:szCs w:val="20"/>
          <w:color w:val="auto"/>
        </w:rPr>
      </w:pPr>
    </w:p>
    <w:p>
      <w:pPr>
        <w:ind w:right="60" w:firstLine="552"/>
        <w:spacing w:after="0" w:line="257" w:lineRule="auto"/>
        <w:rPr>
          <w:sz w:val="20"/>
          <w:szCs w:val="20"/>
          <w:color w:val="auto"/>
        </w:rPr>
      </w:pPr>
      <w:r>
        <w:rPr>
          <w:rFonts w:ascii="Arial" w:cs="Arial" w:eastAsia="Arial" w:hAnsi="Arial"/>
          <w:sz w:val="18"/>
          <w:szCs w:val="18"/>
          <w:color w:val="auto"/>
        </w:rPr>
        <w:t>Our Hotel segment includes revenue generated from services related to hotels, including click-based advertising revenue from making hotel room night reservations available for price comparison and commission-based transactions via our instant booking feature, as well as display-based advertising, subscription-based hotel advertising (or Business Listings), room reservations sold through our websites, and from content licensing. Our Hotel segment also includes click-based advertising revenue from making airline reservations and cruise reservations available for price comparison and booking. Our chief operating decision maker is also the Hotel segment manager.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Non-Hotel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Non-Hotel segment consists of the aggregation of three operating segments, our Attractions, Restaurants and Vacation Rentals businesses.</w:t>
      </w:r>
    </w:p>
    <w:p>
      <w:pPr>
        <w:spacing w:after="0" w:line="140"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i w:val="1"/>
          <w:iCs w:val="1"/>
          <w:color w:val="auto"/>
        </w:rPr>
        <w:t xml:space="preserve">Attractions. </w:t>
      </w:r>
      <w:r>
        <w:rPr>
          <w:rFonts w:ascii="Arial" w:cs="Arial" w:eastAsia="Arial" w:hAnsi="Arial"/>
          <w:sz w:val="18"/>
          <w:szCs w:val="18"/>
          <w:color w:val="auto"/>
        </w:rPr>
        <w:t>We provide, primarily through Viator, information and services for researching and booking destination activities around the world.</w:t>
      </w:r>
      <w:r>
        <w:rPr>
          <w:rFonts w:ascii="Arial" w:cs="Arial" w:eastAsia="Arial" w:hAnsi="Arial"/>
          <w:sz w:val="18"/>
          <w:szCs w:val="18"/>
          <w:i w:val="1"/>
          <w:iCs w:val="1"/>
          <w:color w:val="auto"/>
        </w:rPr>
        <w:t xml:space="preserve"> </w:t>
      </w:r>
      <w:r>
        <w:rPr>
          <w:rFonts w:ascii="Arial" w:cs="Arial" w:eastAsia="Arial" w:hAnsi="Arial"/>
          <w:sz w:val="18"/>
          <w:szCs w:val="18"/>
          <w:color w:val="auto"/>
        </w:rPr>
        <w:t>Viator works with local operators to provide travelers with access to tours and activities in popular destinations worldwide, earning a commission for such service. In addition to its consumer-direct business, Viator also provides local experiences to affiliate partners, including some of the world’s top airlines, hotels and travel agencies.</w:t>
      </w:r>
    </w:p>
    <w:p>
      <w:pPr>
        <w:spacing w:after="0" w:line="187"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i w:val="1"/>
          <w:iCs w:val="1"/>
          <w:color w:val="auto"/>
        </w:rPr>
        <w:t xml:space="preserve">Restaurants. </w:t>
      </w:r>
      <w:r>
        <w:rPr>
          <w:rFonts w:ascii="Arial" w:cs="Arial" w:eastAsia="Arial" w:hAnsi="Arial"/>
          <w:sz w:val="16"/>
          <w:szCs w:val="16"/>
          <w:color w:val="auto"/>
        </w:rPr>
        <w:t>We have several websites that provide online and mobile reservation services that connect restaurants with diners. These websites are</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primarily focused on the European and Australian markets, primarily through thefork.com (including www.lafourchette.com, www.eltenedor.com, www.iens.nl, www.besttables.com, and www.dimmi.com.au). Thefork.com is an online restaurant booking platform with a network of restaurant partners primarily across Europe and Australia. Thefork.com also helps restaurants to maximize business by providing a flexible online booking and data tool. We generate revenue primarily by charging a fee for each restaurant guest seated through the online reservation systems.</w:t>
      </w:r>
    </w:p>
    <w:p>
      <w:pPr>
        <w:spacing w:after="0" w:line="158"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i w:val="1"/>
          <w:iCs w:val="1"/>
          <w:color w:val="auto"/>
        </w:rPr>
        <w:t>Vacation Rentals</w:t>
      </w:r>
      <w:r>
        <w:rPr>
          <w:rFonts w:ascii="Arial" w:cs="Arial" w:eastAsia="Arial" w:hAnsi="Arial"/>
          <w:sz w:val="16"/>
          <w:szCs w:val="16"/>
          <w:color w:val="auto"/>
        </w:rPr>
        <w:t>. We offer individual property owners and property managers the ability to list their properties available for rental and connect with</w:t>
      </w:r>
      <w:r>
        <w:rPr>
          <w:rFonts w:ascii="Arial" w:cs="Arial" w:eastAsia="Arial" w:hAnsi="Arial"/>
          <w:sz w:val="16"/>
          <w:szCs w:val="16"/>
          <w:i w:val="1"/>
          <w:iCs w:val="1"/>
          <w:color w:val="auto"/>
        </w:rPr>
        <w:t xml:space="preserve"> </w:t>
      </w:r>
      <w:r>
        <w:rPr>
          <w:rFonts w:ascii="Arial" w:cs="Arial" w:eastAsia="Arial" w:hAnsi="Arial"/>
          <w:sz w:val="16"/>
          <w:szCs w:val="16"/>
          <w:color w:val="auto"/>
        </w:rPr>
        <w:t>travelers using a subscription-based fee structure or a free-to-list, commission per booking based option. Our vacation rental inventory currently includes full home rentals, condos, villas, beach rentals, cabins and cottages. These properties are listed across a number of platforms, including TripAdvisor Vacation Rentals, U.S.-based FlipKey and Vacation Home Rentals, and European-based Holiday Lettings, HouseTrip, and Niumba businesses.</w:t>
      </w:r>
    </w:p>
    <w:p>
      <w:pPr>
        <w:spacing w:after="0" w:line="154" w:lineRule="exact"/>
        <w:rPr>
          <w:sz w:val="20"/>
          <w:szCs w:val="20"/>
          <w:color w:val="auto"/>
        </w:rPr>
      </w:pPr>
    </w:p>
    <w:p>
      <w:pPr>
        <w:ind w:right="20" w:firstLine="552"/>
        <w:spacing w:after="0" w:line="277" w:lineRule="auto"/>
        <w:rPr>
          <w:sz w:val="20"/>
          <w:szCs w:val="20"/>
          <w:color w:val="auto"/>
        </w:rPr>
      </w:pPr>
      <w:r>
        <w:rPr>
          <w:rFonts w:ascii="Arial" w:cs="Arial" w:eastAsia="Arial" w:hAnsi="Arial"/>
          <w:sz w:val="18"/>
          <w:szCs w:val="18"/>
          <w:color w:val="auto"/>
        </w:rPr>
        <w:t>Each operating segment in our Non-Hotel segment has a segment manager who is directly accountable to and maintains regular contact with our chief operating decision maker to discuss operating activities, financial results, forecasts, and plans for the segment.</w:t>
      </w:r>
    </w:p>
    <w:p>
      <w:pPr>
        <w:spacing w:after="0" w:line="170" w:lineRule="exact"/>
        <w:rPr>
          <w:sz w:val="20"/>
          <w:szCs w:val="20"/>
          <w:color w:val="auto"/>
        </w:rPr>
      </w:pPr>
    </w:p>
    <w:p>
      <w:pPr>
        <w:ind w:right="40" w:firstLine="552"/>
        <w:spacing w:after="0" w:line="285" w:lineRule="auto"/>
        <w:rPr>
          <w:sz w:val="20"/>
          <w:szCs w:val="20"/>
          <w:color w:val="auto"/>
        </w:rPr>
      </w:pPr>
      <w:r>
        <w:rPr>
          <w:rFonts w:ascii="Arial" w:cs="Arial" w:eastAsia="Arial" w:hAnsi="Arial"/>
          <w:sz w:val="16"/>
          <w:szCs w:val="16"/>
          <w:color w:val="auto"/>
        </w:rPr>
        <w:t>Adjusted EBITDA is our segment profit measure and a key measure used by our management and board of directors to understand and evaluate the operating performance of our business and on which internal budgets and forecasts are based and approved. In particular, the exclusion of certain expenses in calculating Adjusted EBITDA can provide a useful measure for period-to-period comparisons of our core business. Accordingly, we believe that Adjusted EBITDA provides useful information to investors and others in understanding and evaluating our operating results in the same manner as our management and board of directors. We define Adjusted EBITDA as net income (loss) plus: (1) provision for income taxes; (2) other income (expense), net;</w:t>
      </w:r>
    </w:p>
    <w:p>
      <w:pPr>
        <w:spacing w:after="0" w:line="2" w:lineRule="exact"/>
        <w:rPr>
          <w:sz w:val="20"/>
          <w:szCs w:val="20"/>
          <w:color w:val="auto"/>
        </w:rPr>
      </w:pPr>
    </w:p>
    <w:p>
      <w:pPr>
        <w:jc w:val="center"/>
        <w:ind w:left="5620" w:right="720" w:hanging="5612"/>
        <w:spacing w:after="0" w:line="511" w:lineRule="auto"/>
        <w:tabs>
          <w:tab w:leader="none" w:pos="259"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depreciation of property and equipment, including amortization of internal use software and website development; (4) amortization of intangible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9" w:name="page20"/>
    <w:bookmarkEnd w:id="19"/>
    <w:p>
      <w:pPr>
        <w:ind w:right="600"/>
        <w:spacing w:after="0" w:line="277" w:lineRule="auto"/>
        <w:rPr>
          <w:sz w:val="20"/>
          <w:szCs w:val="20"/>
          <w:color w:val="auto"/>
        </w:rPr>
      </w:pPr>
      <w:r>
        <w:rPr>
          <w:rFonts w:ascii="Arial" w:cs="Arial" w:eastAsia="Arial" w:hAnsi="Arial"/>
          <w:sz w:val="18"/>
          <w:szCs w:val="18"/>
          <w:color w:val="auto"/>
        </w:rPr>
        <w:t>assets; (5) stock-based compensation and other stock-settled obligations; (6) goodwill, long-lived asset and intangible asset impairments; and (7) non-recurring expenses and income.</w:t>
      </w:r>
    </w:p>
    <w:p>
      <w:pPr>
        <w:spacing w:after="0" w:line="170" w:lineRule="exact"/>
        <w:rPr>
          <w:sz w:val="20"/>
          <w:szCs w:val="20"/>
          <w:color w:val="auto"/>
        </w:rPr>
      </w:pPr>
    </w:p>
    <w:p>
      <w:pPr>
        <w:ind w:right="80" w:firstLine="548"/>
        <w:spacing w:after="0" w:line="270" w:lineRule="auto"/>
        <w:rPr>
          <w:sz w:val="20"/>
          <w:szCs w:val="20"/>
          <w:color w:val="auto"/>
        </w:rPr>
      </w:pPr>
      <w:r>
        <w:rPr>
          <w:rFonts w:ascii="Arial" w:cs="Arial" w:eastAsia="Arial" w:hAnsi="Arial"/>
          <w:sz w:val="17"/>
          <w:szCs w:val="17"/>
          <w:color w:val="auto"/>
        </w:rPr>
        <w:t>The following tables present our segment information for the three and six months ended June 30, 2016 and 2015, and includes a reconciliation of Adjusted EBITDA to Net Income, the most directly comparable financial measure calculated and presented in accordance with GAAP. We record depreciation of property and equipment, including amortization of internal-use software and website development, amortization of intangible assets, stock-based compensation and other stock-settled obligations, other income (expense), net, other non-recurring expenses and income, net, and income taxes, which are excluded from segment operating performance, in corporate and unallocated. In addition, we do not report our assets, capital expenditures and related depreciation expense by segment as our chief operating decision maker does not evaluate operating segments using this information. We also do not regularly provide such information by segment to our chief operating decision maker. Our consolidated general and administrative expenses, excluding stock-based compensation costs, are shared by all operating segments. Each operating segment receives an allocated charge based on the segment’s percentage of the Company’s total personnel costs.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3"/>
          </w:tcPr>
          <w:p>
            <w:pPr>
              <w:jc w:val="center"/>
              <w:ind w:left="362"/>
              <w:spacing w:after="0"/>
              <w:rPr>
                <w:sz w:val="20"/>
                <w:szCs w:val="20"/>
                <w:color w:val="auto"/>
              </w:rPr>
            </w:pPr>
            <w:r>
              <w:rPr>
                <w:rFonts w:ascii="Arial" w:cs="Arial" w:eastAsia="Arial" w:hAnsi="Arial"/>
                <w:sz w:val="14"/>
                <w:szCs w:val="14"/>
                <w:b w:val="1"/>
                <w:bCs w:val="1"/>
                <w:color w:val="auto"/>
                <w:w w:val="91"/>
              </w:rPr>
              <w:t>Three months ended June 30, 2016</w:t>
            </w: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Hotel</w:t>
            </w:r>
          </w:p>
        </w:tc>
        <w:tc>
          <w:tcPr>
            <w:tcW w:w="640" w:type="dxa"/>
            <w:vAlign w:val="bottom"/>
          </w:tcPr>
          <w:p>
            <w:pPr>
              <w:spacing w:after="0"/>
              <w:rPr>
                <w:sz w:val="11"/>
                <w:szCs w:val="11"/>
                <w:color w:val="auto"/>
              </w:rPr>
            </w:pPr>
          </w:p>
        </w:tc>
        <w:tc>
          <w:tcPr>
            <w:tcW w:w="12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Non-Hotel</w:t>
            </w:r>
          </w:p>
        </w:tc>
        <w:tc>
          <w:tcPr>
            <w:tcW w:w="500" w:type="dxa"/>
            <w:vAlign w:val="bottom"/>
          </w:tcPr>
          <w:p>
            <w:pPr>
              <w:spacing w:after="0"/>
              <w:rPr>
                <w:sz w:val="11"/>
                <w:szCs w:val="11"/>
                <w:color w:val="auto"/>
              </w:rPr>
            </w:pPr>
          </w:p>
        </w:tc>
        <w:tc>
          <w:tcPr>
            <w:tcW w:w="1300" w:type="dxa"/>
            <w:vAlign w:val="bottom"/>
          </w:tcPr>
          <w:p>
            <w:pPr>
              <w:jc w:val="center"/>
              <w:ind w:left="302"/>
              <w:spacing w:after="0" w:line="133" w:lineRule="exact"/>
              <w:rPr>
                <w:sz w:val="20"/>
                <w:szCs w:val="20"/>
                <w:color w:val="auto"/>
              </w:rPr>
            </w:pPr>
            <w:r>
              <w:rPr>
                <w:rFonts w:ascii="Arial" w:cs="Arial" w:eastAsia="Arial" w:hAnsi="Arial"/>
                <w:sz w:val="14"/>
                <w:szCs w:val="14"/>
                <w:b w:val="1"/>
                <w:bCs w:val="1"/>
                <w:color w:val="auto"/>
                <w:w w:val="96"/>
              </w:rPr>
              <w:t>Corporate and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jc w:val="center"/>
              <w:ind w:left="302"/>
              <w:spacing w:after="0"/>
              <w:rPr>
                <w:sz w:val="20"/>
                <w:szCs w:val="20"/>
                <w:color w:val="auto"/>
              </w:rPr>
            </w:pPr>
            <w:r>
              <w:rPr>
                <w:rFonts w:ascii="Arial" w:cs="Arial" w:eastAsia="Arial" w:hAnsi="Arial"/>
                <w:sz w:val="14"/>
                <w:szCs w:val="14"/>
                <w:b w:val="1"/>
                <w:bCs w:val="1"/>
                <w:color w:val="auto"/>
                <w:w w:val="90"/>
              </w:rPr>
              <w:t>Unallocated</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2"/>
          </w:tcPr>
          <w:p>
            <w:pPr>
              <w:jc w:val="center"/>
              <w:ind w:right="742"/>
              <w:spacing w:after="0" w:line="155" w:lineRule="exact"/>
              <w:rPr>
                <w:sz w:val="20"/>
                <w:szCs w:val="20"/>
                <w:color w:val="auto"/>
              </w:rPr>
            </w:pPr>
            <w:r>
              <w:rPr>
                <w:rFonts w:ascii="Arial" w:cs="Arial" w:eastAsia="Arial" w:hAnsi="Arial"/>
                <w:sz w:val="14"/>
                <w:szCs w:val="14"/>
                <w:b w:val="1"/>
                <w:bCs w:val="1"/>
                <w:color w:val="auto"/>
                <w:w w:val="94"/>
              </w:rPr>
              <w:t>(in millions)</w:t>
            </w:r>
          </w:p>
        </w:tc>
        <w:tc>
          <w:tcPr>
            <w:tcW w:w="5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316</w:t>
            </w:r>
          </w:p>
        </w:tc>
        <w:tc>
          <w:tcPr>
            <w:tcW w:w="1280" w:type="dxa"/>
            <w:vAlign w:val="bottom"/>
            <w:shd w:val="clear" w:color="auto" w:fill="CFF0FC"/>
          </w:tcPr>
          <w:p>
            <w:pPr>
              <w:jc w:val="right"/>
              <w:ind w:right="942"/>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75</w:t>
            </w:r>
          </w:p>
        </w:tc>
        <w:tc>
          <w:tcPr>
            <w:tcW w:w="1300" w:type="dxa"/>
            <w:vAlign w:val="bottom"/>
            <w:shd w:val="clear" w:color="auto" w:fill="CFF0FC"/>
          </w:tcPr>
          <w:p>
            <w:pPr>
              <w:jc w:val="right"/>
              <w:ind w:right="1002"/>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Adjusted EBITDA (1)</w:t>
            </w:r>
          </w:p>
        </w:tc>
        <w:tc>
          <w:tcPr>
            <w:tcW w:w="92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105</w:t>
            </w:r>
          </w:p>
        </w:tc>
        <w:tc>
          <w:tcPr>
            <w:tcW w:w="1280" w:type="dxa"/>
            <w:vAlign w:val="bottom"/>
          </w:tcPr>
          <w:p>
            <w:pPr>
              <w:spacing w:after="0"/>
              <w:rPr>
                <w:sz w:val="19"/>
                <w:szCs w:val="19"/>
                <w:color w:val="auto"/>
              </w:rPr>
            </w:pPr>
          </w:p>
        </w:tc>
        <w:tc>
          <w:tcPr>
            <w:tcW w:w="500" w:type="dxa"/>
            <w:vAlign w:val="bottom"/>
          </w:tcPr>
          <w:p>
            <w:pPr>
              <w:jc w:val="right"/>
              <w:ind w:right="36"/>
              <w:spacing w:after="0"/>
              <w:rPr>
                <w:sz w:val="20"/>
                <w:szCs w:val="20"/>
                <w:color w:val="auto"/>
              </w:rPr>
            </w:pPr>
            <w:r>
              <w:rPr>
                <w:rFonts w:ascii="Arial" w:cs="Arial" w:eastAsia="Arial" w:hAnsi="Arial"/>
                <w:sz w:val="18"/>
                <w:szCs w:val="18"/>
                <w:color w:val="auto"/>
              </w:rPr>
              <w:t>(10)</w:t>
            </w:r>
          </w:p>
        </w:tc>
        <w:tc>
          <w:tcPr>
            <w:tcW w:w="1300" w:type="dxa"/>
            <w:vAlign w:val="bottom"/>
          </w:tcPr>
          <w:p>
            <w:pPr>
              <w:spacing w:after="0"/>
              <w:rPr>
                <w:sz w:val="19"/>
                <w:szCs w:val="19"/>
                <w:color w:val="auto"/>
              </w:rPr>
            </w:pP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3"/>
              </w:rPr>
              <w:t>(17)</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3"/>
              </w:rPr>
              <w:t>(22)</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80" w:type="dxa"/>
            <w:vAlign w:val="bottom"/>
            <w:gridSpan w:val="3"/>
            <w:vMerge w:val="restart"/>
          </w:tcPr>
          <w:p>
            <w:pPr>
              <w:jc w:val="center"/>
              <w:ind w:left="362"/>
              <w:spacing w:after="0"/>
              <w:rPr>
                <w:sz w:val="20"/>
                <w:szCs w:val="20"/>
                <w:color w:val="auto"/>
              </w:rPr>
            </w:pPr>
            <w:r>
              <w:rPr>
                <w:rFonts w:ascii="Arial" w:cs="Arial" w:eastAsia="Arial" w:hAnsi="Arial"/>
                <w:sz w:val="14"/>
                <w:szCs w:val="14"/>
                <w:b w:val="1"/>
                <w:bCs w:val="1"/>
                <w:color w:val="auto"/>
                <w:w w:val="91"/>
              </w:rPr>
              <w:t>Three months ended June 30, 2015</w:t>
            </w: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6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6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Hotel</w:t>
            </w:r>
          </w:p>
        </w:tc>
        <w:tc>
          <w:tcPr>
            <w:tcW w:w="640" w:type="dxa"/>
            <w:vAlign w:val="bottom"/>
          </w:tcPr>
          <w:p>
            <w:pPr>
              <w:spacing w:after="0"/>
              <w:rPr>
                <w:sz w:val="11"/>
                <w:szCs w:val="11"/>
                <w:color w:val="auto"/>
              </w:rPr>
            </w:pPr>
          </w:p>
        </w:tc>
        <w:tc>
          <w:tcPr>
            <w:tcW w:w="12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Non-Hotel</w:t>
            </w:r>
          </w:p>
        </w:tc>
        <w:tc>
          <w:tcPr>
            <w:tcW w:w="500" w:type="dxa"/>
            <w:vAlign w:val="bottom"/>
          </w:tcPr>
          <w:p>
            <w:pPr>
              <w:spacing w:after="0"/>
              <w:rPr>
                <w:sz w:val="11"/>
                <w:szCs w:val="11"/>
                <w:color w:val="auto"/>
              </w:rPr>
            </w:pPr>
          </w:p>
        </w:tc>
        <w:tc>
          <w:tcPr>
            <w:tcW w:w="1300" w:type="dxa"/>
            <w:vAlign w:val="bottom"/>
          </w:tcPr>
          <w:p>
            <w:pPr>
              <w:jc w:val="center"/>
              <w:ind w:left="302"/>
              <w:spacing w:after="0" w:line="133" w:lineRule="exact"/>
              <w:rPr>
                <w:sz w:val="20"/>
                <w:szCs w:val="20"/>
                <w:color w:val="auto"/>
              </w:rPr>
            </w:pPr>
            <w:r>
              <w:rPr>
                <w:rFonts w:ascii="Arial" w:cs="Arial" w:eastAsia="Arial" w:hAnsi="Arial"/>
                <w:sz w:val="14"/>
                <w:szCs w:val="14"/>
                <w:b w:val="1"/>
                <w:bCs w:val="1"/>
                <w:color w:val="auto"/>
                <w:w w:val="96"/>
              </w:rPr>
              <w:t>Corporate and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jc w:val="center"/>
              <w:ind w:left="302"/>
              <w:spacing w:after="0"/>
              <w:rPr>
                <w:sz w:val="20"/>
                <w:szCs w:val="20"/>
                <w:color w:val="auto"/>
              </w:rPr>
            </w:pPr>
            <w:r>
              <w:rPr>
                <w:rFonts w:ascii="Arial" w:cs="Arial" w:eastAsia="Arial" w:hAnsi="Arial"/>
                <w:sz w:val="14"/>
                <w:szCs w:val="14"/>
                <w:b w:val="1"/>
                <w:bCs w:val="1"/>
                <w:color w:val="auto"/>
                <w:w w:val="90"/>
              </w:rPr>
              <w:t>Unallocated</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2"/>
          </w:tcPr>
          <w:p>
            <w:pPr>
              <w:jc w:val="center"/>
              <w:ind w:right="742"/>
              <w:spacing w:after="0" w:line="155" w:lineRule="exact"/>
              <w:rPr>
                <w:sz w:val="20"/>
                <w:szCs w:val="20"/>
                <w:color w:val="auto"/>
              </w:rPr>
            </w:pPr>
            <w:r>
              <w:rPr>
                <w:rFonts w:ascii="Arial" w:cs="Arial" w:eastAsia="Arial" w:hAnsi="Arial"/>
                <w:sz w:val="14"/>
                <w:szCs w:val="14"/>
                <w:b w:val="1"/>
                <w:bCs w:val="1"/>
                <w:color w:val="auto"/>
                <w:w w:val="94"/>
              </w:rPr>
              <w:t>(in millions)</w:t>
            </w:r>
          </w:p>
        </w:tc>
        <w:tc>
          <w:tcPr>
            <w:tcW w:w="5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343</w:t>
            </w:r>
          </w:p>
        </w:tc>
        <w:tc>
          <w:tcPr>
            <w:tcW w:w="1280" w:type="dxa"/>
            <w:vAlign w:val="bottom"/>
            <w:shd w:val="clear" w:color="auto" w:fill="CFF0FC"/>
          </w:tcPr>
          <w:p>
            <w:pPr>
              <w:jc w:val="right"/>
              <w:ind w:right="942"/>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62</w:t>
            </w:r>
          </w:p>
        </w:tc>
        <w:tc>
          <w:tcPr>
            <w:tcW w:w="1300" w:type="dxa"/>
            <w:vAlign w:val="bottom"/>
            <w:shd w:val="clear" w:color="auto" w:fill="CFF0FC"/>
          </w:tcPr>
          <w:p>
            <w:pPr>
              <w:jc w:val="right"/>
              <w:ind w:right="1002"/>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Adjusted EBITDA (2)</w:t>
            </w:r>
          </w:p>
        </w:tc>
        <w:tc>
          <w:tcPr>
            <w:tcW w:w="92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125</w:t>
            </w:r>
          </w:p>
        </w:tc>
        <w:tc>
          <w:tcPr>
            <w:tcW w:w="1280" w:type="dxa"/>
            <w:vAlign w:val="bottom"/>
          </w:tcPr>
          <w:p>
            <w:pPr>
              <w:spacing w:after="0"/>
              <w:rPr>
                <w:sz w:val="19"/>
                <w:szCs w:val="19"/>
                <w:color w:val="auto"/>
              </w:rPr>
            </w:pPr>
          </w:p>
        </w:tc>
        <w:tc>
          <w:tcPr>
            <w:tcW w:w="50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1300" w:type="dxa"/>
            <w:vAlign w:val="bottom"/>
          </w:tcPr>
          <w:p>
            <w:pPr>
              <w:spacing w:after="0"/>
              <w:rPr>
                <w:sz w:val="19"/>
                <w:szCs w:val="19"/>
                <w:color w:val="auto"/>
              </w:rPr>
            </w:pP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3"/>
              </w:rPr>
              <w:t>(15)</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3"/>
              </w:rPr>
              <w:t>(18)</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Other non-recurring expenses</w:t>
            </w: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92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50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CFF0FC"/>
              <w:bottom w:val="single" w:sz="8" w:color="CFF0FC"/>
            </w:tcBorders>
            <w:shd w:val="clear" w:color="auto" w:fill="CFF0FC"/>
          </w:tcPr>
          <w:p>
            <w:pPr>
              <w:spacing w:after="0"/>
              <w:rPr>
                <w:sz w:val="19"/>
                <w:szCs w:val="19"/>
                <w:color w:val="auto"/>
              </w:rPr>
            </w:pP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vMerge w:val="restart"/>
          </w:tcPr>
          <w:p>
            <w:pPr>
              <w:jc w:val="right"/>
              <w:ind w:right="310"/>
              <w:spacing w:after="0"/>
              <w:rPr>
                <w:sz w:val="20"/>
                <w:szCs w:val="20"/>
                <w:color w:val="auto"/>
              </w:rPr>
            </w:pPr>
            <w:r>
              <w:rPr>
                <w:rFonts w:ascii="Arial" w:cs="Arial" w:eastAsia="Arial" w:hAnsi="Arial"/>
                <w:sz w:val="18"/>
                <w:szCs w:val="18"/>
                <w:color w:val="auto"/>
              </w:rPr>
              <w:t>20</w:t>
            </w: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4" w:right="2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3"/>
          </w:tcPr>
          <w:p>
            <w:pPr>
              <w:jc w:val="center"/>
              <w:ind w:right="455"/>
              <w:spacing w:after="0"/>
              <w:rPr>
                <w:sz w:val="20"/>
                <w:szCs w:val="20"/>
                <w:color w:val="auto"/>
              </w:rPr>
            </w:pPr>
            <w:r>
              <w:rPr>
                <w:rFonts w:ascii="Arial" w:cs="Arial" w:eastAsia="Arial" w:hAnsi="Arial"/>
                <w:sz w:val="14"/>
                <w:szCs w:val="14"/>
                <w:b w:val="1"/>
                <w:bCs w:val="1"/>
                <w:color w:val="auto"/>
                <w:w w:val="90"/>
              </w:rPr>
              <w:t>Six months ended June 30, 2016</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40" w:type="dxa"/>
            <w:vAlign w:val="bottom"/>
          </w:tcPr>
          <w:p>
            <w:pPr>
              <w:spacing w:after="0"/>
              <w:rPr>
                <w:sz w:val="11"/>
                <w:szCs w:val="11"/>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Hotel</w:t>
            </w: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Non-Hotel</w:t>
            </w:r>
          </w:p>
        </w:tc>
        <w:tc>
          <w:tcPr>
            <w:tcW w:w="360" w:type="dxa"/>
            <w:vAlign w:val="bottom"/>
          </w:tcPr>
          <w:p>
            <w:pPr>
              <w:spacing w:after="0"/>
              <w:rPr>
                <w:sz w:val="11"/>
                <w:szCs w:val="11"/>
                <w:color w:val="auto"/>
              </w:rPr>
            </w:pPr>
          </w:p>
        </w:tc>
        <w:tc>
          <w:tcPr>
            <w:tcW w:w="1520" w:type="dxa"/>
            <w:vAlign w:val="bottom"/>
          </w:tcPr>
          <w:p>
            <w:pPr>
              <w:jc w:val="center"/>
              <w:ind w:right="475"/>
              <w:spacing w:after="0" w:line="133" w:lineRule="exact"/>
              <w:rPr>
                <w:sz w:val="20"/>
                <w:szCs w:val="20"/>
                <w:color w:val="auto"/>
              </w:rPr>
            </w:pPr>
            <w:r>
              <w:rPr>
                <w:rFonts w:ascii="Arial" w:cs="Arial" w:eastAsia="Arial" w:hAnsi="Arial"/>
                <w:sz w:val="14"/>
                <w:szCs w:val="14"/>
                <w:b w:val="1"/>
                <w:bCs w:val="1"/>
                <w:color w:val="auto"/>
                <w:w w:val="96"/>
              </w:rPr>
              <w:t>Corporate and</w:t>
            </w:r>
          </w:p>
        </w:tc>
        <w:tc>
          <w:tcPr>
            <w:tcW w:w="320" w:type="dxa"/>
            <w:vAlign w:val="bottom"/>
          </w:tcPr>
          <w:p>
            <w:pPr>
              <w:spacing w:after="0"/>
              <w:rPr>
                <w:sz w:val="11"/>
                <w:szCs w:val="11"/>
                <w:color w:val="auto"/>
              </w:rPr>
            </w:pPr>
          </w:p>
        </w:tc>
        <w:tc>
          <w:tcPr>
            <w:tcW w:w="12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center"/>
              <w:ind w:right="475"/>
              <w:spacing w:after="0"/>
              <w:rPr>
                <w:sz w:val="20"/>
                <w:szCs w:val="20"/>
                <w:color w:val="auto"/>
              </w:rPr>
            </w:pPr>
            <w:r>
              <w:rPr>
                <w:rFonts w:ascii="Arial" w:cs="Arial" w:eastAsia="Arial" w:hAnsi="Arial"/>
                <w:sz w:val="14"/>
                <w:szCs w:val="14"/>
                <w:b w:val="1"/>
                <w:bCs w:val="1"/>
                <w:color w:val="auto"/>
                <w:w w:val="90"/>
              </w:rPr>
              <w:t>Unallocated</w:t>
            </w:r>
          </w:p>
        </w:tc>
        <w:tc>
          <w:tcPr>
            <w:tcW w:w="3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jc w:val="center"/>
              <w:ind w:left="92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5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619</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124</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255"/>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Adjusted EBITDA (1)</w:t>
            </w:r>
          </w:p>
        </w:tc>
        <w:tc>
          <w:tcPr>
            <w:tcW w:w="1000" w:type="dxa"/>
            <w:vAlign w:val="bottom"/>
          </w:tcPr>
          <w:p>
            <w:pPr>
              <w:spacing w:after="0"/>
              <w:rPr>
                <w:sz w:val="19"/>
                <w:szCs w:val="19"/>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211</w:t>
            </w:r>
          </w:p>
        </w:tc>
        <w:tc>
          <w:tcPr>
            <w:tcW w:w="40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9"/>
                <w:szCs w:val="19"/>
                <w:color w:val="auto"/>
              </w:rPr>
            </w:pPr>
          </w:p>
        </w:tc>
        <w:tc>
          <w:tcPr>
            <w:tcW w:w="152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jc w:val="right"/>
              <w:ind w:right="175"/>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60" w:type="dxa"/>
            <w:vAlign w:val="bottom"/>
            <w:gridSpan w:val="3"/>
            <w:vMerge w:val="restart"/>
          </w:tcPr>
          <w:p>
            <w:pPr>
              <w:jc w:val="center"/>
              <w:ind w:right="455"/>
              <w:spacing w:after="0"/>
              <w:rPr>
                <w:sz w:val="20"/>
                <w:szCs w:val="20"/>
                <w:color w:val="auto"/>
              </w:rPr>
            </w:pPr>
            <w:r>
              <w:rPr>
                <w:rFonts w:ascii="Arial" w:cs="Arial" w:eastAsia="Arial" w:hAnsi="Arial"/>
                <w:sz w:val="14"/>
                <w:szCs w:val="14"/>
                <w:b w:val="1"/>
                <w:bCs w:val="1"/>
                <w:color w:val="auto"/>
                <w:w w:val="90"/>
              </w:rPr>
              <w:t>Six months ended June 30, 2015</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3"/>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640" w:type="dxa"/>
            <w:vAlign w:val="bottom"/>
          </w:tcPr>
          <w:p>
            <w:pPr>
              <w:spacing w:after="0"/>
              <w:rPr>
                <w:sz w:val="11"/>
                <w:szCs w:val="11"/>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Hotel</w:t>
            </w: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Non-Hotel</w:t>
            </w:r>
          </w:p>
        </w:tc>
        <w:tc>
          <w:tcPr>
            <w:tcW w:w="360" w:type="dxa"/>
            <w:vAlign w:val="bottom"/>
          </w:tcPr>
          <w:p>
            <w:pPr>
              <w:spacing w:after="0"/>
              <w:rPr>
                <w:sz w:val="11"/>
                <w:szCs w:val="11"/>
                <w:color w:val="auto"/>
              </w:rPr>
            </w:pPr>
          </w:p>
        </w:tc>
        <w:tc>
          <w:tcPr>
            <w:tcW w:w="1520" w:type="dxa"/>
            <w:vAlign w:val="bottom"/>
          </w:tcPr>
          <w:p>
            <w:pPr>
              <w:jc w:val="center"/>
              <w:ind w:right="475"/>
              <w:spacing w:after="0" w:line="133" w:lineRule="exact"/>
              <w:rPr>
                <w:sz w:val="20"/>
                <w:szCs w:val="20"/>
                <w:color w:val="auto"/>
              </w:rPr>
            </w:pPr>
            <w:r>
              <w:rPr>
                <w:rFonts w:ascii="Arial" w:cs="Arial" w:eastAsia="Arial" w:hAnsi="Arial"/>
                <w:sz w:val="14"/>
                <w:szCs w:val="14"/>
                <w:b w:val="1"/>
                <w:bCs w:val="1"/>
                <w:color w:val="auto"/>
                <w:w w:val="96"/>
              </w:rPr>
              <w:t>Corporate and</w:t>
            </w:r>
          </w:p>
        </w:tc>
        <w:tc>
          <w:tcPr>
            <w:tcW w:w="320" w:type="dxa"/>
            <w:vAlign w:val="bottom"/>
          </w:tcPr>
          <w:p>
            <w:pPr>
              <w:spacing w:after="0"/>
              <w:rPr>
                <w:sz w:val="11"/>
                <w:szCs w:val="11"/>
                <w:color w:val="auto"/>
              </w:rPr>
            </w:pPr>
          </w:p>
        </w:tc>
        <w:tc>
          <w:tcPr>
            <w:tcW w:w="12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center"/>
              <w:ind w:right="475"/>
              <w:spacing w:after="0"/>
              <w:rPr>
                <w:sz w:val="20"/>
                <w:szCs w:val="20"/>
                <w:color w:val="auto"/>
              </w:rPr>
            </w:pPr>
            <w:r>
              <w:rPr>
                <w:rFonts w:ascii="Arial" w:cs="Arial" w:eastAsia="Arial" w:hAnsi="Arial"/>
                <w:sz w:val="14"/>
                <w:szCs w:val="14"/>
                <w:b w:val="1"/>
                <w:bCs w:val="1"/>
                <w:color w:val="auto"/>
                <w:w w:val="90"/>
              </w:rPr>
              <w:t>Unallocated</w:t>
            </w:r>
          </w:p>
        </w:tc>
        <w:tc>
          <w:tcPr>
            <w:tcW w:w="3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jc w:val="center"/>
              <w:ind w:left="92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5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663</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105</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255"/>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Adjusted EBITDA (2)</w:t>
            </w:r>
          </w:p>
        </w:tc>
        <w:tc>
          <w:tcPr>
            <w:tcW w:w="1000" w:type="dxa"/>
            <w:vAlign w:val="bottom"/>
          </w:tcPr>
          <w:p>
            <w:pPr>
              <w:spacing w:after="0"/>
              <w:rPr>
                <w:sz w:val="19"/>
                <w:szCs w:val="19"/>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257</w:t>
            </w:r>
          </w:p>
        </w:tc>
        <w:tc>
          <w:tcPr>
            <w:tcW w:w="40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152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jc w:val="right"/>
              <w:ind w:right="175"/>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Other non-recurring expenses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jc w:val="right"/>
              <w:ind w:right="175"/>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0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Other expense, net</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0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5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00" w:right="1520" w:hanging="492"/>
        <w:spacing w:after="0" w:line="258"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allocated general and administrative expenses in our Hotel segment of $19 million and $41 million; and in our Non-Hotel segment of $9 million and $18 million for the three and six months ended June 30, 2016, respectively.</w:t>
      </w:r>
    </w:p>
    <w:p>
      <w:pPr>
        <w:spacing w:after="0" w:line="1" w:lineRule="exact"/>
        <w:rPr>
          <w:rFonts w:ascii="Arial" w:cs="Arial" w:eastAsia="Arial" w:hAnsi="Arial"/>
          <w:sz w:val="18"/>
          <w:szCs w:val="18"/>
          <w:color w:val="auto"/>
        </w:rPr>
      </w:pPr>
    </w:p>
    <w:p>
      <w:pPr>
        <w:ind w:left="500" w:right="1520" w:hanging="492"/>
        <w:spacing w:after="0" w:line="261"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allocated general and administrative expenses in our Hotel segment of $26 million and $46 million; and in our Non-Hotel segment of $9 million and $15 million for the three and six months ended June 30,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65862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consider Liberty TripAdvisor Holdings, Inc. (“LTRIP”) a related party. As of June 30, 2016, LTRIP beneficially owned 18,159,752 shares of our common stock and 12,799,999 shares of our Class B common stock, which shares constitute 13.7% of the outstanding shares of common stock and 100% of the outstanding shares of Class B common stock. Assuming the conversion of all of LTRIP’s shares of Class B common stock into common stock, LTRIP would beneficially own 21.3% of the outstanding common stock. Because each share of Class B common stock generally is entitled to ten votes per share and each share of common stock is entitled to one vote per share, LTRIP may be deemed to beneficially own equity securities representing approximately 56.0% of our voting power.</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had no related party transactions with LTRIP during the three and six months ended June 30, 2016 and 2015.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2015.</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1995. These forward-looking statements reflect the views of our management regarding current expectations and projections about future events and 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based on currently available information. Actual results could differ materially from those contained in these forward-looking statements for a variety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reasons, including, but not limited to, those discussed in our Quarterly Report on Form 10-Q for the three and six months ended June 30, 2016, Part II,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Item 1A, “Risk Factors.” Other unknown or unpredictable factors also could have a material adverse effect on our business, financial condition and results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Accordingly, readers should not place undue reliance on these forward-looking statements. The use of words such as “anticipates,” “estimates,”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“expects,” “intends,” “plans” and “believes,” among others, generally identify forward-looking statements; however, these words are not the exclusive means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identifying such statements. In addition, any statements that refer to expectations, projections or other characterizations of future events or circumstances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forward-looking statements. These forward-looking statements are inherently subject to uncertainties, risks and changes in circumstances that are difficult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predict. We are not under any obligation to, and do not intend to, publicly update or review any of these forward-looking statements, whether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information, future events or otherwise, even if experience or future events make it clear that any expected results expressed or implied by those forward-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looking statements will not be realized. Please carefully review and consider the various disclosures made in this report and in our other reports filed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 that attempt to advise interested parties of the risks and factors that may affect our business, prospects and results of operations.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52"/>
        <w:spacing w:after="0" w:line="255" w:lineRule="auto"/>
        <w:rPr>
          <w:sz w:val="20"/>
          <w:szCs w:val="20"/>
          <w:color w:val="auto"/>
        </w:rPr>
      </w:pPr>
      <w:r>
        <w:rPr>
          <w:rFonts w:ascii="Arial" w:cs="Arial" w:eastAsia="Arial" w:hAnsi="Arial"/>
          <w:sz w:val="18"/>
          <w:szCs w:val="18"/>
          <w:color w:val="auto"/>
        </w:rPr>
        <w:t>TripAdvisor, Inc., by and through its subsidiaries, owns and operates a portfolio of leading online travel brands. TripAdvisor, our flagship brand, is the world’s largest travel site, and our mission is to help people around the world plan and book the perfect trip. We accomplish this by, among other things, aggregating millions of travelers’ reviews and opinions about destinations, accommodations, activities and attractions, and restaurants throughout the world so that our users have access to trusted advice wherever their trips take them. Our platform not only helps users plan their trips with our unique user-generated content, but also enables users to compare real-time pricing and availability so that they can book hotels, flights, cruises, vacation rentals, activities and attractions, and restaurant reservations.</w:t>
      </w:r>
    </w:p>
    <w:p>
      <w:pPr>
        <w:spacing w:after="0" w:line="193"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Our TripAdvisor-branded websites include tripadvisor.com in the United States and localized versions of the TripAdvisor website in 47 markets worldwide. Our TripAdvisor-branded websites reached 350 million average monthly unique visitors during the quarter ended June 30, 2016, according to our internal log files. We currently feature 385 million reviews and opinions on 6.6 million places to stay, places to eat and things to do – including 1,035,000 hotels and accommodations and 815,000 vacation rentals, 4.1 million restaurants and 690,000 attractions around the world. In addition to user-generated content, our websites feature price comparison tools and links to partner websites, including travel advertisers, on which users can book their travel arrangements. Users can also complete hotel bookings directly without our partners through tripadvisor.com and also through the TripAdvisor mobile application where coverage is available. In addition to the flagship TripAdvisor brand, we now manage and operate 23 other travel media brands, connected by the common goal of providing users the most comprehensive travel-planning and trip-taking resources in the travel industry.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 and Trends</w:t>
      </w:r>
    </w:p>
    <w:p>
      <w:pPr>
        <w:spacing w:after="0" w:line="12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the first quarter of 2016, we made the following changes to our internal reporting: (1) we are providing additional disclosure on our revenue sources within our Hotel segment, which replaced our previously reported revenue disclosures of click-based advertising revenue, display based advertising revenue, and subscription, transaction and other revenues; and (2) we have changed the name of our “Other” reportable segment to “Non-Hotel.” These changes had no effect on our consolidated financial statements or to previously reported segment information, as there was no change in the composition of our operating or reportable segments. These reporting changes are described more fully in the following discussion.</w:t>
      </w:r>
    </w:p>
    <w:p>
      <w:pPr>
        <w:spacing w:after="0" w:line="64"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long-term financial results are highly dependent on our ability to grow our Hotel segment. We are investing in areas of potential growth, including enabling users to transact directly on our site through our instant booking feature, international expansion and innovations in the mobile user experience. We are also investing in our Non-Hotel segment, which includes our Attractions, Restaurants and Vacation Rental businesses. As the largest online travel website, we believe we are an attractive marketing channel for advertisers—including hotel chains, independent hoteliers, online travel agencies, destination marketing organizations, and other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 w:name="page23"/>
    <w:bookmarkEnd w:id="22"/>
    <w:p>
      <w:pPr>
        <w:ind w:right="20"/>
        <w:spacing w:after="0" w:line="264" w:lineRule="auto"/>
        <w:rPr>
          <w:sz w:val="20"/>
          <w:szCs w:val="20"/>
          <w:color w:val="auto"/>
        </w:rPr>
      </w:pPr>
      <w:r>
        <w:rPr>
          <w:rFonts w:ascii="Arial" w:cs="Arial" w:eastAsia="Arial" w:hAnsi="Arial"/>
          <w:sz w:val="18"/>
          <w:szCs w:val="18"/>
          <w:color w:val="auto"/>
        </w:rPr>
        <w:t>travel-related and non-travel related product and service providers— who seek to sell their products and services to our large user base. The key drivers of our financial results are described below, including a summary of our key growth areas and current trends impacting our business, including our reportable segments.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Growth Areas</w:t>
      </w:r>
    </w:p>
    <w:p>
      <w:pPr>
        <w:spacing w:after="0" w:line="121" w:lineRule="exact"/>
        <w:rPr>
          <w:sz w:val="20"/>
          <w:szCs w:val="20"/>
          <w:color w:val="auto"/>
        </w:rPr>
      </w:pPr>
    </w:p>
    <w:p>
      <w:pPr>
        <w:jc w:val="both"/>
        <w:ind w:right="20" w:firstLine="552"/>
        <w:spacing w:after="0" w:line="277" w:lineRule="auto"/>
        <w:rPr>
          <w:sz w:val="20"/>
          <w:szCs w:val="20"/>
          <w:color w:val="auto"/>
        </w:rPr>
      </w:pPr>
      <w:r>
        <w:rPr>
          <w:rFonts w:ascii="Arial" w:cs="Arial" w:eastAsia="Arial" w:hAnsi="Arial"/>
          <w:sz w:val="18"/>
          <w:szCs w:val="18"/>
          <w:color w:val="auto"/>
        </w:rPr>
        <w:t>We continue to invest in areas of potential growth, including our content and community, product innovation, and expansion into international markets and adjacent businesses.</w:t>
      </w:r>
    </w:p>
    <w:p>
      <w:pPr>
        <w:spacing w:after="0" w:line="170" w:lineRule="exact"/>
        <w:rPr>
          <w:sz w:val="20"/>
          <w:szCs w:val="20"/>
          <w:color w:val="auto"/>
        </w:rPr>
      </w:pPr>
    </w:p>
    <w:p>
      <w:pPr>
        <w:jc w:val="both"/>
        <w:ind w:right="20" w:firstLine="552"/>
        <w:spacing w:after="0" w:line="286" w:lineRule="auto"/>
        <w:rPr>
          <w:sz w:val="20"/>
          <w:szCs w:val="20"/>
          <w:color w:val="auto"/>
        </w:rPr>
      </w:pPr>
      <w:r>
        <w:rPr>
          <w:rFonts w:ascii="Arial" w:cs="Arial" w:eastAsia="Arial" w:hAnsi="Arial"/>
          <w:sz w:val="17"/>
          <w:szCs w:val="17"/>
          <w:i w:val="1"/>
          <w:iCs w:val="1"/>
          <w:color w:val="auto"/>
        </w:rPr>
        <w:t>Content &amp; Community</w:t>
      </w:r>
      <w:r>
        <w:rPr>
          <w:rFonts w:ascii="Arial" w:cs="Arial" w:eastAsia="Arial" w:hAnsi="Arial"/>
          <w:sz w:val="17"/>
          <w:szCs w:val="17"/>
          <w:color w:val="auto"/>
        </w:rPr>
        <w:t>. TripAdvisor is a website on which travelers can research content and share their travel experiences with the rest of the world.</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Establishing and nurturing a sense of community among users and brand loyalty is a key priority and a competitive advantage for TripAdvisor. As a result, we continue to look for ways to make it easier for users to plan and book their perfect trip on TripAdvisor as well as to share their experiences.</w:t>
      </w:r>
    </w:p>
    <w:p>
      <w:pPr>
        <w:spacing w:after="0" w:line="166" w:lineRule="exact"/>
        <w:rPr>
          <w:sz w:val="20"/>
          <w:szCs w:val="20"/>
          <w:color w:val="auto"/>
        </w:rPr>
      </w:pPr>
    </w:p>
    <w:p>
      <w:pPr>
        <w:ind w:right="40" w:firstLine="552"/>
        <w:spacing w:after="0" w:line="276" w:lineRule="auto"/>
        <w:rPr>
          <w:sz w:val="20"/>
          <w:szCs w:val="20"/>
          <w:color w:val="auto"/>
        </w:rPr>
      </w:pPr>
      <w:r>
        <w:rPr>
          <w:rFonts w:ascii="Arial" w:cs="Arial" w:eastAsia="Arial" w:hAnsi="Arial"/>
          <w:sz w:val="17"/>
          <w:szCs w:val="17"/>
          <w:i w:val="1"/>
          <w:iCs w:val="1"/>
          <w:color w:val="auto"/>
        </w:rPr>
        <w:t>Mobile</w:t>
      </w:r>
      <w:r>
        <w:rPr>
          <w:rFonts w:ascii="Arial" w:cs="Arial" w:eastAsia="Arial" w:hAnsi="Arial"/>
          <w:sz w:val="17"/>
          <w:szCs w:val="17"/>
          <w:color w:val="auto"/>
        </w:rPr>
        <w:t>. Innovating and improving our mobile products is a key priority. During the three months ended June 30, 2016, more than half of our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monthly unique visitors came from mobile phone and tablet, and average monthly unique visitors via mobile phone and tablet devices grew 22% year-over-year, according to our log files. We anticipate that the rate of growth in mobile visitors will continue to exceed the growth rate of our overall unique monthly visitors, and that an increasing proportion of users will use mobile devices to access the full range of services available on our sites. We are investing significant resources to improve the features, functionality and commercialization of our mobile websites and applications.</w:t>
      </w:r>
    </w:p>
    <w:p>
      <w:pPr>
        <w:spacing w:after="0" w:line="173" w:lineRule="exact"/>
        <w:rPr>
          <w:sz w:val="20"/>
          <w:szCs w:val="20"/>
          <w:color w:val="auto"/>
        </w:rPr>
      </w:pPr>
    </w:p>
    <w:p>
      <w:pPr>
        <w:ind w:right="200" w:firstLine="518"/>
        <w:spacing w:after="0" w:line="291" w:lineRule="auto"/>
        <w:rPr>
          <w:sz w:val="20"/>
          <w:szCs w:val="20"/>
          <w:color w:val="auto"/>
        </w:rPr>
      </w:pPr>
      <w:r>
        <w:rPr>
          <w:rFonts w:ascii="Arial" w:cs="Arial" w:eastAsia="Arial" w:hAnsi="Arial"/>
          <w:sz w:val="16"/>
          <w:szCs w:val="16"/>
          <w:i w:val="1"/>
          <w:iCs w:val="1"/>
          <w:color w:val="auto"/>
        </w:rPr>
        <w:t xml:space="preserve">Instant Booking. </w:t>
      </w:r>
      <w:r>
        <w:rPr>
          <w:rFonts w:ascii="Arial" w:cs="Arial" w:eastAsia="Arial" w:hAnsi="Arial"/>
          <w:sz w:val="16"/>
          <w:szCs w:val="16"/>
          <w:color w:val="auto"/>
        </w:rPr>
        <w:t>Instant booking is a feature that enables users to book a hotel reservation directly with a hotel or online travel agency (“OTA”)</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while remaining on the TripAdvisor website. We believe that allowing users to book directly online without leaving our TripAdvisor websites will result in a better user experience as well as, ultimately, generate additional revenue to the Company. As a result, since June 2014, we have been gradually rolling this feature out in the U.S. and, in 2015, accelerated the rollout for hotels across our U.S. and U.K. platforms to all users on all devices. In 2016, we continued to roll out instant booking to additional countries and, as of June 30, 2016, completed our global rollout on all devices. Our business success depends in large part on our ability to maintain and expand relationships with our partners in the travel industry. These partners power the instant booking feature on our website and, we believe, will benefit from this feature through increased reservations and more direct relationships with travelers.</w:t>
      </w:r>
    </w:p>
    <w:p>
      <w:pPr>
        <w:spacing w:after="0" w:line="167"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i w:val="1"/>
          <w:iCs w:val="1"/>
          <w:color w:val="auto"/>
        </w:rPr>
        <w:t xml:space="preserve">International Expansion. </w:t>
      </w:r>
      <w:r>
        <w:rPr>
          <w:rFonts w:ascii="Arial" w:cs="Arial" w:eastAsia="Arial" w:hAnsi="Arial"/>
          <w:sz w:val="16"/>
          <w:szCs w:val="16"/>
          <w:color w:val="auto"/>
        </w:rPr>
        <w:t>We are focused on strengthening our broad global footprint as we believe that penetrating international markets represents a</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opportunity for us. We continue to improve localization and grow our user base in Europe, Asia and South America, especially in emerging markets such as Brazil, Russia and China, including a lead product offering in the Chinese market—Mao Tu Ying (or TripAdvisor China) — headquartered in Beijing.</w:t>
      </w:r>
    </w:p>
    <w:p>
      <w:pPr>
        <w:spacing w:after="0" w:line="14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i w:val="1"/>
          <w:iCs w:val="1"/>
          <w:color w:val="auto"/>
        </w:rPr>
        <w:t xml:space="preserve">Attractions, Restaurants and Vacation Rentals. </w:t>
      </w:r>
      <w:r>
        <w:rPr>
          <w:rFonts w:ascii="Arial" w:cs="Arial" w:eastAsia="Arial" w:hAnsi="Arial"/>
          <w:sz w:val="17"/>
          <w:szCs w:val="17"/>
          <w:color w:val="auto"/>
        </w:rPr>
        <w:t>TripAdvisor has information and user-generated content on 4.1 million restaurants and 690,000</w:t>
      </w:r>
      <w:r>
        <w:rPr>
          <w:rFonts w:ascii="Arial" w:cs="Arial" w:eastAsia="Arial" w:hAnsi="Arial"/>
          <w:sz w:val="17"/>
          <w:szCs w:val="17"/>
          <w:i w:val="1"/>
          <w:iCs w:val="1"/>
          <w:color w:val="auto"/>
        </w:rPr>
        <w:t xml:space="preserve"> </w:t>
      </w:r>
      <w:r>
        <w:rPr>
          <w:rFonts w:ascii="Arial" w:cs="Arial" w:eastAsia="Arial" w:hAnsi="Arial"/>
          <w:sz w:val="17"/>
          <w:szCs w:val="17"/>
          <w:color w:val="auto"/>
        </w:rPr>
        <w:t>attractions around the world. As a significant percentage of our users come to our websites for this content but are not hotel shoppers, we believe TripAdvisor has a unique opportunity to monetize its community of these non-hotel shoppers looking for places to eat and things to do. With the acquisitions of our online restaurant reservation businesses, and Viator for online bookable tours and attractions, we are attempting to match more users with more businesses. In addition, we provide access to vacation rentals to our users by offering individual property owners and property managers the ability to list their properties using a free-to-list, commission-based structure or a subscription-based fee option. We believe our highly-engaged and motivated user community creates a competitive advantage for us in this market. In the six months ended June 30, 2016, Vacation Rental property listings grew 10% to 815,000 properties, primarily driven by strong listings growth in our free-to-list model.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Affecting Our Business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are a number of trends that affect our business. The following are some examples:</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i w:val="1"/>
          <w:iCs w:val="1"/>
          <w:color w:val="auto"/>
        </w:rPr>
        <w:t xml:space="preserve">Continued Shift to Online Travel and Social Media to Access Travel Information. </w:t>
      </w:r>
      <w:r>
        <w:rPr>
          <w:rFonts w:ascii="Arial" w:cs="Arial" w:eastAsia="Arial" w:hAnsi="Arial"/>
          <w:sz w:val="17"/>
          <w:szCs w:val="17"/>
          <w:color w:val="auto"/>
        </w:rPr>
        <w:t>According to Phocuswright, global travel spending is expected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greater than $1.3 trillion in 2016. Travel related commerce, information and advertising continue to migrate to the Internet and away from traditional media outlets. For example, consumers are increasingly using online social media channels, such as Facebook and Twitter, as a means to communicate and exchange information, including travel information and opinions. We believe this trend will continue to create strategic growth opportunities, allowing us to attract new consumers and develop unique and effective advertising solutions. Over the years, we have made significant progress using social networking to leverage the expanding use of these channels and enhance traffic diversification and user engagement.</w:t>
      </w:r>
    </w:p>
    <w:p>
      <w:pPr>
        <w:spacing w:after="0" w:line="70" w:lineRule="exact"/>
        <w:rPr>
          <w:sz w:val="20"/>
          <w:szCs w:val="20"/>
          <w:color w:val="auto"/>
        </w:rPr>
      </w:pPr>
    </w:p>
    <w:p>
      <w:pPr>
        <w:ind w:right="40" w:firstLine="552"/>
        <w:spacing w:after="0" w:line="277" w:lineRule="auto"/>
        <w:rPr>
          <w:sz w:val="20"/>
          <w:szCs w:val="20"/>
          <w:color w:val="auto"/>
        </w:rPr>
      </w:pPr>
      <w:r>
        <w:rPr>
          <w:rFonts w:ascii="Arial" w:cs="Arial" w:eastAsia="Arial" w:hAnsi="Arial"/>
          <w:sz w:val="18"/>
          <w:szCs w:val="18"/>
          <w:color w:val="auto"/>
        </w:rPr>
        <w:t>We believe that the Internet will continue to become even more integral to the travel-planning process due to increasing worldwide online penetration, particularly given the capabilities that the Internet provides travelers, including the ability to refine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3" w:name="page24"/>
    <w:bookmarkEnd w:id="23"/>
    <w:p>
      <w:pPr>
        <w:ind w:right="220"/>
        <w:spacing w:after="0" w:line="277" w:lineRule="auto"/>
        <w:rPr>
          <w:sz w:val="20"/>
          <w:szCs w:val="20"/>
          <w:color w:val="auto"/>
        </w:rPr>
      </w:pPr>
      <w:r>
        <w:rPr>
          <w:rFonts w:ascii="Arial" w:cs="Arial" w:eastAsia="Arial" w:hAnsi="Arial"/>
          <w:sz w:val="18"/>
          <w:szCs w:val="18"/>
          <w:color w:val="auto"/>
        </w:rPr>
        <w:t>searches, compare destinations, view real-time pricing, complete bookings, and access information while in-destination. We will continue to adapt our user experience in response to a changing Internet environment and usage trends.</w:t>
      </w:r>
    </w:p>
    <w:p>
      <w:pPr>
        <w:spacing w:after="0" w:line="170"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i w:val="1"/>
          <w:iCs w:val="1"/>
          <w:color w:val="auto"/>
        </w:rPr>
        <w:t xml:space="preserve">Increasing Competition. </w:t>
      </w:r>
      <w:r>
        <w:rPr>
          <w:rFonts w:ascii="Arial" w:cs="Arial" w:eastAsia="Arial" w:hAnsi="Arial"/>
          <w:sz w:val="17"/>
          <w:szCs w:val="17"/>
          <w:color w:val="auto"/>
        </w:rPr>
        <w:t>The travel planning industry and, more generally, the business of collecting and aggregating travel-related resources and</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as well as enabling consumers to purchase travel-related products, continues to be increasingly competitive. There are an increasing number of companies who collect and aggregate travel information and resources and enable consumers to plan and book travel. These include search companies, such as Google, Inc. and Baidu.com, Inc.; large and increasingly consolidating online travel agencies, or OTAs (such as Expedia and Priceline and their respective subsidiaries); as well as new global entrants such as Airbnb, Inc. and Alibaba. We plan to continue to invest in order to remain the leading source of travel reviews as well as to continue to enhance our user experience. For further description of our competition see Item 1. “Business”, in our Annual Report on Form 10-K for the year ended December 31, 2015.</w:t>
      </w:r>
    </w:p>
    <w:p>
      <w:pPr>
        <w:spacing w:after="0" w:line="178"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i w:val="1"/>
          <w:iCs w:val="1"/>
          <w:color w:val="auto"/>
        </w:rPr>
        <w:t xml:space="preserve">Accelerated Rollout of Instant Booking. </w:t>
      </w:r>
      <w:r>
        <w:rPr>
          <w:rFonts w:ascii="Arial" w:cs="Arial" w:eastAsia="Arial" w:hAnsi="Arial"/>
          <w:sz w:val="16"/>
          <w:szCs w:val="16"/>
          <w:color w:val="auto"/>
        </w:rPr>
        <w:t>Hotel revenue from our instant booking feature is included in our TripAdvisor-branded click-based advertising</w:t>
      </w:r>
      <w:r>
        <w:rPr>
          <w:rFonts w:ascii="Arial" w:cs="Arial" w:eastAsia="Arial" w:hAnsi="Arial"/>
          <w:sz w:val="16"/>
          <w:szCs w:val="16"/>
          <w:i w:val="1"/>
          <w:iCs w:val="1"/>
          <w:color w:val="auto"/>
        </w:rPr>
        <w:t xml:space="preserve"> </w:t>
      </w:r>
      <w:r>
        <w:rPr>
          <w:rFonts w:ascii="Arial" w:cs="Arial" w:eastAsia="Arial" w:hAnsi="Arial"/>
          <w:sz w:val="16"/>
          <w:szCs w:val="16"/>
          <w:color w:val="auto"/>
        </w:rPr>
        <w:t>and transaction revenue in our Hotel segment. Currently our instant booking feature is monetizing at a lower revenue per hotel shopper rate than our metasearch feature, or click-based advertising revenue. We continue to work to close this monetization gap, primarily by streamlining our booking path to optimize user experience, continuing to seek partners with strong branding and supply channels in order to try and achieve higher conversion rates and repeat hotel bookings, persistently promoting the TripAdvisor brand as the place to plan, compare prices, and book travel. In addition, our instant booking revenue recorded under the consumption model is recognized at the time the traveler consumes, or completes, the stay. Comparatively, instant booking revenue under the transaction model is recorded at the time the user books the stay and revenue generated from our metasearch feature, or click-based advertising revenue, is recorded when a traveler makes the click-through to the travel partners’ websites, even if the traveler does not book during that search. Based on our internal data, we estimate the average time between a user booking a stay to consuming a stay is approximately three to five weeks, and is subject to seasonal variations. In future periods, greater contribution from our instant booking consumption model to TripAdvisor-branded click-based and transaction revenue could result in additional revenue recognized at the time of a consumed stay and therefore a shift in the timing of our revenue recognition.</w:t>
      </w:r>
    </w:p>
    <w:p>
      <w:pPr>
        <w:spacing w:after="0" w:line="173"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i w:val="1"/>
          <w:iCs w:val="1"/>
          <w:color w:val="auto"/>
        </w:rPr>
        <w:t xml:space="preserve">Evolution of the End to End Travel Experience. </w:t>
      </w:r>
      <w:r>
        <w:rPr>
          <w:rFonts w:ascii="Arial" w:cs="Arial" w:eastAsia="Arial" w:hAnsi="Arial"/>
          <w:sz w:val="18"/>
          <w:szCs w:val="18"/>
          <w:color w:val="auto"/>
        </w:rPr>
        <w:t>We believe our role in the overall travel experience continues to grow in importance in the travel</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as we emphasize to travelers that we are the place to come plan, compare prices and book their trip. Our websites globally reached 350 million average monthly unique visitors during the three months ended June 30, 2016, according to our internal log files. With 385 million reviews and opinions on 6.6 million places to stay, places to eat and things to do – including 1,035,000 hotels and accommodations and 815,000 vacation rentals, 4.1 million restaurants and 690,000 attractions in 135,000 destinations throughout the world - we believe we have the best content in the travel industry for research and travel planning decision-making. When combined with our hotel metasearch capabilities to compare and find the best prices; our instant booking feature, allowing users to book their hotels on all devices directly on our website; and, subsequent to their trip, the ability to submit a traveler review, TripAdvisor has become an end to end travel experience.</w:t>
      </w:r>
    </w:p>
    <w:p>
      <w:pPr>
        <w:spacing w:after="0" w:line="192"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i w:val="1"/>
          <w:iCs w:val="1"/>
          <w:color w:val="auto"/>
        </w:rPr>
        <w:t xml:space="preserve">Growth in Mobile Phone and Other Handheld Devices. </w:t>
      </w:r>
      <w:r>
        <w:rPr>
          <w:rFonts w:ascii="Arial" w:cs="Arial" w:eastAsia="Arial" w:hAnsi="Arial"/>
          <w:sz w:val="18"/>
          <w:szCs w:val="18"/>
          <w:color w:val="auto"/>
        </w:rPr>
        <w:t>To access the internet, users are increasingly using devices other than desktop computers,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mobile phones and handheld computers such as notebooks and tablets. To address these growing user demands, we continue to extend our platform to develop mobile phone and tablet applications to deliver travel information and resources. Although the substantial majority of our mobile phone users also access and engage with our websites on personal computers and tablets where we offer display advertising, our users could decide to access our products primarily through mobile phone devices. We offer display graphic advertising on mobile phones; however, our mobile phone monetization strategies are still developing. At present mobile phone monetization is significantly less than desktop and tablet monetization. Mobile phone growth and development remains a key strategy and we will continue to invest and innovate in this growing platform to help us maintain and grow our user base, engagement and monetization over the long term.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color w:val="auto"/>
        </w:rPr>
        <w:t>Our reporting structure includes two reportable segments: Hotel and Non-Hotel. Our Non-Hotel reportable segment consists of three operating segments, which includes our Attractions, Restaurants and Vacation Rentals businesses. The segments are determined based on how the chief operating decision maker regularly assesses information and evaluates performance for operating decision-making purposes, including allocation of resources. The chief operating decision maker for the Company is our Chief Executive Officer.</w:t>
      </w:r>
    </w:p>
    <w:p>
      <w:pPr>
        <w:spacing w:after="0" w:line="79" w:lineRule="exact"/>
        <w:rPr>
          <w:sz w:val="20"/>
          <w:szCs w:val="20"/>
          <w:color w:val="auto"/>
        </w:rPr>
      </w:pPr>
    </w:p>
    <w:p>
      <w:pPr>
        <w:ind w:right="320" w:firstLine="518"/>
        <w:spacing w:after="0" w:line="302" w:lineRule="auto"/>
        <w:rPr>
          <w:sz w:val="20"/>
          <w:szCs w:val="20"/>
          <w:color w:val="auto"/>
        </w:rPr>
      </w:pPr>
      <w:r>
        <w:rPr>
          <w:rFonts w:ascii="Arial" w:cs="Arial" w:eastAsia="Arial" w:hAnsi="Arial"/>
          <w:sz w:val="16"/>
          <w:szCs w:val="16"/>
          <w:color w:val="auto"/>
        </w:rPr>
        <w:t>As discussed above, in the first quarter of 2016 we renamed our “Other” reportable segment “Non-Hotel.” This change had no effect on our consolidated financial statements or to previously reported segment information, as there was no change in the composition of our operating or reportable segments. For further description of our segments see Item 1 “Business”, in our Annual Report on Form 10-K for the year ended December 31, 2015 and “Note 11: Segment Information” in the notes to the unaudited condensed consolidated financial statements in this Quarterly Report on Form 10-Q.</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300" w:firstLine="518"/>
        <w:spacing w:after="0" w:line="342" w:lineRule="auto"/>
        <w:rPr>
          <w:sz w:val="20"/>
          <w:szCs w:val="20"/>
          <w:color w:val="auto"/>
        </w:rPr>
      </w:pPr>
      <w:r>
        <w:rPr>
          <w:rFonts w:ascii="Arial" w:cs="Arial" w:eastAsia="Arial" w:hAnsi="Arial"/>
          <w:sz w:val="16"/>
          <w:szCs w:val="16"/>
          <w:color w:val="auto"/>
        </w:rPr>
        <w:t>As of June 30, 2016, we had 3,350 employees. Of these employees, approximately 50% were based in the United States. We believe we have good relationships with our employees, including relationships with employees represented by international works councils or other similar organizations.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firstLine="552"/>
        <w:spacing w:after="0" w:line="302" w:lineRule="auto"/>
        <w:rPr>
          <w:sz w:val="20"/>
          <w:szCs w:val="20"/>
          <w:color w:val="auto"/>
        </w:rPr>
      </w:pPr>
      <w:r>
        <w:rPr>
          <w:rFonts w:ascii="Arial" w:cs="Arial" w:eastAsia="Arial" w:hAnsi="Arial"/>
          <w:sz w:val="16"/>
          <w:szCs w:val="16"/>
          <w:color w:val="auto"/>
        </w:rPr>
        <w:t>Traveler expenditures in the global travel market tend to follow a seasonal pattern. As such, expenditures by travel advertisers to market to potential travelers, and, therefore, our financial performance, tend to be seasonal as well. As a result, our financial results tend to be seasonally highest in the third quarter of a year, as it is a key period for travel research and trip-taking, compared to the first and fourth quarters which represent seasonal low points. Further significant shifts in our business mix or adverse economic conditions could result in future seasonal patterns that are different from historical trends.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8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62" w:lineRule="exact"/>
        <w:rPr>
          <w:sz w:val="20"/>
          <w:szCs w:val="20"/>
          <w:color w:val="auto"/>
        </w:rPr>
      </w:pPr>
    </w:p>
    <w:p>
      <w:pPr>
        <w:ind w:left="820" w:right="20" w:hanging="299"/>
        <w:spacing w:after="0" w:line="232" w:lineRule="auto"/>
        <w:tabs>
          <w:tab w:leader="none" w:pos="820" w:val="left"/>
        </w:tabs>
        <w:numPr>
          <w:ilvl w:val="0"/>
          <w:numId w:val="11"/>
        </w:numPr>
        <w:rPr>
          <w:rFonts w:ascii="Arial" w:cs="Arial" w:eastAsia="Arial" w:hAnsi="Arial"/>
          <w:sz w:val="22"/>
          <w:szCs w:val="22"/>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w:t>
      </w:r>
    </w:p>
    <w:p>
      <w:pPr>
        <w:spacing w:after="0" w:line="95" w:lineRule="exact"/>
        <w:rPr>
          <w:rFonts w:ascii="Arial" w:cs="Arial" w:eastAsia="Arial" w:hAnsi="Arial"/>
          <w:sz w:val="22"/>
          <w:szCs w:val="22"/>
          <w:color w:val="auto"/>
        </w:rPr>
      </w:pPr>
    </w:p>
    <w:p>
      <w:pPr>
        <w:ind w:left="820" w:right="120" w:hanging="299"/>
        <w:spacing w:after="0" w:line="232" w:lineRule="auto"/>
        <w:tabs>
          <w:tab w:leader="none" w:pos="820" w:val="left"/>
        </w:tabs>
        <w:numPr>
          <w:ilvl w:val="0"/>
          <w:numId w:val="11"/>
        </w:numPr>
        <w:rPr>
          <w:rFonts w:ascii="Arial" w:cs="Arial" w:eastAsia="Arial" w:hAnsi="Arial"/>
          <w:sz w:val="22"/>
          <w:szCs w:val="22"/>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204"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fiscal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and Recently Adopted Accounting Pronouncements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117"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In March 2016, the FASB issued new accounting guidance on stock compensation which changes how companies account for certain aspects of stock-based payment awards to employees, including the accounting for income taxes, forfeitures, and statutory tax withholding requirements, as well as classification in the statement of cash flows. This guidance is effective for fiscal years, and interim periods within those fiscal years, beginning after December 15, 2016, with early adoption permitted. We plan to adopt this guidance in the third quarter of 2016. For the six months ended June 30, 2016, we recognized net tax benefits totaling $3 million as additional paid-in capital on our Unaudited Condensed Consolidated Balance Sheet. Under the new accounting guidance this amount would have instead been recorded to provision for income taxes on our Unaudited Condensed Consolidated Statements of Operations, and will be reclassified in the third quarter of 2016. In addition, the excess tax benefits from stock-based award settlements that are currently reported as cash flows from financing activities on our Unaudited Condensed Consolidated Statement of Cash Flows totaling $6 million for the six months ended June 30, 2016 will instead, be reported as cash flows from operating activities and reclassified in the third quarter of 2016. Finally, we plan to account for forfeitures as they occur rather than continue to estimate expected forfeitures. The net cumulative effect of this change will be recorded to retained earnings upon adoption. The changes described above will be made retroactively as of January 1, 2016.</w:t>
      </w:r>
    </w:p>
    <w:p>
      <w:pPr>
        <w:spacing w:after="0" w:line="75"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In February 2016, the FASB issued new accounting guidance on leases that is intended to provide enhanced transparency and comparability by requiring lessees to record right-of-use assets and corresponding lease liabilities on the balance sheet. The new guidance will continue to classify leases as either finance or operating, with classification affecting the pattern of expense recognition in the statement of operations. This guidance is effective for fiscal years, and interim periods within those fiscal years, beginning after December 15, 2018, with early adoption permitted. We are currently evaluating the effect that the updated standard will have on our consolidated financial statements and related disclosures.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25" w:name="page26"/>
    <w:bookmarkEnd w:id="25"/>
    <w:p>
      <w:pPr>
        <w:ind w:right="40" w:firstLine="518"/>
        <w:spacing w:after="0" w:line="288" w:lineRule="auto"/>
        <w:rPr>
          <w:sz w:val="20"/>
          <w:szCs w:val="20"/>
          <w:color w:val="auto"/>
        </w:rPr>
      </w:pPr>
      <w:r>
        <w:rPr>
          <w:rFonts w:ascii="Arial" w:cs="Arial" w:eastAsia="Arial" w:hAnsi="Arial"/>
          <w:sz w:val="16"/>
          <w:szCs w:val="16"/>
          <w:color w:val="auto"/>
        </w:rPr>
        <w:t>In May 2014, the FASB issued new accounting guidance on revenue from contracts with customers. The new guidance requires an entity to recognize the amount of revenue to which it expects to be entitled for the transfer of promised goods or services to customers. This new guidance also requires additional disclosures about the nature, amount, timing and uncertainty of revenue and cash flows arising from customer contracts, including significant judgments and changes in judgments and assets recognized from costs incurred to obtain or fulfill a contract. In March 2016, the FASB issued additional guidance which clarifies principal versus agent considerations and in April 2016, the FASB issued further guidance which clarifies the identification of performance obligations and the implementation guidance for licensing. The updated guidance will replace most existing revenue recognition guidance in GAAP when it becomes effective and permits the use of either a full retrospective approach or a modified retrospective approach, which requires the initial cumulative effect to be recognized at the date of initial application. This guidance is effective for fiscal years, and interim periods within those fiscal years, beginning after December 15, 2017 and early adoption is permitted for fiscal years beginning after December 15, 2016. We have not yet selected a transition method and are currently evaluating the effect that the updated standard will have on our consolidated financial statements and related disclosures.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In April 2015, the FASB issued new accounting guidance which clarifies the accounting for fees paid by a customer in a cloud computing arrangement. This standard clarified whether a customer should account for a cloud computing arrangement as an acquisition of a software license or as a service arrangement by providing characteristics that a cloud computing arrangement must have in order to be accounted for as a software license acquisition. If a cloud computing arrangement includes a software license, the customer should account for the software license element of the arrangement consistent with the acquisition of other software licenses. If the arrangement does not include a software license, the customer should account for a cloud computing arrangement as a service contract. The company prospectively adopted this guidance in the first quarter of 2016. The adoption of this guidance did not have a material impact on our consolidated financial statements and related disclosures.</w:t>
      </w:r>
    </w:p>
    <w:p>
      <w:pPr>
        <w:spacing w:after="0" w:line="70"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In September 2015, the FASB issued new accounting guidance which eliminates the requirement for an acquirer in a business combination to account for measurement-period adjustments retrospectively. Instead, acquirers must recognize measurement-period adjustments during the period in which they determine the amounts, including the effect on earnings of any amounts that would have been recorded in previous periods if the accounting had been completed at the acquisition date. The Company adopted this guidance in the first quarter of 2016. The adoption of this guidance did not have a material impact on our consolidated financial statements and related disclosures.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6" w:name="page27"/>
    <w:bookmarkEnd w:id="26"/>
    <w:p>
      <w:pPr>
        <w:jc w:val="center"/>
        <w:ind w:right="20"/>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percentages)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2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w w:val="97"/>
              </w:rPr>
              <w:t>Three months ended June 30,</w:t>
            </w: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 Change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4"/>
              </w:rPr>
              <w:t>Six months ended June 30,</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8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2016 vs. 2015</w:t>
            </w:r>
          </w:p>
        </w:tc>
        <w:tc>
          <w:tcPr>
            <w:tcW w:w="2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2016 vs. 2015</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8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Cost of revenue</w:t>
            </w: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w:t>
            </w:r>
          </w:p>
        </w:tc>
        <w:tc>
          <w:tcPr>
            <w:tcW w:w="8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Technology and content</w:t>
            </w: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8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343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326</w:t>
            </w:r>
          </w:p>
        </w:tc>
        <w:tc>
          <w:tcPr>
            <w:tcW w:w="2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599</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84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Other income (expense):</w:t>
            </w: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income and other, net</w:t>
            </w:r>
          </w:p>
        </w:tc>
        <w:tc>
          <w:tcPr>
            <w:tcW w:w="84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(100)%</w:t>
            </w: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8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income taxes</w:t>
            </w:r>
          </w:p>
        </w:tc>
        <w:tc>
          <w:tcPr>
            <w:tcW w:w="8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(47)</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63"/>
        </w:trPr>
        <w:tc>
          <w:tcPr>
            <w:tcW w:w="35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4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Other Financial Data:</w:t>
            </w: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1460" w:type="dxa"/>
            <w:vAlign w:val="bottom"/>
            <w:gridSpan w:val="2"/>
            <w:shd w:val="clear" w:color="auto" w:fill="CFF0FC"/>
          </w:tcPr>
          <w:p>
            <w:pPr>
              <w:jc w:val="right"/>
              <w:ind w:right="439"/>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See “Adjusted EBITDA” discussion below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Segment Information</w:t>
      </w:r>
    </w:p>
    <w:p>
      <w:pPr>
        <w:spacing w:after="0" w:line="12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In the first quarter of 2016 we began providing additional disclosure on our revenue sources within our Hotel segment, which are TripAdvisor-branded click-based and transaction revenue, TripAdvisor-branded display-based advertising and subscription revenue, and other hotel revenue. The purpose of this additional disclosure is to provide further understanding of our hotel revenue sources and allow for additional insight into the calculation of one of our key operating performance metrics, revenue per hotel shopper. In conjunction with providing these additional revenue disclosures, we will no longer provide our historically reported revenue disclosure of click-based advertising, display-based advertising, and subscription, transaction and other revenues. This change had no effect on our consolidated financial statements in any period or with the composition of our operating or reportable segments.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214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 Change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3"/>
          </w:tcPr>
          <w:p>
            <w:pPr>
              <w:jc w:val="right"/>
              <w:ind w:right="6"/>
              <w:spacing w:after="0"/>
              <w:rPr>
                <w:sz w:val="20"/>
                <w:szCs w:val="20"/>
                <w:color w:val="auto"/>
              </w:rPr>
            </w:pPr>
            <w:r>
              <w:rPr>
                <w:rFonts w:ascii="Arial" w:cs="Arial" w:eastAsia="Arial" w:hAnsi="Arial"/>
                <w:sz w:val="14"/>
                <w:szCs w:val="14"/>
                <w:b w:val="1"/>
                <w:bCs w:val="1"/>
                <w:color w:val="auto"/>
                <w:w w:val="99"/>
              </w:rPr>
              <w:t>Six months ended June 30,</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c>
          <w:tcPr>
            <w:tcW w:w="20" w:type="dxa"/>
            <w:vAlign w:val="bottom"/>
          </w:tcPr>
          <w:p>
            <w:pPr>
              <w:spacing w:after="0"/>
              <w:rPr>
                <w:sz w:val="14"/>
                <w:szCs w:val="14"/>
                <w:color w:val="auto"/>
              </w:rPr>
            </w:pPr>
          </w:p>
        </w:tc>
      </w:tr>
      <w:tr>
        <w:trPr>
          <w:trHeight w:val="156"/>
        </w:trPr>
        <w:tc>
          <w:tcPr>
            <w:tcW w:w="290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2016 vs. 2015</w:t>
            </w:r>
          </w:p>
        </w:tc>
        <w:tc>
          <w:tcPr>
            <w:tcW w:w="3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auto"/>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2016 vs. 2015</w:t>
            </w:r>
          </w:p>
        </w:tc>
        <w:tc>
          <w:tcPr>
            <w:tcW w:w="2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Revenue by Segment:</w:t>
            </w:r>
          </w:p>
        </w:tc>
        <w:tc>
          <w:tcPr>
            <w:tcW w:w="700" w:type="dxa"/>
            <w:vAlign w:val="bottom"/>
            <w:shd w:val="clear" w:color="auto" w:fill="CFF0FC"/>
          </w:tcPr>
          <w:p>
            <w:pPr>
              <w:spacing w:after="0"/>
              <w:rPr>
                <w:sz w:val="19"/>
                <w:szCs w:val="19"/>
                <w:color w:val="auto"/>
              </w:rPr>
            </w:pPr>
          </w:p>
        </w:tc>
        <w:tc>
          <w:tcPr>
            <w:tcW w:w="1440" w:type="dxa"/>
            <w:vAlign w:val="bottom"/>
            <w:gridSpan w:val="4"/>
            <w:shd w:val="clear" w:color="auto" w:fill="CFF0FC"/>
          </w:tcPr>
          <w:p>
            <w:pPr>
              <w:jc w:val="right"/>
              <w:ind w:right="465"/>
              <w:spacing w:after="0"/>
              <w:rPr>
                <w:sz w:val="20"/>
                <w:szCs w:val="20"/>
                <w:color w:val="auto"/>
              </w:rPr>
            </w:pPr>
            <w:r>
              <w:rPr>
                <w:rFonts w:ascii="Arial" w:cs="Arial" w:eastAsia="Arial" w:hAnsi="Arial"/>
                <w:sz w:val="14"/>
                <w:szCs w:val="14"/>
                <w:b w:val="1"/>
                <w:bCs w:val="1"/>
                <w:color w:val="auto"/>
              </w:rPr>
              <w:t>(in millions)</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00" w:type="dxa"/>
            <w:vAlign w:val="bottom"/>
            <w:gridSpan w:val="3"/>
            <w:shd w:val="clear" w:color="auto" w:fill="CFF0FC"/>
          </w:tcPr>
          <w:p>
            <w:pPr>
              <w:jc w:val="right"/>
              <w:ind w:right="466"/>
              <w:spacing w:after="0"/>
              <w:rPr>
                <w:sz w:val="20"/>
                <w:szCs w:val="20"/>
                <w:color w:val="auto"/>
              </w:rPr>
            </w:pPr>
            <w:r>
              <w:rPr>
                <w:rFonts w:ascii="Arial" w:cs="Arial" w:eastAsia="Arial" w:hAnsi="Arial"/>
                <w:sz w:val="14"/>
                <w:szCs w:val="14"/>
                <w:b w:val="1"/>
                <w:bCs w:val="1"/>
                <w:color w:val="auto"/>
              </w:rPr>
              <w:t>(in millions)</w:t>
            </w: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Hotel</w:t>
            </w:r>
          </w:p>
        </w:tc>
        <w:tc>
          <w:tcPr>
            <w:tcW w:w="700" w:type="dxa"/>
            <w:vAlign w:val="bottom"/>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316</w:t>
            </w:r>
          </w:p>
        </w:tc>
        <w:tc>
          <w:tcPr>
            <w:tcW w:w="300" w:type="dxa"/>
            <w:vAlign w:val="bottom"/>
          </w:tcPr>
          <w:p>
            <w:pPr>
              <w:spacing w:after="0"/>
              <w:rPr>
                <w:sz w:val="19"/>
                <w:szCs w:val="19"/>
                <w:color w:val="auto"/>
              </w:rPr>
            </w:pPr>
          </w:p>
        </w:tc>
        <w:tc>
          <w:tcPr>
            <w:tcW w:w="800" w:type="dxa"/>
            <w:vAlign w:val="bottom"/>
            <w:gridSpan w:val="2"/>
          </w:tcPr>
          <w:p>
            <w:pPr>
              <w:jc w:val="right"/>
              <w:ind w:right="565"/>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343</w:t>
            </w:r>
          </w:p>
        </w:tc>
        <w:tc>
          <w:tcPr>
            <w:tcW w:w="240" w:type="dxa"/>
            <w:vAlign w:val="bottom"/>
          </w:tcPr>
          <w:p>
            <w:pPr>
              <w:spacing w:after="0"/>
              <w:rPr>
                <w:sz w:val="19"/>
                <w:szCs w:val="19"/>
                <w:color w:val="auto"/>
              </w:rPr>
            </w:pPr>
          </w:p>
        </w:tc>
        <w:tc>
          <w:tcPr>
            <w:tcW w:w="1540" w:type="dxa"/>
            <w:vAlign w:val="bottom"/>
            <w:gridSpan w:val="3"/>
          </w:tcPr>
          <w:p>
            <w:pPr>
              <w:jc w:val="right"/>
              <w:ind w:right="80"/>
              <w:spacing w:after="0"/>
              <w:rPr>
                <w:sz w:val="20"/>
                <w:szCs w:val="20"/>
                <w:color w:val="auto"/>
              </w:rPr>
            </w:pPr>
            <w:r>
              <w:rPr>
                <w:rFonts w:ascii="Arial" w:cs="Arial" w:eastAsia="Arial" w:hAnsi="Arial"/>
                <w:sz w:val="18"/>
                <w:szCs w:val="18"/>
                <w:color w:val="auto"/>
              </w:rPr>
              <w:t>(8)%</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619</w:t>
            </w:r>
          </w:p>
        </w:tc>
        <w:tc>
          <w:tcPr>
            <w:tcW w:w="380" w:type="dxa"/>
            <w:vAlign w:val="bottom"/>
          </w:tcPr>
          <w:p>
            <w:pPr>
              <w:spacing w:after="0"/>
              <w:rPr>
                <w:sz w:val="19"/>
                <w:szCs w:val="19"/>
                <w:color w:val="auto"/>
              </w:rPr>
            </w:pPr>
          </w:p>
        </w:tc>
        <w:tc>
          <w:tcPr>
            <w:tcW w:w="700" w:type="dxa"/>
            <w:vAlign w:val="bottom"/>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663</w:t>
            </w:r>
          </w:p>
        </w:tc>
        <w:tc>
          <w:tcPr>
            <w:tcW w:w="3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Non-Hotel</w:t>
            </w: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38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r>
      <w:tr>
        <w:trPr>
          <w:trHeight w:val="263"/>
        </w:trPr>
        <w:tc>
          <w:tcPr>
            <w:tcW w:w="2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revenue</w:t>
            </w:r>
          </w:p>
        </w:tc>
        <w:tc>
          <w:tcPr>
            <w:tcW w:w="70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391</w:t>
            </w:r>
          </w:p>
        </w:tc>
        <w:tc>
          <w:tcPr>
            <w:tcW w:w="3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405</w:t>
            </w:r>
          </w:p>
        </w:tc>
        <w:tc>
          <w:tcPr>
            <w:tcW w:w="240" w:type="dxa"/>
            <w:vAlign w:val="bottom"/>
            <w:tcBorders>
              <w:bottom w:val="single" w:sz="8" w:color="CFF0FC"/>
            </w:tcBorders>
          </w:tcPr>
          <w:p>
            <w:pPr>
              <w:spacing w:after="0"/>
              <w:rPr>
                <w:sz w:val="22"/>
                <w:szCs w:val="22"/>
                <w:color w:val="auto"/>
              </w:rPr>
            </w:pPr>
          </w:p>
        </w:tc>
        <w:tc>
          <w:tcPr>
            <w:tcW w:w="1540" w:type="dxa"/>
            <w:vAlign w:val="bottom"/>
            <w:tcBorders>
              <w:bottom w:val="single" w:sz="8" w:color="CFF0FC"/>
            </w:tcBorders>
            <w:gridSpan w:val="3"/>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380" w:type="dxa"/>
            <w:vAlign w:val="bottom"/>
            <w:tcBorders>
              <w:bottom w:val="single" w:sz="8" w:color="CFF0FC"/>
            </w:tcBorders>
          </w:tcPr>
          <w:p>
            <w:pPr>
              <w:spacing w:after="0"/>
              <w:rPr>
                <w:sz w:val="22"/>
                <w:szCs w:val="22"/>
                <w:color w:val="auto"/>
              </w:rPr>
            </w:pPr>
          </w:p>
        </w:tc>
        <w:tc>
          <w:tcPr>
            <w:tcW w:w="70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380" w:type="dxa"/>
            <w:vAlign w:val="bottom"/>
            <w:tcBorders>
              <w:bottom w:val="single" w:sz="8" w:color="CFF0FC"/>
            </w:tcBorders>
          </w:tcPr>
          <w:p>
            <w:pPr>
              <w:spacing w:after="0"/>
              <w:rPr>
                <w:sz w:val="22"/>
                <w:szCs w:val="22"/>
                <w:color w:val="auto"/>
              </w:rPr>
            </w:pPr>
          </w:p>
        </w:tc>
        <w:tc>
          <w:tcPr>
            <w:tcW w:w="13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2"/>
                <w:szCs w:val="22"/>
                <w:color w:val="auto"/>
              </w:rPr>
            </w:pPr>
          </w:p>
        </w:tc>
      </w:tr>
      <w:tr>
        <w:trPr>
          <w:trHeight w:val="21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EBITDA by Segment </w:t>
            </w:r>
            <w:r>
              <w:rPr>
                <w:rFonts w:ascii="Arial" w:cs="Arial" w:eastAsia="Arial" w:hAnsi="Arial"/>
                <w:sz w:val="14"/>
                <w:szCs w:val="14"/>
                <w:color w:val="auto"/>
              </w:rPr>
              <w:t>(1)</w:t>
            </w:r>
            <w:r>
              <w:rPr>
                <w:rFonts w:ascii="Arial" w:cs="Arial" w:eastAsia="Arial" w:hAnsi="Arial"/>
                <w:sz w:val="18"/>
                <w:szCs w:val="18"/>
                <w:color w:val="auto"/>
              </w:rPr>
              <w:t>:</w:t>
            </w: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Hotel</w:t>
            </w:r>
          </w:p>
        </w:tc>
        <w:tc>
          <w:tcPr>
            <w:tcW w:w="700" w:type="dxa"/>
            <w:vAlign w:val="bottom"/>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105</w:t>
            </w:r>
          </w:p>
        </w:tc>
        <w:tc>
          <w:tcPr>
            <w:tcW w:w="300" w:type="dxa"/>
            <w:vAlign w:val="bottom"/>
          </w:tcPr>
          <w:p>
            <w:pPr>
              <w:spacing w:after="0"/>
              <w:rPr>
                <w:sz w:val="19"/>
                <w:szCs w:val="19"/>
                <w:color w:val="auto"/>
              </w:rPr>
            </w:pPr>
          </w:p>
        </w:tc>
        <w:tc>
          <w:tcPr>
            <w:tcW w:w="800" w:type="dxa"/>
            <w:vAlign w:val="bottom"/>
            <w:gridSpan w:val="2"/>
          </w:tcPr>
          <w:p>
            <w:pPr>
              <w:jc w:val="right"/>
              <w:ind w:right="565"/>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125</w:t>
            </w:r>
          </w:p>
        </w:tc>
        <w:tc>
          <w:tcPr>
            <w:tcW w:w="240" w:type="dxa"/>
            <w:vAlign w:val="bottom"/>
          </w:tcPr>
          <w:p>
            <w:pPr>
              <w:spacing w:after="0"/>
              <w:rPr>
                <w:sz w:val="19"/>
                <w:szCs w:val="19"/>
                <w:color w:val="auto"/>
              </w:rPr>
            </w:pPr>
          </w:p>
        </w:tc>
        <w:tc>
          <w:tcPr>
            <w:tcW w:w="1540" w:type="dxa"/>
            <w:vAlign w:val="bottom"/>
            <w:gridSpan w:val="3"/>
          </w:tcPr>
          <w:p>
            <w:pPr>
              <w:jc w:val="right"/>
              <w:ind w:right="80"/>
              <w:spacing w:after="0"/>
              <w:rPr>
                <w:sz w:val="20"/>
                <w:szCs w:val="20"/>
                <w:color w:val="auto"/>
              </w:rPr>
            </w:pPr>
            <w:r>
              <w:rPr>
                <w:rFonts w:ascii="Arial" w:cs="Arial" w:eastAsia="Arial" w:hAnsi="Arial"/>
                <w:sz w:val="18"/>
                <w:szCs w:val="18"/>
                <w:color w:val="auto"/>
              </w:rPr>
              <w:t>(16)%</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211</w:t>
            </w:r>
          </w:p>
        </w:tc>
        <w:tc>
          <w:tcPr>
            <w:tcW w:w="380" w:type="dxa"/>
            <w:vAlign w:val="bottom"/>
          </w:tcPr>
          <w:p>
            <w:pPr>
              <w:spacing w:after="0"/>
              <w:rPr>
                <w:sz w:val="19"/>
                <w:szCs w:val="19"/>
                <w:color w:val="auto"/>
              </w:rPr>
            </w:pPr>
          </w:p>
        </w:tc>
        <w:tc>
          <w:tcPr>
            <w:tcW w:w="700" w:type="dxa"/>
            <w:vAlign w:val="bottom"/>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257</w:t>
            </w:r>
          </w:p>
        </w:tc>
        <w:tc>
          <w:tcPr>
            <w:tcW w:w="3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Non-Hotel</w:t>
            </w:r>
          </w:p>
        </w:tc>
        <w:tc>
          <w:tcPr>
            <w:tcW w:w="700" w:type="dxa"/>
            <w:vAlign w:val="bottom"/>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w:t>
            </w:r>
          </w:p>
        </w:tc>
        <w:tc>
          <w:tcPr>
            <w:tcW w:w="800" w:type="dxa"/>
            <w:vAlign w:val="bottom"/>
            <w:gridSpan w:val="2"/>
            <w:shd w:val="clear" w:color="auto" w:fill="CFF0FC"/>
          </w:tcPr>
          <w:p>
            <w:pPr>
              <w:jc w:val="right"/>
              <w:ind w:right="565"/>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15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(400)%</w:t>
            </w: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(31)</w:t>
            </w:r>
          </w:p>
        </w:tc>
        <w:tc>
          <w:tcPr>
            <w:tcW w:w="700" w:type="dxa"/>
            <w:vAlign w:val="bottom"/>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(8)</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9"/>
                <w:szCs w:val="19"/>
                <w:color w:val="auto"/>
              </w:rPr>
            </w:pPr>
          </w:p>
        </w:tc>
      </w:tr>
      <w:tr>
        <w:trPr>
          <w:trHeight w:val="215"/>
        </w:trPr>
        <w:tc>
          <w:tcPr>
            <w:tcW w:w="2900" w:type="dxa"/>
            <w:vAlign w:val="bottom"/>
          </w:tcPr>
          <w:p>
            <w:pPr>
              <w:spacing w:after="0"/>
              <w:rPr>
                <w:sz w:val="20"/>
                <w:szCs w:val="20"/>
                <w:color w:val="auto"/>
              </w:rPr>
            </w:pPr>
            <w:r>
              <w:rPr>
                <w:rFonts w:ascii="Arial" w:cs="Arial" w:eastAsia="Arial" w:hAnsi="Arial"/>
                <w:sz w:val="18"/>
                <w:szCs w:val="18"/>
                <w:color w:val="auto"/>
              </w:rPr>
              <w:t>Adjusted EBITDA Margin by</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 xml:space="preserve">Segment </w:t>
            </w:r>
            <w:r>
              <w:rPr>
                <w:rFonts w:ascii="Arial" w:cs="Arial" w:eastAsia="Arial" w:hAnsi="Arial"/>
                <w:sz w:val="14"/>
                <w:szCs w:val="14"/>
                <w:color w:val="auto"/>
              </w:rPr>
              <w:t>(2)</w:t>
            </w: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Hotel</w:t>
            </w:r>
          </w:p>
        </w:tc>
        <w:tc>
          <w:tcPr>
            <w:tcW w:w="7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34%</w:t>
            </w:r>
          </w:p>
        </w:tc>
        <w:tc>
          <w:tcPr>
            <w:tcW w:w="7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Non-Hotel</w:t>
            </w:r>
          </w:p>
        </w:tc>
        <w:tc>
          <w:tcPr>
            <w:tcW w:w="70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7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7"/>
        </w:trPr>
        <w:tc>
          <w:tcPr>
            <w:tcW w:w="2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right"/>
              <w:ind w:right="968"/>
              <w:spacing w:after="0"/>
              <w:rPr>
                <w:sz w:val="20"/>
                <w:szCs w:val="20"/>
                <w:color w:val="auto"/>
              </w:rPr>
            </w:pPr>
            <w:r>
              <w:rPr>
                <w:rFonts w:ascii="Arial" w:cs="Arial" w:eastAsia="Arial" w:hAnsi="Arial"/>
                <w:sz w:val="18"/>
                <w:szCs w:val="18"/>
                <w:color w:val="auto"/>
                <w:w w:val="89"/>
              </w:rPr>
              <w:t>27</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9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88" w:right="219" w:bottom="1440" w:gutter="0" w:footer="0" w:header="0"/>
        </w:sectPr>
      </w:pPr>
    </w:p>
    <w:bookmarkStart w:id="27" w:name="page28"/>
    <w:bookmarkEnd w:id="27"/>
    <w:p>
      <w:pPr>
        <w:ind w:left="1180" w:right="880" w:hanging="361"/>
        <w:spacing w:after="0" w:line="248" w:lineRule="auto"/>
        <w:tabs>
          <w:tab w:leader="none" w:pos="11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Included in Adjusted EBITDA by Segment is a general and administrative expense allocation for each segment, which is based on the segment’s percentage of our total personnel costs. See “Note 11: Segment Information,” in the notes to our unaudited condensed consolidated financial statements for more information.</w:t>
      </w:r>
    </w:p>
    <w:p>
      <w:pPr>
        <w:ind w:left="1180" w:hanging="361"/>
        <w:spacing w:after="0"/>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define “Adjusted EBITDA by Segment margin”, as Adjusted EBITDA by segment as a percentage of revenue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-294640</wp:posOffset>
            </wp:positionV>
            <wp:extent cx="62776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77610" cy="8890"/>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Hotel Segment</w:t>
      </w:r>
    </w:p>
    <w:p>
      <w:pPr>
        <w:spacing w:after="0" w:line="117"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Our Hotel segment revenue decreased by $27 million and $44 million during the three and six months ended June 30, 2016, respectively, when compared to the same periods in 2015, primarily due to a $36 million and $65 million decrease in TripAdvisor-branded click-based and transaction revenue, primarily due to a decline in revenue per hotel shopper of 19% during both the three and six months ended June 30, 2016, respectively, partially offset by growth of $4 million and $10 million in TripAdvisor-branded display-based advertising and subscription revenue, and $5 million and $11 million in other hotel revenue, during the three and six months ended June 30, 2016, respectively, all of which are discussed below.</w:t>
      </w:r>
    </w:p>
    <w:p>
      <w:pPr>
        <w:spacing w:after="0" w:line="50"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Adjusted EBITDA in our Hotel segment decreased $20 million and $46 million during the three and six months ended June 30, 2016, respectively, when compared to the same periods in 2015, primarily due to a decrease in Hotel revenue and increased personnel and overhead costs as well as online traffic acquisition costs, offset by lower television advertising costs due to the cessation of our television advertising campaign in 2016. Our Hotel segment Adjusted EBITDA margin declined during the three and six months ended June 30, 2016, respectively, when compared to the same periods in 2015, primarily due to an overall decrease in Hotel segment revenue, and to a lesser extent increased investment levels to support growth.</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detailed discussion of the revenue sources within our Hotel segment:</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tcBorders>
              <w:bottom w:val="single" w:sz="8" w:color="auto"/>
            </w:tcBorders>
            <w:gridSpan w:val="5"/>
          </w:tcPr>
          <w:p>
            <w:pPr>
              <w:jc w:val="right"/>
              <w:ind w:right="114"/>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w w:val="95"/>
              </w:rPr>
              <w:t>Six months ended June 30,</w:t>
            </w:r>
          </w:p>
        </w:tc>
        <w:tc>
          <w:tcPr>
            <w:tcW w:w="240" w:type="dxa"/>
            <w:vAlign w:val="bottom"/>
          </w:tcPr>
          <w:p>
            <w:pPr>
              <w:spacing w:after="0"/>
              <w:rPr>
                <w:sz w:val="14"/>
                <w:szCs w:val="1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128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8"/>
              </w:rPr>
              <w:t>2016 vs. 2015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298"/>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12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6"/>
              </w:rPr>
              <w:t>2016 vs. 2015</w:t>
            </w:r>
          </w:p>
        </w:tc>
      </w:tr>
      <w:tr>
        <w:trPr>
          <w:trHeight w:val="156"/>
        </w:trPr>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w w:val="99"/>
              </w:rPr>
              <w:t>(in millions)</w:t>
            </w:r>
          </w:p>
        </w:tc>
        <w:tc>
          <w:tcPr>
            <w:tcW w:w="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Hotel:</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15"/>
        </w:trPr>
        <w:tc>
          <w:tcPr>
            <w:tcW w:w="2580" w:type="dxa"/>
            <w:vAlign w:val="bottom"/>
          </w:tcPr>
          <w:p>
            <w:pPr>
              <w:spacing w:after="0"/>
              <w:rPr>
                <w:sz w:val="20"/>
                <w:szCs w:val="20"/>
                <w:color w:val="auto"/>
              </w:rPr>
            </w:pPr>
            <w:r>
              <w:rPr>
                <w:rFonts w:ascii="Arial" w:cs="Arial" w:eastAsia="Arial" w:hAnsi="Arial"/>
                <w:sz w:val="18"/>
                <w:szCs w:val="18"/>
                <w:color w:val="auto"/>
                <w:w w:val="99"/>
              </w:rPr>
              <w:t>TripAdvisor-branded click-based</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and transaction</w:t>
            </w:r>
          </w:p>
        </w:tc>
        <w:tc>
          <w:tcPr>
            <w:tcW w:w="84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201</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237</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390</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455</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r>
      <w:tr>
        <w:trPr>
          <w:trHeight w:val="215"/>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TripAdvisor-branded display-</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based advertising and</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subscription</w:t>
            </w: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5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4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r>
      <w:tr>
        <w:trPr>
          <w:trHeight w:val="230"/>
        </w:trPr>
        <w:tc>
          <w:tcPr>
            <w:tcW w:w="2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hotel revenue</w:t>
            </w:r>
          </w:p>
        </w:tc>
        <w:tc>
          <w:tcPr>
            <w:tcW w:w="1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520" w:type="dxa"/>
            <w:vAlign w:val="bottom"/>
            <w:tcBorders>
              <w:bottom w:val="single" w:sz="8" w:color="CFF0FC"/>
            </w:tcBorders>
            <w:gridSpan w:val="3"/>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480" w:type="dxa"/>
            <w:vAlign w:val="bottom"/>
            <w:tcBorders>
              <w:bottom w:val="single" w:sz="8" w:color="CFF0FC"/>
            </w:tcBorders>
            <w:gridSpan w:val="3"/>
          </w:tcPr>
          <w:p>
            <w:pPr>
              <w:jc w:val="right"/>
              <w:ind w:right="100"/>
              <w:spacing w:after="0"/>
              <w:rPr>
                <w:sz w:val="20"/>
                <w:szCs w:val="20"/>
                <w:color w:val="auto"/>
              </w:rPr>
            </w:pPr>
            <w:r>
              <w:rPr>
                <w:rFonts w:ascii="Arial" w:cs="Arial" w:eastAsia="Arial" w:hAnsi="Arial"/>
                <w:sz w:val="18"/>
                <w:szCs w:val="18"/>
                <w:color w:val="auto"/>
              </w:rPr>
              <w:t>14%</w:t>
            </w:r>
          </w:p>
        </w:tc>
      </w:tr>
      <w:tr>
        <w:trPr>
          <w:trHeight w:val="223"/>
        </w:trPr>
        <w:tc>
          <w:tcPr>
            <w:tcW w:w="25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Hotel revenue</w:t>
            </w:r>
          </w:p>
        </w:tc>
        <w:tc>
          <w:tcPr>
            <w:tcW w:w="1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316</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520" w:type="dxa"/>
            <w:vAlign w:val="bottom"/>
            <w:tcBorders>
              <w:bottom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1480" w:type="dxa"/>
            <w:vAlign w:val="bottom"/>
            <w:tcBorders>
              <w:bottom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r>
      <w:tr>
        <w:trPr>
          <w:trHeight w:val="20"/>
        </w:trPr>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Click-based and Transaction Revenue</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TripAdvisor-branded click-based and transaction revenue includes click-based advertising revenue (“our metasearch-auction”) from our TripAdvisor-branded websites and revenue from our transaction-based hotel instant booking feature. For the three and six months ended June 30, 2016, 64% and 63%, respectively, of our total Hotel segment revenue was derived from our TripAdvisor-branded click-based and transaction revenue. For both the three and six months ended June 30, 2015, 69% of our total Hotel segment revenue was derived from our TripAdvisor-branded click-based and transaction revenue. TripAdvisor-branded click-based and transaction revenue decreased $36 million and $65 million during the three and six months ended June 30, 2016, respectively, when compared to the same periods in 2015, primarily due to a decline of 19% in revenue per hotel shopper during both the three and six months ended June 30, 2016, respectively, which is explained in further detail below.</w:t>
      </w:r>
    </w:p>
    <w:p>
      <w:pPr>
        <w:spacing w:after="0" w:line="70"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Our largest source of Hotel segment revenue is click-based advertising revenue from our TripAdvisor-branded websites, which includes links to our partners’ sites and contextually-relevant branded and related text links. Our click-based advertising partners are predominantly OTAs, and direct suppliers in the hotel, airline and cruise product categories. Click-based advertising is generally priced on a cost-per-click, or “CPC”, basis, with payments from advertisers based on the number of users who click on each type of link, or in other words a conversion of a hotel shopper to a paid click. CPC is the effective price that partners are willing to pay for a hotel shopper lead, and is determined in a competitive process that allows our partners to use our proprietary, automated bidding system to submit CPC bids to have their rates and availability listed on our site, or our metasearch-auction. When a partner submits a CPC bid, they are agreeing to pay the amount of that bid each time a user subsequently clicks on the uniform resource locator, or URL link, to the partner’s website. Bids can be submitted periodically – as often as daily– on a property-by-property basis. The size of the bid relative to other bids received is the primary factor used to determine the placement of partner links on our site, including on hotel comparison search results and on property detail pages. CPCs are generally lower in international markets than in the U.S. market, and, in addition, hotel shoppers visiting via mobile phones generally monetize at a significantly lower rate than hotel shoppers visiting via desktop or tablet.</w:t>
      </w:r>
    </w:p>
    <w:p>
      <w:pPr>
        <w:spacing w:after="0" w:line="75"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Our transaction revenue is comprised of revenue from our hotel instant booking feature, which enables the merchant of record, generally an OTA or hotel partner, to pay a commission to TripAdvisor for a user that completes a hotel reservation on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 w:name="page29"/>
    <w:bookmarkEnd w:id="28"/>
    <w:p>
      <w:pPr>
        <w:ind w:right="100"/>
        <w:spacing w:after="0" w:line="271" w:lineRule="auto"/>
        <w:rPr>
          <w:sz w:val="20"/>
          <w:szCs w:val="20"/>
          <w:color w:val="auto"/>
        </w:rPr>
      </w:pPr>
      <w:r>
        <w:rPr>
          <w:rFonts w:ascii="Arial" w:cs="Arial" w:eastAsia="Arial" w:hAnsi="Arial"/>
          <w:sz w:val="17"/>
          <w:szCs w:val="17"/>
          <w:color w:val="auto"/>
        </w:rPr>
        <w:t>website. Instant booking revenue is currently recognized under two different models: the transaction model and the consumption model. Our transaction model commission revenue is recorded at the time a traveler books a hotel reservation on our site with one of our transaction partners. Our transaction partners are liable for commission payments to us upon booking and the partner assumes the cancellation risk. When a traveler makes a hotel reservation on our site with one of our consumption partners, revenue is not recorded until the traveler completes the stay as our consumption partners are liable for commission payment upon the completion of stay by the traveler. OTA and hotel partner placement, as well as comparative hotel prices available to the traveler in the booking process under both models, are determined by a bidding process within our proprietary automated bidding system, based on a number of variables including commission rates, depending on the specific hotel selected. Instant booking commissions are primarily a function of average gross booking value generated from hotel reservations and commission rates negotiated with each of our partners.</w:t>
      </w:r>
    </w:p>
    <w:p>
      <w:pPr>
        <w:spacing w:after="0" w:line="7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key drivers of TripAdvisor-branded click-based and transaction revenue include the growth in unique monthly hotel shoppers and particularly revenue per hotel shopper, which measures how effectively we convert our hotel shoppers into revenue. We measure performance by calculating revenue per hotel shopper on an aggregate basis, dividing total TripAdvisor-branded click-based and transaction revenue by total average unique monthly hotel shoppers on TripAdvisor-branded websites for the periods presented.</w:t>
      </w:r>
    </w:p>
    <w:p>
      <w:pPr>
        <w:spacing w:after="0" w:line="79"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While we believe total traffic growth, or growth in monthly visits from unique visitors, is reflective of our overall brand growth, we also track and analyze sub-segments of our traffic and their correlation to revenue generation and utilize data regarding hotel shoppers as a key indicator of revenue growth. Hotel shoppers are visitors who view either a listing of hotels in a city or a specific hotel page. The number of hotel shoppers tends to vary based on seasonality of the travel industry and general economic conditions, as well as other factors outside of our control. Given these factors, as well as the trend towards increased usage on mobile phones and international growth, quarterly and annual hotel shopper growth is a difficult metric to forecast.</w:t>
      </w:r>
    </w:p>
    <w:p>
      <w:pPr>
        <w:spacing w:after="0" w:line="50"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Our aggregate average monthly unique hotel shoppers on TripAdvisor-branded websites increased 3% and 6% during the three and six months ended June 30, 2016, respectively, when compared to the same periods in 2015, according to our log files. The increase in hotel shoppers for the three and six months ended June 30, 2016 was primarily due to growth in our online marketing channels as well as the general trend of an increasing number of hotel shoppers visiting our websites on mobile phones. While increasing the absolute number of hotel shoppers on our sites remains a top strategic priority, our ability to grow through paid traffic channels has been negatively impacted by lower revenue per hotel shopper.</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below table summarizes our revenue per hotel shopper calculation and growth rate, in aggregate, for the periods presented:</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w w:val="93"/>
              </w:rPr>
              <w:t>Three months ended June 30,</w:t>
            </w:r>
          </w:p>
        </w:tc>
        <w:tc>
          <w:tcPr>
            <w:tcW w:w="240" w:type="dxa"/>
            <w:vAlign w:val="bottom"/>
          </w:tcPr>
          <w:p>
            <w:pPr>
              <w:spacing w:after="0"/>
              <w:rPr>
                <w:sz w:val="14"/>
                <w:szCs w:val="1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194"/>
              <w:spacing w:after="0"/>
              <w:rPr>
                <w:sz w:val="20"/>
                <w:szCs w:val="20"/>
                <w:color w:val="auto"/>
              </w:rPr>
            </w:pPr>
            <w:r>
              <w:rPr>
                <w:rFonts w:ascii="Arial" w:cs="Arial" w:eastAsia="Arial" w:hAnsi="Arial"/>
                <w:sz w:val="14"/>
                <w:szCs w:val="14"/>
                <w:b w:val="1"/>
                <w:bCs w:val="1"/>
                <w:color w:val="auto"/>
                <w:w w:val="95"/>
              </w:rPr>
              <w:t>Six months ended June 30,</w:t>
            </w:r>
          </w:p>
        </w:tc>
        <w:tc>
          <w:tcPr>
            <w:tcW w:w="240" w:type="dxa"/>
            <w:vAlign w:val="bottom"/>
          </w:tcPr>
          <w:p>
            <w:pPr>
              <w:spacing w:after="0"/>
              <w:rPr>
                <w:sz w:val="14"/>
                <w:szCs w:val="1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259"/>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128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8"/>
              </w:rPr>
              <w:t>2016 vs. 2015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27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12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6"/>
              </w:rPr>
              <w:t>2016 vs. 2015</w:t>
            </w:r>
          </w:p>
        </w:tc>
      </w:tr>
      <w:tr>
        <w:trPr>
          <w:trHeight w:val="156"/>
        </w:trPr>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6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2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 per hotel shopper:</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15"/>
        </w:trPr>
        <w:tc>
          <w:tcPr>
            <w:tcW w:w="2540" w:type="dxa"/>
            <w:vAlign w:val="bottom"/>
          </w:tcPr>
          <w:p>
            <w:pPr>
              <w:ind w:left="240"/>
              <w:spacing w:after="0"/>
              <w:rPr>
                <w:sz w:val="20"/>
                <w:szCs w:val="20"/>
                <w:color w:val="auto"/>
              </w:rPr>
            </w:pPr>
            <w:r>
              <w:rPr>
                <w:rFonts w:ascii="Arial" w:cs="Arial" w:eastAsia="Arial" w:hAnsi="Arial"/>
                <w:sz w:val="18"/>
                <w:szCs w:val="18"/>
                <w:color w:val="auto"/>
              </w:rPr>
              <w:t>TripAdvisor-branded click-</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540" w:type="dxa"/>
            <w:vAlign w:val="bottom"/>
          </w:tcPr>
          <w:p>
            <w:pPr>
              <w:ind w:left="240"/>
              <w:spacing w:after="0"/>
              <w:rPr>
                <w:sz w:val="20"/>
                <w:szCs w:val="20"/>
                <w:color w:val="auto"/>
              </w:rPr>
            </w:pPr>
            <w:r>
              <w:rPr>
                <w:rFonts w:ascii="Arial" w:cs="Arial" w:eastAsia="Arial" w:hAnsi="Arial"/>
                <w:sz w:val="18"/>
                <w:szCs w:val="18"/>
                <w:color w:val="auto"/>
              </w:rPr>
              <w:t>based and transaction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2540" w:type="dxa"/>
            <w:vAlign w:val="bottom"/>
          </w:tcPr>
          <w:p>
            <w:pPr>
              <w:ind w:left="240"/>
              <w:spacing w:after="0"/>
              <w:rPr>
                <w:sz w:val="20"/>
                <w:szCs w:val="20"/>
                <w:color w:val="auto"/>
              </w:rPr>
            </w:pPr>
            <w:r>
              <w:rPr>
                <w:rFonts w:ascii="Arial" w:cs="Arial" w:eastAsia="Arial" w:hAnsi="Arial"/>
                <w:sz w:val="18"/>
                <w:szCs w:val="18"/>
                <w:color w:val="auto"/>
              </w:rPr>
              <w:t>revenue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201</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237</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20"/>
                <w:szCs w:val="20"/>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455</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r>
      <w:tr>
        <w:trPr>
          <w:trHeight w:val="215"/>
        </w:trPr>
        <w:tc>
          <w:tcPr>
            <w:tcW w:w="2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Divided by: Total average</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2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unique monthly hotel</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2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shoppers for the quarter </w:t>
            </w:r>
            <w:r>
              <w:rPr>
                <w:rFonts w:ascii="Arial" w:cs="Arial" w:eastAsia="Arial" w:hAnsi="Arial"/>
                <w:sz w:val="14"/>
                <w:szCs w:val="14"/>
                <w:color w:val="auto"/>
              </w:rPr>
              <w:t>(1)</w:t>
            </w:r>
          </w:p>
        </w:tc>
        <w:tc>
          <w:tcPr>
            <w:tcW w:w="3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24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15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14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r>
      <w:tr>
        <w:trPr>
          <w:trHeight w:val="223"/>
        </w:trPr>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r>
      <w:tr>
        <w:trPr>
          <w:trHeight w:val="20"/>
        </w:trPr>
        <w:tc>
          <w:tcPr>
            <w:tcW w:w="2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7" w:lineRule="exact"/>
        <w:rPr>
          <w:sz w:val="20"/>
          <w:szCs w:val="20"/>
          <w:color w:val="auto"/>
        </w:rPr>
      </w:pPr>
    </w:p>
    <w:p>
      <w:pPr>
        <w:ind w:left="1160" w:right="840" w:hanging="341"/>
        <w:spacing w:after="0" w:line="234" w:lineRule="auto"/>
        <w:tabs>
          <w:tab w:leader="none" w:pos="11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regularly review our tools and methodologies to ensure our metrics, including hotel shopper calculations, are accurate. During the second quarter of 2016, we identified certain automated traffic (or bots) that was impacting these calculations and consequently removed this data from our internal log files retroactively to prior periods. The impact of this change did not affect our unaudited condensed consolidated financial statements for any period previously presented or materially impact our revenue per hotel shopper trend.</w:t>
      </w:r>
    </w:p>
    <w:p>
      <w:pPr>
        <w:spacing w:after="0" w:line="79"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overall revenue per hotel shopper decreased 19% during both the three and six months ended June 30, 2016 when compared to the same periods in 2015, according to our log files. The primary drivers of this decrease are as follows: (i) the global launch of our hotel instant booking, which currently monetizes at a lower rate than click-based advertising revenue; (ii) a revenue recognition timing shift from an increasing portion of our Hotel revenue now being recognized at the time a user consumes the stay under our instant booking consumption model; (iii) a greater percentage of hotel shoppers visiting TripAdvisor websites via mobile phones, which results in lower rate of conversion to a click or a booking and therefore monetize at a significantly lower rate than hotel shoppers that visit TripAdvisor websites via desktop or tablet; (iv) the negative impact by an increasingly volatile global macro-economic environment; and (v) challenging metasearch comparatives for comparable periods in 2015.</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9" w:name="page30"/>
    <w:bookmarkEnd w:id="29"/>
    <w:p>
      <w:pPr>
        <w:ind w:left="520"/>
        <w:spacing w:after="0"/>
        <w:rPr>
          <w:sz w:val="20"/>
          <w:szCs w:val="20"/>
          <w:color w:val="auto"/>
        </w:rPr>
      </w:pPr>
      <w:r>
        <w:rPr>
          <w:rFonts w:ascii="Arial" w:cs="Arial" w:eastAsia="Arial" w:hAnsi="Arial"/>
          <w:sz w:val="18"/>
          <w:szCs w:val="18"/>
          <w:i w:val="1"/>
          <w:iCs w:val="1"/>
          <w:color w:val="auto"/>
        </w:rPr>
        <w:t>TripAdvisor-branded Display-based Advertising and Subscription Revenue</w:t>
      </w:r>
    </w:p>
    <w:p>
      <w:pPr>
        <w:spacing w:after="0" w:line="117"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For both the three and six months ended June 30, 2016, 23% of our Hotel segment revenue was derived from our TripAdvisor-branded display based advertising and subscription revenue, which consists of revenue from display-based advertising, subscription-based hotel advertising revenue (or Business Listings), as well as content licensing with third party websites. For both the three and six months ended June 30, 2015, 20% of our Hotel segment revenue was derived from our TripAdvisor-branded display based advertising and subscription revenue.</w:t>
      </w:r>
    </w:p>
    <w:p>
      <w:pPr>
        <w:spacing w:after="0" w:line="6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TripAdvisor-branded display-based advertising and subscription revenue increased by $4 million or 6%, and $10 million or 8%, during the three and six months ended June 30, 2016 when compared to the same periods in 2015. Display-based advertising revenue and subscription revenue both grew at comparable rates during the three and six months ended June 30, 2016. The increase in display-based advertising revenue was primarily due to an increase in impressions sold, partially offset by a slight decrease in pricing, while the increase in subscription revenue was a result of both increased pricing and sales productivity.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Hotel Revenue</w:t>
      </w:r>
    </w:p>
    <w:p>
      <w:pPr>
        <w:spacing w:after="0" w:line="11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For both the three and six months ended June 30, 2016, 14% of our Hotel segment revenue was derived from other hotel revenues. For the three and six months ended June 30, 2015, 11% and 12%, respectively, of our Hotel segment revenue was derived from other hotel revenues. Our other hotel revenue primarily includes revenue from non-TripAdvisor branded websites, including click-based advertising revenue, display-based advertising revenue and room reservations sold through these websites. Our other hotel revenue increased by $5 million and $11 million during the three and six months ended June 30, 2016, respectively, when compared to the same periods in 2015.</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Non-Hotel Segment</w:t>
      </w:r>
    </w:p>
    <w:p>
      <w:pPr>
        <w:spacing w:after="0" w:line="117"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Our Non-Hotel segment revenue increased by $13 million or 21%, and $19 million or 18% during the three and six months ended June 30, 2016, respectively, when compared to the same periods in 2015, primarily driven by increased bookings, partially offset by the continued shift to our free-to-list model in our Vacation Rentals business, where commission revenues are not recognized until time of stay.</w:t>
      </w:r>
    </w:p>
    <w:p>
      <w:pPr>
        <w:spacing w:after="0" w:line="73"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Our Attractions business saw an increase in supply of destination activities and continued growth in our user base globally. In our Restaurants business, we saw growth in our more established markets, and additionally from expansion into new markets. In our Vacation Rentals business we continued to see an increase in property listings and number of transactions on our websites.</w:t>
      </w:r>
    </w:p>
    <w:p>
      <w:pPr>
        <w:spacing w:after="0" w:line="7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Adjusted EBITDA in our Non-Hotel segment decreased $8 million and $23 million during the three and six months ended June 30, 2016, respectively, when compared to the same periods in 2015. This decrease was primarily due to increased personnel and overhead costs and also increased online traffic acquisition costs of $5 million and $10 million, respectively. The Attractions, Restaurant and Vacation Rental businesses are all at the earlier stages of their growth and business life cycle which require early investment to fund growth initiatives, and a contributing factor to this reportable segment operating at a loss.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by Geography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presents our revenue by geographic region. Revenue by geography is based on the geographic location of our websites.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60" w:type="dxa"/>
            <w:vAlign w:val="bottom"/>
            <w:tcBorders>
              <w:bottom w:val="single" w:sz="8" w:color="auto"/>
            </w:tcBorders>
            <w:gridSpan w:val="5"/>
          </w:tcPr>
          <w:p>
            <w:pPr>
              <w:jc w:val="right"/>
              <w:ind w:right="113"/>
              <w:spacing w:after="0"/>
              <w:rPr>
                <w:sz w:val="20"/>
                <w:szCs w:val="20"/>
                <w:color w:val="auto"/>
              </w:rPr>
            </w:pPr>
            <w:r>
              <w:rPr>
                <w:rFonts w:ascii="Arial" w:cs="Arial" w:eastAsia="Arial" w:hAnsi="Arial"/>
                <w:sz w:val="14"/>
                <w:szCs w:val="14"/>
                <w:b w:val="1"/>
                <w:bCs w:val="1"/>
                <w:color w:val="auto"/>
                <w:w w:val="98"/>
              </w:rPr>
              <w:t>Three months ended June 30,</w:t>
            </w:r>
          </w:p>
        </w:tc>
        <w:tc>
          <w:tcPr>
            <w:tcW w:w="240" w:type="dxa"/>
            <w:vAlign w:val="bottom"/>
          </w:tcPr>
          <w:p>
            <w:pPr>
              <w:spacing w:after="0"/>
              <w:rPr>
                <w:sz w:val="14"/>
                <w:szCs w:val="1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193"/>
              <w:spacing w:after="0"/>
              <w:rPr>
                <w:sz w:val="20"/>
                <w:szCs w:val="20"/>
                <w:color w:val="auto"/>
              </w:rPr>
            </w:pPr>
            <w:r>
              <w:rPr>
                <w:rFonts w:ascii="Arial" w:cs="Arial" w:eastAsia="Arial" w:hAnsi="Arial"/>
                <w:sz w:val="14"/>
                <w:szCs w:val="14"/>
                <w:b w:val="1"/>
                <w:bCs w:val="1"/>
                <w:color w:val="auto"/>
                <w:w w:val="95"/>
              </w:rPr>
              <w:t>Six months ended June 30,</w:t>
            </w:r>
          </w:p>
        </w:tc>
        <w:tc>
          <w:tcPr>
            <w:tcW w:w="240" w:type="dxa"/>
            <w:vAlign w:val="bottom"/>
          </w:tcPr>
          <w:p>
            <w:pPr>
              <w:spacing w:after="0"/>
              <w:rPr>
                <w:sz w:val="14"/>
                <w:szCs w:val="1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2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128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8"/>
              </w:rPr>
              <w:t>2016 vs. 2015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277"/>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ind w:right="27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12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6"/>
              </w:rPr>
              <w:t>2016 vs. 2015</w:t>
            </w:r>
          </w:p>
        </w:tc>
      </w:tr>
      <w:tr>
        <w:trPr>
          <w:trHeight w:val="156"/>
        </w:trPr>
        <w:tc>
          <w:tcPr>
            <w:tcW w:w="2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w w:val="99"/>
              </w:rPr>
              <w:t>(in millions)</w:t>
            </w:r>
          </w:p>
        </w:tc>
        <w:tc>
          <w:tcPr>
            <w:tcW w:w="6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11"/>
        </w:trPr>
        <w:tc>
          <w:tcPr>
            <w:tcW w:w="2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 by geographic</w:t>
            </w:r>
          </w:p>
        </w:tc>
        <w:tc>
          <w:tcPr>
            <w:tcW w:w="5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4"/>
        </w:trPr>
        <w:tc>
          <w:tcPr>
            <w:tcW w:w="2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region:</w:t>
            </w:r>
          </w:p>
        </w:tc>
        <w:tc>
          <w:tcPr>
            <w:tcW w:w="5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30"/>
        </w:trPr>
        <w:tc>
          <w:tcPr>
            <w:tcW w:w="2300" w:type="dxa"/>
            <w:vAlign w:val="bottom"/>
          </w:tcPr>
          <w:p>
            <w:pPr>
              <w:ind w:left="240"/>
              <w:spacing w:after="0"/>
              <w:rPr>
                <w:sz w:val="20"/>
                <w:szCs w:val="20"/>
                <w:color w:val="auto"/>
              </w:rPr>
            </w:pPr>
            <w:r>
              <w:rPr>
                <w:rFonts w:ascii="Arial" w:cs="Arial" w:eastAsia="Arial" w:hAnsi="Arial"/>
                <w:sz w:val="18"/>
                <w:szCs w:val="18"/>
                <w:color w:val="auto"/>
              </w:rPr>
              <w:t>North America (1)</w:t>
            </w:r>
          </w:p>
        </w:tc>
        <w:tc>
          <w:tcPr>
            <w:tcW w:w="1180" w:type="dxa"/>
            <w:vAlign w:val="bottom"/>
            <w:gridSpan w:val="2"/>
          </w:tcPr>
          <w:p>
            <w:pPr>
              <w:jc w:val="right"/>
              <w:ind w:right="487"/>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225</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211</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416</w:t>
            </w:r>
          </w:p>
        </w:tc>
        <w:tc>
          <w:tcPr>
            <w:tcW w:w="220" w:type="dxa"/>
            <w:vAlign w:val="bottom"/>
          </w:tcPr>
          <w:p>
            <w:pPr>
              <w:spacing w:after="0"/>
              <w:rPr>
                <w:sz w:val="19"/>
                <w:szCs w:val="19"/>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393</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r>
      <w:tr>
        <w:trPr>
          <w:trHeight w:val="230"/>
        </w:trPr>
        <w:tc>
          <w:tcPr>
            <w:tcW w:w="2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EMEA (2)</w:t>
            </w:r>
          </w:p>
        </w:tc>
        <w:tc>
          <w:tcPr>
            <w:tcW w:w="5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5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4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r>
      <w:tr>
        <w:trPr>
          <w:trHeight w:val="230"/>
        </w:trPr>
        <w:tc>
          <w:tcPr>
            <w:tcW w:w="2300" w:type="dxa"/>
            <w:vAlign w:val="bottom"/>
          </w:tcPr>
          <w:p>
            <w:pPr>
              <w:ind w:left="240"/>
              <w:spacing w:after="0"/>
              <w:rPr>
                <w:sz w:val="20"/>
                <w:szCs w:val="20"/>
                <w:color w:val="auto"/>
              </w:rPr>
            </w:pPr>
            <w:r>
              <w:rPr>
                <w:rFonts w:ascii="Arial" w:cs="Arial" w:eastAsia="Arial" w:hAnsi="Arial"/>
                <w:sz w:val="18"/>
                <w:szCs w:val="18"/>
                <w:color w:val="auto"/>
              </w:rPr>
              <w:t>APAC (3)</w:t>
            </w: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r>
      <w:tr>
        <w:trPr>
          <w:trHeight w:val="230"/>
        </w:trPr>
        <w:tc>
          <w:tcPr>
            <w:tcW w:w="2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LATAM (4)</w:t>
            </w:r>
          </w:p>
        </w:tc>
        <w:tc>
          <w:tcPr>
            <w:tcW w:w="5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5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4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r>
      <w:tr>
        <w:trPr>
          <w:trHeight w:val="223"/>
        </w:trPr>
        <w:tc>
          <w:tcPr>
            <w:tcW w:w="2300" w:type="dxa"/>
            <w:vAlign w:val="bottom"/>
          </w:tcPr>
          <w:p>
            <w:pPr>
              <w:ind w:left="380"/>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9"/>
                <w:szCs w:val="19"/>
                <w:color w:val="auto"/>
              </w:rPr>
            </w:pPr>
          </w:p>
        </w:tc>
        <w:tc>
          <w:tcPr>
            <w:tcW w:w="64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391</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2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94" w:lineRule="exact"/>
        <w:rPr>
          <w:sz w:val="20"/>
          <w:szCs w:val="20"/>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United States and Canada</w:t>
      </w:r>
    </w:p>
    <w:p>
      <w:pPr>
        <w:spacing w:after="0" w:line="23"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Europe, Middle East and Africa</w:t>
      </w:r>
    </w:p>
    <w:p>
      <w:pPr>
        <w:spacing w:after="0" w:line="9"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Asia-Pacific</w:t>
      </w:r>
    </w:p>
    <w:p>
      <w:pPr>
        <w:spacing w:after="0" w:line="9"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21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Revenue outside of North America, or international revenue, decreased $28 million, or 14%, and $48 million or 13%, respectively, during the three and six months ended June 30, 2016, when compared to the same periods in 2015. International revenue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0" w:name="page31"/>
    <w:bookmarkEnd w:id="30"/>
    <w:p>
      <w:pPr>
        <w:ind w:right="60"/>
        <w:spacing w:after="0" w:line="257" w:lineRule="auto"/>
        <w:rPr>
          <w:sz w:val="20"/>
          <w:szCs w:val="20"/>
          <w:color w:val="auto"/>
        </w:rPr>
      </w:pPr>
      <w:r>
        <w:rPr>
          <w:rFonts w:ascii="Arial" w:cs="Arial" w:eastAsia="Arial" w:hAnsi="Arial"/>
          <w:sz w:val="18"/>
          <w:szCs w:val="18"/>
          <w:color w:val="auto"/>
        </w:rPr>
        <w:t>represented 42% and 44% of total revenue during the three and six months ended June 30, 2016, respectively, and represented 48% and 49% of total revenue during the three and six months ended June 30, 2015, respectively. Our international revenue growth rate decelerated and international revenue, as a percentage of total revenue, declined during the three and six months ended June 30, 2016 when compared to the same periods in 2015, primarily due to the overall decrease in revenue per hotel shopper, which is explained above. In addition, our international hotel shoppers generally monetize at lower revenue per hotel shopper rates than hotel shoppers in the U.S. market.</w:t>
      </w:r>
    </w:p>
    <w:p>
      <w:pPr>
        <w:spacing w:after="0" w:line="292" w:lineRule="exact"/>
        <w:rPr>
          <w:sz w:val="20"/>
          <w:szCs w:val="20"/>
          <w:color w:val="auto"/>
        </w:rPr>
      </w:pPr>
    </w:p>
    <w:p>
      <w:pPr>
        <w:jc w:val="right"/>
        <w:ind w:right="9640"/>
        <w:spacing w:after="0"/>
        <w:rPr>
          <w:sz w:val="20"/>
          <w:szCs w:val="20"/>
          <w:color w:val="auto"/>
        </w:rPr>
      </w:pPr>
      <w:r>
        <w:rPr>
          <w:rFonts w:ascii="Arial" w:cs="Arial" w:eastAsia="Arial" w:hAnsi="Arial"/>
          <w:sz w:val="15"/>
          <w:szCs w:val="15"/>
          <w:b w:val="1"/>
          <w:bCs w:val="1"/>
          <w:color w:val="auto"/>
        </w:rPr>
        <w:t>Consolidated Expenses</w:t>
      </w:r>
    </w:p>
    <w:p>
      <w:pPr>
        <w:spacing w:after="0" w:line="156" w:lineRule="exact"/>
        <w:rPr>
          <w:sz w:val="20"/>
          <w:szCs w:val="20"/>
          <w:color w:val="auto"/>
        </w:rPr>
      </w:pPr>
    </w:p>
    <w:p>
      <w:pPr>
        <w:jc w:val="right"/>
        <w:ind w:right="968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Cost of revenue consists of expenses that are directly related or closely correlated to revenue generation, including direct costs, such as ad serving fees, flight search fees, credit card fees and other transaction costs, and data center costs. In addition, cost of revenue includes personnel and overhead expenses, including salaries, benefits, stock-based compensation and bonuses for certain customer support personnel who are directly involved in revenue generation.</w:t>
      </w:r>
    </w:p>
    <w:p>
      <w:pPr>
        <w:spacing w:after="0" w:line="32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w w:val="93"/>
              </w:rPr>
              <w:t>Three months ended June 30,</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0"/>
              </w:rPr>
              <w:t>Six months ended June 30,</w:t>
            </w: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3"/>
                <w:szCs w:val="13"/>
                <w:color w:val="auto"/>
              </w:rPr>
            </w:pPr>
          </w:p>
        </w:tc>
        <w:tc>
          <w:tcPr>
            <w:tcW w:w="11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1"/>
              </w:rPr>
              <w:t>2016 vs. 2015</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w w:val="96"/>
              </w:rPr>
              <w:t>2015</w:t>
            </w:r>
          </w:p>
        </w:tc>
        <w:tc>
          <w:tcPr>
            <w:tcW w:w="300" w:type="dxa"/>
            <w:vAlign w:val="bottom"/>
          </w:tcPr>
          <w:p>
            <w:pPr>
              <w:spacing w:after="0"/>
              <w:rPr>
                <w:sz w:val="13"/>
                <w:szCs w:val="13"/>
                <w:color w:val="auto"/>
              </w:rPr>
            </w:pPr>
          </w:p>
        </w:tc>
        <w:tc>
          <w:tcPr>
            <w:tcW w:w="108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1"/>
              </w:rPr>
              <w:t>2016 vs.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w w:val="94"/>
              </w:rPr>
              <w:t>(in millions)</w:t>
            </w:r>
          </w:p>
        </w:tc>
        <w:tc>
          <w:tcPr>
            <w:tcW w:w="6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860" w:type="dxa"/>
            <w:vAlign w:val="bottom"/>
            <w:gridSpan w:val="2"/>
            <w:shd w:val="clear" w:color="auto" w:fill="CFF0FC"/>
          </w:tcPr>
          <w:p>
            <w:pPr>
              <w:jc w:val="right"/>
              <w:ind w:right="407"/>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3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0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Cost of revenue increased $4 million and $7 million during the three and six months ended June 30, 2016, respectively, when compared to the same periods in 2015, primarily due to increased merchant credit card and transaction fees, and personnel costs from increased headcount needed to support business growth and customer support.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17"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Sales and marketing expenses primarily consist of direct costs, including traffic generation costs from search engine marketing, or SEM, and other online traffic acquisition costs, syndication costs and affiliate program commissions, brand advertising, television and other offline advertising, and public relations. In addition, our indirect sales and marketing expense consists of personnel and overhead expenses, including salaries, commissions, benefits, stock-based compensation and bonuses for sales, sales support, customer support and marketing employees.</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6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w w:val="94"/>
              </w:rPr>
              <w:t>Three months ended June 30,</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1"/>
              </w:rPr>
              <w:t>Six months ended June 30,</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2015</w:t>
            </w:r>
          </w:p>
        </w:tc>
        <w:tc>
          <w:tcPr>
            <w:tcW w:w="280" w:type="dxa"/>
            <w:vAlign w:val="bottom"/>
          </w:tcPr>
          <w:p>
            <w:pPr>
              <w:spacing w:after="0"/>
              <w:rPr>
                <w:sz w:val="13"/>
                <w:szCs w:val="13"/>
                <w:color w:val="auto"/>
              </w:rPr>
            </w:pPr>
          </w:p>
        </w:tc>
        <w:tc>
          <w:tcPr>
            <w:tcW w:w="11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1"/>
              </w:rPr>
              <w:t>2016 vs. 2015</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3"/>
                <w:szCs w:val="13"/>
                <w:color w:val="auto"/>
              </w:rPr>
            </w:pPr>
          </w:p>
        </w:tc>
        <w:tc>
          <w:tcPr>
            <w:tcW w:w="106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91"/>
              </w:rPr>
              <w:t>2016 vs.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4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3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selling and</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marketing</w:t>
            </w:r>
          </w:p>
        </w:tc>
        <w:tc>
          <w:tcPr>
            <w:tcW w:w="4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2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3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 of revenue</w:t>
            </w: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0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47.4%</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45.6%</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firstLine="552"/>
        <w:spacing w:after="0" w:line="273" w:lineRule="auto"/>
        <w:rPr>
          <w:sz w:val="20"/>
          <w:szCs w:val="20"/>
          <w:color w:val="auto"/>
        </w:rPr>
      </w:pPr>
      <w:r>
        <w:rPr>
          <w:rFonts w:ascii="Arial" w:cs="Arial" w:eastAsia="Arial" w:hAnsi="Arial"/>
          <w:sz w:val="17"/>
          <w:szCs w:val="17"/>
          <w:color w:val="auto"/>
        </w:rPr>
        <w:t>Direct selling and marketing costs remained flat and increased $9 million during the three and six months ended June 30, 2016, respectively, when compared to the same periods in 2015, primarily due to increased online traffic acquisition costs, offset by a decrease in costs related to the cessation of our television advertising campaign. We spent $19 million and $29 million on our television advertising campaign during the three and six months ended June 30, 2015, respectively, which we did not incur in the three and six months ended June 30, 2016. Personnel and overhead costs increased $10 million and $15 million during the three and six months ended June 30, 2016, respectively, when compared to the same periods in 2015, primarily due to an increase in headcount needed to support business growth, including international expansion.</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117"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Technology and content expenses consists primarily of personnel and overhead expenses, including salaries and benefits, stock-based compensation and bonuses for salaried employees and contractors engaged in the design, development, testing, content support, and maintenance of our websites and mobile apps. Other costs include licensing, maintenance expense, computer supplies, telecom costs, content translation costs, and consulting costs.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w w:val="93"/>
              </w:rPr>
              <w:t>Three months ended June 30,</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1"/>
              </w:rPr>
              <w:t>Six months ended June 30,</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3"/>
                <w:szCs w:val="13"/>
                <w:color w:val="auto"/>
              </w:rPr>
            </w:pPr>
          </w:p>
        </w:tc>
        <w:tc>
          <w:tcPr>
            <w:tcW w:w="11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1"/>
              </w:rPr>
              <w:t>2016 vs. 2015</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3"/>
                <w:szCs w:val="13"/>
                <w:color w:val="auto"/>
              </w:rPr>
            </w:pPr>
          </w:p>
        </w:tc>
        <w:tc>
          <w:tcPr>
            <w:tcW w:w="106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91"/>
              </w:rPr>
              <w:t>2016 vs.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46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technology and</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content</w:t>
            </w:r>
          </w:p>
        </w:tc>
        <w:tc>
          <w:tcPr>
            <w:tcW w:w="46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 of revenue</w:t>
            </w: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0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620" w:firstLine="518"/>
        <w:spacing w:after="0" w:line="312" w:lineRule="auto"/>
        <w:rPr>
          <w:sz w:val="20"/>
          <w:szCs w:val="20"/>
          <w:color w:val="auto"/>
        </w:rPr>
      </w:pPr>
      <w:r>
        <w:rPr>
          <w:rFonts w:ascii="Arial" w:cs="Arial" w:eastAsia="Arial" w:hAnsi="Arial"/>
          <w:sz w:val="16"/>
          <w:szCs w:val="16"/>
          <w:color w:val="auto"/>
        </w:rPr>
        <w:t>Technology and content costs increased $12 million and $24 million during the three and six months ended June 30, 2016, respectively, when compared to the same periods in 2015, primarily due to increased personnel costs, including a $3 million and $7 million increase in stock-based compensation, from increased headcount needed to support business growth, including international expansion and enhanced site features.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right="120" w:firstLine="518"/>
        <w:spacing w:after="0" w:line="312" w:lineRule="auto"/>
        <w:rPr>
          <w:sz w:val="20"/>
          <w:szCs w:val="20"/>
          <w:color w:val="auto"/>
        </w:rPr>
      </w:pPr>
      <w:r>
        <w:rPr>
          <w:rFonts w:ascii="Arial" w:cs="Arial" w:eastAsia="Arial" w:hAnsi="Arial"/>
          <w:sz w:val="16"/>
          <w:szCs w:val="16"/>
          <w:color w:val="auto"/>
        </w:rPr>
        <w:t>General and administrative expense consists primarily of personnel and related overhead costs, including personnel engaged in executive leadership, finance, legal, and human resources, including stock-based compensation. General and administrative costs also include professional service fees and other fees including audit, legal, tax and accounting, and other costs including bad debt expense, non-income taxes and charitable contributions.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2"/>
              </w:rPr>
              <w:t>Three months ended June 30,</w:t>
            </w: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0"/>
              </w:rPr>
              <w:t>Six months ended June 30,</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3"/>
                <w:szCs w:val="13"/>
                <w:color w:val="auto"/>
              </w:rPr>
            </w:pPr>
          </w:p>
        </w:tc>
        <w:tc>
          <w:tcPr>
            <w:tcW w:w="118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1"/>
              </w:rPr>
              <w:t>2016 vs. 2015</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78"/>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3"/>
                <w:szCs w:val="13"/>
                <w:color w:val="auto"/>
              </w:rPr>
            </w:pPr>
          </w:p>
        </w:tc>
        <w:tc>
          <w:tcPr>
            <w:tcW w:w="11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1"/>
              </w:rPr>
              <w:t>2016 vs.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w w:val="96"/>
              </w:rPr>
              <w:t>(in millions)</w:t>
            </w:r>
          </w:p>
        </w:tc>
        <w:tc>
          <w:tcPr>
            <w:tcW w:w="6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(in millions)</w:t>
            </w: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820" w:type="dxa"/>
            <w:vAlign w:val="bottom"/>
            <w:gridSpan w:val="2"/>
            <w:shd w:val="clear" w:color="auto" w:fill="CFF0FC"/>
          </w:tcPr>
          <w:p>
            <w:pPr>
              <w:jc w:val="right"/>
              <w:ind w:right="388"/>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Professional service fees</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and other</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general and</w:t>
            </w:r>
          </w:p>
        </w:tc>
        <w:tc>
          <w:tcPr>
            <w:tcW w:w="28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administrative</w:t>
            </w:r>
          </w:p>
        </w:tc>
        <w:tc>
          <w:tcPr>
            <w:tcW w:w="820" w:type="dxa"/>
            <w:vAlign w:val="bottom"/>
            <w:gridSpan w:val="2"/>
            <w:shd w:val="clear" w:color="auto" w:fill="CFF0FC"/>
          </w:tcPr>
          <w:p>
            <w:pPr>
              <w:jc w:val="right"/>
              <w:ind w:right="388"/>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 of revenue</w:t>
            </w:r>
          </w:p>
        </w:tc>
        <w:tc>
          <w:tcPr>
            <w:tcW w:w="2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0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8.7%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60" w:firstLine="552"/>
        <w:spacing w:after="0" w:line="279" w:lineRule="auto"/>
        <w:rPr>
          <w:sz w:val="20"/>
          <w:szCs w:val="20"/>
          <w:color w:val="auto"/>
        </w:rPr>
      </w:pPr>
      <w:r>
        <w:rPr>
          <w:rFonts w:ascii="Arial" w:cs="Arial" w:eastAsia="Arial" w:hAnsi="Arial"/>
          <w:sz w:val="17"/>
          <w:szCs w:val="17"/>
          <w:color w:val="auto"/>
        </w:rPr>
        <w:t>General and administrative costs decreased $10 million and $5 million during the three and six months ended June 30, 2016, respectively, when compared to the same periods in 2015, primarily due to a decrease in professional service fees related to lower consulting costs, charitable foundation costs and bad debt expense, partially offset by an increase in non-income taxes. In addition, personnel and overhead costs decreased $4 million and $2 million during the three and six months ended June 30, 2016, respectively, when compared to the same periods in 2015.</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Depreciation</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Depreciation expense consists of depreciation on computer equipment, leasehold improvements, furniture, office equipment and other assets, our corporate headquarters building and amortization of capitalized software and website development costs.</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2"/>
              </w:rPr>
              <w:t>Three months ended June 30,</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56"/>
        </w:trPr>
        <w:tc>
          <w:tcPr>
            <w:tcW w:w="1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r>
      <w:tr>
        <w:trPr>
          <w:trHeight w:val="156"/>
        </w:trPr>
        <w:tc>
          <w:tcPr>
            <w:tcW w:w="1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80" w:type="dxa"/>
            <w:vAlign w:val="bottom"/>
            <w:gridSpan w:val="2"/>
          </w:tcPr>
          <w:p>
            <w:pPr>
              <w:jc w:val="center"/>
              <w:ind w:right="39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500" w:type="dxa"/>
            <w:vAlign w:val="bottom"/>
            <w:gridSpan w:val="2"/>
            <w:shd w:val="clear" w:color="auto" w:fill="CFF0FC"/>
          </w:tcPr>
          <w:p>
            <w:pPr>
              <w:jc w:val="right"/>
              <w:ind w:right="5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17</w:t>
            </w:r>
          </w:p>
        </w:tc>
        <w:tc>
          <w:tcPr>
            <w:tcW w:w="84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r>
      <w:tr>
        <w:trPr>
          <w:trHeight w:val="230"/>
        </w:trPr>
        <w:tc>
          <w:tcPr>
            <w:tcW w:w="1980" w:type="dxa"/>
            <w:vAlign w:val="bottom"/>
          </w:tcPr>
          <w:p>
            <w:pPr>
              <w:ind w:left="240"/>
              <w:spacing w:after="0"/>
              <w:rPr>
                <w:sz w:val="20"/>
                <w:szCs w:val="20"/>
                <w:color w:val="auto"/>
              </w:rPr>
            </w:pPr>
            <w:r>
              <w:rPr>
                <w:rFonts w:ascii="Arial" w:cs="Arial" w:eastAsia="Arial" w:hAnsi="Arial"/>
                <w:sz w:val="18"/>
                <w:szCs w:val="18"/>
                <w:color w:val="auto"/>
              </w:rPr>
              <w:t>% of revenue</w:t>
            </w: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84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3.7%</w:t>
            </w: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bl>
    <w:p>
      <w:pPr>
        <w:spacing w:after="0" w:line="20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Depreciation expense increased $2 million and $5 million during the three and six months ended June 30, 2016, respectively, when compared to the same periods in 2015 primarily due to increased amortization related to capitalized software and website development costs, and $1 million and $2 million of depreciation on our corporate headquarters building for the three and six months ended June 30, 2016, respectively, which we did not incur in the same periods in 2015.</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84" w:right="31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consists of the amortization of purchased definite-lived intangibles.</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2"/>
              </w:rPr>
              <w:t>Three months ended June 30,</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56"/>
        </w:trPr>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r>
      <w:tr>
        <w:trPr>
          <w:trHeight w:val="156"/>
        </w:trPr>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80" w:type="dxa"/>
            <w:vAlign w:val="bottom"/>
            <w:gridSpan w:val="2"/>
          </w:tcPr>
          <w:p>
            <w:pPr>
              <w:jc w:val="center"/>
              <w:ind w:right="39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w w:val="98"/>
              </w:rPr>
              <w:t>Amortization of intangible assets</w:t>
            </w:r>
          </w:p>
        </w:tc>
        <w:tc>
          <w:tcPr>
            <w:tcW w:w="900" w:type="dxa"/>
            <w:vAlign w:val="bottom"/>
            <w:gridSpan w:val="2"/>
            <w:shd w:val="clear" w:color="auto" w:fill="CFF0FC"/>
          </w:tcPr>
          <w:p>
            <w:pPr>
              <w:jc w:val="right"/>
              <w:ind w:right="5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8</w:t>
            </w:r>
          </w:p>
        </w:tc>
        <w:tc>
          <w:tcPr>
            <w:tcW w:w="84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r>
      <w:tr>
        <w:trPr>
          <w:trHeight w:val="230"/>
        </w:trPr>
        <w:tc>
          <w:tcPr>
            <w:tcW w:w="2580" w:type="dxa"/>
            <w:vAlign w:val="bottom"/>
          </w:tcPr>
          <w:p>
            <w:pPr>
              <w:ind w:left="240"/>
              <w:spacing w:after="0"/>
              <w:rPr>
                <w:sz w:val="20"/>
                <w:szCs w:val="20"/>
                <w:color w:val="auto"/>
              </w:rPr>
            </w:pPr>
            <w:r>
              <w:rPr>
                <w:rFonts w:ascii="Arial" w:cs="Arial" w:eastAsia="Arial" w:hAnsi="Arial"/>
                <w:sz w:val="18"/>
                <w:szCs w:val="18"/>
                <w:color w:val="auto"/>
              </w:rPr>
              <w:t>% of revenue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84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2.2%</w:t>
            </w: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bl>
    <w:p>
      <w:pPr>
        <w:spacing w:after="0" w:line="160"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Amortization of intangible assets did not materially change during both the three and six months ended June 30, 2016, respectively, when compared to the same periods in 2015.</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0" w:firstLine="518"/>
        <w:spacing w:after="0" w:line="308" w:lineRule="auto"/>
        <w:rPr>
          <w:sz w:val="20"/>
          <w:szCs w:val="20"/>
          <w:color w:val="auto"/>
        </w:rPr>
      </w:pPr>
      <w:r>
        <w:rPr>
          <w:rFonts w:ascii="Arial" w:cs="Arial" w:eastAsia="Arial" w:hAnsi="Arial"/>
          <w:sz w:val="17"/>
          <w:szCs w:val="17"/>
          <w:color w:val="auto"/>
        </w:rPr>
        <w:t>Interest expense primarily consists of interest incurred, commitment fees and debt issuance cost amortization related to our 2011 Credit Facility, 2015 Credit Facility, and Chinese Credit Facilities, as well as interest on our financing obligation related to our corporate headquarters.</w:t>
      </w:r>
    </w:p>
    <w:p>
      <w:pPr>
        <w:spacing w:after="0" w:line="26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Borders>
              <w:bottom w:val="single" w:sz="8" w:color="auto"/>
            </w:tcBorders>
            <w:gridSpan w:val="3"/>
          </w:tcPr>
          <w:p>
            <w:pPr>
              <w:jc w:val="center"/>
              <w:ind w:left="168"/>
              <w:spacing w:after="0"/>
              <w:rPr>
                <w:sz w:val="20"/>
                <w:szCs w:val="20"/>
                <w:color w:val="auto"/>
              </w:rPr>
            </w:pPr>
            <w:r>
              <w:rPr>
                <w:rFonts w:ascii="Arial" w:cs="Arial" w:eastAsia="Arial" w:hAnsi="Arial"/>
                <w:sz w:val="14"/>
                <w:szCs w:val="14"/>
                <w:b w:val="1"/>
                <w:bCs w:val="1"/>
                <w:color w:val="auto"/>
                <w:w w:val="91"/>
              </w:rPr>
              <w:t>Three months ended June 30,</w:t>
            </w:r>
          </w:p>
        </w:tc>
        <w:tc>
          <w:tcPr>
            <w:tcW w:w="2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6"/>
              </w:rPr>
              <w:t>Six months ended June 30,</w:t>
            </w: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bottom w:val="single" w:sz="8" w:color="auto"/>
            </w:tcBorders>
          </w:tcPr>
          <w:p>
            <w:pPr>
              <w:ind w:left="420"/>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20" w:type="dxa"/>
            <w:vAlign w:val="bottom"/>
            <w:gridSpan w:val="2"/>
          </w:tcPr>
          <w:p>
            <w:pPr>
              <w:jc w:val="center"/>
              <w:ind w:right="43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gridSpan w:val="2"/>
          </w:tcPr>
          <w:p>
            <w:pPr>
              <w:jc w:val="right"/>
              <w:ind w:right="499"/>
              <w:spacing w:after="0" w:line="155" w:lineRule="exact"/>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58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94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92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r>
    </w:tbl>
    <w:p>
      <w:pPr>
        <w:spacing w:after="0" w:line="202" w:lineRule="exact"/>
        <w:rPr>
          <w:sz w:val="20"/>
          <w:szCs w:val="20"/>
          <w:color w:val="auto"/>
        </w:rPr>
      </w:pPr>
    </w:p>
    <w:p>
      <w:pPr>
        <w:jc w:val="both"/>
        <w:ind w:right="100" w:firstLine="552"/>
        <w:spacing w:after="0" w:line="264" w:lineRule="auto"/>
        <w:rPr>
          <w:sz w:val="20"/>
          <w:szCs w:val="20"/>
          <w:color w:val="auto"/>
        </w:rPr>
      </w:pPr>
      <w:r>
        <w:rPr>
          <w:rFonts w:ascii="Arial" w:cs="Arial" w:eastAsia="Arial" w:hAnsi="Arial"/>
          <w:sz w:val="18"/>
          <w:szCs w:val="18"/>
          <w:color w:val="auto"/>
        </w:rPr>
        <w:t>Interest expense increased $1 million and $2 million during the three and six months ended June 30, 2016, respectively, when compared to the same periods in 2015, primarily due to interest imputed on our financing obligation related to our corporate headquarters, which we did not incur in the three and six months ended June 30, 2015, respectively.</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 and Other, Net</w:t>
      </w:r>
    </w:p>
    <w:p>
      <w:pPr>
        <w:spacing w:after="0" w:line="117"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Interest income and other, net primarily consists of interest earned and amortization of discounts and premiums on our marketable securities, net foreign exchange gains and losses, and gains and losses on sales of our marketable securities and sale of businesses.</w:t>
      </w:r>
    </w:p>
    <w:p>
      <w:pPr>
        <w:spacing w:after="0" w:line="27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2240" w:type="dxa"/>
            <w:vAlign w:val="bottom"/>
            <w:gridSpan w:val="2"/>
          </w:tcPr>
          <w:p>
            <w:pPr>
              <w:jc w:val="center"/>
              <w:ind w:left="122"/>
              <w:spacing w:after="0"/>
              <w:rPr>
                <w:sz w:val="20"/>
                <w:szCs w:val="20"/>
                <w:color w:val="auto"/>
              </w:rPr>
            </w:pPr>
            <w:r>
              <w:rPr>
                <w:rFonts w:ascii="Arial" w:cs="Arial" w:eastAsia="Arial" w:hAnsi="Arial"/>
                <w:sz w:val="14"/>
                <w:szCs w:val="14"/>
                <w:b w:val="1"/>
                <w:bCs w:val="1"/>
                <w:color w:val="auto"/>
                <w:w w:val="91"/>
              </w:rPr>
              <w:t>Three months ended June 30,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Six months ended June 30,</w:t>
            </w:r>
          </w:p>
        </w:tc>
      </w:tr>
      <w:tr>
        <w:trPr>
          <w:trHeight w:val="156"/>
        </w:trPr>
        <w:tc>
          <w:tcPr>
            <w:tcW w:w="282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auto"/>
              </w:rPr>
              <w:t>2016</w:t>
            </w:r>
          </w:p>
        </w:tc>
        <w:tc>
          <w:tcPr>
            <w:tcW w:w="1460" w:type="dxa"/>
            <w:vAlign w:val="bottom"/>
            <w:tcBorders>
              <w:top w:val="single" w:sz="8" w:color="auto"/>
              <w:bottom w:val="single" w:sz="8" w:color="auto"/>
            </w:tcBorders>
          </w:tcPr>
          <w:p>
            <w:pPr>
              <w:jc w:val="right"/>
              <w:ind w:right="142"/>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884"/>
              <w:spacing w:after="0" w:line="155" w:lineRule="exact"/>
              <w:rPr>
                <w:sz w:val="20"/>
                <w:szCs w:val="20"/>
                <w:color w:val="auto"/>
              </w:rPr>
            </w:pPr>
            <w:r>
              <w:rPr>
                <w:rFonts w:ascii="Arial" w:cs="Arial" w:eastAsia="Arial" w:hAnsi="Arial"/>
                <w:sz w:val="14"/>
                <w:szCs w:val="14"/>
                <w:b w:val="1"/>
                <w:bCs w:val="1"/>
                <w:color w:val="auto"/>
              </w:rPr>
              <w:t>2016</w:t>
            </w:r>
          </w:p>
        </w:tc>
        <w:tc>
          <w:tcPr>
            <w:tcW w:w="7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r>
      <w:tr>
        <w:trPr>
          <w:trHeight w:val="156"/>
        </w:trPr>
        <w:tc>
          <w:tcPr>
            <w:tcW w:w="2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60" w:type="dxa"/>
            <w:vAlign w:val="bottom"/>
          </w:tcPr>
          <w:p>
            <w:pPr>
              <w:jc w:val="center"/>
              <w:ind w:right="482"/>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center"/>
              <w:ind w:left="44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and other, net</w:t>
            </w:r>
          </w:p>
        </w:tc>
        <w:tc>
          <w:tcPr>
            <w:tcW w:w="780" w:type="dxa"/>
            <w:vAlign w:val="bottom"/>
            <w:shd w:val="clear" w:color="auto" w:fill="CFF0FC"/>
          </w:tcPr>
          <w:p>
            <w:pPr>
              <w:jc w:val="right"/>
              <w:ind w:right="60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center"/>
              <w:ind w:right="462"/>
              <w:spacing w:after="0"/>
              <w:rPr>
                <w:sz w:val="20"/>
                <w:szCs w:val="20"/>
                <w:color w:val="auto"/>
              </w:rPr>
            </w:pPr>
            <w:r>
              <w:rPr>
                <w:rFonts w:ascii="Arial" w:cs="Arial" w:eastAsia="Arial" w:hAnsi="Arial"/>
                <w:sz w:val="18"/>
                <w:szCs w:val="18"/>
                <w:color w:val="auto"/>
              </w:rPr>
              <w:t>-   $</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center"/>
              <w:ind w:left="464"/>
              <w:spacing w:after="0"/>
              <w:rPr>
                <w:sz w:val="20"/>
                <w:szCs w:val="20"/>
                <w:color w:val="auto"/>
              </w:rPr>
            </w:pPr>
            <w:r>
              <w:rPr>
                <w:rFonts w:ascii="Arial" w:cs="Arial" w:eastAsia="Arial" w:hAnsi="Arial"/>
                <w:sz w:val="18"/>
                <w:szCs w:val="18"/>
                <w:color w:val="auto"/>
              </w:rPr>
              <w:t>-   $</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Interest income and other, net decreased $5 million and $3 million during the three and six months ended June 30, 2016, respectively, when compared to the same periods in 2015, primarily due to the fluctuation of foreign exchange rates and settlements of our forward contracts.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ectPr>
          <w:pgSz w:w="11900" w:h="16838" w:orient="portrait"/>
          <w:cols w:equalWidth="0" w:num="1">
            <w:col w:w="11320"/>
          </w:cols>
          <w:pgMar w:left="240" w:top="692"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Arial" w:cs="Arial" w:eastAsia="Arial" w:hAnsi="Arial"/>
          <w:sz w:val="14"/>
          <w:szCs w:val="14"/>
          <w:b w:val="1"/>
          <w:bCs w:val="1"/>
          <w:color w:val="auto"/>
        </w:rPr>
        <w:t>Three months ended June 30,</w:t>
      </w:r>
    </w:p>
    <w:p>
      <w:pPr>
        <w:spacing w:after="0" w:line="10" w:lineRule="exact"/>
        <w:rPr>
          <w:sz w:val="20"/>
          <w:szCs w:val="20"/>
          <w:color w:val="auto"/>
        </w:rPr>
      </w:pPr>
    </w:p>
    <w:tbl>
      <w:tblPr>
        <w:tblLayout w:type="fixed"/>
        <w:tblInd w:w="4320" w:type="dxa"/>
        <w:tblCellMar>
          <w:top w:w="0" w:type="dxa"/>
          <w:left w:w="0" w:type="dxa"/>
          <w:bottom w:w="0" w:type="dxa"/>
          <w:right w:w="0" w:type="dxa"/>
        </w:tblCellMar>
      </w:tblPr>
      <w:tr>
        <w:trPr>
          <w:trHeight w:val="156"/>
        </w:trPr>
        <w:tc>
          <w:tcPr>
            <w:tcW w:w="7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2016</w:t>
            </w:r>
          </w:p>
        </w:tc>
        <w:tc>
          <w:tcPr>
            <w:tcW w:w="172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2015</w:t>
            </w:r>
          </w:p>
        </w:tc>
      </w:tr>
      <w:tr>
        <w:trPr>
          <w:trHeight w:val="156"/>
        </w:trPr>
        <w:tc>
          <w:tcPr>
            <w:tcW w:w="740" w:type="dxa"/>
            <w:vAlign w:val="bottom"/>
          </w:tcPr>
          <w:p>
            <w:pPr>
              <w:spacing w:after="0"/>
              <w:rPr>
                <w:sz w:val="13"/>
                <w:szCs w:val="13"/>
                <w:color w:val="auto"/>
              </w:rPr>
            </w:pPr>
          </w:p>
        </w:tc>
        <w:tc>
          <w:tcPr>
            <w:tcW w:w="1720" w:type="dxa"/>
            <w:vAlign w:val="bottom"/>
          </w:tcPr>
          <w:p>
            <w:pPr>
              <w:jc w:val="right"/>
              <w:ind w:right="788"/>
              <w:spacing w:after="0" w:line="155" w:lineRule="exact"/>
              <w:rPr>
                <w:sz w:val="20"/>
                <w:szCs w:val="20"/>
                <w:color w:val="auto"/>
              </w:rPr>
            </w:pPr>
            <w:r>
              <w:rPr>
                <w:rFonts w:ascii="Arial" w:cs="Arial" w:eastAsia="Arial" w:hAnsi="Arial"/>
                <w:sz w:val="14"/>
                <w:szCs w:val="14"/>
                <w:b w:val="1"/>
                <w:bCs w:val="1"/>
                <w:color w:val="auto"/>
              </w:rPr>
              <w:t>(in millions)</w:t>
            </w:r>
          </w:p>
        </w:tc>
      </w:tr>
    </w:tbl>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Six months ended 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156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2015</w:t>
            </w:r>
          </w:p>
        </w:tc>
      </w:tr>
      <w:tr>
        <w:trPr>
          <w:trHeight w:val="156"/>
        </w:trPr>
        <w:tc>
          <w:tcPr>
            <w:tcW w:w="700" w:type="dxa"/>
            <w:vAlign w:val="bottom"/>
          </w:tcPr>
          <w:p>
            <w:pPr>
              <w:spacing w:after="0"/>
              <w:rPr>
                <w:sz w:val="13"/>
                <w:szCs w:val="13"/>
                <w:color w:val="auto"/>
              </w:rPr>
            </w:pPr>
          </w:p>
        </w:tc>
        <w:tc>
          <w:tcPr>
            <w:tcW w:w="1560" w:type="dxa"/>
            <w:vAlign w:val="bottom"/>
          </w:tcPr>
          <w:p>
            <w:pPr>
              <w:jc w:val="right"/>
              <w:ind w:right="688"/>
              <w:spacing w:after="0" w:line="155" w:lineRule="exact"/>
              <w:rPr>
                <w:sz w:val="20"/>
                <w:szCs w:val="20"/>
                <w:color w:val="auto"/>
              </w:rPr>
            </w:pPr>
            <w:r>
              <w:rPr>
                <w:rFonts w:ascii="Arial" w:cs="Arial" w:eastAsia="Arial" w:hAnsi="Arial"/>
                <w:sz w:val="14"/>
                <w:szCs w:val="14"/>
                <w:b w:val="1"/>
                <w:bCs w:val="1"/>
                <w:color w:val="auto"/>
                <w:w w:val="99"/>
              </w:rPr>
              <w:t>(in millions)</w:t>
            </w:r>
          </w:p>
        </w:tc>
      </w:tr>
    </w:tbl>
    <w:p>
      <w:pPr>
        <w:spacing w:after="0" w:line="20" w:lineRule="exact"/>
        <w:rPr>
          <w:sz w:val="20"/>
          <w:szCs w:val="20"/>
          <w:color w:val="auto"/>
        </w:rPr>
      </w:pPr>
    </w:p>
    <w:p>
      <w:pPr>
        <w:sectPr>
          <w:pgSz w:w="11900" w:h="16838" w:orient="portrait"/>
          <w:cols w:equalWidth="0" w:num="2">
            <w:col w:w="6780" w:space="480"/>
            <w:col w:w="4060"/>
          </w:cols>
          <w:pgMar w:left="240" w:top="692" w:right="339" w:bottom="1440" w:gutter="0" w:footer="0" w:header="0"/>
          <w:type w:val="continuous"/>
        </w:sectPr>
      </w:pPr>
    </w:p>
    <w:tbl>
      <w:tblPr>
        <w:tblLayout w:type="fixed"/>
        <w:tblInd w:w="1720" w:type="dxa"/>
        <w:tblCellMar>
          <w:top w:w="0" w:type="dxa"/>
          <w:left w:w="0" w:type="dxa"/>
          <w:bottom w:w="0" w:type="dxa"/>
          <w:right w:w="0" w:type="dxa"/>
        </w:tblCellMar>
      </w:tblPr>
      <w:tr>
        <w:trPr>
          <w:trHeight w:val="21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24</w:t>
            </w:r>
          </w:p>
        </w:tc>
        <w:tc>
          <w:tcPr>
            <w:tcW w:w="5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22</w:t>
            </w:r>
          </w:p>
        </w:tc>
        <w:tc>
          <w:tcPr>
            <w:tcW w:w="4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47</w:t>
            </w:r>
          </w:p>
        </w:tc>
      </w:tr>
      <w:tr>
        <w:trPr>
          <w:trHeight w:val="230"/>
        </w:trPr>
        <w:tc>
          <w:tcPr>
            <w:tcW w:w="2280" w:type="dxa"/>
            <w:vAlign w:val="bottom"/>
          </w:tcPr>
          <w:p>
            <w:pPr>
              <w:ind w:left="240"/>
              <w:spacing w:after="0"/>
              <w:rPr>
                <w:sz w:val="20"/>
                <w:szCs w:val="20"/>
                <w:color w:val="auto"/>
              </w:rPr>
            </w:pPr>
            <w:r>
              <w:rPr>
                <w:rFonts w:ascii="Arial" w:cs="Arial" w:eastAsia="Arial" w:hAnsi="Arial"/>
                <w:sz w:val="18"/>
                <w:szCs w:val="18"/>
                <w:color w:val="auto"/>
              </w:rPr>
              <w:t>Effective tax rate</w:t>
            </w:r>
          </w:p>
        </w:tc>
        <w:tc>
          <w:tcPr>
            <w:tcW w:w="70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24.4%</w:t>
            </w:r>
          </w:p>
        </w:tc>
        <w:tc>
          <w:tcPr>
            <w:tcW w:w="54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29.3%</w:t>
            </w: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w:t>
            </w: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w:t>
            </w:r>
          </w:p>
        </w:tc>
      </w:tr>
    </w:tbl>
    <w:p>
      <w:pPr>
        <w:spacing w:after="0" w:line="22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Our effective tax rate decreased during the three and six months ended June 30, 2016 over the same periods in 2015, respectively, primarily due to a change in jurisdictional earnings and certain discrete items.</w:t>
      </w:r>
    </w:p>
    <w:p>
      <w:pPr>
        <w:spacing w:after="0" w:line="170"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For the three and six months ended June 30, 2016, respectively, the effective tax rate is lower than the federal statutory tax rate primarily due to earnings in jurisdictions outside the United States, where our effective tax rate is lower, which was partially offset by state income taxes, non-deductible stock-based compensation and accruals on uncertain tax positions.</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692"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For information on our relationship with Liberty TripAdvisor Holdings, Inc., refer to “Note 12: Related Party Transactions” in the notes to our unaudited condensed consolidated financial statements in this Quarterly Report on Form 10-Q. We had no related party transactions with LTRIP during the three and six months ended June 30, 2016 and 2015,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Refer to “Note 3: Stock Based Awards and Other Equity Instruments” in the notes to our unaudited condensed consolidated financial statements in this Quarterly Report on Form 10-Q for further information on current year equity award activity, including the issuance of 1,033,246 service-based stock options with a weighted average grant-date fair value per option of $22.85, and 1,731,401 service-based RSUs with a weighted average grant-date fair value of $63.95 during the six months ended June 30,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following section explains how we have generated and used our cash historically, describes our current capital resources and discusses our future financial commitments.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in the unaudited condensed consolidated statements of cash flows, are summarized in the following table:</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Six months ended June 30,</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13"/>
                <w:szCs w:val="13"/>
                <w:color w:val="auto"/>
              </w:rPr>
            </w:pPr>
          </w:p>
        </w:tc>
      </w:tr>
      <w:tr>
        <w:trPr>
          <w:trHeight w:val="156"/>
        </w:trPr>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6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9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24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198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7"/>
              <w:spacing w:after="0"/>
              <w:rPr>
                <w:sz w:val="20"/>
                <w:szCs w:val="20"/>
                <w:color w:val="auto"/>
              </w:rPr>
            </w:pPr>
            <w:r>
              <w:rPr>
                <w:rFonts w:ascii="Arial" w:cs="Arial" w:eastAsia="Arial" w:hAnsi="Arial"/>
                <w:sz w:val="18"/>
                <w:szCs w:val="18"/>
                <w:color w:val="auto"/>
              </w:rPr>
              <w:t>357</w:t>
            </w:r>
          </w:p>
        </w:tc>
        <w:tc>
          <w:tcPr>
            <w:tcW w:w="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9"/>
                <w:szCs w:val="19"/>
                <w:color w:val="auto"/>
              </w:rPr>
            </w:pPr>
          </w:p>
        </w:tc>
      </w:tr>
      <w:tr>
        <w:trPr>
          <w:trHeight w:val="230"/>
        </w:trPr>
        <w:tc>
          <w:tcPr>
            <w:tcW w:w="3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Investing activities</w:t>
            </w:r>
          </w:p>
        </w:tc>
        <w:tc>
          <w:tcPr>
            <w:tcW w:w="9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(76)</w:t>
            </w:r>
          </w:p>
        </w:tc>
        <w:tc>
          <w:tcPr>
            <w:tcW w:w="7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w:t>
            </w:r>
          </w:p>
        </w:tc>
      </w:tr>
      <w:tr>
        <w:trPr>
          <w:trHeight w:val="230"/>
        </w:trPr>
        <w:tc>
          <w:tcPr>
            <w:tcW w:w="324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(123)</w:t>
            </w:r>
          </w:p>
        </w:tc>
        <w:tc>
          <w:tcPr>
            <w:tcW w:w="7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r>
    </w:tbl>
    <w:p>
      <w:pPr>
        <w:spacing w:after="0" w:line="228"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principal source of liquidity is cash flow generated from operations, although liquidity needs can also be met through drawdowns under our 2015 Credit Facility and Chinese Credit Facilities. As of June 30, 2016 and December 31, 2015, we had $891 million and $698 million, respectively, of cash, cash equivalents and short and long-term available-for-sale marketable securities. As of June 30, 2016, approximately $698 million of our cash, cash equivalents, and short and long-term marketable securities are held by our international subsidiaries, primarily in the United Kingdom. Cumulative undistributed earnings of foreign subsidiaries that we intend to indefinitely reinvest outside of the United States totaled approximately $808 million as of June 30, 2016. Should we distribute, or be treated under certain U.S. tax rules as having distributed, the earnings of foreign subsidiaries in the form of dividends or otherwise, we may be subject to U.S. income taxes. Determination of the amount of any unrecognized deferred income tax liability on this temporary difference is not practicable because of the complexities of the hypothetical calculation. The majority of cash on hand is denominated in U.S. dollars.</w:t>
      </w:r>
    </w:p>
    <w:p>
      <w:pPr>
        <w:spacing w:after="0" w:line="166" w:lineRule="exact"/>
        <w:rPr>
          <w:sz w:val="20"/>
          <w:szCs w:val="20"/>
          <w:color w:val="auto"/>
        </w:rPr>
      </w:pPr>
    </w:p>
    <w:p>
      <w:pPr>
        <w:ind w:right="180" w:firstLine="589"/>
        <w:spacing w:after="0" w:line="255" w:lineRule="auto"/>
        <w:rPr>
          <w:sz w:val="20"/>
          <w:szCs w:val="20"/>
          <w:color w:val="auto"/>
        </w:rPr>
      </w:pPr>
      <w:r>
        <w:rPr>
          <w:rFonts w:ascii="Arial" w:cs="Arial" w:eastAsia="Arial" w:hAnsi="Arial"/>
          <w:sz w:val="18"/>
          <w:szCs w:val="18"/>
          <w:color w:val="auto"/>
        </w:rPr>
        <w:t>As of June 30, 2016, we had outstanding borrowings of $91 million in long-term debt and approximately $907 million of borrowing capacity available under our 2015 Credit Facility, which we are currently borrowing under a one-month interest period at 1.8% per annum, which will reset periodically. In addition, we had current borrowings of $1 million and approximately $49 million of available borrowing capacity under our Chinese Credit Facilities, which currently bear interest at a rate based on 100% of the People’s Bank of China’s base rate, or 4.35% as of June 30, 2016. For further discussion on our credit facilities refer to “Note 6: Debt” in the notes to our unaudited condensed consolidated financial statements in this Quarterly Report on Form 10-Q.</w:t>
      </w:r>
    </w:p>
    <w:p>
      <w:pPr>
        <w:spacing w:after="0" w:line="193" w:lineRule="exact"/>
        <w:rPr>
          <w:sz w:val="20"/>
          <w:szCs w:val="20"/>
          <w:color w:val="auto"/>
        </w:rPr>
      </w:pPr>
    </w:p>
    <w:p>
      <w:pPr>
        <w:ind w:right="120" w:firstLine="589"/>
        <w:spacing w:after="0" w:line="290" w:lineRule="auto"/>
        <w:rPr>
          <w:sz w:val="20"/>
          <w:szCs w:val="20"/>
          <w:color w:val="auto"/>
        </w:rPr>
      </w:pPr>
      <w:r>
        <w:rPr>
          <w:rFonts w:ascii="Arial" w:cs="Arial" w:eastAsia="Arial" w:hAnsi="Arial"/>
          <w:sz w:val="16"/>
          <w:szCs w:val="16"/>
          <w:color w:val="auto"/>
        </w:rPr>
        <w:t>Historically, the cash we generate from operations has been sufficient to fund our working capital requirements, capital expenditures and to meet our long term debt obligations and other financial commitments. Management believes that our cash, cash equivalents and available-for-sale marketable securities, combined with expected cash flows generated by operating activities and available cash from our credit facilities, will be sufficient to fund our ongoing working capital requirements, capital expenditures and business growth initiatives; meet our long term debt obligations and other financial commitments; and fund any potential share repurchases and acquisitions for at least the next twelve months. However, if during that period or thereafter, we are not successful in generating sufficient cash flow from operations or in raising additional capital, including refinancing or incurring additional debt, when required in sufficient amounts and on terms acceptable to us, we may be required to reduce our planned capital expenditures and scale back the scope of our business growth initiatives, either of which could have a material adverse effect on our future financial condition or results of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4" w:name="page35"/>
    <w:bookmarkEnd w:id="34"/>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For the six months ended June 30, 2016, net cash provided by operating activities increased by $58 million or 19% when compared to the same period in 2015, primarily due to a net increase in working capital movements of $95 million, and non-cash items affecting cash flow of $22 million, which is primarily due to a decrease in excess tax benefits from stock-based awards, offset by a decrease in net income of $59 million. The increase in working capital movements of $95 million was largely related to an increase in operating cash flow from deferred merchant payables of $30 million related to seasonality in our business and growth in our Attractions business and our Vacation Rentals business free-to-list model, in addition to the timing of customer receipts, income tax payments and vendor payments, offset by a lower income tax provision.</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For the six months ended June 30, 2016, net cash used in investing activities decreased by $31 million when compared to the same period in 2015, primarily due to a decrease in capital expenditures of $18 million, primarily related to the completion of our corporate headquarters building in 2015, and a decrease in cash paid for business acquisitions of $30 million, net of cash acquired, offset by a net increase in cash used for the purchases, sales and maturities of our marketable securities of $17 million.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80" w:firstLine="518"/>
        <w:spacing w:after="0" w:line="272" w:lineRule="auto"/>
        <w:rPr>
          <w:sz w:val="20"/>
          <w:szCs w:val="20"/>
          <w:color w:val="auto"/>
        </w:rPr>
      </w:pPr>
      <w:r>
        <w:rPr>
          <w:rFonts w:ascii="Arial" w:cs="Arial" w:eastAsia="Arial" w:hAnsi="Arial"/>
          <w:sz w:val="17"/>
          <w:szCs w:val="17"/>
          <w:color w:val="auto"/>
        </w:rPr>
        <w:t>For the six months ended June 30, 2016, net cash used in financing activities increased by $62 million when compared to the same period in 2015, primarily due to partial repayment of our outstanding borrowings under our 2015 Credit Facility of $109 million in 2016, payments of $12 million for common stock share repurchases under our authorized share repurchase program in 2016, a decrease of excess tax benefits related to stock-based compensation recorded by the Company of $24 million in 2016, and $12 million in lease incentive payments received related to our new corporate headquarters in 2015 that did not reoccur in 2016, offset by repayment of our Term Loan of $300 million and net borrowings on our 2015 Credit Facility of $287 million in 2015, incremental repayments of our outstanding borrowings related to our Chinese Credit Facility of $41 million in 2015, a decrease in tax withholding payments of $51 million in 2016 primarily related to a decrease in the number of stock options exercised in 2016.</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Commercial Commitments and Off-Balance Sheet Arrangements</w:t>
      </w:r>
    </w:p>
    <w:p>
      <w:pPr>
        <w:spacing w:after="0" w:line="121"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There have been no material changes outside the normal course of business to our contractual obligations and commercial commitments since December 31, 2015. Refer to “Liquidity and Capital Resources” in Part II, Item 7. —Management’s Discussion and Analysis of Financial Condition and Results of Operations of our Annual Report on Form 10-K for the year ended December 31, 2015.</w:t>
      </w:r>
    </w:p>
    <w:p>
      <w:pPr>
        <w:spacing w:after="0" w:line="181" w:lineRule="exact"/>
        <w:rPr>
          <w:sz w:val="20"/>
          <w:szCs w:val="20"/>
          <w:color w:val="auto"/>
        </w:rPr>
      </w:pPr>
    </w:p>
    <w:p>
      <w:pPr>
        <w:ind w:right="100" w:firstLine="518"/>
        <w:spacing w:after="0" w:line="342" w:lineRule="auto"/>
        <w:rPr>
          <w:sz w:val="20"/>
          <w:szCs w:val="20"/>
          <w:color w:val="auto"/>
        </w:rPr>
      </w:pPr>
      <w:r>
        <w:rPr>
          <w:rFonts w:ascii="Arial" w:cs="Arial" w:eastAsia="Arial" w:hAnsi="Arial"/>
          <w:sz w:val="16"/>
          <w:szCs w:val="16"/>
          <w:color w:val="auto"/>
        </w:rPr>
        <w:t>As of June 30, 2016, we did not have any off-balance sheet arrangements, as defined in Item 303(a)(4)(ii) of Regulation S-K of the SEC, that have, or are reasonably likely to have, a current or future effect on our financial condition, results of operations, liquidity, capital expenditures or capital resources.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In the ordinary course of business, we and our subsidiaries are parties to regulatory and legal matters. These matters may relate to claims involving alleged infringement of third-party intellectual property rights, defamation, taxes, regulatory compliance and other claims. Periodically, we review the status of all significant outstanding matters to assess the potential financial exposure. When (i) it is probable that an asset has been impaired or a liability has been incurred, and (ii) the amount of the loss can be reasonably estimated, we record the estimated loss in our consolidated statements of operations. We provide disclosure in the notes to the consolidated statements for loss contingencies that do not meet both of these conditions if there is a reasonable possibility that a loss may have been incurred that would be material to the financial statements. Significant judgment is required to determine the probability that a liability has been incurred and whether such liability is reasonably estimable. We base accruals made on the best information available at the time which can be highly subjective. Although occasional adverse decisions or settlements may occur, the Company does not believe that the final disposition of any of these matters will have a material adverse effect on the business. However, the final outcome of these matters could vary significantly from our estimates. There may be claims or actions pending or threatened against us of which we are currently not aware and the ultimate disposition of which would have a material adverse effect on us.</w:t>
      </w:r>
    </w:p>
    <w:p>
      <w:pPr>
        <w:spacing w:after="0" w:line="18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5" w:name="page36"/>
    <w:bookmarkEnd w:id="35"/>
    <w:p>
      <w:pPr>
        <w:ind w:right="120" w:firstLine="518"/>
        <w:spacing w:after="0" w:line="273" w:lineRule="auto"/>
        <w:rPr>
          <w:sz w:val="20"/>
          <w:szCs w:val="20"/>
          <w:color w:val="auto"/>
        </w:rPr>
      </w:pPr>
      <w:r>
        <w:rPr>
          <w:rFonts w:ascii="Arial" w:cs="Arial" w:eastAsia="Arial" w:hAnsi="Arial"/>
          <w:sz w:val="17"/>
          <w:szCs w:val="17"/>
          <w:color w:val="auto"/>
        </w:rPr>
        <w:t xml:space="preserve">Additionally, we earn an increasing portion of our income, and accumulate a greater portion of cash flows, in foreign jurisdictions which we consider indefinitely reinvested.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 See “Note 7: </w:t>
      </w:r>
      <w:r>
        <w:rPr>
          <w:rFonts w:ascii="Arial" w:cs="Arial" w:eastAsia="Arial" w:hAnsi="Arial"/>
          <w:sz w:val="17"/>
          <w:szCs w:val="17"/>
          <w:i w:val="1"/>
          <w:iCs w:val="1"/>
          <w:color w:val="auto"/>
        </w:rPr>
        <w:t>Income Taxes</w:t>
      </w:r>
      <w:r>
        <w:rPr>
          <w:rFonts w:ascii="Arial" w:cs="Arial" w:eastAsia="Arial" w:hAnsi="Arial"/>
          <w:sz w:val="17"/>
          <w:szCs w:val="17"/>
          <w:color w:val="auto"/>
        </w:rPr>
        <w:t>” in the notes to our unaudited condensed consolidated financial statements in this Quarterly Report on Form 10-Q for additional information on potential contingencies surrounding income taxes.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To provide investors with additional information regarding our financial results, we also disclose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7"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Adjusted EBITDA is our segment profit measure and a key measure used by our management and board of directors to understand and evaluate the operating performance of our business and on which internal budgets and forecasts are based and approved. In particular, the exclusion of certain expenses in calculating Adjusted EBITDA can provide a useful measure for period-to-period comparisons of our core business. Accordingly, we believe that Adjusted EBITDA provides useful information to investors and others in understanding and evaluating our operating results in the same manner as our management and board of directors. We define Adjusted EBITDA as net income (loss) plus: (1) provision for income taxes; (2) other income (expense), net;</w:t>
      </w:r>
    </w:p>
    <w:p>
      <w:pPr>
        <w:spacing w:after="0" w:line="2"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depreciation of property and equipment, including amortization of internal use software and website development; (4) amortization of intangible assets;</w:t>
      </w:r>
    </w:p>
    <w:p>
      <w:pPr>
        <w:spacing w:after="0" w:line="32" w:lineRule="exact"/>
        <w:rPr>
          <w:rFonts w:ascii="Arial" w:cs="Arial" w:eastAsia="Arial" w:hAnsi="Arial"/>
          <w:sz w:val="16"/>
          <w:szCs w:val="16"/>
          <w:color w:val="auto"/>
        </w:rPr>
      </w:pPr>
    </w:p>
    <w:p>
      <w:pPr>
        <w:ind w:right="40" w:firstLine="8"/>
        <w:spacing w:after="0" w:line="261"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stock-based compensation and other stock-settled obligations; (6) goodwill, long-lived asset and intangible asset impairments; and (7) other non-recurring expenses and income.</w:t>
      </w:r>
    </w:p>
    <w:p>
      <w:pPr>
        <w:spacing w:after="0" w:line="184"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and our other GAAP results.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Some of these limitations are:</w:t>
      </w:r>
    </w:p>
    <w:p>
      <w:pPr>
        <w:spacing w:after="0" w:line="117" w:lineRule="exact"/>
        <w:rPr>
          <w:sz w:val="20"/>
          <w:szCs w:val="20"/>
          <w:color w:val="auto"/>
        </w:rPr>
      </w:pPr>
    </w:p>
    <w:p>
      <w:pPr>
        <w:ind w:left="1040" w:hanging="384"/>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28" w:lineRule="exact"/>
        <w:rPr>
          <w:rFonts w:ascii="Arial" w:cs="Arial" w:eastAsia="Arial" w:hAnsi="Arial"/>
          <w:sz w:val="17"/>
          <w:szCs w:val="17"/>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cash requirements necessary to service interest or principal payments on our debt;</w:t>
      </w:r>
    </w:p>
    <w:p>
      <w:pPr>
        <w:spacing w:after="0" w:line="140" w:lineRule="exact"/>
        <w:rPr>
          <w:rFonts w:ascii="Arial" w:cs="Arial" w:eastAsia="Arial" w:hAnsi="Arial"/>
          <w:sz w:val="16"/>
          <w:szCs w:val="16"/>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stock-based compensation or other stock-settled obligations;</w:t>
      </w:r>
    </w:p>
    <w:p>
      <w:pPr>
        <w:spacing w:after="0" w:line="117" w:lineRule="exact"/>
        <w:rPr>
          <w:rFonts w:ascii="Arial" w:cs="Arial" w:eastAsia="Arial" w:hAnsi="Arial"/>
          <w:sz w:val="18"/>
          <w:szCs w:val="18"/>
          <w:color w:val="auto"/>
        </w:rPr>
      </w:pPr>
    </w:p>
    <w:p>
      <w:pPr>
        <w:ind w:left="1040" w:right="20" w:hanging="384"/>
        <w:spacing w:after="0" w:line="264"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3"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17"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6" w:name="page37"/>
    <w:bookmarkEnd w:id="36"/>
    <w:p>
      <w:pPr>
        <w:ind w:right="420" w:firstLine="518"/>
        <w:spacing w:after="0" w:line="277" w:lineRule="auto"/>
        <w:rPr>
          <w:sz w:val="20"/>
          <w:szCs w:val="20"/>
          <w:color w:val="auto"/>
        </w:rPr>
      </w:pPr>
      <w:r>
        <w:rPr>
          <w:rFonts w:ascii="Arial" w:cs="Arial" w:eastAsia="Arial" w:hAnsi="Arial"/>
          <w:sz w:val="18"/>
          <w:szCs w:val="18"/>
          <w:color w:val="auto"/>
        </w:rPr>
        <w:t>The following table presents a reconciliation of Adjusted EBITDA to Net Income, the most directly comparable financial measure calculated and presented in accordance with GAAP, for the periods presented above.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72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2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64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56"/>
        </w:trPr>
        <w:tc>
          <w:tcPr>
            <w:tcW w:w="4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gridSpan w:val="3"/>
          </w:tcPr>
          <w:p>
            <w:pPr>
              <w:jc w:val="right"/>
              <w:ind w:right="85"/>
              <w:spacing w:after="0" w:line="155" w:lineRule="exact"/>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300" w:type="dxa"/>
            <w:vAlign w:val="bottom"/>
            <w:gridSpan w:val="2"/>
            <w:shd w:val="clear" w:color="auto" w:fill="CFF0FC"/>
          </w:tcPr>
          <w:p>
            <w:pPr>
              <w:jc w:val="right"/>
              <w:ind w:right="8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Other non-recurring expenses</w:t>
            </w: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0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Adjusted EBITDA</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are exposed to certain market risks, including changes in interest rates and foreign currency exchange rates that could adversely affect our results of operations or financial condition. We manage our exposure to these risks through established policies and procedures and by assessing the anticipated near-term and long-term fluctuations in interest rates and foreign currency exchange rates. Our objective is to mitigate potential income statement, cash flow and market exposures from changes in interest and foreign exchange rates.</w:t>
      </w:r>
    </w:p>
    <w:p>
      <w:pPr>
        <w:spacing w:after="0" w:line="187"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There has been no material change in our market risk profile during the three months ended June 30, 2016. For additional information, see “Quantitative and Qualitative Disclosures About Market Risk” in Item 7A. in Part II of our Annual Report on Form 10-K for the year ended December 31, 2015.</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As of June 30, 2016, our management, with the participation of our President and Chief Executive Officer and our Chief Financial Officer, evaluated the effectiveness of our disclosure controls and procedures pursuant to Rule 13a-15(b) promulgated under the Securities Exchange Act of 1934, as amended, or the Exchange Act. Based upon that evaluation, our President and Chief Executive Officer and our Chief Financial Officer concluded that, as of June 30, 2016, our disclosure controls and procedures were effective in ensuring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President and Chief Executive Officer and our Chief Financial Officer, as appropriate to allow timely decisions regarding required disclosure.</w:t>
      </w:r>
    </w:p>
    <w:p>
      <w:pPr>
        <w:spacing w:after="0" w:line="59"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June 30, 2016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In the ordinary course of business, we are parties to legal proceedings and claims involving alleged infringement of third-party intellectual property rights, defamation, taxes, regulatory compliance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we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0" w:firstLine="518"/>
        <w:spacing w:after="0" w:line="302" w:lineRule="auto"/>
        <w:rPr>
          <w:sz w:val="20"/>
          <w:szCs w:val="20"/>
          <w:color w:val="auto"/>
        </w:rPr>
      </w:pPr>
      <w:r>
        <w:rPr>
          <w:rFonts w:ascii="Arial" w:cs="Arial" w:eastAsia="Arial" w:hAnsi="Arial"/>
          <w:sz w:val="16"/>
          <w:szCs w:val="16"/>
          <w:i w:val="1"/>
          <w:iCs w:val="1"/>
          <w:color w:val="auto"/>
        </w:rPr>
        <w:t>You should consider carefully the risks described below together with all of the other information included in this Quarterly Report as they may impact our business, results of operations and/or financial condition. The risks and uncertainties described below are not the only ones we face. Additional risks and uncertainties not presently known to us or that we currently believe are immaterial may also impair our business, results of operations or financial condition. If any of the following risks occur, our business, financial condition, operating results and cash flows could be materially adversely affected.</w:t>
      </w:r>
    </w:p>
    <w:p>
      <w:pPr>
        <w:spacing w:after="0" w:line="26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we are unable to continue to increase visitors to our websites and to cost-effectively convert these visitors into repeat users, contributors and/or shoppers, our revenue could decline.</w:t>
      </w:r>
    </w:p>
    <w:p>
      <w:pPr>
        <w:spacing w:after="0" w:line="62" w:lineRule="exact"/>
        <w:rPr>
          <w:sz w:val="20"/>
          <w:szCs w:val="20"/>
          <w:color w:val="auto"/>
        </w:rPr>
      </w:pPr>
    </w:p>
    <w:p>
      <w:pPr>
        <w:ind w:right="160" w:firstLine="518"/>
        <w:spacing w:after="0" w:line="271" w:lineRule="auto"/>
        <w:rPr>
          <w:sz w:val="20"/>
          <w:szCs w:val="20"/>
          <w:color w:val="auto"/>
        </w:rPr>
      </w:pPr>
      <w:r>
        <w:rPr>
          <w:rFonts w:ascii="Arial" w:cs="Arial" w:eastAsia="Arial" w:hAnsi="Arial"/>
          <w:sz w:val="17"/>
          <w:szCs w:val="17"/>
          <w:color w:val="auto"/>
        </w:rPr>
        <w:t>The primary asset that we use to attract visitors to our websites and convert these visitors into repeat users, contributors and/or shoppers is our ability to collect, create, organize and distribute high-quality, commercially valuable content that meets users’ specific interests and enables them to use the content and interact with the supporting communities. There can be no assurances that we will continue to obtain content in a cost-effective manner or in a manner that meets rapidly changing consumer demand. Any failure to obtain and manage such content in a manner that will engage users, or a failure to provide content and products that are perceived as useful, reliable and trustworthy, could adversely affect user experiences and reduce traffic to our websites, which would make our websites less attractive to advertisers. Any change in the cost structure pursuant to which we obtain our content, in travelers’ relative appreciation of user-based versus expert content, in the quality of our content versus other sites’ content or any other changes that could reduce traffic to our websites would negatively impact our business and financial performance.</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derive a substantial portion of our revenue from advertising and any significant reduction in spending by advertisers could harm our business.</w:t>
      </w:r>
    </w:p>
    <w:p>
      <w:pPr>
        <w:spacing w:after="0" w:line="14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derive a substantial portion of our revenue from the sale of advertising. We enter into master advertising contracts with our advertising partners, however, these agreements are generally limited to matters such as privacy and compliance, payment terms and conditions, termination and indemnities and most can be terminated by our partners at will or on short notice. Our ability to grow advertising revenue with our existing or new advertising partners is dependent in large part on our ability to generate revenue for them. Advertisers will not continue to do business with us if their investment in such advertising does not generate sales leads, customers, bookings, or revenue and profit on a cost-effective basis. If we are unable to provide value to our advertising partners, they will likely stop placing ads on our websites, which would harm our revenues and business. We cannot guarantee that our current advertisers will fulfill their obligations under existing contracts, continue to advertise beyond the terms of existing contracts or enter into any additional contracts with us.</w:t>
      </w:r>
    </w:p>
    <w:p>
      <w:pPr>
        <w:spacing w:after="0" w:line="167"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Click-based advertising accounts for the majority of our advertising revenue. Any changes we make to our business model may impact our advertising revenue in ways that we do not expect. In addition, if new, more effective advertising models were to emerge, there can be no assurance that we will have the ability to offer these models, or offer them in an effective manner.</w:t>
      </w:r>
    </w:p>
    <w:p>
      <w:pPr>
        <w:spacing w:after="0" w:line="18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Furthermore, our CPC pricing for click-based advertising depends, in part, on competition between advertisers. If our large advertisers become less competitive with each other, merge with each other or with our competitors, focus more on per-click profit than on traffic volume, or are able to reduce CPCs, this could have an adverse impact on our click-based advertising revenue which would, in turn, have an adverse effect on our business, financial condition and results of operations.</w:t>
      </w:r>
    </w:p>
    <w:p>
      <w:pPr>
        <w:spacing w:after="0" w:line="187"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Expenditures by advertisers also tend to be cyclical, subject to variation based on budgetary constraints, project cancellation or delay, and to reflect overall economic conditions and buying patterns. If we are unable to generate advertising revenue due to factors outside of our control, our business and financial performance would be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rely on a relatively small number of significant partners and any reduction in spending by or loss of these partners could seriously harm our business.</w:t>
      </w:r>
    </w:p>
    <w:p>
      <w:pPr>
        <w:spacing w:after="0" w:line="152"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We derive a substantial portion of our revenue from a relatively small number of partners and rely significantly on our relationships. For example, for the year ended December 31, 2015, our two most significant advertising partners, Expedia and Priceline (and their subsidiaries), accounted for a combined 46% of total revenue. While we enter into contracts with our partners, the terms of these agreements generally address matters such as privacy and compliance, payment terms and conditions, termination and indemnities and most of these contracts can be terminated by our partners at will or on short notice. If any of our significant partners were to cease or significantly curtail their business with us, we could experience a rapid decline in our revenue over a relatively short period of time which would have a material impact on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auto"/>
        </w:rPr>
        <w:t>Our businesses could be negatively affected by changes in Internet search engine algorithms and dynamics, or search engine disintermediation.</w:t>
      </w:r>
    </w:p>
    <w:p>
      <w:pPr>
        <w:spacing w:after="0" w:line="140"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rely heavily on Internet search engines, such as Google, to generate traffic to our websites, principally through the purchase of travel-related keywords. Search engines, including Google, frequently update and change the logic that determines the placement and display of results of a user’s search, such that the purchased or algorithmic placement of links to our websites can be negatively affected. In addition, a search engine could, for competitive or other purposes, alter its search algorithms or results causing our websites to place lower in search query results. If a major search engine changes its algorithms in a manner that negatively affects the search engine ranking of our websites or those of our partners, or if competitive dynamics impact the cost or effectiveness of SEO or SEM in a negative manner, our business and financial performance would be adversely affected, potentially to a material extent. Furthermore, our failure to successfully manage our SEO and SEM strategies could result in a substantial decrease in traffic to our websites, as well as increased costs if we were to replace free traffic with paid traffic.</w:t>
      </w:r>
    </w:p>
    <w:p>
      <w:pPr>
        <w:spacing w:after="0" w:line="179"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In addition, to the extent that Google or other leading search or metasearch engines that have a significant presence in our key markets, disintermediate OTA’s or travel content providers by offering comprehensive travel planning or shopping capabilities, or refer those leads to suppliers directly, or to other favored partners, there could be a material adverse impact on our business and financial performance. To the extent these actions have a negative effect on our search traffic, whether on desktop, tablet or mobile phones, our business and financial performance could be adversely affected.</w:t>
      </w:r>
    </w:p>
    <w:p>
      <w:pPr>
        <w:spacing w:after="0" w:line="26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Failure to effectively optimize results from our “instant booking” feature could have a continued negative impact on our business and financial performance.</w:t>
      </w:r>
    </w:p>
    <w:p>
      <w:pPr>
        <w:spacing w:after="0" w:line="170"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Instant booking is a feature that enables users to book a hotel reservation directly with a hotel or online travel agency partner while remaining on the TripAdvisor website. We believe that allowing users to book directly online without leaving the TripAdvisor site will result in a better user experience as well as, ultimately, additional revenue to the Company. As of June 30, 2016, we completed our global rollout of our instant booking feature and are now focused on optimizing the results of this feature. We have expended significant time and resources on the global roll out of this feature and failure to optimize results from out instant booking feature could have a negative impact on our business and financial performance.</w:t>
      </w:r>
    </w:p>
    <w:p>
      <w:pPr>
        <w:spacing w:after="0" w:line="173"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Currently our instant booking feature is monetizing at a lower revenue per hotel shopper rate compared to our metasearch feature, or click-based revenue. While we continue to work to close this monetization gap, primarily by streamlining our booking path to optimize user experience, continuing to seek partners with strong branding and supply channels in order to try and achieve higher conversion rates and repeat hotel bookings, persistently promoting the TripAdvisor brand as the place to plan, compare prices, and book travel, there is no guarantee that these initiatives will ultimately be successful. If these initiatives are not successful, and we fail to effectively optimize the results of this feature, our revenue may be materially adversely affected.</w:t>
      </w:r>
    </w:p>
    <w:p>
      <w:pPr>
        <w:spacing w:after="0" w:line="158"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Our success depends in large part on our ability to maintain and expand relationships with partners in the travel industry, including hotel chains, online travel agencies and travel suppliers and other online travel partners. We have worked with, and continue to work with, some of these partners to “power” the instant booking function on our website and believe that these partners will also benefit from this feature, through increased reservations and more direct relationships with travelers. Some partners, however, may view this new functionality as directly competitive and take action that could adversely affect our business and financial performance. They could reduce or eliminate advertising revenue paid to us, charge for or otherwise restrict access to content, further reduce their average daily rates, decide not to make their travel inventory available to us, or decide not to provide accurate booking information. Any of these actions could have an adverse impact on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“instant booking” feature may subject us to additional and ongoing operational risks.</w:t>
      </w:r>
    </w:p>
    <w:p>
      <w:pPr>
        <w:spacing w:after="0" w:line="22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expect the instant booking functionality to significantly increase the number of transactions that will occur on our website. Even though the transaction and customer care associated with these transactions are provided by our partners, each reservation is completed on TripAdvisor’s instant booking platform. Failure to effectively manage the process for instantly booking on our website, and to safeguard data that is obtained during the course of arranging for such bookings, could negatively impact our reputation and, consequently,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the use of devices other than desktop computers may negatively affect our revenue and financial results.</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Our content was originally designed for users accessing the Internet on a desktop computer. The number of people who access the Internet through devices other than desktop computers, including mobile phones and tablets, has increased substantially in the last few years. We anticipate that the rate of use of these devices will continue to grow. To address these growing user demands, we continue to extend our platform to develop mobile phone and tablet applications. However, currently, we monetize users of mobile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9" w:name="page40"/>
    <w:bookmarkEnd w:id="39"/>
    <w:p>
      <w:pPr>
        <w:ind w:right="60"/>
        <w:spacing w:after="0" w:line="279" w:lineRule="auto"/>
        <w:rPr>
          <w:sz w:val="20"/>
          <w:szCs w:val="20"/>
          <w:color w:val="auto"/>
        </w:rPr>
      </w:pPr>
      <w:r>
        <w:rPr>
          <w:rFonts w:ascii="Arial" w:cs="Arial" w:eastAsia="Arial" w:hAnsi="Arial"/>
          <w:sz w:val="17"/>
          <w:szCs w:val="17"/>
          <w:color w:val="auto"/>
        </w:rPr>
        <w:t>phone devices at a significantly lower rate compared to users who access our websites through desktop computers and tablets. In addition, given the size and technical limitations of these mobile phone devices, mobile consumers may not be willing to download multiple apps from multiple companies providing similar service and instead prefer to use one or a limited number of apps for their hotel, restaurant and attractions activity. The consumer experience with mobile apps as well as brand recognition and loyalty are likely to become increasingly important.</w:t>
      </w:r>
    </w:p>
    <w:p>
      <w:pPr>
        <w:spacing w:after="0" w:line="63"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As a result, we continue to develop and improve upon our mobile app and websites and mobile phone monetization strategies. If we are unable to continue to rapidly innovate and create new, user-friendly and differentiated mobile offerings and efficiently and effectively advertise and distribute on these platforms, or if our mobile offerings are not used by consumers, our future growth and results of operations could be negatively impacted.</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Declines or disruptions in the economy in general and travel industry in particular could adversely affect our businesses and financial performance.</w:t>
      </w:r>
    </w:p>
    <w:p>
      <w:pPr>
        <w:spacing w:after="0" w:line="140"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Our businesses and financial performance are affected by the health of the global economy generally as well as the travel industry and leisure travel in particular. Sales of travel services tend to decline or grow more slowly during economic downturns and recessions when consumers engage in less discretionary spending, are concerned about unemployment or inflation, have reduced access to credit or experience other concerns that reduce their ability or willingness to travel. The global economy may be adversely impacted by unforeseen events beyond our control including acts of terrorism, unusual weather patterns, natural disasters, political instability and health concerns (including epidemics or pandemics such as Zika virus, Ebola, H1N1 and SARS), defaults on government debt, significant increases in fuel and energy costs, tax increases and other matters that could reduce discretionary spending, tightening of credit markets and further declines in consumer confidence. Decreased travel expenditures could reduce the demand for our services, thereby causing a reduction in revenue.</w:t>
      </w:r>
    </w:p>
    <w:p>
      <w:pPr>
        <w:spacing w:after="0" w:line="192" w:lineRule="exact"/>
        <w:rPr>
          <w:sz w:val="20"/>
          <w:szCs w:val="20"/>
          <w:color w:val="auto"/>
        </w:rPr>
      </w:pPr>
    </w:p>
    <w:p>
      <w:pPr>
        <w:ind w:firstLine="471"/>
        <w:spacing w:after="0" w:line="264" w:lineRule="auto"/>
        <w:rPr>
          <w:sz w:val="20"/>
          <w:szCs w:val="20"/>
          <w:color w:val="auto"/>
        </w:rPr>
      </w:pPr>
      <w:r>
        <w:rPr>
          <w:rFonts w:ascii="Arial" w:cs="Arial" w:eastAsia="Arial" w:hAnsi="Arial"/>
          <w:sz w:val="18"/>
          <w:szCs w:val="18"/>
          <w:color w:val="auto"/>
        </w:rPr>
        <w:t>In addition, the uncertainty of macro-economic factors and their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adversely affect our results of operations.</w:t>
      </w:r>
    </w:p>
    <w:p>
      <w:pPr>
        <w:spacing w:after="0" w:line="181" w:lineRule="exact"/>
        <w:rPr>
          <w:sz w:val="20"/>
          <w:szCs w:val="20"/>
          <w:color w:val="auto"/>
        </w:rPr>
      </w:pPr>
    </w:p>
    <w:p>
      <w:pPr>
        <w:ind w:firstLine="471"/>
        <w:spacing w:after="0" w:line="273" w:lineRule="auto"/>
        <w:rPr>
          <w:sz w:val="20"/>
          <w:szCs w:val="20"/>
          <w:color w:val="auto"/>
        </w:rPr>
      </w:pPr>
      <w:r>
        <w:rPr>
          <w:rFonts w:ascii="Arial" w:cs="Arial" w:eastAsia="Arial" w:hAnsi="Arial"/>
          <w:sz w:val="17"/>
          <w:szCs w:val="17"/>
          <w:color w:val="auto"/>
        </w:rPr>
        <w:t>On June 23, 2016, the United Kingdom held a referendum in which a majority of voters voted to exit the European Union (“Brexit”). Negotiations are expected to commence to determine the future terms of the United Kingdom’s relationship with the European Union, including, among other things, the terms of trade between the United Kingdom and the European Union. The effects of Brexit will depend on any agreements the United Kingdom makes to retain access to European Union markets either during a transitional period or more permanently. Brexit could adversely affect European and global economic or market conditions and could contribute to instability in global financial markets. Any of these effects of Brexit, and others we cannot anticipate, may have a negative effect on the travel industry and may adversely affect our business.</w:t>
      </w:r>
    </w:p>
    <w:p>
      <w:pPr>
        <w:spacing w:after="0" w:line="2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rely on the value of our brand and consumer trust in our brand. If we are not able to maintain and enhance our brand, or if events occur that damage our reputation and brand, our business may be harmed.</w:t>
      </w:r>
    </w:p>
    <w:p>
      <w:pPr>
        <w:spacing w:after="0" w:line="62"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We believe that the TripAdvisor brand has contributed significantly to our success and that maintaining and enhancing our brand is critical to expanding our base of users, to creating content and to attracting advertisers. As a result, we invest significantly in brand marketing. We expect these investments to continue, or even increase, as a result of a variety of factors, including increased spending from competitors, the increasing costs of supporting multiple brands, expansion into geographies and products where our brands are less well known, inflation in media pricing, and the continued emergence and relative traffic share growth of search engines as destination sites for travelers. Such efforts may not maintain or enhance consumer awareness of our brands and, even if we are successful in our branding efforts, such efforts may not be cost-effective or as efficient as they have been historically. If we are unable to maintain or enhance consumer awareness of our brands or to generate demand in a cost-effective manner, it would have a material adverse effect on our business and financial performance.</w:t>
      </w:r>
    </w:p>
    <w:p>
      <w:pPr>
        <w:spacing w:after="0" w:line="192"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We receive significant media coverage in our various geographic markets. Unfavorable publicity regarding, for example, our practices relating to privacy and data protection, product changes, competitive pressures, the accuracy of user-generated content, product quality, litigation or regulatory activity, could adversely affect our reputation with our users and our advertisers. Such negative publicity also could have an adverse effect on the size, engagement, and loyalty of our user base and result in decreased revenue, which could adversely affect our business and financial results.</w:t>
      </w:r>
    </w:p>
    <w:p>
      <w:pPr>
        <w:spacing w:after="0" w:line="2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operate in an increasingly competitive global environment and our failure to compete effectively could reduce our market share and harm our financial performance.</w:t>
      </w:r>
    </w:p>
    <w:p>
      <w:pPr>
        <w:spacing w:after="0" w:line="62"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We face competition for content, users, advertisers, online travel search and price comparison services (or hotel metasearch) and online reservations. We also face competition from large companies that also offer comprehensive on-line resources for destinations,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40" w:name="page41"/>
    <w:bookmarkEnd w:id="40"/>
    <w:p>
      <w:pPr>
        <w:ind w:right="580"/>
        <w:spacing w:after="0" w:line="277" w:lineRule="auto"/>
        <w:rPr>
          <w:sz w:val="20"/>
          <w:szCs w:val="20"/>
          <w:color w:val="auto"/>
        </w:rPr>
      </w:pPr>
      <w:r>
        <w:rPr>
          <w:rFonts w:ascii="Arial" w:cs="Arial" w:eastAsia="Arial" w:hAnsi="Arial"/>
          <w:sz w:val="18"/>
          <w:szCs w:val="18"/>
          <w:color w:val="auto"/>
        </w:rPr>
        <w:t>lodging, attractions and restaurants. Many of our competitors have significantly greater and more diversified resources than we do and may be able to leverage other aspects of their business to enable them to compete more effectively against us.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More specifically:</w:t>
      </w:r>
    </w:p>
    <w:p>
      <w:pPr>
        <w:spacing w:after="0" w:line="117" w:lineRule="exact"/>
        <w:rPr>
          <w:sz w:val="20"/>
          <w:szCs w:val="20"/>
          <w:color w:val="auto"/>
        </w:rPr>
      </w:pPr>
    </w:p>
    <w:p>
      <w:pPr>
        <w:ind w:left="1040" w:right="40" w:hanging="384"/>
        <w:spacing w:after="0" w:line="255"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content, we face competition from large online portals, social networking sites and search engines, such as Google, Facebook, Yahoo and Baidu, which competition will only increase should they choose to compete more directly with us in the travel review space, and create commercially valuable online content at significant scale. For example, Google + Local, with its aggregated reviews and local recommendations, competes with us and Google’s access to more comprehensive data regarding user search queries through its search algorithms gives it a significant competitive advantage over other companies in the industry, including us. In addition, if significant numbers of users adopt Facebook’s newly released Graph Search to get travel recommendations, it could have the effect of reducing traffic and user engagement on TripAdvisor.</w:t>
      </w:r>
    </w:p>
    <w:p>
      <w:pPr>
        <w:spacing w:after="0" w:line="81" w:lineRule="exact"/>
        <w:rPr>
          <w:rFonts w:ascii="Arial" w:cs="Arial" w:eastAsia="Arial" w:hAnsi="Arial"/>
          <w:sz w:val="18"/>
          <w:szCs w:val="18"/>
          <w:color w:val="auto"/>
        </w:rPr>
      </w:pPr>
    </w:p>
    <w:p>
      <w:pPr>
        <w:ind w:left="1040" w:right="100" w:hanging="384"/>
        <w:spacing w:after="0" w:line="308"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face competition from online travel agents, such as Expedia and Priceline (and their subsidiaries), and this competition may increase to the extent that these online travel agents accumulate and develop a comprehensive offering of travel-related reviews and resources.</w:t>
      </w:r>
    </w:p>
    <w:p>
      <w:pPr>
        <w:spacing w:after="0" w:line="38" w:lineRule="exact"/>
        <w:rPr>
          <w:rFonts w:ascii="Arial" w:cs="Arial" w:eastAsia="Arial" w:hAnsi="Arial"/>
          <w:sz w:val="17"/>
          <w:szCs w:val="17"/>
          <w:color w:val="auto"/>
        </w:rPr>
      </w:pPr>
    </w:p>
    <w:p>
      <w:pPr>
        <w:jc w:val="both"/>
        <w:ind w:left="1040" w:right="100" w:hanging="384"/>
        <w:spacing w:after="0" w:line="286"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face competition from travel service providers such as major hotel companies, many of which have their own websites to which they drive business. Major hotel companies may also attempt to improve their competitive position by offering lower room rates, better room availability or additional features or amenities through their reservation service than are available through services like ours.</w:t>
      </w:r>
    </w:p>
    <w:p>
      <w:pPr>
        <w:spacing w:after="0" w:line="57" w:lineRule="exact"/>
        <w:rPr>
          <w:rFonts w:ascii="Arial" w:cs="Arial" w:eastAsia="Arial" w:hAnsi="Arial"/>
          <w:sz w:val="17"/>
          <w:szCs w:val="17"/>
          <w:color w:val="auto"/>
        </w:rPr>
      </w:pPr>
    </w:p>
    <w:p>
      <w:pPr>
        <w:ind w:left="1040" w:right="540" w:hanging="384"/>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also face competition from wholesalers, tour operators, traditional offline travel agencies and operators of travel industry reservation databases such as Galileo, Travelport, Amadeus and Sabre.</w:t>
      </w:r>
    </w:p>
    <w:p>
      <w:pPr>
        <w:spacing w:after="0" w:line="62" w:lineRule="exact"/>
        <w:rPr>
          <w:rFonts w:ascii="Arial" w:cs="Arial" w:eastAsia="Arial" w:hAnsi="Arial"/>
          <w:sz w:val="18"/>
          <w:szCs w:val="18"/>
          <w:color w:val="auto"/>
        </w:rPr>
      </w:pPr>
    </w:p>
    <w:p>
      <w:pPr>
        <w:ind w:left="1040" w:right="640" w:hanging="384"/>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addition, we compete with newspapers, magazines and other traditional media companies that provide offline and online advertising opportunities.</w:t>
      </w:r>
    </w:p>
    <w:p>
      <w:pPr>
        <w:spacing w:after="0" w:line="62" w:lineRule="exact"/>
        <w:rPr>
          <w:rFonts w:ascii="Arial" w:cs="Arial" w:eastAsia="Arial" w:hAnsi="Arial"/>
          <w:sz w:val="18"/>
          <w:szCs w:val="18"/>
          <w:color w:val="auto"/>
        </w:rPr>
      </w:pPr>
    </w:p>
    <w:p>
      <w:pPr>
        <w:ind w:left="1040" w:right="60" w:hanging="384"/>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our vacation rental business, we face competition from several companies, including HomeAway (a subsidiary of Expedia) and Airbnb, Inc., both of whom have a larger inventory of rooms available.</w:t>
      </w:r>
    </w:p>
    <w:p>
      <w:pPr>
        <w:spacing w:after="0" w:line="62" w:lineRule="exact"/>
        <w:rPr>
          <w:rFonts w:ascii="Arial" w:cs="Arial" w:eastAsia="Arial" w:hAnsi="Arial"/>
          <w:sz w:val="18"/>
          <w:szCs w:val="18"/>
          <w:color w:val="auto"/>
        </w:rPr>
      </w:pPr>
    </w:p>
    <w:p>
      <w:pPr>
        <w:ind w:left="1040" w:right="100" w:hanging="384"/>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our restaurant reservation and attractions business, we face competition from certain companies like OpenTable (a subsidiary of Priceline), SeatMe (which is owned by Yelp) and Table8 (which was recently launched by Amazon) as well as other regional players operating in various parts of the world.</w:t>
      </w:r>
    </w:p>
    <w:p>
      <w:pPr>
        <w:spacing w:after="0" w:line="181"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Many of our competitors have significantly greater financial, technical, marketing and other resources compared to us and have expertise in developing online commerce and facilitating Internet traffic as well as large client bases. We expect to face additional competition as other established and emerging companies enter the travel advertising market.</w:t>
      </w:r>
    </w:p>
    <w:p>
      <w:pPr>
        <w:spacing w:after="0" w:line="18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Certain of the companies we do business with, including some of our partners, are also our competitors. The consolidation of our competitors and partners, including Expedia (through its acquisitions of Trivago, Orbitz, Travelocity, and HomeAway) and Priceline (through its acquisitions of Kayak and OpenTable), may affect our relative competitiveness and our partner relationships. Competition and consolidation could result in higher traffic acquisition costs, reduced margins on our advertising services, loss of market share, reduced customer traffic to our websites and reduced advertising by travel companies on our websites. For example, Google has taken steps to appeal more directly to travel customers, which could lead to diversion of customer traffic to their own websites or those of a favored partner, or undermine our ability to obtain prominent placement in paid or unpaid search results at a reasonable cost, or at all. Competition in our industry may result in pricing pressure, loss of market share or decreased member engagement, any of which could adversely affect our business and financial performance.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regularly subject to claims, suits, government investigations, and other proceedings that may result in adverse outcomes.</w:t>
      </w:r>
    </w:p>
    <w:p>
      <w:pPr>
        <w:spacing w:after="0" w:line="11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We are regularly subject to claims, suits, government investigations and other proceedings involving competition, intellectual property, privacy and data protection, consumer protection, tax, labor and employment, commercial disputes, content generated by our users, free speech issues, goods and services offered by advertisers or publishers using our platforms, and other matters. In addition, our businesses face intellectual property litigation that exposes us to the risk of exclusion and cease and desist orders, which could limit our ability to sell products and services.</w:t>
      </w:r>
    </w:p>
    <w:p>
      <w:pPr>
        <w:spacing w:after="0" w:line="17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Such claims, suits, and government investigations are inherently uncertain and their results cannot be predicted with certainty. Regardless of the outcome, any of these types of legal proceedings can have an adverse impact on us because of legal costs, diversion of management resources, injunctions or damage awards and other factors. Determining reserves for our pending litigation is a complex, fact-intensive process that requires significant judgment. It is possible that a resolution of one or more such proceedings could result in substantial fines and penalties that could adversely affect our business, consolidated financial position, results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41" w:name="page42"/>
    <w:bookmarkEnd w:id="41"/>
    <w:p>
      <w:pPr>
        <w:ind w:right="280"/>
        <w:spacing w:after="0" w:line="259" w:lineRule="auto"/>
        <w:rPr>
          <w:sz w:val="20"/>
          <w:szCs w:val="20"/>
          <w:color w:val="auto"/>
        </w:rPr>
      </w:pPr>
      <w:r>
        <w:rPr>
          <w:rFonts w:ascii="Arial" w:cs="Arial" w:eastAsia="Arial" w:hAnsi="Arial"/>
          <w:sz w:val="18"/>
          <w:szCs w:val="18"/>
          <w:color w:val="auto"/>
        </w:rPr>
        <w:t>operations, or cash flows in a particular period. These proceedings could also result in reputational harm, criminal sanctions, consent decrees, or orders preventing us from offering certain features, functionalities, products, or services, requiring a change in our business practices or other field action, or requiring development of non-infringing or otherwise altered products or technologies. Any of these consequences could adversely affect our business and results of operations.</w:t>
      </w:r>
    </w:p>
    <w:p>
      <w:pPr>
        <w:spacing w:after="0" w:line="29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are dependent upon the quality of traffic in our network to provide value to online advertisers, and any failure in our quality control could have a material adverse effect on the value of our websites to our advertisers and adversely affect our revenue.</w:t>
      </w:r>
    </w:p>
    <w:p>
      <w:pPr>
        <w:spacing w:after="0" w:line="62"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We use technology and processes to monitor the quality of, and to identify metrics associated with, the Internet traffic that we deliver to online advertisers. These metrics are used to not only identify the value of advertising on our website but also to identify low quality clicks such as non-human processes, including robots, spiders or other software; the mechanical automation of clicking; and other types of invalid clicks or click fraud. Even with such monitoring in place, there is a risk that a certain amount of low-quality traffic, or traffic that online advertisers deem to be invalid, will be delivered to such online advertisers. As a result, we may be required to credit amounts owed to us by our advertisers. Furthermore, low-quality or invalid traffic may be detrimental to our relationships with advertisers, and could adversely affect our advertising pricing and revenue.</w:t>
      </w:r>
    </w:p>
    <w:p>
      <w:pPr>
        <w:spacing w:after="0" w:line="2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rely on assumptions, estimates and data to calculate certain of our key metrics, and real or perceived inaccuracies in such metrics may harm our reputation and negatively affect our business.</w:t>
      </w:r>
    </w:p>
    <w:p>
      <w:pPr>
        <w:spacing w:after="0" w:line="62" w:lineRule="exact"/>
        <w:rPr>
          <w:sz w:val="20"/>
          <w:szCs w:val="20"/>
          <w:color w:val="auto"/>
        </w:rPr>
      </w:pPr>
    </w:p>
    <w:p>
      <w:pPr>
        <w:jc w:val="both"/>
        <w:ind w:firstLine="577"/>
        <w:spacing w:after="0" w:line="270" w:lineRule="auto"/>
        <w:rPr>
          <w:sz w:val="20"/>
          <w:szCs w:val="20"/>
          <w:color w:val="auto"/>
        </w:rPr>
      </w:pPr>
      <w:r>
        <w:rPr>
          <w:rFonts w:ascii="Arial" w:cs="Arial" w:eastAsia="Arial" w:hAnsi="Arial"/>
          <w:sz w:val="17"/>
          <w:szCs w:val="17"/>
          <w:color w:val="auto"/>
        </w:rPr>
        <w:t>We believe that certain metrics are key to our business, including unique visitors, hotel shoppers, revenue per hotel shopper, mobile usage and engagement metrics, and number of reviews and opinions. As the industry in which we operate continues to evolve and as our business continues to evolve, so too might the metrics by which we evaluate our business. While these numbers are based on what we believe to be reasonable estimates, there are inherent challenges in calculating these metrics and our methodologies for tracking these metrics may change over time. For example, a single person may have multiple accounts or browse the internet on multiple browsers or devices, some users may restrict our ability to accurately identify them across visits, some mobile applications automatically contact our servers for regular updates with no user action, and we are not always able to capture user information on all of our platforms. As such, the calculations of our unique visitors may not accurately reflect the number of people actually visiting our platforms. Also if the internal tools we use to track these metrics under-count or over-count performance or contain algorithm or other technical errors, the data we report may not be accurate. Finally, we regularly review and may adjust our methodologies for calculating our internal metrics to improve their accuracy. Accordingly readers should not place undue reliance on these numbers.</w:t>
      </w:r>
    </w:p>
    <w:p>
      <w:pPr>
        <w:spacing w:after="0" w:line="124" w:lineRule="exact"/>
        <w:rPr>
          <w:sz w:val="20"/>
          <w:szCs w:val="20"/>
          <w:color w:val="auto"/>
        </w:rPr>
      </w:pPr>
    </w:p>
    <w:p>
      <w:pPr>
        <w:jc w:val="both"/>
        <w:ind w:firstLine="571"/>
        <w:spacing w:after="0" w:line="312" w:lineRule="auto"/>
        <w:rPr>
          <w:sz w:val="20"/>
          <w:szCs w:val="20"/>
          <w:color w:val="auto"/>
        </w:rPr>
      </w:pPr>
      <w:r>
        <w:rPr>
          <w:rFonts w:ascii="Arial" w:cs="Arial" w:eastAsia="Arial" w:hAnsi="Arial"/>
          <w:sz w:val="16"/>
          <w:szCs w:val="16"/>
          <w:color w:val="auto"/>
        </w:rPr>
        <w:t>We calculate our metrics, primarily using internal tools, which are not independently verified by a third party. We continue to improve upon our tools and methodologies to capture data and believe that our current metrics are accurate; however, ongoing improvement of our tools and methodologies could cause inconsistency between current data and previously reported data, which could confuse investors or lead to questions about the integrity of our data.</w:t>
      </w:r>
    </w:p>
    <w:p>
      <w:pPr>
        <w:spacing w:after="0" w:line="25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rely on information technology to operate our business and remain competitive, and any failure to adapt to technological developments or industry trends could harm our businesses.</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depend on the use of sophisticated information technologies and systems. As our operations grow in size and scope, we must continuously improve and upgrade our systems and infrastructure while maintaining or improving the reliability and integrity of our systems and infrastructure. Our future success also depends on our ability to adapt our services and infrastructure to meet rapidly evolving consumer trends and demands while continuing to improve the performance, features and reliability of our services in response to competitive service and product offerings. The emergence of alternative platforms such as mobile phone and tablet devices and the emergence of niche competitors who may be able to optimize products, services or strategies for such platforms will require new investment in technology. New developments in other areas, such as cloud computing, could also make it easier for competition to enter our markets due to lower up-front technology costs. In addition, we may not be able to maintain our existing systems or replace or introduce new technologies and systems as quickly as we would like or in a cost-effective manner.</w:t>
      </w:r>
    </w:p>
    <w:p>
      <w:pPr>
        <w:spacing w:after="0" w:line="2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provide tools and services that are useful to travelers, we may not remain competitive, and our business and financial performance could suffer.</w:t>
      </w:r>
    </w:p>
    <w:p>
      <w:pPr>
        <w:spacing w:after="0" w:line="62"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Our success depends in part on continued innovation to provide features and services that make our websites and mobile phone and tablet applications useful for travelers. Our competitors are continually developing innovations in online travel-related services and features. As a result, we are continually working to improve our business model and user experience in order to drive user traffic and conversion dates. We can give no assurances that the changes we make will yield the benefits we expect and will not have adverse impacts that we did not anticipate. If we are unable to continue offering innovative products and services and quality features that travelers want to use, existing users may become dissatisfied and use competitors’ offerings and we may be unable to attract additional users, which could adversely affect our business and financial performance.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Our culture emphasizes rapid innovation and prioritizes user engagement over short-term financial results.</w:t>
      </w:r>
    </w:p>
    <w:p>
      <w:pPr>
        <w:spacing w:after="0" w:line="11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We operate in a culture that encourages rapid development and release of new and improved products, which may at times result in unintended consequences or decisions that are poorly received by users or advertisers. Our culture also prioritizes user engagement, or website “stickiness,” over short-term financial results. We have taken actions in the past and may continue to make product decisions going forward that have the effect of reducing our short-term revenue or profitability if we believe that the decisions benefit the aggregate user experience, conversion rates and/or pricing, thereby ultimately improving our financial performance over the long-term. The short-term reductions in revenue or profitability could be more severe than we anticipate or these decisions may not produce the long-term benefits that we expect, in which case our user growth and engagement, our relationships with users and advertisers, and our business and results of operations could be harmed.</w:t>
      </w:r>
    </w:p>
    <w:p>
      <w:pPr>
        <w:spacing w:after="0" w:line="2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online vacation rental market is rapidly evolving and if we fail to predict the manner in which the market develops, our business and prospects may suffer.</w:t>
      </w:r>
    </w:p>
    <w:p>
      <w:pPr>
        <w:spacing w:after="0" w:line="62"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We offer vacation rental services on our TripAdvisor-branded sites as well as through our U.S.-based FlipKey and Vacation Home Rentals and European-based Holiday Lettings, HouseTrip and Niumba businesses. The online vacation rental market is rapidly evolving in many respects, including from a business and marketing perspective as well as the regulatory environment. We operate in various disparate jurisdictions and markets and have limited insight into trends that may develop in those markets and may affect our business. Since we began offering such services, there have been and continue to be significant business, marketing and regulatory developments. Operating in new and untested jurisdictions requires significant management attention and financial resources. We cannot assure that our expansion efforts will be successful, and the investment and additional resources required to establish operations and manage growth may not produce the desired levels of revenue or profitability.</w:t>
      </w:r>
    </w:p>
    <w:p>
      <w:pPr>
        <w:spacing w:after="0" w:line="28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fail to attract and maintain a critical mass of vacation rental listings and travelers, our vacation rental marketplaces will become less valuable and this may have a negative impact on our business.</w:t>
      </w:r>
    </w:p>
    <w:p>
      <w:pPr>
        <w:spacing w:after="0" w:line="62"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In our vacation rental business, revenue is generated when owners and/or travelers pay us fees upon booking a transaction, owners or managers pay us fees to list and market vacation rental properties to users who visit the websites comprising our marketplace and property managers pay us fees for email and telephone leads from potential travelers or fees upon booking a transaction. As a result, our success in this area primarily depends on our ability to attract owners, managers, travelers and advertisers to our marketplace. If property owners and managers do not perceive the benefits of marketing their properties through our websites, or elect to list them with a competitor instead of listing with us, our volume of new listings and listing renewals may suffer. As a result, we may be unable to offer a sufficient supply and variety of vacation properties to attract travelers to our websites. Larger competitors already exist in the vacation rental space, with significantly more users, listed properties and financial resources.</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violated intellectual property rights of others and these claims can be extremely costly to defend and could require us to pay significant damages and limit our ability to operate.</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Companies in the Internet and technology industries, and other patent and trademark holders seeking to profit from royalties in connection with grants of licenses, own large numbers of patents, copyrights, trademarks and trade secrets and frequently enter into litigation based on allegations of infringement or other violations of those intellectual property rights. We have received in the past, and may in the future receive, notices that claim we have misappropriated or misused other parties’ intellectual property rights. Any intellectual property claim against us, regardless of merit, could be time-consuming and expensive to settle or litigate and could divert management’s attention and other resources. These claims also could subject us to significant liability for damages and could result in our having to stop using technology or content found to be in violation of another party’s rights. We might be required or may opt to seek a license for rights to intellectual property held by others, which may not be available on commercially reasonable terms, or at all. Even if a license is available, we could be required to pay significant royalties, which would increase our operating expenses. We may also be required to develop alternative non-infringing technology, or content, which could require significant effort and expense and make us less competitive in the relevant market. Any of these results could harm our business and financial performance.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Investment in new business strategies and acquisitions could disrupt our ongoing business and present new challenges and risks.</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We have invested, and in the future may invest, in new business strategies or acquisitions. Such endeavors may involve significant risks and uncertainties, including distraction of management from current operations, greater than expected liabilities and expenses, inadequate return of capital, and issues not discovered in our investigations and evaluations of those strategies and acquisitions. We may decide to make minority investments, including through joint ventures, in which we have limited or no management or operational control. The controlling person in such case may have business interests, strategies or goals that are inconsistent with ours, and decisions of the company or venture in which we invested may result in harm to our reputation or adversely affect the value of our investment. Further, we may issue shares of our common stock in these transactions, which could result in dilution to our stockholders.</w:t>
      </w:r>
    </w:p>
    <w:p>
      <w:pPr>
        <w:spacing w:after="0" w:line="2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the businesses we have acquired or invested in do not perform as expected or we are unable to effectively integrate acquired businesses, our operating results and prospects could be harmed.</w:t>
      </w:r>
    </w:p>
    <w:p>
      <w:pPr>
        <w:spacing w:after="0" w:line="6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have acquired a number of businesses in the past and our future growth may depend, in part, on future acquisitions, any of which could be material to our financial condition and results of operations. There are certain financial and operational risks related to acquisitions that may have a material impact on our business including, but not limited to, the following:</w:t>
      </w:r>
    </w:p>
    <w:p>
      <w:pPr>
        <w:spacing w:after="0" w:line="73" w:lineRule="exact"/>
        <w:rPr>
          <w:sz w:val="20"/>
          <w:szCs w:val="20"/>
          <w:color w:val="auto"/>
        </w:rPr>
      </w:pPr>
    </w:p>
    <w:p>
      <w:pPr>
        <w:ind w:left="1040" w:right="80" w:hanging="384"/>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and unexpected costs incurred in identifying and pursuing acquisitions, and performing due diligence on potential acquisition targets that may or may not be successful;</w:t>
      </w:r>
    </w:p>
    <w:p>
      <w:pPr>
        <w:spacing w:after="0" w:line="62" w:lineRule="exact"/>
        <w:rPr>
          <w:rFonts w:ascii="Arial" w:cs="Arial" w:eastAsia="Arial" w:hAnsi="Arial"/>
          <w:sz w:val="18"/>
          <w:szCs w:val="18"/>
          <w:color w:val="auto"/>
        </w:rPr>
      </w:pPr>
    </w:p>
    <w:p>
      <w:pPr>
        <w:ind w:left="1040" w:right="220" w:hanging="384"/>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of cash resources and incurrence of debt and contingent liabilities in funding acquisitions that may limit other potential uses of our cash, including stock repurchases, dividend payments and retirement of outstanding indebtedness;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Amortization expenses related to acquired intangible assets and other adverse accounting consequences;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117" w:lineRule="exact"/>
        <w:rPr>
          <w:rFonts w:ascii="Arial" w:cs="Arial" w:eastAsia="Arial" w:hAnsi="Arial"/>
          <w:sz w:val="18"/>
          <w:szCs w:val="18"/>
          <w:color w:val="auto"/>
        </w:rPr>
      </w:pPr>
    </w:p>
    <w:p>
      <w:pPr>
        <w:ind w:left="1040" w:right="160" w:hanging="384"/>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and expenses in integrating the operations, products, technology, privacy protection systems, information systems or personnel of the acquired company;</w:t>
      </w:r>
    </w:p>
    <w:p>
      <w:pPr>
        <w:spacing w:after="0" w:line="62"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assumption of known and unknown debt and liabilities of the acquired company, including costs associated with litigation and other claims relating to the acquired company;</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Failure of any acquired company to achieve anticipated revenues, earnings or cash flows or to retain key management or employees;</w:t>
      </w:r>
    </w:p>
    <w:p>
      <w:pPr>
        <w:spacing w:after="0" w:line="128" w:lineRule="exact"/>
        <w:rPr>
          <w:rFonts w:ascii="Arial" w:cs="Arial" w:eastAsia="Arial" w:hAnsi="Arial"/>
          <w:sz w:val="17"/>
          <w:szCs w:val="17"/>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generate adequate returns on acquisitions and investments;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Entrance into markets in which we have no direct prior experience and increased complexity in our business;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Impairment of goodwill or other intangible assets such as trademarks or other intellectual property arising from acquisitions;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market reaction to acquisitions.</w:t>
      </w:r>
    </w:p>
    <w:p>
      <w:pPr>
        <w:spacing w:after="0" w:line="225"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color w:val="auto"/>
        </w:rPr>
        <w:t>Moreover, we rely heavily on the representations and warranties provided to us by the sellers of acquired companies, including as they relate to ownership and rights in intellectual property and compliance with laws and contractual requirements. Our failure to address these risks or other problems encountered in connection with past or future acquisitions and investments could cause us to fail to realize the anticipated benefits of such acquisitions or investments, incur unanticipated liabilities and harm our business generally.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brand, results of operations and business could be harmed.</w:t>
      </w:r>
    </w:p>
    <w:p>
      <w:pPr>
        <w:spacing w:after="0" w:line="11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We have experienced rapid growth in our headcount and operations, which places substantial demands on management and our operational infrastructure. We continue to make substantial investments in our technology, sales and marketing and community management organizations. As we continue to grow, we must effectively integrate, develop and motivate a large number of new employees, including employees in international markets, while maintaining the beneficial aspects of our company culture. If we do not manage the growth of our business and operations effectively, the quality of our platform and efficiency of our operations could suffer, which could harm our brand, results of operations and business.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international operations involve additional risks and our exposure to these risks increases as our business continues to expand globally.</w:t>
      </w:r>
    </w:p>
    <w:p>
      <w:pPr>
        <w:spacing w:after="0" w:line="140"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We operate in a number of jurisdictions outside of the United States and continue to expand our international operations. Many of these regions have different economic conditions, languages, currencies, consumer expectations, levels of consumer acceptance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44" w:name="page45"/>
    <w:bookmarkEnd w:id="44"/>
    <w:p>
      <w:pPr>
        <w:ind w:right="160"/>
        <w:spacing w:after="0" w:line="277" w:lineRule="auto"/>
        <w:rPr>
          <w:sz w:val="20"/>
          <w:szCs w:val="20"/>
          <w:color w:val="auto"/>
        </w:rPr>
      </w:pPr>
      <w:r>
        <w:rPr>
          <w:rFonts w:ascii="Arial" w:cs="Arial" w:eastAsia="Arial" w:hAnsi="Arial"/>
          <w:sz w:val="18"/>
          <w:szCs w:val="18"/>
          <w:color w:val="auto"/>
        </w:rPr>
        <w:t>use of the Internet for commerce, legislation, regulatory environments (including labors laws and customs), tax laws and levels of political stability. We are subject to associated risks typical of international businesses, including, but not limited to, the following:</w:t>
      </w:r>
    </w:p>
    <w:p>
      <w:pPr>
        <w:spacing w:after="0" w:line="62" w:lineRule="exact"/>
        <w:rPr>
          <w:sz w:val="20"/>
          <w:szCs w:val="20"/>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instability;</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Threatened or actual acts of terrorism;</w:t>
      </w:r>
    </w:p>
    <w:p>
      <w:pPr>
        <w:spacing w:after="0" w:line="117" w:lineRule="exact"/>
        <w:rPr>
          <w:rFonts w:ascii="Arial" w:cs="Arial" w:eastAsia="Arial" w:hAnsi="Arial"/>
          <w:sz w:val="18"/>
          <w:szCs w:val="18"/>
          <w:color w:val="auto"/>
        </w:rPr>
      </w:pPr>
    </w:p>
    <w:p>
      <w:pPr>
        <w:ind w:left="1040" w:right="280" w:hanging="384"/>
        <w:spacing w:after="0" w:line="308" w:lineRule="auto"/>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Ability to comply with additional laws applicable to companies operating internationally as well as local laws and regulations, including the Foreign Corrupt Practices Act and U.K. Bribery Act, data privacy requirements, labor laws and anti-competition regulations;</w:t>
      </w:r>
    </w:p>
    <w:p>
      <w:pPr>
        <w:spacing w:after="0" w:line="38" w:lineRule="exact"/>
        <w:rPr>
          <w:rFonts w:ascii="Arial" w:cs="Arial" w:eastAsia="Arial" w:hAnsi="Arial"/>
          <w:sz w:val="17"/>
          <w:szCs w:val="17"/>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Diminished ability to legally enforce contractual rights;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risk and limits on enforceability of intellectual property rights;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or adverse consequences related to, the withdrawal of non-U.S. investment and earnings;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repatriation of cash as well as restrictions on investments in operations in certain countries;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risk arising from transactions in multiple currencies as well as currency exchange restrictions;</w:t>
      </w:r>
    </w:p>
    <w:p>
      <w:pPr>
        <w:spacing w:after="0" w:line="117" w:lineRule="exact"/>
        <w:rPr>
          <w:rFonts w:ascii="Arial" w:cs="Arial" w:eastAsia="Arial" w:hAnsi="Arial"/>
          <w:sz w:val="18"/>
          <w:szCs w:val="18"/>
          <w:color w:val="auto"/>
        </w:rPr>
      </w:pPr>
    </w:p>
    <w:p>
      <w:pPr>
        <w:ind w:left="1040" w:right="460" w:hanging="384"/>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Slower adoption of the Internet as an advertising, broadcast and commerce medium in certain of those markets as compared to the United States;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managing staff and operations due to distance, time zones, language and cultural differences; and</w:t>
      </w:r>
    </w:p>
    <w:p>
      <w:pPr>
        <w:spacing w:after="0" w:line="117" w:lineRule="exact"/>
        <w:rPr>
          <w:rFonts w:ascii="Arial" w:cs="Arial" w:eastAsia="Arial" w:hAnsi="Arial"/>
          <w:sz w:val="18"/>
          <w:szCs w:val="18"/>
          <w:color w:val="auto"/>
        </w:rPr>
      </w:pPr>
    </w:p>
    <w:p>
      <w:pPr>
        <w:ind w:left="1040" w:right="220" w:hanging="384"/>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Uncertainty regarding liability for services, content and intellectual property rights, including uncertainty as a result of local laws and lack of precedent.</w:t>
      </w:r>
    </w:p>
    <w:p>
      <w:pPr>
        <w:spacing w:after="0" w:line="170"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We have a business operating in China, which creates particular risks and uncertainties relating to the laws in China. The laws and regulations of China restrict foreign investment in areas including air-ticketing and travel agency services, Internet content provision, mobile communication and related businesses. Although we have established effective control of our Chinese business through a series of agreements, future developments in the interpretation or enforcement of Chinese laws and regulations or a dispute relating to these agreements could restrict our ability to operate or restructure this business or to engage in strategic transactions. The success of this business, and of any future investments in China, is subject to risks and uncertainties regarding the application, development and interpretation of China’s laws and regulations.</w:t>
      </w:r>
    </w:p>
    <w:p>
      <w:pPr>
        <w:spacing w:after="0" w:line="70"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Furthermore, we are also accumulating a greater portion of our cash flows in foreign jurisdictions than previously, which we consider indefinitely reinvested. The repatriation of such funds for use in the United States, including for corporate purposes such as acquisitions, stock repurchases, dividends or debt refinancings, may result in additional U.S. income tax expense and higher cost for such capital.</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loss of one or more of our key personnel, or our failure to attract and retain other highly qualified personnel in the future, could harm our business.</w:t>
      </w:r>
    </w:p>
    <w:p>
      <w:pPr>
        <w:spacing w:after="0" w:line="152"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Our future success depends upon the continued contributions of our senior corporate management and other key employees. In particular, the contributions of Stephen Kaufer, our President and Chief Executive Officer, are critical to our overall management. We cannot ensure that we will be able to retain the services of these individuals, and the loss of one or more of our key personnel could seriously harm our business. We do not maintain any key person life insurance policies.</w:t>
      </w:r>
    </w:p>
    <w:p>
      <w:pPr>
        <w:spacing w:after="0" w:line="18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In addition, competition remains intense for well-qualified employees in certain aspects of our business, including software engineers, developers, product management and development personnel, and other technology professionals. Our continued ability to compete effectively depends on our ability to attract new employees and to retain and motivate existing employees. If we do not succeed in attracting well-qualified employees or retaining or motivating existing employees, our business would be adversely affected.</w:t>
      </w:r>
    </w:p>
    <w:p>
      <w:pPr>
        <w:spacing w:after="0" w:line="2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 failure to comply with current laws, rules and regulations or changes to such laws, rules and regulations and other legal uncertainties may adversely affect our business or financial performance.</w:t>
      </w:r>
    </w:p>
    <w:p>
      <w:pPr>
        <w:spacing w:after="0" w:line="6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the Internet and online commerce, Internet advertising, consumer protection, data security and privacy. Unfavorable changes could decrease demand for products and services, limit marketing methods and capabilities, increase costs and/or subject us to additional liabilities.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45" w:name="page46"/>
    <w:bookmarkEnd w:id="45"/>
    <w:p>
      <w:pPr>
        <w:ind w:right="20" w:firstLine="518"/>
        <w:spacing w:after="0" w:line="254" w:lineRule="auto"/>
        <w:rPr>
          <w:sz w:val="20"/>
          <w:szCs w:val="20"/>
          <w:color w:val="auto"/>
        </w:rPr>
      </w:pPr>
      <w:r>
        <w:rPr>
          <w:rFonts w:ascii="Arial" w:cs="Arial" w:eastAsia="Arial" w:hAnsi="Arial"/>
          <w:sz w:val="18"/>
          <w:szCs w:val="18"/>
          <w:color w:val="auto"/>
        </w:rPr>
        <w:t>For example, there is, and will likely continue to be, an increasing number of laws and regulations pertaining to the Internet and online commerce that may relate to liability for information retrieved from or transmitted over the Internet, online editorial and user-generated content, user privacy, data security, behavioral targeting and online advertising, taxation, liability for third-party activities and the quality of products and services. Our current business partner arrangements with third parties, including Facebook, could be negatively impacted to the extent that more restrictive privacy laws or regulations are enacted, particularly in the United States or European Union. In addition, enforcement authorities in the United States continue to rely on their authority under existing consumer protection laws to take action against companies relating to data privacy and security practices. The growth and development of online commerce may prompt calls for more stringent consumer protection laws and more aggressive enforcement efforts, which may impose additional burdens on online businesses generally.</w:t>
      </w:r>
    </w:p>
    <w:p>
      <w:pPr>
        <w:spacing w:after="0" w:line="192" w:lineRule="exact"/>
        <w:rPr>
          <w:sz w:val="20"/>
          <w:szCs w:val="20"/>
          <w:color w:val="auto"/>
        </w:rPr>
      </w:pPr>
    </w:p>
    <w:p>
      <w:pPr>
        <w:ind w:right="140" w:firstLine="487"/>
        <w:spacing w:after="0" w:line="297" w:lineRule="auto"/>
        <w:rPr>
          <w:sz w:val="20"/>
          <w:szCs w:val="20"/>
          <w:color w:val="auto"/>
        </w:rPr>
      </w:pPr>
      <w:r>
        <w:rPr>
          <w:rFonts w:ascii="Arial" w:cs="Arial" w:eastAsia="Arial" w:hAnsi="Arial"/>
          <w:sz w:val="16"/>
          <w:szCs w:val="16"/>
          <w:color w:val="auto"/>
        </w:rPr>
        <w:t>We also have been subject, and we will likely be subject in the future, to inquiries from time to time from regulatory bodies concerning compliance with consumer protection, competition, tax and travel industry-specific laws and regulations. The failure of our businesses to comply with these laws and regulations could result in fines and/or proceedings against us by governmental agencies and/or consumers, which if material, could adversely affect our business, financial condition and results of operations. Further, if such laws and regulations are not enforced equally against other competitors in a particular market, our compliance with such laws may put us a competitive disadvantage vis-à-vis competitors who do not comply with such requirements.</w:t>
      </w:r>
    </w:p>
    <w:p>
      <w:pPr>
        <w:spacing w:after="0" w:line="158"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The promulgation of new laws, rules and regulations, or the new interpretation of existing laws, rules and regulations, in each case that restrict or otherwise unfavorably impact the ability or manner in which we provide services could require us to change certain aspects of our business, operations and commercial relationships to ensure compliance, which could decrease demand for services, reduce revenues, increase costs and/or subject the company to additional liabilities.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be sure that our intellectual property is protected from copying or use by others, including potential competitors.</w:t>
      </w:r>
    </w:p>
    <w:p>
      <w:pPr>
        <w:spacing w:after="0" w:line="11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Our websites rely on content, brands and technology, much of which is proprietary. We protect our proprietary content, brands and technology by relying on a combination of trademarks, copyrights, trade secrets, patents and confidentiality agreements. In connection with our license agreements with third parties, we seek to control access to, and the use and distribution of, proprietary technology, content and brands. Even with these precautions, it may be possible for another party to copy or otherwise obtain and use our proprietary technology, content or brands without authorization or to develop similar technology, content or brands independently. Effective intellectual property protection may not be available in every jurisdiction in which our services are made available, and policing unauthorized use of our intellectual property is difficult and expensive. Therefore, in certain jurisdictions, we may be unable to protect our intellectual property adequately against unauthorized third-party copying or use, which could adversely affect our business or ability to compete. We cannot be sure that the steps we have taken will prevent misappropriation or infringement of our intellectual property. Any misappropriation or violation of our rights could have a material adverse effect on our business. Furthermore, we may need to go to court or other tribunals or administrative bodies in order to enforce our intellectual property rights, to protect our trade secrets or to determine the validity and scope of the proprietary rights of others. These proceedings might result in substantial costs and diversion of resources and management attention. Our failure to protect our intellectual property in a cost-efficient or effective manner could have a material adverse effect on our business and ability to protect our technology, content and brands.</w:t>
      </w:r>
    </w:p>
    <w:p>
      <w:pPr>
        <w:spacing w:after="0" w:line="169"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currently license from third parties and incorporate the technologies and content into our websites. As we continue to introduce new services that incorporate new technologies and content, we may be required to license additional technology, or content. We cannot be sure that such technology or content will be available on commercially reasonable terms, if at all.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interruption and the lack of redundancy in some of our internal information systems may harm our business.</w:t>
      </w:r>
    </w:p>
    <w:p>
      <w:pPr>
        <w:spacing w:after="0" w:line="11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We rely on computer systems to deliver content and services. We have experienced and may in the future experience system interruptions that make some or all of these systems unavailable or prevent us from efficiently providing content and services to users and third parties. Significant interruptions, outages or delays in internal systems, or systems of third parties that we rely upon, or deterioration in the performance of any such systems, would impair our ability to process transactions or display content and decrease the quality of the services we offer to travelers and users. These interruptions could include security intrusions and attacks on our systems for fraud or service interruption (called “denial of service” or “bot” attacks). If we were to experience frequent or persistent system failures, our business, reputation, and brand could be harmed.</w:t>
      </w:r>
    </w:p>
    <w:p>
      <w:pPr>
        <w:spacing w:after="0" w:line="178"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We do not have a completely formalized or comprehensive disaster recovery plan in every geographic region in which we conduct business and our backup systems and disaster recovery, business continuity /or contingency plans for certain critical aspects of our operations or business processes may not be sufficient. Fire, flood, power loss, telecommunications failure, break-ins, earthquakes, acts of war or terrorism, acts of God, computer viruses, electronic intrusion attempts from both external and internal sources and similar events or disruptions may damage or impact or interrupt computer or communications systems or business processes at any time. Although we have put measures in place to protect certain portions of our facilities and assets, any of these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6" w:name="page47"/>
    <w:bookmarkEnd w:id="46"/>
    <w:p>
      <w:pPr>
        <w:ind w:right="100"/>
        <w:spacing w:after="0" w:line="257" w:lineRule="auto"/>
        <w:rPr>
          <w:sz w:val="20"/>
          <w:szCs w:val="20"/>
          <w:color w:val="auto"/>
        </w:rPr>
      </w:pPr>
      <w:r>
        <w:rPr>
          <w:rFonts w:ascii="Arial" w:cs="Arial" w:eastAsia="Arial" w:hAnsi="Arial"/>
          <w:sz w:val="18"/>
          <w:szCs w:val="18"/>
          <w:color w:val="auto"/>
        </w:rPr>
        <w:t>events could cause system interruption, delays and loss of critical data, and could prevent us from providing content and services to users, travelers and/or third parties for a significant period of time. If we experience frequent or persistent system failures, our reputation and brand could be permanently and significantly harmed. In addition, remediation may be costly and we may not have adequate insurance to cover such costs. Moreover, the costs of enhancing infrastructure to attain improved stability and redundancy may be time consuming and expensive and may require resources and expertise that are difficult to obtain.</w:t>
      </w:r>
    </w:p>
    <w:p>
      <w:pPr>
        <w:spacing w:after="0" w:line="2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processing, storage and use of personal information and other data exposes us to risks of external and internal security breaches and could give rise to liabilities.</w:t>
      </w:r>
    </w:p>
    <w:p>
      <w:pPr>
        <w:spacing w:after="0" w:line="62"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There are numerous laws regarding privacy and the storing, sharing, use, processing, disclosure and protection of personal information and other consumer data, the scope of which are changing, subject to differing interpretations, and may be inconsistent between countries or conflict with other rules. In addition, an increasing number of our users are providing consumer data (including credit card data). The security of data when engaging in electronic commerce is essential to maintaining consumer and travel service provider confidences in our services. We strive to comply with all applicable laws, policies, legal obligations and industry codes of conduct relating to privacy and data protection. Any failure or perceived failure by us to comply with our privacy policies, privacy-related obligations to users or other third parties, or privacy-related legal obligations, or any compromise of security that results in the unauthorized release or transfer of personally identifiable information or other user data, may result in governmental enforcement actions, litigation or public statements that could harm our reputation and cause our customers and members to lose trust in us, which could have an adverse effect on our business, brand, market share and results of operations.</w:t>
      </w:r>
    </w:p>
    <w:p>
      <w:pPr>
        <w:spacing w:after="0" w:line="19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regulatory framework for privacy issues worldwide is currently in flux and is likely to remain so for the foreseeable future. Practices regarding the collection, use, storage, transmission and security of personal information by companies operating over the Internet have recently come under increased public scrutiny. The U.S. Congress and federal agencies, including the Federal Trade Commission and the Department of Commerce, are reviewing the need for greater regulation for the collection and use of information concerning consumer behavior on the Internet. Various U.S. courts are also considering the applicability of existing federal and state statutes, including computer trespass and wiretapping laws, to the collection and exchange of information online. The European Union has recently adopted a new data protection legal framework which will become applicable by May 2018. We continue to evaluate this new framework and its impact on our business but we currently believe that this will result in a greater compliance burden and increased costs of compliance.</w:t>
      </w:r>
    </w:p>
    <w:p>
      <w:pPr>
        <w:spacing w:after="0" w:line="16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Potential security breaches to our systems, whether resulting from internal or external sources, could significantly harm our business. A party, whether internal or external, that is able to circumvent our security systems could misappropriate user information or proprietary information or cause significant interruptions in our operations. In the past, we have experienced “denial-of-service” type attacks on our systems that have made portions of our websites unavailable for short periods of time as well as unauthorized access of our systems and data. We have acquired a number of companies over the years and may continue to do so in the future. While we make significant efforts to address any information technology security issues with respect to our acquisitions, we may still inherit such risks when we integrate the acquired businesses. We may need to expend significant resources to protect against security breaches or to investigate and address problems caused by breaches, and reductions in website availability could cause a loss of substantial business volume during the occurrence of any such incident. Because the techniques used to sabotage security change frequently, often are not recognized until launched against a target and may originate from less regulated and remote areas around the world, we may be unable to proactively address these techniques or to implement adequate preventive measures. Security breaches could result in negative publicity, damage to reputation, exposure to risk of loss or litigation and possible liability due to regulatory penalties and sanctions. Security breaches could also cause travelers and potential users to lose confidence in our security, which would have a negative effect on the value of our brand. Failure to adequately protect against attacks or intrusions, whether for our own systems or systems of vendors, could expose us to security breaches that could have an adverse impact on our financial performance.</w:t>
      </w:r>
    </w:p>
    <w:p>
      <w:pPr>
        <w:spacing w:after="0" w:line="175" w:lineRule="exact"/>
        <w:rPr>
          <w:sz w:val="20"/>
          <w:szCs w:val="20"/>
          <w:color w:val="auto"/>
        </w:rPr>
      </w:pPr>
    </w:p>
    <w:p>
      <w:pPr>
        <w:ind w:right="200" w:firstLine="518"/>
        <w:spacing w:after="0" w:line="297" w:lineRule="auto"/>
        <w:rPr>
          <w:sz w:val="20"/>
          <w:szCs w:val="20"/>
          <w:color w:val="auto"/>
        </w:rPr>
      </w:pPr>
      <w:r>
        <w:rPr>
          <w:rFonts w:ascii="Arial" w:cs="Arial" w:eastAsia="Arial" w:hAnsi="Arial"/>
          <w:sz w:val="16"/>
          <w:szCs w:val="16"/>
          <w:color w:val="auto"/>
        </w:rPr>
        <w:t>We also face risks associated with security breaches affecting third parties conducting business over the Internet. Much of our business is conducted with third party marketing affiliates or, more recently, though business partners powering our instant booking feature. In addition, we use third parties to process credit card payments. A security breach at such third party could be perceived by consumers as a security breach of our systems and could result in negative publicity, damage our reputation, expose us to risk of loss or litigation and possible liability and subject us to regulatory penalties and sanctions. In addition, such third parties may not comply with applicable disclosure requirements, which could expose us to liability.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increased risks as the level of our debt increases.</w:t>
      </w:r>
    </w:p>
    <w:p>
      <w:pPr>
        <w:spacing w:after="0" w:line="11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On June 26, 2015, we entered into a new credit agreement with respect to a $1 billion five-year revolving credit facility. This arrangement includes restrictive covenants that may impact the way we manage our business and may limit our ability to secure significant additional financing in the future on favorable terms. Our ability to secure additional financing and satisfy our financial obligations under indebtedness outstanding from time to time will depend upon our future operating performance, which is subject to then prevailing general economic and credit market conditions, including interest rate levels and the availability of credit generally,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p>
      <w:pPr>
        <w:ind w:right="20"/>
        <w:spacing w:after="0" w:line="286" w:lineRule="auto"/>
        <w:rPr>
          <w:sz w:val="20"/>
          <w:szCs w:val="20"/>
          <w:color w:val="auto"/>
        </w:rPr>
      </w:pPr>
      <w:r>
        <w:rPr>
          <w:rFonts w:ascii="Arial" w:cs="Arial" w:eastAsia="Arial" w:hAnsi="Arial"/>
          <w:sz w:val="17"/>
          <w:szCs w:val="17"/>
          <w:color w:val="auto"/>
        </w:rPr>
        <w:t>and financial, business and other factors, many of which are beyond our control. In light of periodic uncertainty in the capital and credit markets, there can be no assurance that sufficient financing will be available on desirable or even any terms to fund investments, acquisitions, stock repurchases, dividends, debt refinancing or extraordinary actions or that counterparties in any such financings would honor their contractual commitments.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indebtedness which could adversely affect our business and financial condition.</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We currently have outstanding approximately $91 million in long-term debt and approximately $907 million of available borrowing capacity on our revolving credit facility. Risks relating to our indebtedness include:</w:t>
      </w:r>
    </w:p>
    <w:p>
      <w:pPr>
        <w:spacing w:after="0" w:line="62" w:lineRule="exact"/>
        <w:rPr>
          <w:sz w:val="20"/>
          <w:szCs w:val="20"/>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jc w:val="both"/>
        <w:ind w:left="1040" w:right="160" w:hanging="384"/>
        <w:spacing w:after="0" w:line="342"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Requiring us to dedicate a portion of our cash flow from operations to principal and interest payments on our indebtedness, thereby reducing the availability of cash flow to fund working capital, capital expenditures, acquisitions and investments and other general corporate purposes;</w:t>
      </w:r>
    </w:p>
    <w:p>
      <w:pPr>
        <w:spacing w:after="0" w:line="15" w:lineRule="exact"/>
        <w:rPr>
          <w:rFonts w:ascii="Arial" w:cs="Arial" w:eastAsia="Arial" w:hAnsi="Arial"/>
          <w:sz w:val="16"/>
          <w:szCs w:val="16"/>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Making it more difficult for us to optimally capitalize and manage the cash flow for our businesses;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Possibly placing us at a competitive disadvantage compared to our competitors that have less debt;</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ability to borrow additional funds or to borrow funds at rates or on other terms that we find acceptable;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Exposing us to the risk of increased interest rates because our outstanding debt is expected to be subject to variable rates of interest.</w:t>
      </w:r>
    </w:p>
    <w:p>
      <w:pPr>
        <w:spacing w:after="0" w:line="23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In addition, it is possible that we may need to incur additional indebtedness in the future in the ordinary course of business. The terms of our revolving credit facility will allow us to incur additional debt subject to certain limitations; however, there is no assurance that additional financing will be available to us on terms favorable to us, if at all. In addition, if new debt is added to current debt levels, the risks described above could intensify.</w:t>
      </w:r>
    </w:p>
    <w:p>
      <w:pPr>
        <w:spacing w:after="0" w:line="27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The agreements that govern our revolving credit facility contain various covenants that limit our discretion in the operation of our business and also require us to meet financial maintenance tests and other covenants. The failure to comply with such tests and covenants could have a material adverse effect on us.</w:t>
      </w:r>
    </w:p>
    <w:p>
      <w:pPr>
        <w:spacing w:after="0" w:line="73"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We are party to a credit agreement providing for the revolving credit facility. The agreements that govern the revolving credit facility contain various covenants, including those that limit our ability to, among other things:</w:t>
      </w:r>
    </w:p>
    <w:p>
      <w:pPr>
        <w:spacing w:after="0" w:line="62" w:lineRule="exact"/>
        <w:rPr>
          <w:sz w:val="20"/>
          <w:szCs w:val="20"/>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dividends on, redeem or repurchase our capital stock;</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certain asset sale transactions, including partial or full spin-off transactions;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unrelated businesses.</w:t>
      </w:r>
    </w:p>
    <w:p>
      <w:pPr>
        <w:spacing w:after="0" w:line="225" w:lineRule="exact"/>
        <w:rPr>
          <w:sz w:val="20"/>
          <w:szCs w:val="20"/>
          <w:color w:val="auto"/>
        </w:rPr>
      </w:pPr>
    </w:p>
    <w:p>
      <w:pPr>
        <w:ind w:right="400" w:firstLine="518"/>
        <w:spacing w:after="0" w:line="302" w:lineRule="auto"/>
        <w:rPr>
          <w:sz w:val="20"/>
          <w:szCs w:val="20"/>
          <w:color w:val="auto"/>
        </w:rPr>
      </w:pPr>
      <w:r>
        <w:rPr>
          <w:rFonts w:ascii="Arial" w:cs="Arial" w:eastAsia="Arial" w:hAnsi="Arial"/>
          <w:sz w:val="16"/>
          <w:szCs w:val="16"/>
          <w:color w:val="auto"/>
        </w:rPr>
        <w:t>These covenants may limit our ability to optimally operate our business. In addition, our revolving credit facility requires that we meet certain financial tests, including a leverage ratio test. Any failure to comply with the restrictions of our credit facility may result in an event of default under the agreements governing such facilities. Such default may allow the creditors to accelerate the debt incurred thereunder. In addition, lenders may be able to terminate any commitments they had made to supply us with further funds (including periodic rollovers of existing borrowings).</w:t>
      </w:r>
    </w:p>
    <w:p>
      <w:pPr>
        <w:spacing w:after="0" w:line="2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effective tax rate is impacted by a number of factors that could have a material impact on our financial results and could increase the volatility of those results.</w:t>
      </w:r>
    </w:p>
    <w:p>
      <w:pPr>
        <w:spacing w:after="0" w:line="170"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Due to the global nature of our business, we are subject to income taxes in the United States and other foreign jurisdictions. In the event we incur net income in certain jurisdictions but incur losses in other jurisdictions, we generally cannot offset the income from one jurisdiction with the loss from another, which could increase our effective tax rate. Furthermore, significant judgment is required to calculate our worldwide provision for income taxes. In the ordinary course of our business there are many transactions and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48" w:name="page49"/>
    <w:bookmarkEnd w:id="48"/>
    <w:p>
      <w:pPr>
        <w:ind w:right="40"/>
        <w:spacing w:after="0" w:line="259" w:lineRule="auto"/>
        <w:rPr>
          <w:sz w:val="20"/>
          <w:szCs w:val="20"/>
          <w:color w:val="auto"/>
        </w:rPr>
      </w:pPr>
      <w:r>
        <w:rPr>
          <w:rFonts w:ascii="Arial" w:cs="Arial" w:eastAsia="Arial" w:hAnsi="Arial"/>
          <w:sz w:val="18"/>
          <w:szCs w:val="18"/>
          <w:color w:val="auto"/>
        </w:rPr>
        <w:t>calculations where the ultimate tax determination is uncertain. We are routinely under audit by federal, state and foreign taxing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or periods for which that determination is made.</w:t>
      </w:r>
    </w:p>
    <w:p>
      <w:pPr>
        <w:spacing w:after="0" w:line="187"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Additionally, we earn an increasing portion of our income, and accumulate a greater portion of cash flow, in foreign jurisdictions, which we consider indefinitely reinvested.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fluctuation in foreign currency exchange risk.</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conduct a significant and growing portion of our business outside the United States but report our results in U.S. dollars. As a result, we face exposure to movements in currency exchange rates, particularly those related to the Euro, British pound sterling, Singapore dollar, Australian dollar, and Chinese renminbi. These exposures include, but are not limited to re-measurement of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 For example, there has been, and may continue to be, volatility in currency exchange rates as a result of Brexit.</w:t>
      </w:r>
    </w:p>
    <w:p>
      <w:pPr>
        <w:spacing w:after="0" w:line="178"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color w:val="auto"/>
        </w:rPr>
        <w:t>Depending on the size of the exposures and the relative movements of exchange rates, if we were to choose not to hedge or were to fail to hedge effectively our exposure, we could experience a material adverse effect on our consolidated financial statements and financial condition. As seen in some recent periods, in the event of severe volatility in exchange rates the impact of these exposures can increase, and the impact on results of operations can be more pronounced. In addition, the current environment and the increasingly global nature of our business have made hedging these exposures both more complex and costly. We hedge certain short-term foreign currency exposures with the purchase of forward exchange contracts. These hedge contracts only help mitigate the impact of changes in foreign currency rates that occur during the term of the related contract period and carry risks of counter-party failure. There can be no assurance that our hedges will have their intended effects.</w:t>
      </w:r>
    </w:p>
    <w:p>
      <w:pPr>
        <w:spacing w:after="0" w:line="178"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color w:val="auto"/>
        </w:rPr>
        <w:t>Significant fluctuations in currency exchange rates can affect consumer travel behavior. Volatility in foreign exchange rates and its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adversely affect our results of operations.</w:t>
      </w:r>
    </w:p>
    <w:p>
      <w:pPr>
        <w:spacing w:after="0" w:line="29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could be subject to significant tax liabilities, any of which could have a material adverse effect on our business, results of operations and financial condition.</w:t>
      </w:r>
    </w:p>
    <w:p>
      <w:pPr>
        <w:spacing w:after="0" w:line="170"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application of various domestic and international tax laws, rules and regulations to our historical and new products and services is subject to interpretation by the applicable taxing authorities. These taxing authorities have become more aggressive in their interpretation and/or enforcement of such laws, rules and regulations over time, as governments are increasingly focused on ways to increase revenues. This has contributed to an increase in audit activity and harsher stances by tax authorities. While we believe we comply with applicable tax laws, rules and regulations in the jurisdictions we operate, tax authorities may determine that we owe additional taxes. Additional taxes or other assessments may be in excess of our current tax reserves or may require us to modify our business practices to reduce our exposure to additional taxes going forward, any of which could have a material adverse effect on our business, results of operations and financial condition.</w:t>
      </w:r>
    </w:p>
    <w:p>
      <w:pPr>
        <w:spacing w:after="0" w:line="189"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Significant judgment and estimation is required in determining our worldwide tax liabilities. In the ordinary course of our business, there are transactions and calculations, including intercompany transactions and cross-jurisdictional transfer pricing, for which the ultimate tax determination is uncertain or otherwise subject to interpretation. Tax authorities may disagree with our intercompany charges, including the amount of or basis for such charges, cross-jurisdictional transfer pricing or other matters and assess additional taxes. Although we believe our tax estimates are reasonable, the final determination of tax audits could be materially different from our historical income tax provisions and accruals in which case we may be subject to additional tax liabilities, possibly including interest and penalties, which could have a material adverse effect on our cash flows, financial condition and results of operations.</w:t>
      </w:r>
    </w:p>
    <w:p>
      <w:pPr>
        <w:spacing w:after="0" w:line="189"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In addition, under the Tax Sharing Agreement between us and Expedia entered into in connection with the spin-off of TripAdvisor from Expedia (the “Spin-Off”), we are generally required to indemnify Expedia for any taxes resulting from the Spin-Off (and any related interest, penalties, legal and professional fees, and all costs and damages associated with related stockholder litigation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9" w:name="page50"/>
    <w:bookmarkEnd w:id="49"/>
    <w:p>
      <w:pPr>
        <w:jc w:val="both"/>
        <w:ind w:right="140"/>
        <w:spacing w:after="0" w:line="259" w:lineRule="auto"/>
        <w:rPr>
          <w:sz w:val="20"/>
          <w:szCs w:val="20"/>
          <w:color w:val="auto"/>
        </w:rPr>
      </w:pPr>
      <w:r>
        <w:rPr>
          <w:rFonts w:ascii="Arial" w:cs="Arial" w:eastAsia="Arial" w:hAnsi="Arial"/>
          <w:sz w:val="18"/>
          <w:szCs w:val="18"/>
          <w:color w:val="auto"/>
        </w:rPr>
        <w:t>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w:t>
      </w:r>
    </w:p>
    <w:p>
      <w:pPr>
        <w:spacing w:after="0" w:line="18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continue to be responsible for potential tax liabilities in connection with consolidated income tax returns filed with Expedia prior to or in connection with the Spin-Off. We are currently under an IRS audit for the 2009 and 2010 tax years, and have various ongoing state income tax audits. These audits include questioning of the timing and the amount of income and deductions and the allocation of income among various tax jurisdictions. The outcome of these matters or any other audits could subject us to significant tax liabilities.</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Amendment to existing tax laws, rules or regulations or enactment of new unfavorable tax laws, rules or regulations could have an adverse effect on our business and financial performance.</w:t>
      </w:r>
    </w:p>
    <w:p>
      <w:pPr>
        <w:spacing w:after="0" w:line="170"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Many of the underlying laws, rules or regulations imposing taxes and other obligations were established before the growth of the internet and e-commerce. If the tax or other laws, rules or regulations were amended, or if new unfavorable laws, rules or regulations were enacted, particularly with respect to occupancy, sales, value-added taxes, or unclaimed property, the results could increase our tax payments or other obligations, prospectively or retrospectively, subject us to interest and penalties, decrease the demand for our products and services if we pass on such costs to the consumer, result in increased costs to update or expand our technical or administrative infrastructure or effectively limit the scope of our business activities if we decided not to conduct business in particular jurisdictions. As a result, these changes could have an adverse effect on our business or financial performance.</w:t>
      </w:r>
    </w:p>
    <w:p>
      <w:pPr>
        <w:spacing w:after="0" w:line="165"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In addition, in the past U.S. and foreign governments have introduced proposals for tax legislation, or have adopted tax laws, that could have a significant adverse effect on our tax rate, or increase our tax liabilities, the carrying value of deferred tax assets, or our deferred tax liabilities. For example, in October 2015, the Organization for Economic Co-Operation and Development (“OECD”) released a final package of measures to be implemented by member nations in response to a 2013 action plan calling for a coordinated multi-jurisdictional approach to “base erosion and profit shifting” (“BEPS”) by multinational companies. Multiple member jurisdictions, including the United States, have begun implementing recommended changes such as proposed country by country reporting beginning as early as 2016. Additional multilateral changes are anticipated in upcoming years. Any changes to national or international tax laws could impact the tax treatment of our earnings and adversely affect our profitability. Our effective tax rate in the future could also be adversely affected by changes to our operating structure, changes in the mix of earnings in countries with differing statutory tax rates, changes in the valuation of deferred tax assets and liabilities, or the discontinuance of beneficial tax arrangements in certain jurisdictions.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continue to work with relevant authorities and legislators to clarify our obligations under existing, new and emerging tax laws and regulations.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TripAdvisor Holdings, Inc. currently is a controlling stockholder.</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Liberty TripAdvisor Holdings, Inc., or LTRIP, effectively controls the outcome of all matters submitted to a vote or for the consent of our stockholders (other than with respect to the election by the holders of our common stock of 25% of the members of our Board of Directors and matters as to which Delaware law requires separate class votes, including but not limited to, corporate transactions such as mergers, business combinations or dispositions of assets, the authorization or issuance of new equity or debt securities and determinations with respect to our business direction and policies). LTRIP, which has investments in other companies, may have interests that differ from those of our other stockholders and they may vote in a way with which our other stockholders may not agree or that may be adverse to other stockholders’ interests. LTRIP is not restricted from investing in other businesses involving or related to our business. Liberty’s control of us, as well as the existing provisions of our organizational documents and Delaware law, may discourage or prevent a change of control of us, which may reduce the market price of our common stock.</w:t>
      </w:r>
    </w:p>
    <w:p>
      <w:pPr>
        <w:spacing w:after="0" w:line="28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are currently relying on the “controlled company” exemption under NASDAQ Stock Market Listing Rules, pursuant to which “controlled companies” are exempt from certain corporate governance requirements otherwise applicable under NASDAQ listing rules.</w:t>
      </w:r>
    </w:p>
    <w:p>
      <w:pPr>
        <w:spacing w:after="0" w:line="38"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NASDAQ Stock Market Listing Rules exempt “controlled companies,” or companies of which more than 50% of the voting power is held by an individual, a group or another company, from certain corporate governance requirements, including those requirements that:</w:t>
      </w:r>
    </w:p>
    <w:p>
      <w:pPr>
        <w:spacing w:after="0" w:line="62" w:lineRule="exact"/>
        <w:rPr>
          <w:sz w:val="20"/>
          <w:szCs w:val="20"/>
          <w:color w:val="auto"/>
        </w:rPr>
      </w:pPr>
    </w:p>
    <w:p>
      <w:pPr>
        <w:ind w:left="5620" w:right="5360" w:hanging="4964"/>
        <w:spacing w:after="0" w:line="624" w:lineRule="auto"/>
        <w:tabs>
          <w:tab w:leader="none" w:pos="1031"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majority of the Board of Directors consist of independent directors;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0" w:name="page51"/>
    <w:bookmarkEnd w:id="50"/>
    <w:p>
      <w:pPr>
        <w:ind w:left="1040" w:right="820" w:hanging="384"/>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of officers be determined or recommended to the Board of Directors by a majority of its independent directors or by a compensation committee comprised solely of independent directors; and</w:t>
      </w:r>
    </w:p>
    <w:p>
      <w:pPr>
        <w:spacing w:after="0" w:line="62" w:lineRule="exact"/>
        <w:rPr>
          <w:rFonts w:ascii="Arial" w:cs="Arial" w:eastAsia="Arial" w:hAnsi="Arial"/>
          <w:sz w:val="18"/>
          <w:szCs w:val="18"/>
          <w:color w:val="auto"/>
        </w:rPr>
      </w:pPr>
    </w:p>
    <w:p>
      <w:pPr>
        <w:ind w:left="1040" w:right="680" w:hanging="384"/>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Director nominees be selected or recommended to the Board of Directors by a majority of its independent directors or by a nominating committee that is composed entirely of independent directors.</w:t>
      </w:r>
    </w:p>
    <w:p>
      <w:pPr>
        <w:spacing w:after="0" w:line="170"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have in the past, currently and may in the future rely on the controlled company exemption for some of these requirements.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2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maintain effective internal control over financial reporting, investors may lose confidence in our reported financial information and our stock price and business may be adversely impacted.</w:t>
      </w:r>
    </w:p>
    <w:p>
      <w:pPr>
        <w:spacing w:after="0" w:line="62" w:lineRule="exact"/>
        <w:rPr>
          <w:sz w:val="20"/>
          <w:szCs w:val="20"/>
          <w:color w:val="auto"/>
        </w:rPr>
      </w:pPr>
    </w:p>
    <w:p>
      <w:pPr>
        <w:ind w:right="140" w:firstLine="518"/>
        <w:spacing w:after="0" w:line="253" w:lineRule="auto"/>
        <w:rPr>
          <w:sz w:val="20"/>
          <w:szCs w:val="20"/>
          <w:color w:val="auto"/>
        </w:rPr>
      </w:pPr>
      <w:r>
        <w:rPr>
          <w:rFonts w:ascii="Arial" w:cs="Arial" w:eastAsia="Arial" w:hAnsi="Arial"/>
          <w:sz w:val="18"/>
          <w:szCs w:val="18"/>
          <w:color w:val="auto"/>
        </w:rPr>
        <w:t>As a public company, we are required to maintain internal control over financial reporting and our management is required to evaluate the effectiveness of our internal control over financial reporting as of the end of each fiscal year. Additionally, we are required to disclose in our Annual Reports on Form 10-K our management’s assessment of the effectiveness of our internal control over financial reporting and a registered public accounting firm’s attestation report on this assessment. If we are not successful in maintaining effective internal control over financial reporting, there could be inaccuracies or omissions in the consolidated financial information we are required to file with the SEC. Additionally, even if there are no inaccuracies or omissions, we could be required to publicly disclose the conclusion of our management that our internal control over financial reporting or disclosure controls and procedures are not effective. These events could cause investors to lose confidence in our reported financial information, adversely impact our stock price, result in increased costs to remediate any deficiencies, attract regulatory scrutiny or lawsuits that could be costly to resolve and distract management’s attention, limit our ability to access the capital markets or cause our stock to be delisted from NASDAQ or any other securities exchange on which we are then listed.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face negative pressure.</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Our stock price has experienced, and could continue to experience in the future, substantial volatility. The market price of our common stock is affected by a number of factors, including the risk factors described in this section and other factors beyond our control. Factors affecting the trading price of our common stock could include:</w:t>
      </w:r>
    </w:p>
    <w:p>
      <w:pPr>
        <w:spacing w:after="0" w:line="73" w:lineRule="exact"/>
        <w:rPr>
          <w:sz w:val="20"/>
          <w:szCs w:val="20"/>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meet market expectations;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117" w:lineRule="exact"/>
        <w:rPr>
          <w:rFonts w:ascii="Arial" w:cs="Arial" w:eastAsia="Arial" w:hAnsi="Arial"/>
          <w:sz w:val="18"/>
          <w:szCs w:val="18"/>
          <w:color w:val="auto"/>
        </w:rPr>
      </w:pPr>
    </w:p>
    <w:p>
      <w:pPr>
        <w:ind w:left="1040" w:right="140" w:hanging="384"/>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Repurchases of our common stock pursuant to our share repurchase program which could also cause our stock price to be higher than it would be in the absence of such a program and could potentially reduce the market liquidity for our stock;</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in our industry, including changes in governmental regulations; and</w:t>
      </w:r>
    </w:p>
    <w:p>
      <w:pPr>
        <w:spacing w:after="0" w:line="117" w:lineRule="exact"/>
        <w:rPr>
          <w:rFonts w:ascii="Arial" w:cs="Arial" w:eastAsia="Arial" w:hAnsi="Arial"/>
          <w:sz w:val="18"/>
          <w:szCs w:val="18"/>
          <w:color w:val="auto"/>
        </w:rPr>
      </w:pPr>
    </w:p>
    <w:p>
      <w:pPr>
        <w:ind w:left="1040" w:right="620" w:hanging="384"/>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related to our operating performance or the operating performance of our competitors.</w:t>
      </w:r>
    </w:p>
    <w:p>
      <w:pPr>
        <w:spacing w:after="0" w:line="170"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international currency fluctuations, may negatively impact the market price of our common stock regardless of our actual operating performance.</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of our common stock in the public market, or the perception that such sales may occur, may depress our stock price.</w:t>
      </w:r>
    </w:p>
    <w:p>
      <w:pPr>
        <w:spacing w:after="0" w:line="129"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For the six months ended June 30, 2016, the average daily trading volume of our common stock on NASDAQ was approximately 2.3 million shares. If our existing stockholders or their distributees sell substantial amounts of our common stock in the public market, the market price of the common stock could decrease significantly. The perception in the public market that our existing stockholders might sell shares of common stock could also depress the trading price of our common stock. In addition, certain stockholders have rights, subject to some conditions, to require us to file registration statements covering their shares or to include their shares in registration statements that we may file for ourselves or other stockholders. If LTRIP or some other stockholder sells substantial amounts of our common stock in the public market, or if there is a perception in the public market that LTRIP might sell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1" w:name="page52"/>
    <w:bookmarkEnd w:id="51"/>
    <w:p>
      <w:pPr>
        <w:ind w:right="120"/>
        <w:spacing w:after="0" w:line="308" w:lineRule="auto"/>
        <w:rPr>
          <w:sz w:val="20"/>
          <w:szCs w:val="20"/>
          <w:color w:val="auto"/>
        </w:rPr>
      </w:pPr>
      <w:r>
        <w:rPr>
          <w:rFonts w:ascii="Arial" w:cs="Arial" w:eastAsia="Arial" w:hAnsi="Arial"/>
          <w:sz w:val="17"/>
          <w:szCs w:val="17"/>
          <w:color w:val="auto"/>
        </w:rPr>
        <w:t>shares of our common stock, the market price of our common stock could decrease significantly. A decline in the price of shares of our common stock might impede our ability to raise capital through the issuance of additional shares of our common stock or other equity securities.</w:t>
      </w:r>
    </w:p>
    <w:p>
      <w:pPr>
        <w:spacing w:after="0" w:line="25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73" w:lineRule="exact"/>
        <w:rPr>
          <w:sz w:val="20"/>
          <w:szCs w:val="20"/>
          <w:color w:val="auto"/>
        </w:rPr>
      </w:pPr>
    </w:p>
    <w:p>
      <w:pPr>
        <w:jc w:val="both"/>
        <w:ind w:right="40" w:firstLine="518"/>
        <w:spacing w:after="0" w:line="277" w:lineRule="auto"/>
        <w:rPr>
          <w:sz w:val="20"/>
          <w:szCs w:val="20"/>
          <w:color w:val="auto"/>
        </w:rPr>
      </w:pPr>
      <w:r>
        <w:rPr>
          <w:rFonts w:ascii="Arial" w:cs="Arial" w:eastAsia="Arial" w:hAnsi="Arial"/>
          <w:sz w:val="18"/>
          <w:szCs w:val="18"/>
          <w:color w:val="auto"/>
        </w:rPr>
        <w:t>Our certificate of incorporation and bylaws contain provisions that could delay or prevent a change of control of our company or changes in our Board of Directors that our stockholders might consider favorable. Some of these provisions:</w:t>
      </w:r>
    </w:p>
    <w:p>
      <w:pPr>
        <w:spacing w:after="0" w:line="62" w:lineRule="exact"/>
        <w:rPr>
          <w:sz w:val="20"/>
          <w:szCs w:val="20"/>
          <w:color w:val="auto"/>
        </w:rPr>
      </w:pPr>
    </w:p>
    <w:p>
      <w:pPr>
        <w:ind w:left="1040" w:right="220" w:hanging="384"/>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Authorize the issuance of preferred stock which can be created and issued by the Board of Directors without prior stockholder approval, with rights senior to those of our common stock; and</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 or calling special stockholder meetings.</w:t>
      </w:r>
    </w:p>
    <w:p>
      <w:pPr>
        <w:spacing w:after="0" w:line="225"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340" w:firstLine="518"/>
        <w:spacing w:after="0" w:line="342" w:lineRule="auto"/>
        <w:rPr>
          <w:sz w:val="20"/>
          <w:szCs w:val="20"/>
          <w:color w:val="auto"/>
        </w:rPr>
      </w:pPr>
      <w:r>
        <w:rPr>
          <w:rFonts w:ascii="Arial" w:cs="Arial" w:eastAsia="Arial" w:hAnsi="Arial"/>
          <w:sz w:val="16"/>
          <w:szCs w:val="16"/>
          <w:color w:val="auto"/>
        </w:rPr>
        <w:t>During the quarter ended June 30, 2016,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21" w:lineRule="exact"/>
        <w:rPr>
          <w:sz w:val="20"/>
          <w:szCs w:val="20"/>
          <w:color w:val="auto"/>
        </w:rPr>
      </w:pPr>
    </w:p>
    <w:p>
      <w:pPr>
        <w:ind w:right="140" w:firstLine="552"/>
        <w:spacing w:after="0" w:line="257" w:lineRule="auto"/>
        <w:rPr>
          <w:sz w:val="20"/>
          <w:szCs w:val="20"/>
          <w:color w:val="auto"/>
        </w:rPr>
      </w:pPr>
      <w:r>
        <w:rPr>
          <w:rFonts w:ascii="Arial" w:cs="Arial" w:eastAsia="Arial" w:hAnsi="Arial"/>
          <w:sz w:val="18"/>
          <w:szCs w:val="18"/>
          <w:color w:val="auto"/>
        </w:rPr>
        <w:t>On February 15, 2013, our Board of Directors authorized the repurchase of $250 million of our shares of common stock under a share repurchase program. The repurchase program has no expiration date but may be suspended or terminated by the Board of Directors at any time.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188"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During the three months ended June 30, 2016, we repurchased 184,060 shares of outstanding common stock under the share repurchase program at an average price of $59.78 per share. Below is a summary of our common stock repurchases during the second quarter of 2016, the average price paid as well as the dollar value of shares that may still be purchased as of June 30, 2016:</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56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Number (or</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56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5"/>
              </w:rPr>
              <w:t>Purchased as</w:t>
            </w:r>
          </w:p>
        </w:tc>
        <w:tc>
          <w:tcPr>
            <w:tcW w:w="194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2"/>
              </w:rPr>
              <w:t>Dollar Value) of</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194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2"/>
              </w:rPr>
              <w:t>Shares that May</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0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9"/>
              </w:rPr>
              <w:t>Average Price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94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88"/>
              </w:rPr>
              <w:t>Yet Be Purchased</w:t>
            </w:r>
          </w:p>
        </w:tc>
        <w:tc>
          <w:tcPr>
            <w:tcW w:w="0" w:type="dxa"/>
            <w:vAlign w:val="bottom"/>
          </w:tcPr>
          <w:p>
            <w:pPr>
              <w:spacing w:after="0"/>
              <w:rPr>
                <w:sz w:val="1"/>
                <w:szCs w:val="1"/>
                <w:color w:val="auto"/>
              </w:rPr>
            </w:pPr>
          </w:p>
        </w:tc>
      </w:tr>
      <w:tr>
        <w:trPr>
          <w:trHeight w:val="68"/>
        </w:trPr>
        <w:tc>
          <w:tcPr>
            <w:tcW w:w="5160" w:type="dxa"/>
            <w:vAlign w:val="bottom"/>
          </w:tcPr>
          <w:p>
            <w:pPr>
              <w:spacing w:after="0"/>
              <w:rPr>
                <w:sz w:val="5"/>
                <w:szCs w:val="5"/>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080" w:type="dxa"/>
            <w:vAlign w:val="bottom"/>
            <w:gridSpan w:val="2"/>
            <w:vMerge w:val="continue"/>
          </w:tcPr>
          <w:p>
            <w:pPr>
              <w:spacing w:after="0"/>
              <w:rPr>
                <w:sz w:val="5"/>
                <w:szCs w:val="5"/>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1940" w:type="dxa"/>
            <w:vAlign w:val="bottom"/>
            <w:gridSpan w:val="2"/>
            <w:vMerge w:val="restart"/>
          </w:tcPr>
          <w:p>
            <w:pPr>
              <w:jc w:val="center"/>
              <w:ind w:left="210"/>
              <w:spacing w:after="0"/>
              <w:rPr>
                <w:sz w:val="20"/>
                <w:szCs w:val="20"/>
                <w:color w:val="auto"/>
              </w:rPr>
            </w:pPr>
            <w:r>
              <w:rPr>
                <w:rFonts w:ascii="Arial" w:cs="Arial" w:eastAsia="Arial" w:hAnsi="Arial"/>
                <w:sz w:val="18"/>
                <w:szCs w:val="18"/>
                <w:b w:val="1"/>
                <w:bCs w:val="1"/>
                <w:color w:val="auto"/>
                <w:w w:val="90"/>
              </w:rPr>
              <w:t>Under the Plans</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1"/>
              </w:rPr>
              <w:t>Paid per Share</w:t>
            </w:r>
          </w:p>
        </w:tc>
        <w:tc>
          <w:tcPr>
            <w:tcW w:w="1280" w:type="dxa"/>
            <w:vAlign w:val="bottom"/>
            <w:vMerge w:val="continue"/>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Period</w:t>
            </w: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2080" w:type="dxa"/>
            <w:vAlign w:val="bottom"/>
            <w:gridSpan w:val="2"/>
            <w:vMerge w:val="continue"/>
          </w:tcPr>
          <w:p>
            <w:pPr>
              <w:spacing w:after="0"/>
              <w:rPr>
                <w:sz w:val="5"/>
                <w:szCs w:val="5"/>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560" w:type="dxa"/>
            <w:vAlign w:val="bottom"/>
          </w:tcPr>
          <w:p>
            <w:pPr>
              <w:spacing w:after="0"/>
              <w:rPr>
                <w:sz w:val="5"/>
                <w:szCs w:val="5"/>
                <w:color w:val="auto"/>
              </w:rPr>
            </w:pPr>
          </w:p>
        </w:tc>
        <w:tc>
          <w:tcPr>
            <w:tcW w:w="138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89"/>
              </w:rPr>
              <w:t>or Programs</w:t>
            </w:r>
          </w:p>
        </w:tc>
        <w:tc>
          <w:tcPr>
            <w:tcW w:w="0" w:type="dxa"/>
            <w:vAlign w:val="bottom"/>
          </w:tcPr>
          <w:p>
            <w:pPr>
              <w:spacing w:after="0"/>
              <w:rPr>
                <w:sz w:val="1"/>
                <w:szCs w:val="1"/>
                <w:color w:val="auto"/>
              </w:rPr>
            </w:pPr>
          </w:p>
        </w:tc>
      </w:tr>
      <w:tr>
        <w:trPr>
          <w:trHeight w:val="171"/>
        </w:trPr>
        <w:tc>
          <w:tcPr>
            <w:tcW w:w="5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jc w:val="center"/>
              <w:ind w:right="654"/>
              <w:spacing w:after="0"/>
              <w:rPr>
                <w:sz w:val="20"/>
                <w:szCs w:val="20"/>
                <w:color w:val="auto"/>
              </w:rPr>
            </w:pPr>
            <w:r>
              <w:rPr>
                <w:rFonts w:ascii="Arial" w:cs="Arial" w:eastAsia="Arial" w:hAnsi="Arial"/>
                <w:sz w:val="14"/>
                <w:szCs w:val="14"/>
                <w:b w:val="1"/>
                <w:bCs w:val="1"/>
                <w:color w:val="auto"/>
                <w:w w:val="93"/>
              </w:rPr>
              <w:t>(1)</w:t>
            </w:r>
          </w:p>
        </w:tc>
        <w:tc>
          <w:tcPr>
            <w:tcW w:w="12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April 1 to April 30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103,338,145</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May 1 to May 31</w:t>
            </w:r>
          </w:p>
        </w:tc>
        <w:tc>
          <w:tcPr>
            <w:tcW w:w="960" w:type="dxa"/>
            <w:vAlign w:val="bottom"/>
          </w:tcPr>
          <w:p>
            <w:pPr>
              <w:jc w:val="right"/>
              <w:spacing w:after="0"/>
              <w:rPr>
                <w:sz w:val="20"/>
                <w:szCs w:val="20"/>
                <w:color w:val="auto"/>
              </w:rPr>
            </w:pPr>
            <w:r>
              <w:rPr>
                <w:rFonts w:ascii="Arial" w:cs="Arial" w:eastAsia="Arial" w:hAnsi="Arial"/>
                <w:sz w:val="18"/>
                <w:szCs w:val="18"/>
                <w:color w:val="auto"/>
              </w:rPr>
              <w:t>9,600</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4"/>
              <w:spacing w:after="0"/>
              <w:rPr>
                <w:sz w:val="20"/>
                <w:szCs w:val="20"/>
                <w:color w:val="auto"/>
              </w:rPr>
            </w:pPr>
            <w:r>
              <w:rPr>
                <w:rFonts w:ascii="Arial" w:cs="Arial" w:eastAsia="Arial" w:hAnsi="Arial"/>
                <w:sz w:val="18"/>
                <w:szCs w:val="18"/>
                <w:color w:val="auto"/>
              </w:rPr>
              <w:t>59.94</w:t>
            </w:r>
          </w:p>
        </w:tc>
        <w:tc>
          <w:tcPr>
            <w:tcW w:w="1280" w:type="dxa"/>
            <w:vAlign w:val="bottom"/>
          </w:tcPr>
          <w:p>
            <w:pPr>
              <w:jc w:val="right"/>
              <w:spacing w:after="0"/>
              <w:rPr>
                <w:sz w:val="20"/>
                <w:szCs w:val="20"/>
                <w:color w:val="auto"/>
              </w:rPr>
            </w:pPr>
            <w:r>
              <w:rPr>
                <w:rFonts w:ascii="Arial" w:cs="Arial" w:eastAsia="Arial" w:hAnsi="Arial"/>
                <w:sz w:val="18"/>
                <w:szCs w:val="18"/>
                <w:color w:val="auto"/>
              </w:rPr>
              <w:t>9,600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102,762,682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June 1 to June 30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174,460</w:t>
            </w: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59.77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174,460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92,334,719</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Total</w:t>
            </w:r>
          </w:p>
        </w:tc>
        <w:tc>
          <w:tcPr>
            <w:tcW w:w="960" w:type="dxa"/>
            <w:vAlign w:val="bottom"/>
          </w:tcPr>
          <w:p>
            <w:pPr>
              <w:jc w:val="right"/>
              <w:spacing w:after="0"/>
              <w:rPr>
                <w:sz w:val="20"/>
                <w:szCs w:val="20"/>
                <w:color w:val="auto"/>
              </w:rPr>
            </w:pPr>
            <w:r>
              <w:rPr>
                <w:rFonts w:ascii="Arial" w:cs="Arial" w:eastAsia="Arial" w:hAnsi="Arial"/>
                <w:sz w:val="18"/>
                <w:szCs w:val="18"/>
                <w:color w:val="auto"/>
              </w:rPr>
              <w:t>184,060</w:t>
            </w: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184,060</w:t>
            </w:r>
          </w:p>
        </w:tc>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8890</wp:posOffset>
            </wp:positionV>
            <wp:extent cx="8147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26035</wp:posOffset>
            </wp:positionV>
            <wp:extent cx="8147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8890</wp:posOffset>
            </wp:positionV>
            <wp:extent cx="6172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26035</wp:posOffset>
            </wp:positionV>
            <wp:extent cx="6172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4" w:lineRule="exact"/>
        <w:rPr>
          <w:sz w:val="20"/>
          <w:szCs w:val="20"/>
          <w:color w:val="auto"/>
        </w:rPr>
      </w:pPr>
    </w:p>
    <w:p>
      <w:pPr>
        <w:ind w:left="420" w:hanging="412"/>
        <w:spacing w:after="0"/>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These amounts include fees and commissions associated with the share repurchase.</w:t>
      </w:r>
    </w:p>
    <w:p>
      <w:pPr>
        <w:spacing w:after="0" w:line="23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715" w:right="1440"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as part of this Quarterly Report on Form 10-Q.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920" w:type="dxa"/>
            <w:vAlign w:val="bottom"/>
            <w:vMerge w:val="restart"/>
          </w:tcPr>
          <w:p>
            <w:pPr>
              <w:ind w:left="286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Filed</w:t>
            </w:r>
          </w:p>
        </w:tc>
        <w:tc>
          <w:tcPr>
            <w:tcW w:w="6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7"/>
          </w:tcPr>
          <w:p>
            <w:pPr>
              <w:jc w:val="right"/>
              <w:ind w:right="616"/>
              <w:spacing w:after="0"/>
              <w:rPr>
                <w:sz w:val="20"/>
                <w:szCs w:val="20"/>
                <w:color w:val="auto"/>
              </w:rPr>
            </w:pPr>
            <w:r>
              <w:rPr>
                <w:rFonts w:ascii="Arial" w:cs="Arial" w:eastAsia="Arial" w:hAnsi="Arial"/>
                <w:sz w:val="14"/>
                <w:szCs w:val="14"/>
                <w:b w:val="1"/>
                <w:bCs w:val="1"/>
                <w:color w:val="auto"/>
                <w:w w:val="94"/>
              </w:rPr>
              <w:t>Incorporated by Reference</w:t>
            </w:r>
          </w:p>
        </w:tc>
        <w:tc>
          <w:tcPr>
            <w:tcW w:w="0" w:type="dxa"/>
            <w:vAlign w:val="bottom"/>
          </w:tcPr>
          <w:p>
            <w:pPr>
              <w:spacing w:after="0"/>
              <w:rPr>
                <w:sz w:val="1"/>
                <w:szCs w:val="1"/>
                <w:color w:val="auto"/>
              </w:rPr>
            </w:pPr>
          </w:p>
        </w:tc>
      </w:tr>
      <w:tr>
        <w:trPr>
          <w:trHeight w:val="142"/>
        </w:trPr>
        <w:tc>
          <w:tcPr>
            <w:tcW w:w="46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2"/>
                <w:szCs w:val="12"/>
                <w:color w:val="auto"/>
              </w:rPr>
            </w:pPr>
          </w:p>
        </w:tc>
        <w:tc>
          <w:tcPr>
            <w:tcW w:w="69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8"/>
              </w:rPr>
              <w:t>Herewith</w:t>
            </w:r>
          </w:p>
        </w:tc>
        <w:tc>
          <w:tcPr>
            <w:tcW w:w="180" w:type="dxa"/>
            <w:vAlign w:val="bottom"/>
          </w:tcPr>
          <w:p>
            <w:pPr>
              <w:spacing w:after="0"/>
              <w:rPr>
                <w:sz w:val="12"/>
                <w:szCs w:val="12"/>
                <w:color w:val="auto"/>
              </w:rPr>
            </w:pPr>
          </w:p>
        </w:tc>
        <w:tc>
          <w:tcPr>
            <w:tcW w:w="640" w:type="dxa"/>
            <w:vAlign w:val="bottom"/>
            <w:tcBorders>
              <w:bottom w:val="single" w:sz="8" w:color="auto"/>
            </w:tcBorders>
          </w:tcPr>
          <w:p>
            <w:pPr>
              <w:jc w:val="center"/>
              <w:ind w:left="14"/>
              <w:spacing w:after="0" w:line="142" w:lineRule="exact"/>
              <w:rPr>
                <w:sz w:val="20"/>
                <w:szCs w:val="20"/>
                <w:color w:val="auto"/>
              </w:rPr>
            </w:pPr>
            <w:r>
              <w:rPr>
                <w:rFonts w:ascii="Arial" w:cs="Arial" w:eastAsia="Arial" w:hAnsi="Arial"/>
                <w:sz w:val="14"/>
                <w:szCs w:val="14"/>
                <w:b w:val="1"/>
                <w:bCs w:val="1"/>
                <w:color w:val="auto"/>
                <w:w w:val="97"/>
              </w:rPr>
              <w:t>Form</w:t>
            </w:r>
          </w:p>
        </w:tc>
        <w:tc>
          <w:tcPr>
            <w:tcW w:w="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SEC File No.</w:t>
            </w:r>
          </w:p>
        </w:tc>
        <w:tc>
          <w:tcPr>
            <w:tcW w:w="100" w:type="dxa"/>
            <w:vAlign w:val="bottom"/>
          </w:tcPr>
          <w:p>
            <w:pPr>
              <w:spacing w:after="0"/>
              <w:rPr>
                <w:sz w:val="12"/>
                <w:szCs w:val="12"/>
                <w:color w:val="auto"/>
              </w:rPr>
            </w:pPr>
          </w:p>
        </w:tc>
        <w:tc>
          <w:tcPr>
            <w:tcW w:w="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303"/>
        </w:trPr>
        <w:tc>
          <w:tcPr>
            <w:tcW w:w="460" w:type="dxa"/>
            <w:vAlign w:val="bottom"/>
          </w:tcPr>
          <w:p>
            <w:pPr>
              <w:ind w:left="60"/>
              <w:spacing w:after="0"/>
              <w:rPr>
                <w:sz w:val="20"/>
                <w:szCs w:val="20"/>
                <w:color w:val="auto"/>
              </w:rPr>
            </w:pPr>
            <w:r>
              <w:rPr>
                <w:rFonts w:ascii="Arial" w:cs="Arial" w:eastAsia="Arial" w:hAnsi="Arial"/>
                <w:sz w:val="18"/>
                <w:szCs w:val="18"/>
                <w:color w:val="auto"/>
                <w:w w:val="90"/>
              </w:rPr>
              <w:t>10.1*</w:t>
            </w:r>
          </w:p>
        </w:tc>
        <w:tc>
          <w:tcPr>
            <w:tcW w:w="10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w w:val="95"/>
              </w:rPr>
              <w:t>Employment Agreement between Seth Kalvert and TripAdvisor, LLC, effective as of May 19,</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001-35362</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5/23/16</w:t>
            </w:r>
          </w:p>
        </w:tc>
        <w:tc>
          <w:tcPr>
            <w:tcW w:w="0" w:type="dxa"/>
            <w:vAlign w:val="bottom"/>
          </w:tcPr>
          <w:p>
            <w:pPr>
              <w:spacing w:after="0"/>
              <w:rPr>
                <w:sz w:val="1"/>
                <w:szCs w:val="1"/>
                <w:color w:val="auto"/>
              </w:rPr>
            </w:pPr>
          </w:p>
        </w:tc>
      </w:tr>
      <w:tr>
        <w:trPr>
          <w:trHeight w:val="310"/>
        </w:trPr>
        <w:tc>
          <w:tcPr>
            <w:tcW w:w="460" w:type="dxa"/>
            <w:vAlign w:val="bottom"/>
          </w:tcPr>
          <w:p>
            <w:pPr>
              <w:ind w:left="60"/>
              <w:spacing w:after="0"/>
              <w:rPr>
                <w:sz w:val="20"/>
                <w:szCs w:val="20"/>
                <w:color w:val="auto"/>
              </w:rPr>
            </w:pPr>
            <w:r>
              <w:rPr>
                <w:rFonts w:ascii="Arial" w:cs="Arial" w:eastAsia="Arial" w:hAnsi="Arial"/>
                <w:sz w:val="18"/>
                <w:szCs w:val="18"/>
                <w:color w:val="auto"/>
                <w:w w:val="90"/>
              </w:rPr>
              <w:t>10.2*</w:t>
            </w:r>
          </w:p>
        </w:tc>
        <w:tc>
          <w:tcPr>
            <w:tcW w:w="10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TripAdvisor, Inc. Amended and Restated 2011 Stock and Annual Incentive Plan</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center"/>
              <w:ind w:left="54"/>
              <w:spacing w:after="0"/>
              <w:rPr>
                <w:sz w:val="20"/>
                <w:szCs w:val="20"/>
                <w:color w:val="auto"/>
              </w:rPr>
            </w:pPr>
            <w:r>
              <w:rPr>
                <w:rFonts w:ascii="Arial" w:cs="Arial" w:eastAsia="Arial" w:hAnsi="Arial"/>
                <w:sz w:val="18"/>
                <w:szCs w:val="18"/>
                <w:color w:val="auto"/>
                <w:w w:val="91"/>
              </w:rPr>
              <w:t>Proxy</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5"/>
          </w:tcPr>
          <w:p>
            <w:pPr>
              <w:jc w:val="right"/>
              <w:ind w:right="120"/>
              <w:spacing w:after="0"/>
              <w:rPr>
                <w:sz w:val="20"/>
                <w:szCs w:val="20"/>
                <w:color w:val="auto"/>
              </w:rPr>
            </w:pPr>
            <w:r>
              <w:rPr>
                <w:rFonts w:ascii="Arial" w:cs="Arial" w:eastAsia="Arial" w:hAnsi="Arial"/>
                <w:sz w:val="18"/>
                <w:szCs w:val="18"/>
                <w:color w:val="auto"/>
                <w:w w:val="89"/>
              </w:rPr>
              <w:t>Statement  001-35362</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4/29/16</w:t>
            </w:r>
          </w:p>
        </w:tc>
        <w:tc>
          <w:tcPr>
            <w:tcW w:w="0" w:type="dxa"/>
            <w:vAlign w:val="bottom"/>
          </w:tcPr>
          <w:p>
            <w:pPr>
              <w:spacing w:after="0"/>
              <w:rPr>
                <w:sz w:val="1"/>
                <w:szCs w:val="1"/>
                <w:color w:val="auto"/>
              </w:rPr>
            </w:pPr>
          </w:p>
        </w:tc>
      </w:tr>
      <w:tr>
        <w:trPr>
          <w:trHeight w:val="310"/>
        </w:trPr>
        <w:tc>
          <w:tcPr>
            <w:tcW w:w="460" w:type="dxa"/>
            <w:vAlign w:val="bottom"/>
          </w:tcPr>
          <w:p>
            <w:pPr>
              <w:ind w:left="6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w w:val="94"/>
              </w:rPr>
              <w:t>Certification of the Chief Executive Officer pursuant to Section 302 of the Sarbanes-Oxley Act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of 2002</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X</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60" w:type="dxa"/>
            <w:vAlign w:val="bottom"/>
          </w:tcPr>
          <w:p>
            <w:pPr>
              <w:ind w:left="6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w w:val="94"/>
              </w:rPr>
              <w:t>Certification of the Chief Financial Officer pursuant to Section 302 of the Sarbanes-Oxley Act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of 2002</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X</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60" w:type="dxa"/>
            <w:vAlign w:val="bottom"/>
          </w:tcPr>
          <w:p>
            <w:pPr>
              <w:ind w:left="6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w w:val="94"/>
              </w:rPr>
              <w:t>Certification of the Chief Executive Officer pursuant to Section 906 of the Sarbanes-Oxley Act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of 2002</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X</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60" w:type="dxa"/>
            <w:vAlign w:val="bottom"/>
          </w:tcPr>
          <w:p>
            <w:pPr>
              <w:ind w:left="6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w w:val="94"/>
              </w:rPr>
              <w:t>Certification of the Chief Financial Officer pursuant to Section 906 of the Sarbanes-Oxley Act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of 2002</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X</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w w:val="93"/>
              </w:rPr>
              <w:t>The following financial statements from the Company’s Quarterly Report on Form 10-Q for the</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w w:val="98"/>
              </w:rPr>
              <w:t>quarter ended June 30, 2016, formatted in XBRL: (i) Unaudited Condensed Consolidated</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Statements of Operations, (ii) Unaudited Condensed Consolidated Statements of</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Comprehensive Income, (iii) Unaudited Condensed Consolidated Balance Sheets,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(iv) Unaudited Condensed Consolidated Statement of Changes in Stockholders’ Equity,</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w w:val="92"/>
              </w:rPr>
              <w:t>(v) Unaudited Condensed Consolidated Statements of Cash Flows, and (vi) Notes to Unaudited</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Condensed Consolidated Financial Statements.</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X</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40" w:hanging="132"/>
        <w:spacing w:after="0"/>
        <w:tabs>
          <w:tab w:leader="none" w:pos="14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Indicates a management contract or a compensatory plan, contract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1360" w:type="dxa"/>
            <w:vAlign w:val="bottom"/>
            <w:gridSpan w:val="2"/>
          </w:tcPr>
          <w:p>
            <w:pPr>
              <w:spacing w:after="0"/>
              <w:rPr>
                <w:sz w:val="20"/>
                <w:szCs w:val="20"/>
                <w:color w:val="auto"/>
              </w:rPr>
            </w:pPr>
            <w:r>
              <w:rPr>
                <w:rFonts w:ascii="Arial" w:cs="Arial" w:eastAsia="Arial" w:hAnsi="Arial"/>
                <w:sz w:val="18"/>
                <w:szCs w:val="18"/>
                <w:color w:val="auto"/>
              </w:rPr>
              <w:t>TripAdvisor, Inc.</w:t>
            </w:r>
          </w:p>
        </w:tc>
        <w:tc>
          <w:tcPr>
            <w:tcW w:w="3200" w:type="dxa"/>
            <w:vAlign w:val="bottom"/>
          </w:tcPr>
          <w:p>
            <w:pPr>
              <w:spacing w:after="0"/>
              <w:rPr>
                <w:sz w:val="20"/>
                <w:szCs w:val="20"/>
                <w:color w:val="auto"/>
              </w:rPr>
            </w:pPr>
          </w:p>
        </w:tc>
      </w:tr>
      <w:tr>
        <w:trPr>
          <w:trHeight w:val="473"/>
        </w:trPr>
        <w:tc>
          <w:tcPr>
            <w:tcW w:w="1360" w:type="dxa"/>
            <w:vAlign w:val="bottom"/>
            <w:gridSpan w:val="2"/>
          </w:tcPr>
          <w:p>
            <w:pPr>
              <w:spacing w:after="0"/>
              <w:rPr>
                <w:sz w:val="20"/>
                <w:szCs w:val="20"/>
                <w:color w:val="auto"/>
              </w:rPr>
            </w:pPr>
            <w:r>
              <w:rPr>
                <w:rFonts w:ascii="Arial" w:cs="Arial" w:eastAsia="Arial" w:hAnsi="Arial"/>
                <w:sz w:val="18"/>
                <w:szCs w:val="18"/>
                <w:color w:val="auto"/>
              </w:rPr>
              <w:t>By:</w:t>
            </w:r>
          </w:p>
        </w:tc>
        <w:tc>
          <w:tcPr>
            <w:tcW w:w="3200" w:type="dxa"/>
            <w:vAlign w:val="bottom"/>
          </w:tcPr>
          <w:p>
            <w:pPr>
              <w:jc w:val="center"/>
              <w:ind w:right="910"/>
              <w:spacing w:after="0"/>
              <w:rPr>
                <w:sz w:val="20"/>
                <w:szCs w:val="20"/>
                <w:color w:val="auto"/>
              </w:rPr>
            </w:pPr>
            <w:r>
              <w:rPr>
                <w:rFonts w:ascii="Arial" w:cs="Arial" w:eastAsia="Arial" w:hAnsi="Arial"/>
                <w:sz w:val="18"/>
                <w:szCs w:val="18"/>
                <w:color w:val="auto"/>
                <w:w w:val="88"/>
              </w:rPr>
              <w:t>/s/ Ernst Teunissen</w:t>
            </w:r>
          </w:p>
        </w:tc>
      </w:tr>
      <w:tr>
        <w:trPr>
          <w:trHeight w:val="191"/>
        </w:trPr>
        <w:tc>
          <w:tcPr>
            <w:tcW w:w="3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tcPr>
          <w:p>
            <w:pPr>
              <w:jc w:val="center"/>
              <w:ind w:right="910"/>
              <w:spacing w:after="0" w:line="191" w:lineRule="exact"/>
              <w:rPr>
                <w:sz w:val="20"/>
                <w:szCs w:val="20"/>
                <w:color w:val="auto"/>
              </w:rPr>
            </w:pPr>
            <w:r>
              <w:rPr>
                <w:rFonts w:ascii="Arial" w:cs="Arial" w:eastAsia="Arial" w:hAnsi="Arial"/>
                <w:sz w:val="18"/>
                <w:szCs w:val="18"/>
                <w:b w:val="1"/>
                <w:bCs w:val="1"/>
                <w:color w:val="auto"/>
                <w:w w:val="88"/>
              </w:rPr>
              <w:t>Ernst Teunissen</w:t>
            </w:r>
          </w:p>
        </w:tc>
      </w:tr>
      <w:tr>
        <w:trPr>
          <w:trHeight w:val="234"/>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0" w:type="dxa"/>
            <w:vAlign w:val="bottom"/>
          </w:tcPr>
          <w:p>
            <w:pPr>
              <w:jc w:val="center"/>
              <w:ind w:right="910"/>
              <w:spacing w:after="0"/>
              <w:rPr>
                <w:sz w:val="20"/>
                <w:szCs w:val="20"/>
                <w:color w:val="auto"/>
              </w:rPr>
            </w:pPr>
            <w:r>
              <w:rPr>
                <w:rFonts w:ascii="Arial" w:cs="Arial" w:eastAsia="Arial" w:hAnsi="Arial"/>
                <w:sz w:val="18"/>
                <w:szCs w:val="18"/>
                <w:b w:val="1"/>
                <w:bCs w:val="1"/>
                <w:color w:val="auto"/>
                <w:w w:val="92"/>
              </w:rPr>
              <w:t>Chief Financial Officer</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color w:val="auto"/>
              </w:rPr>
              <w:t>By:</w:t>
            </w:r>
          </w:p>
        </w:tc>
        <w:tc>
          <w:tcPr>
            <w:tcW w:w="3200" w:type="dxa"/>
            <w:vAlign w:val="bottom"/>
          </w:tcPr>
          <w:p>
            <w:pPr>
              <w:jc w:val="center"/>
              <w:ind w:right="910"/>
              <w:spacing w:after="0"/>
              <w:rPr>
                <w:sz w:val="20"/>
                <w:szCs w:val="20"/>
                <w:color w:val="auto"/>
              </w:rPr>
            </w:pPr>
            <w:r>
              <w:rPr>
                <w:rFonts w:ascii="Arial" w:cs="Arial" w:eastAsia="Arial" w:hAnsi="Arial"/>
                <w:sz w:val="18"/>
                <w:szCs w:val="18"/>
                <w:color w:val="auto"/>
                <w:w w:val="91"/>
              </w:rPr>
              <w:t>/s/ Noel Watson</w:t>
            </w:r>
          </w:p>
        </w:tc>
      </w:tr>
      <w:tr>
        <w:trPr>
          <w:trHeight w:val="191"/>
        </w:trPr>
        <w:tc>
          <w:tcPr>
            <w:tcW w:w="3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tcPr>
          <w:p>
            <w:pPr>
              <w:jc w:val="center"/>
              <w:ind w:right="910"/>
              <w:spacing w:after="0" w:line="191" w:lineRule="exact"/>
              <w:rPr>
                <w:sz w:val="20"/>
                <w:szCs w:val="20"/>
                <w:color w:val="auto"/>
              </w:rPr>
            </w:pPr>
            <w:r>
              <w:rPr>
                <w:rFonts w:ascii="Arial" w:cs="Arial" w:eastAsia="Arial" w:hAnsi="Arial"/>
                <w:sz w:val="18"/>
                <w:szCs w:val="18"/>
                <w:b w:val="1"/>
                <w:bCs w:val="1"/>
                <w:color w:val="auto"/>
                <w:w w:val="88"/>
              </w:rPr>
              <w:t>Noel Watson</w:t>
            </w:r>
          </w:p>
        </w:tc>
      </w:tr>
      <w:tr>
        <w:trPr>
          <w:trHeight w:val="234"/>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0" w:type="dxa"/>
            <w:vAlign w:val="bottom"/>
          </w:tcPr>
          <w:p>
            <w:pPr>
              <w:jc w:val="center"/>
              <w:ind w:right="910"/>
              <w:spacing w:after="0"/>
              <w:rPr>
                <w:sz w:val="20"/>
                <w:szCs w:val="20"/>
                <w:color w:val="auto"/>
              </w:rPr>
            </w:pPr>
            <w:r>
              <w:rPr>
                <w:rFonts w:ascii="Arial" w:cs="Arial" w:eastAsia="Arial" w:hAnsi="Arial"/>
                <w:sz w:val="18"/>
                <w:szCs w:val="18"/>
                <w:b w:val="1"/>
                <w:bCs w:val="1"/>
                <w:color w:val="auto"/>
                <w:w w:val="90"/>
              </w:rPr>
              <w:t>Chief Accounting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August 5, 2016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2016 of TripAdvisor,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August 5, 2016</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Ernst Teunissen, Chief Financial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2016 of TripAdvisor,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August 5, 2016</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20" w:firstLine="518"/>
        <w:spacing w:after="0" w:line="264"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June 30, 2016, as filed with the Securities and Exchange Commission on the date hereof (the “Report”), I, Stephen Kaufer, Chief Executive Officer of the Company, certify, pursuant to Section 906 of the Sarbanes-Oxley Act of 2002, 18 U.S.C. Section 1350, that:</w:t>
      </w:r>
    </w:p>
    <w:p>
      <w:pPr>
        <w:spacing w:after="0" w:line="73" w:lineRule="exact"/>
        <w:rPr>
          <w:sz w:val="20"/>
          <w:szCs w:val="20"/>
          <w:color w:val="auto"/>
        </w:rPr>
      </w:pPr>
    </w:p>
    <w:p>
      <w:pPr>
        <w:ind w:left="520" w:hanging="512"/>
        <w:spacing w:after="0" w:line="277"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August 5, 2016</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20" w:firstLine="518"/>
        <w:spacing w:after="0" w:line="264"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June 30, 2016, as filed with the Securities and Exchange Commission on the date hereof (the “Report”), I, Ernst Teunissen, Chief Financial Officer of the Company, certify, pursuant to Section 906 of the Sarbanes-Oxley Act of 2002, 18 U.S.C. Section 1350, that:</w:t>
      </w:r>
    </w:p>
    <w:p>
      <w:pPr>
        <w:spacing w:after="0" w:line="73" w:lineRule="exact"/>
        <w:rPr>
          <w:sz w:val="20"/>
          <w:szCs w:val="20"/>
          <w:color w:val="auto"/>
        </w:rPr>
      </w:pPr>
    </w:p>
    <w:p>
      <w:pPr>
        <w:ind w:left="520" w:hanging="512"/>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August 5, 2016</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emdash "/>
      <w:numFmt w:val="bullet"/>
      <w:start w:val="1"/>
    </w:lvl>
  </w:abstractNum>
  <w:abstractNum w:abstractNumId="8">
    <w:nsid w:val="436C6125"/>
    <w:multiLevelType w:val="hybridMultilevel"/>
    <w:lvl w:ilvl="0">
      <w:lvlJc w:val="left"/>
      <w:lvlText w:val="(%1)"/>
      <w:numFmt w:val="decimal"/>
      <w:start w:val="3"/>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3"/>
    </w:lvl>
  </w:abstractNum>
  <w:abstractNum w:abstractNumId="15">
    <w:nsid w:val="75A2A8D4"/>
    <w:multiLevelType w:val="hybridMultilevel"/>
    <w:lvl w:ilvl="0">
      <w:lvlJc w:val="left"/>
      <w:lvlText w:val="(%1)"/>
      <w:numFmt w:val="decimal"/>
      <w:start w:val="5"/>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2019-12-29T11:16:17Z</dcterms:created>
  <dcterms:modified xsi:type="dcterms:W3CDTF">2019-12-29T11:16:17Z</dcterms:modified>
</cp:coreProperties>
</file>