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4" w:lineRule="exact"/>
        <w:rPr>
          <w:sz w:val="24"/>
          <w:szCs w:val="24"/>
          <w:color w:val="auto"/>
        </w:rPr>
      </w:pPr>
    </w:p>
    <w:p>
      <w:pPr>
        <w:ind w:left="520" w:right="300" w:hanging="512"/>
        <w:spacing w:after="0" w:line="256" w:lineRule="auto"/>
        <w:tabs>
          <w:tab w:leader="none" w:pos="443"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March 31, 2022</w:t>
      </w:r>
    </w:p>
    <w:p>
      <w:pPr>
        <w:jc w:val="center"/>
        <w:ind w:right="40"/>
        <w:spacing w:after="0" w:line="237" w:lineRule="auto"/>
        <w:rPr>
          <w:sz w:val="20"/>
          <w:szCs w:val="20"/>
          <w:color w:val="auto"/>
        </w:rPr>
      </w:pPr>
      <w:r>
        <w:rPr>
          <w:rFonts w:ascii="Arial" w:cs="Arial" w:eastAsia="Arial" w:hAnsi="Arial"/>
          <w:sz w:val="18"/>
          <w:szCs w:val="18"/>
          <w:b w:val="1"/>
          <w:bCs w:val="1"/>
          <w:color w:val="auto"/>
        </w:rPr>
        <w:t>OR</w:t>
      </w:r>
    </w:p>
    <w:p>
      <w:pPr>
        <w:spacing w:after="0" w:line="1" w:lineRule="exact"/>
        <w:rPr>
          <w:sz w:val="24"/>
          <w:szCs w:val="24"/>
          <w:color w:val="auto"/>
        </w:rPr>
      </w:pPr>
    </w:p>
    <w:p>
      <w:pPr>
        <w:ind w:left="520" w:right="300" w:hanging="512"/>
        <w:spacing w:after="0" w:line="241" w:lineRule="auto"/>
        <w:tabs>
          <w:tab w:leader="none" w:pos="443"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6" w:lineRule="exact"/>
        <w:rPr>
          <w:sz w:val="24"/>
          <w:szCs w:val="24"/>
          <w:color w:val="auto"/>
        </w:rPr>
      </w:pPr>
    </w:p>
    <w:p>
      <w:pPr>
        <w:ind w:left="338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571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3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001-35362</w:t>
      </w:r>
    </w:p>
    <w:p>
      <w:pPr>
        <w:spacing w:after="0" w:line="146"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TRIPADVISOR,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p>
      <w:pPr>
        <w:spacing w:after="0" w:line="340"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18" w:lineRule="exact"/>
        <w:rPr>
          <w:sz w:val="24"/>
          <w:szCs w:val="24"/>
          <w:color w:val="auto"/>
        </w:rPr>
      </w:pPr>
    </w:p>
    <w:p>
      <w:pPr>
        <w:sectPr>
          <w:pgSz w:w="11900" w:h="16838" w:orient="portrait"/>
          <w:cols w:equalWidth="0" w:num="2">
            <w:col w:w="8020" w:space="720"/>
            <w:col w:w="2500"/>
          </w:cols>
          <w:pgMar w:left="320" w:top="206" w:right="339" w:bottom="1440" w:gutter="0" w:footer="0" w:header="0"/>
          <w:type w:val="continuous"/>
        </w:sectPr>
      </w:pPr>
    </w:p>
    <w:p>
      <w:pPr>
        <w:spacing w:after="0" w:line="11" w:lineRule="exact"/>
        <w:rPr>
          <w:sz w:val="24"/>
          <w:szCs w:val="24"/>
          <w:color w:val="auto"/>
        </w:rPr>
      </w:pPr>
    </w:p>
    <w:p>
      <w:pPr>
        <w:ind w:left="2600"/>
        <w:spacing w:after="0"/>
        <w:rPr>
          <w:sz w:val="20"/>
          <w:szCs w:val="20"/>
          <w:color w:val="auto"/>
        </w:rPr>
      </w:pPr>
      <w:r>
        <w:rPr>
          <w:rFonts w:ascii="Arial" w:cs="Arial" w:eastAsia="Arial" w:hAnsi="Arial"/>
          <w:sz w:val="13"/>
          <w:szCs w:val="13"/>
          <w:b w:val="1"/>
          <w:bCs w:val="1"/>
          <w:color w:val="auto"/>
        </w:rPr>
        <w:t>(State or other jurisdiction of</w:t>
      </w:r>
    </w:p>
    <w:p>
      <w:pPr>
        <w:ind w:left="25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6" w:lineRule="exact"/>
        <w:rPr>
          <w:sz w:val="24"/>
          <w:szCs w:val="24"/>
          <w:color w:val="auto"/>
        </w:rPr>
      </w:pPr>
    </w:p>
    <w:p>
      <w:pPr>
        <w:sectPr>
          <w:pgSz w:w="11900" w:h="16838" w:orient="portrait"/>
          <w:cols w:equalWidth="0" w:num="2">
            <w:col w:w="7900" w:space="720"/>
            <w:col w:w="2620"/>
          </w:cols>
          <w:pgMar w:left="320" w:top="206" w:right="339" w:bottom="1440" w:gutter="0" w:footer="0" w:header="0"/>
          <w:type w:val="continuous"/>
        </w:sectPr>
      </w:pPr>
    </w:p>
    <w:p>
      <w:pPr>
        <w:ind w:left="5080"/>
        <w:spacing w:after="0"/>
        <w:rPr>
          <w:sz w:val="20"/>
          <w:szCs w:val="20"/>
          <w:color w:val="auto"/>
        </w:rPr>
      </w:pPr>
      <w:r>
        <w:rPr>
          <w:rFonts w:ascii="Arial" w:cs="Arial" w:eastAsia="Arial" w:hAnsi="Arial"/>
          <w:sz w:val="18"/>
          <w:szCs w:val="18"/>
          <w:b w:val="1"/>
          <w:bCs w:val="1"/>
          <w:color w:val="auto"/>
        </w:rPr>
        <w:t>400 1</w:t>
      </w:r>
      <w:r>
        <w:rPr>
          <w:rFonts w:ascii="Arial" w:cs="Arial" w:eastAsia="Arial" w:hAnsi="Arial"/>
          <w:sz w:val="12"/>
          <w:szCs w:val="12"/>
          <w:b w:val="1"/>
          <w:bCs w:val="1"/>
          <w:color w:val="auto"/>
        </w:rPr>
        <w:t>st</w:t>
      </w:r>
      <w:r>
        <w:rPr>
          <w:rFonts w:ascii="Arial" w:cs="Arial" w:eastAsia="Arial" w:hAnsi="Arial"/>
          <w:sz w:val="18"/>
          <w:szCs w:val="18"/>
          <w:b w:val="1"/>
          <w:bCs w:val="1"/>
          <w:color w:val="auto"/>
        </w:rPr>
        <w:t xml:space="preserve"> Avenue</w:t>
      </w:r>
    </w:p>
    <w:p>
      <w:pPr>
        <w:ind w:left="4800"/>
        <w:spacing w:after="0"/>
        <w:rPr>
          <w:sz w:val="20"/>
          <w:szCs w:val="20"/>
          <w:color w:val="auto"/>
        </w:rPr>
      </w:pPr>
      <w:r>
        <w:rPr>
          <w:rFonts w:ascii="Arial" w:cs="Arial" w:eastAsia="Arial" w:hAnsi="Arial"/>
          <w:sz w:val="16"/>
          <w:szCs w:val="16"/>
          <w:b w:val="1"/>
          <w:bCs w:val="1"/>
          <w:color w:val="auto"/>
        </w:rPr>
        <w:t>Needham, MA 02494</w:t>
      </w:r>
    </w:p>
    <w:p>
      <w:pPr>
        <w:sectPr>
          <w:pgSz w:w="11900" w:h="16838" w:orient="portrait"/>
          <w:cols w:equalWidth="0" w:num="1">
            <w:col w:w="11240"/>
          </w:cols>
          <w:pgMar w:left="320" w:top="206" w:right="339" w:bottom="1440" w:gutter="0" w:footer="0" w:header="0"/>
          <w:type w:val="continuous"/>
        </w:sectPr>
      </w:pP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8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0" w:lineRule="exact"/>
        <w:rPr>
          <w:sz w:val="24"/>
          <w:szCs w:val="24"/>
          <w:color w:val="auto"/>
        </w:rPr>
      </w:pPr>
    </w:p>
    <w:tbl>
      <w:tblPr>
        <w:tblLayout w:type="fixed"/>
        <w:tblInd w:w="590" w:type="dxa"/>
        <w:tblCellMar>
          <w:top w:w="0" w:type="dxa"/>
          <w:left w:w="0" w:type="dxa"/>
          <w:bottom w:w="0" w:type="dxa"/>
          <w:right w:w="0" w:type="dxa"/>
        </w:tblCellMar>
      </w:tblPr>
      <w:tr>
        <w:trPr>
          <w:trHeight w:val="209"/>
        </w:trPr>
        <w:tc>
          <w:tcPr>
            <w:tcW w:w="2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Trading Symbol</w:t>
            </w:r>
          </w:p>
        </w:tc>
        <w:tc>
          <w:tcPr>
            <w:tcW w:w="4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66"/>
        </w:trPr>
        <w:tc>
          <w:tcPr>
            <w:tcW w:w="2540" w:type="dxa"/>
            <w:vAlign w:val="bottom"/>
            <w:tcBorders>
              <w:left w:val="single" w:sz="8" w:color="auto"/>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1"/>
              </w:rPr>
              <w:t>Common stock</w:t>
            </w:r>
          </w:p>
        </w:tc>
        <w:tc>
          <w:tcPr>
            <w:tcW w:w="252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93"/>
              </w:rPr>
              <w:t>TRIP</w:t>
            </w:r>
          </w:p>
        </w:tc>
        <w:tc>
          <w:tcPr>
            <w:tcW w:w="484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color w:val="auto"/>
                <w:w w:val="86"/>
              </w:rPr>
              <w:t>Nasdaq</w:t>
            </w:r>
          </w:p>
        </w:tc>
      </w:tr>
    </w:tbl>
    <w:p>
      <w:pPr>
        <w:spacing w:after="0" w:line="85" w:lineRule="exact"/>
        <w:rPr>
          <w:sz w:val="24"/>
          <w:szCs w:val="24"/>
          <w:color w:val="auto"/>
        </w:rPr>
      </w:pPr>
    </w:p>
    <w:p>
      <w:pPr>
        <w:ind w:firstLine="509"/>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right="180" w:firstLine="509"/>
        <w:spacing w:after="0" w:line="20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right="160" w:firstLine="59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59" w:lineRule="exact"/>
        <w:rPr>
          <w:sz w:val="24"/>
          <w:szCs w:val="24"/>
          <w:color w:val="auto"/>
        </w:rPr>
      </w:pPr>
    </w:p>
    <w:p>
      <w:pPr>
        <w:ind w:right="500" w:firstLine="59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7940" w:type="dxa"/>
            <w:vAlign w:val="bottom"/>
            <w:gridSpan w:val="3"/>
          </w:tcPr>
          <w:p>
            <w:pPr>
              <w:ind w:left="50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26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20" w:type="dxa"/>
            <w:vAlign w:val="bottom"/>
          </w:tcPr>
          <w:p>
            <w:pPr>
              <w:spacing w:after="0"/>
              <w:rPr>
                <w:sz w:val="22"/>
                <w:szCs w:val="22"/>
                <w:color w:val="auto"/>
              </w:rPr>
            </w:pPr>
          </w:p>
        </w:tc>
      </w:tr>
      <w:tr>
        <w:trPr>
          <w:trHeight w:val="244"/>
        </w:trPr>
        <w:tc>
          <w:tcPr>
            <w:tcW w:w="20" w:type="dxa"/>
            <w:vAlign w:val="bottom"/>
          </w:tcPr>
          <w:p>
            <w:pPr>
              <w:spacing w:after="0"/>
              <w:rPr>
                <w:sz w:val="21"/>
                <w:szCs w:val="21"/>
                <w:color w:val="auto"/>
              </w:rPr>
            </w:pPr>
          </w:p>
        </w:tc>
        <w:tc>
          <w:tcPr>
            <w:tcW w:w="6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Class</w:t>
            </w:r>
          </w:p>
        </w:tc>
        <w:tc>
          <w:tcPr>
            <w:tcW w:w="980" w:type="dxa"/>
            <w:vAlign w:val="bottom"/>
            <w:gridSpan w:val="2"/>
          </w:tcPr>
          <w:p>
            <w:pPr>
              <w:spacing w:after="0"/>
              <w:rPr>
                <w:sz w:val="21"/>
                <w:szCs w:val="21"/>
                <w:color w:val="auto"/>
              </w:rPr>
            </w:pPr>
          </w:p>
        </w:tc>
        <w:tc>
          <w:tcPr>
            <w:tcW w:w="3260" w:type="dxa"/>
            <w:vAlign w:val="bottom"/>
          </w:tcPr>
          <w:p>
            <w:pPr>
              <w:jc w:val="center"/>
              <w:ind w:right="757"/>
              <w:spacing w:after="0"/>
              <w:rPr>
                <w:sz w:val="20"/>
                <w:szCs w:val="20"/>
                <w:color w:val="auto"/>
              </w:rPr>
            </w:pPr>
            <w:r>
              <w:rPr>
                <w:rFonts w:ascii="Arial" w:cs="Arial" w:eastAsia="Arial" w:hAnsi="Arial"/>
                <w:sz w:val="14"/>
                <w:szCs w:val="14"/>
                <w:color w:val="auto"/>
                <w:w w:val="93"/>
              </w:rPr>
              <w:t>Outstanding Shares at April 28, 2022</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7940" w:type="dxa"/>
            <w:vAlign w:val="bottom"/>
            <w:gridSpan w:val="3"/>
          </w:tcPr>
          <w:p>
            <w:pPr>
              <w:jc w:val="center"/>
              <w:ind w:right="980"/>
              <w:spacing w:after="0"/>
              <w:rPr>
                <w:sz w:val="20"/>
                <w:szCs w:val="20"/>
                <w:color w:val="auto"/>
              </w:rPr>
            </w:pPr>
            <w:r>
              <w:rPr>
                <w:rFonts w:ascii="Arial" w:cs="Arial" w:eastAsia="Arial" w:hAnsi="Arial"/>
                <w:sz w:val="18"/>
                <w:szCs w:val="18"/>
                <w:color w:val="auto"/>
                <w:w w:val="89"/>
              </w:rPr>
              <w:t>Common Stock, $0.001 par value per share</w:t>
            </w:r>
          </w:p>
        </w:tc>
        <w:tc>
          <w:tcPr>
            <w:tcW w:w="3260" w:type="dxa"/>
            <w:vAlign w:val="bottom"/>
          </w:tcPr>
          <w:p>
            <w:pPr>
              <w:jc w:val="center"/>
              <w:ind w:right="737"/>
              <w:spacing w:after="0"/>
              <w:rPr>
                <w:sz w:val="20"/>
                <w:szCs w:val="20"/>
                <w:color w:val="auto"/>
              </w:rPr>
            </w:pPr>
            <w:r>
              <w:rPr>
                <w:rFonts w:ascii="Arial" w:cs="Arial" w:eastAsia="Arial" w:hAnsi="Arial"/>
                <w:sz w:val="18"/>
                <w:szCs w:val="18"/>
                <w:color w:val="auto"/>
                <w:w w:val="87"/>
              </w:rPr>
              <w:t>126,819,417 shares</w:t>
            </w:r>
          </w:p>
        </w:tc>
        <w:tc>
          <w:tcPr>
            <w:tcW w:w="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7940" w:type="dxa"/>
            <w:vAlign w:val="bottom"/>
            <w:gridSpan w:val="3"/>
          </w:tcPr>
          <w:p>
            <w:pPr>
              <w:jc w:val="center"/>
              <w:ind w:right="980"/>
              <w:spacing w:after="0"/>
              <w:rPr>
                <w:sz w:val="20"/>
                <w:szCs w:val="20"/>
                <w:color w:val="auto"/>
              </w:rPr>
            </w:pPr>
            <w:r>
              <w:rPr>
                <w:rFonts w:ascii="Arial" w:cs="Arial" w:eastAsia="Arial" w:hAnsi="Arial"/>
                <w:sz w:val="18"/>
                <w:szCs w:val="18"/>
                <w:color w:val="auto"/>
                <w:w w:val="89"/>
              </w:rPr>
              <w:t>Class B common stock, $0.001 par value per share</w:t>
            </w:r>
          </w:p>
        </w:tc>
        <w:tc>
          <w:tcPr>
            <w:tcW w:w="3260" w:type="dxa"/>
            <w:vAlign w:val="bottom"/>
          </w:tcPr>
          <w:p>
            <w:pPr>
              <w:jc w:val="center"/>
              <w:ind w:right="757"/>
              <w:spacing w:after="0"/>
              <w:rPr>
                <w:sz w:val="20"/>
                <w:szCs w:val="20"/>
                <w:color w:val="auto"/>
              </w:rPr>
            </w:pPr>
            <w:r>
              <w:rPr>
                <w:rFonts w:ascii="Arial" w:cs="Arial" w:eastAsia="Arial" w:hAnsi="Arial"/>
                <w:sz w:val="18"/>
                <w:szCs w:val="18"/>
                <w:color w:val="auto"/>
                <w:w w:val="87"/>
              </w:rPr>
              <w:t>12,799,999 shares</w:t>
            </w:r>
          </w:p>
        </w:tc>
        <w:tc>
          <w:tcPr>
            <w:tcW w:w="20" w:type="dxa"/>
            <w:vAlign w:val="bottom"/>
          </w:tcPr>
          <w:p>
            <w:pPr>
              <w:spacing w:after="0"/>
              <w:rPr>
                <w:sz w:val="24"/>
                <w:szCs w:val="24"/>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69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365"/>
        </w:trPr>
        <w:tc>
          <w:tcPr>
            <w:tcW w:w="2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auto"/>
        </w:rPr>
        <w:t>Tripadvisor, Inc.</w:t>
      </w:r>
    </w:p>
    <w:p>
      <w:pPr>
        <w:spacing w:after="0" w:line="1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jc w:val="center"/>
        <w:ind w:right="60"/>
        <w:spacing w:after="0"/>
        <w:rPr>
          <w:sz w:val="20"/>
          <w:szCs w:val="20"/>
          <w:color w:val="auto"/>
        </w:rPr>
      </w:pPr>
      <w:r>
        <w:rPr>
          <w:rFonts w:ascii="Arial" w:cs="Arial" w:eastAsia="Arial" w:hAnsi="Arial"/>
          <w:sz w:val="18"/>
          <w:szCs w:val="18"/>
          <w:b w:val="1"/>
          <w:bCs w:val="1"/>
          <w:color w:val="auto"/>
        </w:rPr>
        <w:t>For the Quarter Ended March 31, 2022</w:t>
      </w:r>
    </w:p>
    <w:p>
      <w:pPr>
        <w:spacing w:after="0" w:line="1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342"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6"/>
        </w:trPr>
        <w:tc>
          <w:tcPr>
            <w:tcW w:w="1086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860" w:type="dxa"/>
            <w:vAlign w:val="bottom"/>
            <w:gridSpan w:val="19"/>
            <w:vMerge w:val="continue"/>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10860" w:type="dxa"/>
            <w:vAlign w:val="bottom"/>
            <w:gridSpan w:val="19"/>
          </w:tcPr>
          <w:p>
            <w:pPr>
              <w:spacing w:after="0"/>
              <w:rPr>
                <w:sz w:val="20"/>
                <w:szCs w:val="20"/>
                <w:color w:val="auto"/>
              </w:rPr>
            </w:pPr>
            <w:r>
              <w:rPr>
                <w:rFonts w:ascii="Arial" w:cs="Arial" w:eastAsia="Arial" w:hAnsi="Arial"/>
                <w:sz w:val="18"/>
                <w:szCs w:val="18"/>
                <w:color w:val="auto"/>
              </w:rPr>
              <w:t>Item 1. Unaudited Condensed Financial Statements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40" w:type="dxa"/>
            <w:vAlign w:val="bottom"/>
          </w:tcPr>
          <w:p>
            <w:pPr>
              <w:spacing w:after="0"/>
              <w:rPr>
                <w:sz w:val="24"/>
                <w:szCs w:val="24"/>
                <w:color w:val="auto"/>
              </w:rPr>
            </w:pPr>
          </w:p>
        </w:tc>
        <w:tc>
          <w:tcPr>
            <w:tcW w:w="844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Unaudited Condensed Consolidated Statements of Operations for the Three Months Ended March 31, 2022 and 2021</w:t>
              </w:r>
            </w:hyperlink>
          </w:p>
        </w:tc>
        <w:tc>
          <w:tcPr>
            <w:tcW w:w="20" w:type="dxa"/>
            <w:vAlign w:val="bottom"/>
            <w:tcBorders>
              <w:bottom w:val="single" w:sz="8" w:color="0000EE"/>
            </w:tcBorders>
          </w:tcPr>
          <w:p>
            <w:pPr>
              <w:spacing w:after="0"/>
              <w:rPr>
                <w:sz w:val="24"/>
                <w:szCs w:val="24"/>
                <w:color w:val="auto"/>
              </w:rPr>
            </w:pPr>
          </w:p>
        </w:tc>
        <w:tc>
          <w:tcPr>
            <w:tcW w:w="196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44"/>
        </w:trPr>
        <w:tc>
          <w:tcPr>
            <w:tcW w:w="440" w:type="dxa"/>
            <w:vAlign w:val="bottom"/>
          </w:tcPr>
          <w:p>
            <w:pPr>
              <w:spacing w:after="0"/>
              <w:rPr>
                <w:sz w:val="24"/>
                <w:szCs w:val="24"/>
                <w:color w:val="auto"/>
              </w:rPr>
            </w:pPr>
          </w:p>
        </w:tc>
        <w:tc>
          <w:tcPr>
            <w:tcW w:w="10420" w:type="dxa"/>
            <w:vAlign w:val="bottom"/>
            <w:gridSpan w:val="18"/>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Unaudited Condensed Consolidated Statements of Comprehensive Income (Loss) for the Three Months Ended March 31, 2022 and 2021</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45"/>
        </w:trPr>
        <w:tc>
          <w:tcPr>
            <w:tcW w:w="440" w:type="dxa"/>
            <w:vAlign w:val="bottom"/>
          </w:tcPr>
          <w:p>
            <w:pPr>
              <w:spacing w:after="0"/>
              <w:rPr>
                <w:sz w:val="24"/>
                <w:szCs w:val="24"/>
                <w:color w:val="auto"/>
              </w:rPr>
            </w:pPr>
          </w:p>
        </w:tc>
        <w:tc>
          <w:tcPr>
            <w:tcW w:w="686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Unaudited Condensed Consolidated Balance Sheets at March 31, 2022 and December 31, 2021</w:t>
              </w:r>
            </w:hyperlink>
          </w:p>
        </w:tc>
        <w:tc>
          <w:tcPr>
            <w:tcW w:w="20" w:type="dxa"/>
            <w:vAlign w:val="bottom"/>
            <w:tcBorders>
              <w:top w:val="single" w:sz="8" w:color="0000FF"/>
              <w:bottom w:val="single" w:sz="8" w:color="0000EE"/>
            </w:tcBorders>
          </w:tcPr>
          <w:p>
            <w:pPr>
              <w:spacing w:after="0"/>
              <w:rPr>
                <w:sz w:val="24"/>
                <w:szCs w:val="24"/>
                <w:color w:val="auto"/>
              </w:rPr>
            </w:pPr>
          </w:p>
        </w:tc>
        <w:tc>
          <w:tcPr>
            <w:tcW w:w="2980" w:type="dxa"/>
            <w:vAlign w:val="bottom"/>
            <w:tcBorders>
              <w:top w:val="single" w:sz="8" w:color="0000FF"/>
            </w:tcBorders>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44"/>
        </w:trPr>
        <w:tc>
          <w:tcPr>
            <w:tcW w:w="440" w:type="dxa"/>
            <w:vAlign w:val="bottom"/>
          </w:tcPr>
          <w:p>
            <w:pPr>
              <w:spacing w:after="0"/>
              <w:rPr>
                <w:sz w:val="24"/>
                <w:szCs w:val="24"/>
                <w:color w:val="auto"/>
              </w:rPr>
            </w:pPr>
          </w:p>
        </w:tc>
        <w:tc>
          <w:tcPr>
            <w:tcW w:w="10420" w:type="dxa"/>
            <w:vAlign w:val="bottom"/>
            <w:gridSpan w:val="18"/>
          </w:tcPr>
          <w:p>
            <w:pPr>
              <w:spacing w:after="0"/>
              <w:rPr>
                <w:rFonts w:ascii="Arial" w:cs="Arial" w:eastAsia="Arial" w:hAnsi="Arial"/>
                <w:sz w:val="18"/>
                <w:szCs w:val="18"/>
                <w:color w:val="0000FF"/>
                <w:w w:val="93"/>
              </w:rPr>
            </w:pPr>
            <w:hyperlink w:anchor="page6">
              <w:r>
                <w:rPr>
                  <w:rFonts w:ascii="Arial" w:cs="Arial" w:eastAsia="Arial" w:hAnsi="Arial"/>
                  <w:sz w:val="18"/>
                  <w:szCs w:val="18"/>
                  <w:color w:val="0000FF"/>
                  <w:w w:val="93"/>
                </w:rPr>
                <w:t>Unaudited Condensed Consolidated Statements of Changes in Stockholders’ Equity for the Three Months Ended March 31, 2022 and 2021</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44"/>
        </w:trPr>
        <w:tc>
          <w:tcPr>
            <w:tcW w:w="440" w:type="dxa"/>
            <w:vAlign w:val="bottom"/>
          </w:tcPr>
          <w:p>
            <w:pPr>
              <w:spacing w:after="0"/>
              <w:rPr>
                <w:sz w:val="24"/>
                <w:szCs w:val="24"/>
                <w:color w:val="auto"/>
              </w:rPr>
            </w:pPr>
          </w:p>
        </w:tc>
        <w:tc>
          <w:tcPr>
            <w:tcW w:w="850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Unaudited Condensed Consolidated Statements of Cash Flows for the Three Months Ended March 31, 2022 and 2021</w:t>
              </w:r>
            </w:hyperlink>
          </w:p>
        </w:tc>
        <w:tc>
          <w:tcPr>
            <w:tcW w:w="1520" w:type="dxa"/>
            <w:vAlign w:val="bottom"/>
            <w:tcBorders>
              <w:top w:val="single" w:sz="8" w:color="0000FF"/>
            </w:tcBorders>
            <w:gridSpan w:val="2"/>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45"/>
        </w:trPr>
        <w:tc>
          <w:tcPr>
            <w:tcW w:w="440" w:type="dxa"/>
            <w:vAlign w:val="bottom"/>
          </w:tcPr>
          <w:p>
            <w:pPr>
              <w:spacing w:after="0"/>
              <w:rPr>
                <w:sz w:val="24"/>
                <w:szCs w:val="24"/>
                <w:color w:val="auto"/>
              </w:rPr>
            </w:pPr>
          </w:p>
        </w:tc>
        <w:tc>
          <w:tcPr>
            <w:tcW w:w="10420" w:type="dxa"/>
            <w:vAlign w:val="bottom"/>
            <w:gridSpan w:val="1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Unaudited Condensed Consolidated 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4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860" w:type="dxa"/>
            <w:vAlign w:val="bottom"/>
            <w:gridSpan w:val="19"/>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2. 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384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860" w:type="dxa"/>
            <w:vAlign w:val="bottom"/>
            <w:gridSpan w:val="19"/>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3. Quantitative and Qualitative Disclosures about Market Risk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60" w:type="dxa"/>
            <w:vAlign w:val="bottom"/>
            <w:gridSpan w:val="19"/>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4. 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60" w:type="dxa"/>
            <w:vAlign w:val="bottom"/>
            <w:gridSpan w:val="19"/>
          </w:tcPr>
          <w:p>
            <w:pPr>
              <w:spacing w:after="0"/>
              <w:rPr>
                <w:sz w:val="20"/>
                <w:szCs w:val="20"/>
                <w:color w:val="auto"/>
              </w:rPr>
            </w:pPr>
            <w:r>
              <w:rPr>
                <w:rFonts w:ascii="Arial" w:cs="Arial" w:eastAsia="Arial" w:hAnsi="Arial"/>
                <w:sz w:val="18"/>
                <w:szCs w:val="18"/>
                <w:color w:val="0000FF"/>
              </w:rPr>
              <w:t>Part II—Other Information</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60" w:type="dxa"/>
            <w:vAlign w:val="bottom"/>
            <w:gridSpan w:val="19"/>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1. Legal Proceedings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60" w:type="dxa"/>
            <w:vAlign w:val="bottom"/>
            <w:gridSpan w:val="19"/>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1A. Risk Factors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60" w:type="dxa"/>
            <w:vAlign w:val="bottom"/>
            <w:gridSpan w:val="19"/>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2. Unregistered Sales of Equity Securities and Use of Proceeds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860" w:type="dxa"/>
            <w:vAlign w:val="bottom"/>
            <w:gridSpan w:val="19"/>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Item 3. Defaults Upon Senior Securities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98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60" w:type="dxa"/>
            <w:vAlign w:val="bottom"/>
            <w:gridSpan w:val="19"/>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4. Mine Safety Disclosures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54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60" w:type="dxa"/>
            <w:vAlign w:val="bottom"/>
            <w:gridSpan w:val="19"/>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5. 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98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0860" w:type="dxa"/>
            <w:vAlign w:val="bottom"/>
            <w:gridSpan w:val="19"/>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Item 6. Exhibits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700" w:type="dxa"/>
            <w:vAlign w:val="bottom"/>
            <w:gridSpan w:val="1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0860" w:type="dxa"/>
            <w:vAlign w:val="bottom"/>
            <w:gridSpan w:val="19"/>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Signatures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4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TRIPADVISOR,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OPERATIONS</w:t>
      </w:r>
    </w:p>
    <w:p>
      <w:pPr>
        <w:jc w:val="center"/>
        <w:ind w:right="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(Note 3)</w:t>
            </w:r>
          </w:p>
        </w:tc>
        <w:tc>
          <w:tcPr>
            <w:tcW w:w="1100" w:type="dxa"/>
            <w:vAlign w:val="bottom"/>
            <w:shd w:val="clear" w:color="auto" w:fill="CFF0FC"/>
          </w:tcPr>
          <w:p>
            <w:pPr>
              <w:jc w:val="right"/>
              <w:ind w:right="914"/>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262</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892"/>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123</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Costs and expenses:</w:t>
            </w:r>
          </w:p>
        </w:tc>
        <w:tc>
          <w:tcPr>
            <w:tcW w:w="1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Cost of revenue (exclusive of depreciation and amortization as shown separately below)</w:t>
            </w:r>
          </w:p>
        </w:tc>
        <w:tc>
          <w:tcPr>
            <w:tcW w:w="1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8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and marketing (1)</w:t>
            </w:r>
          </w:p>
        </w:tc>
        <w:tc>
          <w:tcPr>
            <w:tcW w:w="11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Technology and content (1)</w:t>
            </w:r>
          </w:p>
        </w:tc>
        <w:tc>
          <w:tcPr>
            <w:tcW w:w="1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80" w:type="dxa"/>
            <w:vAlign w:val="bottom"/>
          </w:tcPr>
          <w:p>
            <w:pPr>
              <w:spacing w:after="0"/>
              <w:rPr>
                <w:sz w:val="17"/>
                <w:szCs w:val="17"/>
                <w:color w:val="auto"/>
              </w:rPr>
            </w:pPr>
          </w:p>
        </w:tc>
      </w:tr>
      <w:tr>
        <w:trPr>
          <w:trHeight w:val="202"/>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 (1)</w:t>
            </w:r>
          </w:p>
        </w:tc>
        <w:tc>
          <w:tcPr>
            <w:tcW w:w="11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w:t>
            </w:r>
          </w:p>
        </w:tc>
        <w:tc>
          <w:tcPr>
            <w:tcW w:w="2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w:t>
            </w:r>
          </w:p>
        </w:tc>
        <w:tc>
          <w:tcPr>
            <w:tcW w:w="80" w:type="dxa"/>
            <w:vAlign w:val="bottom"/>
          </w:tcPr>
          <w:p>
            <w:pPr>
              <w:spacing w:after="0"/>
              <w:rPr>
                <w:sz w:val="17"/>
                <w:szCs w:val="17"/>
                <w:color w:val="auto"/>
              </w:rPr>
            </w:pPr>
          </w:p>
        </w:tc>
      </w:tr>
      <w:tr>
        <w:trPr>
          <w:trHeight w:val="196"/>
        </w:trPr>
        <w:tc>
          <w:tcPr>
            <w:tcW w:w="76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costs and expenses</w:t>
            </w:r>
          </w:p>
        </w:tc>
        <w:tc>
          <w:tcPr>
            <w:tcW w:w="110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282</w:t>
            </w:r>
          </w:p>
        </w:tc>
        <w:tc>
          <w:tcPr>
            <w:tcW w:w="28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1100" w:type="dxa"/>
            <w:vAlign w:val="bottom"/>
          </w:tcPr>
          <w:p>
            <w:pPr>
              <w:spacing w:after="0"/>
              <w:rPr>
                <w:sz w:val="17"/>
                <w:szCs w:val="17"/>
                <w:color w:val="auto"/>
              </w:rPr>
            </w:pPr>
          </w:p>
        </w:tc>
        <w:tc>
          <w:tcPr>
            <w:tcW w:w="80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(20 )</w:t>
            </w:r>
          </w:p>
        </w:tc>
        <w:tc>
          <w:tcPr>
            <w:tcW w:w="1080" w:type="dxa"/>
            <w:vAlign w:val="bottom"/>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(84 )</w:t>
            </w: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7"/>
                <w:szCs w:val="17"/>
                <w:color w:val="auto"/>
              </w:rPr>
            </w:pPr>
          </w:p>
        </w:tc>
        <w:tc>
          <w:tcPr>
            <w:tcW w:w="8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(12 )</w:t>
            </w:r>
          </w:p>
        </w:tc>
        <w:tc>
          <w:tcPr>
            <w:tcW w:w="1080" w:type="dxa"/>
            <w:vAlign w:val="bottom"/>
          </w:tcPr>
          <w:p>
            <w:pPr>
              <w:spacing w:after="0"/>
              <w:rPr>
                <w:sz w:val="17"/>
                <w:szCs w:val="17"/>
                <w:color w:val="auto"/>
              </w:rPr>
            </w:pP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(11 )</w:t>
            </w: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 and other, net</w:t>
            </w:r>
          </w:p>
        </w:tc>
        <w:tc>
          <w:tcPr>
            <w:tcW w:w="1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(1 )</w:t>
            </w:r>
          </w:p>
        </w:tc>
        <w:tc>
          <w:tcPr>
            <w:tcW w:w="108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r>
      <w:tr>
        <w:trPr>
          <w:trHeight w:val="20"/>
        </w:trPr>
        <w:tc>
          <w:tcPr>
            <w:tcW w:w="76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color w:val="auto"/>
              </w:rPr>
              <w:t>Total other income (expense), net</w:t>
            </w:r>
          </w:p>
        </w:tc>
        <w:tc>
          <w:tcPr>
            <w:tcW w:w="1100" w:type="dxa"/>
            <w:vAlign w:val="bottom"/>
          </w:tcPr>
          <w:p>
            <w:pPr>
              <w:spacing w:after="0"/>
              <w:rPr>
                <w:sz w:val="17"/>
                <w:szCs w:val="17"/>
                <w:color w:val="auto"/>
              </w:rPr>
            </w:pPr>
          </w:p>
        </w:tc>
        <w:tc>
          <w:tcPr>
            <w:tcW w:w="80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(13 )</w:t>
            </w:r>
          </w:p>
        </w:tc>
        <w:tc>
          <w:tcPr>
            <w:tcW w:w="1080" w:type="dxa"/>
            <w:vAlign w:val="bottom"/>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(12 )</w:t>
            </w: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110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(96</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(Provision) benefit for income taxes (Note 7)</w:t>
            </w:r>
          </w:p>
        </w:tc>
        <w:tc>
          <w:tcPr>
            <w:tcW w:w="1100" w:type="dxa"/>
            <w:vAlign w:val="bottom"/>
          </w:tcPr>
          <w:p>
            <w:pPr>
              <w:spacing w:after="0"/>
              <w:rPr>
                <w:sz w:val="17"/>
                <w:szCs w:val="17"/>
                <w:color w:val="auto"/>
              </w:rPr>
            </w:pPr>
          </w:p>
        </w:tc>
        <w:tc>
          <w:tcPr>
            <w:tcW w:w="8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(1 )</w:t>
            </w:r>
          </w:p>
        </w:tc>
        <w:tc>
          <w:tcPr>
            <w:tcW w:w="10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80" w:type="dxa"/>
            <w:vAlign w:val="bottom"/>
          </w:tcPr>
          <w:p>
            <w:pPr>
              <w:spacing w:after="0"/>
              <w:rPr>
                <w:sz w:val="17"/>
                <w:szCs w:val="17"/>
                <w:color w:val="auto"/>
              </w:rPr>
            </w:pPr>
          </w:p>
        </w:tc>
      </w:tr>
      <w:tr>
        <w:trPr>
          <w:trHeight w:val="236"/>
        </w:trPr>
        <w:tc>
          <w:tcPr>
            <w:tcW w:w="76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income (loss)</w:t>
            </w:r>
          </w:p>
        </w:tc>
        <w:tc>
          <w:tcPr>
            <w:tcW w:w="1100" w:type="dxa"/>
            <w:vAlign w:val="bottom"/>
            <w:tcBorders>
              <w:top w:val="single" w:sz="8" w:color="auto"/>
              <w:bottom w:val="single" w:sz="8" w:color="auto"/>
            </w:tcBorders>
            <w:shd w:val="clear" w:color="auto" w:fill="CFF0FC"/>
          </w:tcPr>
          <w:p>
            <w:pPr>
              <w:jc w:val="right"/>
              <w:ind w:right="914"/>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w:t>
            </w:r>
          </w:p>
        </w:tc>
        <w:tc>
          <w:tcPr>
            <w:tcW w:w="280" w:type="dxa"/>
            <w:vAlign w:val="bottom"/>
            <w:tcBorders>
              <w:bottom w:val="single" w:sz="8" w:color="CFF0FC"/>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ind w:right="892"/>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(80</w:t>
            </w:r>
          </w:p>
        </w:tc>
        <w:tc>
          <w:tcPr>
            <w:tcW w:w="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r>
      <w:tr>
        <w:trPr>
          <w:trHeight w:val="183"/>
        </w:trPr>
        <w:tc>
          <w:tcPr>
            <w:tcW w:w="7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Earnings (loss) per share attributable to common stockholders (Note 11):</w:t>
            </w:r>
          </w:p>
        </w:tc>
        <w:tc>
          <w:tcPr>
            <w:tcW w:w="1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1100" w:type="dxa"/>
            <w:vAlign w:val="bottom"/>
          </w:tcPr>
          <w:p>
            <w:pPr>
              <w:jc w:val="right"/>
              <w:ind w:right="914"/>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(0.24 )</w:t>
            </w:r>
          </w:p>
        </w:tc>
        <w:tc>
          <w:tcPr>
            <w:tcW w:w="1080" w:type="dxa"/>
            <w:vAlign w:val="bottom"/>
          </w:tcPr>
          <w:p>
            <w:pPr>
              <w:jc w:val="right"/>
              <w:ind w:right="892"/>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(0.59 )</w:t>
            </w: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Diluted</w:t>
            </w:r>
          </w:p>
        </w:tc>
        <w:tc>
          <w:tcPr>
            <w:tcW w:w="1100" w:type="dxa"/>
            <w:vAlign w:val="bottom"/>
            <w:shd w:val="clear" w:color="auto" w:fill="CFF0FC"/>
          </w:tcPr>
          <w:p>
            <w:pPr>
              <w:jc w:val="right"/>
              <w:ind w:right="914"/>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(0.24 )</w:t>
            </w:r>
          </w:p>
        </w:tc>
        <w:tc>
          <w:tcPr>
            <w:tcW w:w="1080" w:type="dxa"/>
            <w:vAlign w:val="bottom"/>
            <w:shd w:val="clear" w:color="auto" w:fill="CFF0FC"/>
          </w:tcPr>
          <w:p>
            <w:pPr>
              <w:jc w:val="right"/>
              <w:ind w:right="892"/>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(0.59 )</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common shares outstanding (Note 11):</w:t>
            </w: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Basic</w:t>
            </w:r>
          </w:p>
        </w:tc>
        <w:tc>
          <w:tcPr>
            <w:tcW w:w="11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Diluted</w:t>
            </w:r>
          </w:p>
        </w:tc>
        <w:tc>
          <w:tcPr>
            <w:tcW w:w="11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c>
          <w:tcPr>
            <w:tcW w:w="80" w:type="dxa"/>
            <w:vAlign w:val="bottom"/>
          </w:tcPr>
          <w:p>
            <w:pPr>
              <w:spacing w:after="0"/>
              <w:rPr>
                <w:sz w:val="17"/>
                <w:szCs w:val="17"/>
                <w:color w:val="auto"/>
              </w:rPr>
            </w:pPr>
          </w:p>
        </w:tc>
      </w:tr>
      <w:tr>
        <w:trPr>
          <w:trHeight w:val="202"/>
        </w:trPr>
        <w:tc>
          <w:tcPr>
            <w:tcW w:w="76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(1) Includes stock-based compensation expense as follows (Note 9):</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and marketing</w:t>
            </w:r>
          </w:p>
        </w:tc>
        <w:tc>
          <w:tcPr>
            <w:tcW w:w="1100" w:type="dxa"/>
            <w:vAlign w:val="bottom"/>
            <w:shd w:val="clear" w:color="auto" w:fill="CFF0FC"/>
          </w:tcPr>
          <w:p>
            <w:pPr>
              <w:jc w:val="right"/>
              <w:ind w:right="914"/>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892"/>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Technology and content</w:t>
            </w:r>
          </w:p>
        </w:tc>
        <w:tc>
          <w:tcPr>
            <w:tcW w:w="1100" w:type="dxa"/>
            <w:vAlign w:val="bottom"/>
          </w:tcPr>
          <w:p>
            <w:pPr>
              <w:jc w:val="right"/>
              <w:ind w:right="914"/>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80" w:type="dxa"/>
            <w:vAlign w:val="bottom"/>
          </w:tcPr>
          <w:p>
            <w:pPr>
              <w:spacing w:after="0"/>
              <w:rPr>
                <w:sz w:val="17"/>
                <w:szCs w:val="17"/>
                <w:color w:val="auto"/>
              </w:rPr>
            </w:pPr>
          </w:p>
        </w:tc>
        <w:tc>
          <w:tcPr>
            <w:tcW w:w="1080" w:type="dxa"/>
            <w:vAlign w:val="bottom"/>
          </w:tcPr>
          <w:p>
            <w:pPr>
              <w:jc w:val="right"/>
              <w:ind w:right="892"/>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80" w:type="dxa"/>
            <w:vAlign w:val="bottom"/>
          </w:tcPr>
          <w:p>
            <w:pPr>
              <w:spacing w:after="0"/>
              <w:rPr>
                <w:sz w:val="17"/>
                <w:szCs w:val="17"/>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100" w:type="dxa"/>
            <w:vAlign w:val="bottom"/>
            <w:shd w:val="clear" w:color="auto" w:fill="CFF0FC"/>
          </w:tcPr>
          <w:p>
            <w:pPr>
              <w:jc w:val="right"/>
              <w:ind w:right="914"/>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892"/>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-2645410</wp:posOffset>
            </wp:positionV>
            <wp:extent cx="5143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-2645410</wp:posOffset>
            </wp:positionV>
            <wp:extent cx="5143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-2122170</wp:posOffset>
            </wp:positionV>
            <wp:extent cx="5143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-2122170</wp:posOffset>
            </wp:positionV>
            <wp:extent cx="5143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-1585595</wp:posOffset>
            </wp:positionV>
            <wp:extent cx="51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-1567815</wp:posOffset>
            </wp:positionV>
            <wp:extent cx="51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-1585595</wp:posOffset>
            </wp:positionV>
            <wp:extent cx="514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-1567815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TRIPADVISOR,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Three months ended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82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2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196"/>
        </w:trPr>
        <w:tc>
          <w:tcPr>
            <w:tcW w:w="8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820" w:type="dxa"/>
            <w:vAlign w:val="bottom"/>
            <w:shd w:val="clear" w:color="auto" w:fill="CFF0FC"/>
          </w:tcPr>
          <w:p>
            <w:pPr>
              <w:jc w:val="right"/>
              <w:ind w:right="636"/>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824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 (loss), net of tax:</w:t>
            </w: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adjustments, net of tax (1)</w:t>
            </w:r>
          </w:p>
        </w:tc>
        <w:tc>
          <w:tcPr>
            <w:tcW w:w="8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(4 )</w:t>
            </w:r>
          </w:p>
        </w:tc>
        <w:tc>
          <w:tcPr>
            <w:tcW w:w="5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(12 )</w:t>
            </w:r>
          </w:p>
        </w:tc>
      </w:tr>
      <w:tr>
        <w:trPr>
          <w:trHeight w:val="20"/>
        </w:trPr>
        <w:tc>
          <w:tcPr>
            <w:tcW w:w="82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240" w:type="dxa"/>
            <w:vAlign w:val="bottom"/>
          </w:tcPr>
          <w:p>
            <w:pPr>
              <w:ind w:left="20"/>
              <w:spacing w:after="0" w:line="196" w:lineRule="exact"/>
              <w:rPr>
                <w:sz w:val="20"/>
                <w:szCs w:val="20"/>
                <w:color w:val="auto"/>
              </w:rPr>
            </w:pPr>
            <w:r>
              <w:rPr>
                <w:rFonts w:ascii="Arial" w:cs="Arial" w:eastAsia="Arial" w:hAnsi="Arial"/>
                <w:sz w:val="18"/>
                <w:szCs w:val="18"/>
                <w:color w:val="auto"/>
              </w:rPr>
              <w:t>Total other comprehensive income (loss), net of tax</w:t>
            </w:r>
          </w:p>
        </w:tc>
        <w:tc>
          <w:tcPr>
            <w:tcW w:w="820" w:type="dxa"/>
            <w:vAlign w:val="bottom"/>
          </w:tcPr>
          <w:p>
            <w:pPr>
              <w:spacing w:after="0"/>
              <w:rPr>
                <w:sz w:val="17"/>
                <w:szCs w:val="17"/>
                <w:color w:val="auto"/>
              </w:rPr>
            </w:pPr>
          </w:p>
        </w:tc>
        <w:tc>
          <w:tcPr>
            <w:tcW w:w="7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(4 )</w:t>
            </w:r>
          </w:p>
        </w:tc>
        <w:tc>
          <w:tcPr>
            <w:tcW w:w="500" w:type="dxa"/>
            <w:vAlign w:val="bottom"/>
          </w:tcPr>
          <w:p>
            <w:pPr>
              <w:spacing w:after="0"/>
              <w:rPr>
                <w:sz w:val="17"/>
                <w:szCs w:val="17"/>
                <w:color w:val="auto"/>
              </w:rPr>
            </w:pPr>
          </w:p>
        </w:tc>
        <w:tc>
          <w:tcPr>
            <w:tcW w:w="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(12 )</w:t>
            </w:r>
          </w:p>
        </w:tc>
      </w:tr>
      <w:tr>
        <w:trPr>
          <w:trHeight w:val="236"/>
        </w:trPr>
        <w:tc>
          <w:tcPr>
            <w:tcW w:w="82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Comprehensive income (loss)</w:t>
            </w:r>
          </w:p>
        </w:tc>
        <w:tc>
          <w:tcPr>
            <w:tcW w:w="820" w:type="dxa"/>
            <w:vAlign w:val="bottom"/>
            <w:tcBorders>
              <w:top w:val="single" w:sz="8" w:color="auto"/>
              <w:bottom w:val="single" w:sz="8" w:color="auto"/>
            </w:tcBorders>
            <w:shd w:val="clear" w:color="auto" w:fill="CFF0FC"/>
          </w:tcPr>
          <w:p>
            <w:pPr>
              <w:jc w:val="right"/>
              <w:ind w:right="636"/>
              <w:spacing w:after="0" w:line="182"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(38</w:t>
            </w:r>
          </w:p>
        </w:tc>
        <w:tc>
          <w:tcPr>
            <w:tcW w:w="260" w:type="dxa"/>
            <w:vAlign w:val="bottom"/>
            <w:tcBorders>
              <w:bottom w:val="single" w:sz="8" w:color="CFF0FC"/>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FF0FC"/>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(92</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-296545</wp:posOffset>
            </wp:positionV>
            <wp:extent cx="6032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5969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0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27"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Deferred income tax liabilities related to these amounts are not material.</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TRIPADVISOR,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BALANCE SHEETS</w:t>
      </w:r>
    </w:p>
    <w:p>
      <w:pPr>
        <w:jc w:val="center"/>
        <w:ind w:right="40"/>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940" w:type="dxa"/>
            <w:vAlign w:val="bottom"/>
          </w:tcPr>
          <w:p>
            <w:pPr>
              <w:spacing w:after="0"/>
              <w:rPr>
                <w:sz w:val="16"/>
                <w:szCs w:val="16"/>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183"/>
        </w:trPr>
        <w:tc>
          <w:tcPr>
            <w:tcW w:w="79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10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89"/>
        </w:trPr>
        <w:tc>
          <w:tcPr>
            <w:tcW w:w="79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 (Note 4)</w:t>
            </w:r>
          </w:p>
        </w:tc>
        <w:tc>
          <w:tcPr>
            <w:tcW w:w="1080" w:type="dxa"/>
            <w:vAlign w:val="bottom"/>
            <w:shd w:val="clear" w:color="auto" w:fill="CFF0FC"/>
          </w:tcPr>
          <w:p>
            <w:pPr>
              <w:jc w:val="right"/>
              <w:ind w:right="90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781</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w:t>
            </w:r>
          </w:p>
        </w:tc>
        <w:tc>
          <w:tcPr>
            <w:tcW w:w="80" w:type="dxa"/>
            <w:vAlign w:val="bottom"/>
            <w:shd w:val="clear" w:color="auto" w:fill="CFF0FC"/>
          </w:tcPr>
          <w:p>
            <w:pPr>
              <w:spacing w:after="0"/>
              <w:rPr>
                <w:sz w:val="16"/>
                <w:szCs w:val="16"/>
                <w:color w:val="auto"/>
              </w:rPr>
            </w:pPr>
          </w:p>
        </w:tc>
      </w:tr>
      <w:tr>
        <w:trPr>
          <w:trHeight w:val="189"/>
        </w:trPr>
        <w:tc>
          <w:tcPr>
            <w:tcW w:w="7940" w:type="dxa"/>
            <w:vAlign w:val="bottom"/>
          </w:tcPr>
          <w:p>
            <w:pPr>
              <w:ind w:left="200"/>
              <w:spacing w:after="0"/>
              <w:rPr>
                <w:sz w:val="20"/>
                <w:szCs w:val="20"/>
                <w:color w:val="auto"/>
              </w:rPr>
            </w:pPr>
            <w:r>
              <w:rPr>
                <w:rFonts w:ascii="Arial" w:cs="Arial" w:eastAsia="Arial" w:hAnsi="Arial"/>
                <w:sz w:val="16"/>
                <w:szCs w:val="16"/>
                <w:color w:val="auto"/>
                <w:w w:val="97"/>
              </w:rPr>
              <w:t>Accounts receivable and contract assets, net of allowance for credit losses of $29 and $28, respectively (Note 3)</w:t>
            </w:r>
          </w:p>
        </w:tc>
        <w:tc>
          <w:tcPr>
            <w:tcW w:w="10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180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6"/>
                <w:szCs w:val="16"/>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taxes receivable (Note 7)</w:t>
            </w:r>
          </w:p>
        </w:tc>
        <w:tc>
          <w:tcPr>
            <w:tcW w:w="108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80" w:type="dxa"/>
            <w:vAlign w:val="bottom"/>
            <w:shd w:val="clear" w:color="auto" w:fill="CFF0FC"/>
          </w:tcPr>
          <w:p>
            <w:pPr>
              <w:spacing w:after="0"/>
              <w:rPr>
                <w:sz w:val="16"/>
                <w:szCs w:val="16"/>
                <w:color w:val="auto"/>
              </w:rPr>
            </w:pPr>
          </w:p>
        </w:tc>
      </w:tr>
      <w:tr>
        <w:trPr>
          <w:trHeight w:val="189"/>
        </w:trPr>
        <w:tc>
          <w:tcPr>
            <w:tcW w:w="794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6"/>
                <w:szCs w:val="16"/>
                <w:color w:val="auto"/>
              </w:rPr>
            </w:pPr>
          </w:p>
        </w:tc>
      </w:tr>
      <w:tr>
        <w:trPr>
          <w:trHeight w:val="183"/>
        </w:trPr>
        <w:tc>
          <w:tcPr>
            <w:tcW w:w="79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Total current assets</w:t>
            </w:r>
          </w:p>
        </w:tc>
        <w:tc>
          <w:tcPr>
            <w:tcW w:w="108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1,043</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940</w:t>
            </w:r>
          </w:p>
        </w:tc>
        <w:tc>
          <w:tcPr>
            <w:tcW w:w="80" w:type="dxa"/>
            <w:vAlign w:val="bottom"/>
            <w:shd w:val="clear" w:color="auto" w:fill="CFF0FC"/>
          </w:tcPr>
          <w:p>
            <w:pPr>
              <w:spacing w:after="0"/>
              <w:rPr>
                <w:sz w:val="15"/>
                <w:szCs w:val="15"/>
                <w:color w:val="auto"/>
              </w:rPr>
            </w:pPr>
          </w:p>
        </w:tc>
      </w:tr>
      <w:tr>
        <w:trPr>
          <w:trHeight w:val="189"/>
        </w:trPr>
        <w:tc>
          <w:tcPr>
            <w:tcW w:w="7940" w:type="dxa"/>
            <w:vAlign w:val="bottom"/>
          </w:tcPr>
          <w:p>
            <w:pPr>
              <w:ind w:left="200"/>
              <w:spacing w:after="0"/>
              <w:rPr>
                <w:sz w:val="20"/>
                <w:szCs w:val="20"/>
                <w:color w:val="auto"/>
              </w:rPr>
            </w:pPr>
            <w:r>
              <w:rPr>
                <w:rFonts w:ascii="Arial" w:cs="Arial" w:eastAsia="Arial" w:hAnsi="Arial"/>
                <w:sz w:val="16"/>
                <w:szCs w:val="16"/>
                <w:color w:val="auto"/>
              </w:rPr>
              <w:t>Property and equipment, net of accumulated depreciation of $481 and $460, respectively</w:t>
            </w:r>
          </w:p>
        </w:tc>
        <w:tc>
          <w:tcPr>
            <w:tcW w:w="10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209</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6"/>
                <w:szCs w:val="16"/>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right-of-use assets</w:t>
            </w:r>
          </w:p>
        </w:tc>
        <w:tc>
          <w:tcPr>
            <w:tcW w:w="108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FF0FC"/>
          </w:tcPr>
          <w:p>
            <w:pPr>
              <w:spacing w:after="0"/>
              <w:rPr>
                <w:sz w:val="16"/>
                <w:szCs w:val="16"/>
                <w:color w:val="auto"/>
              </w:rPr>
            </w:pPr>
          </w:p>
        </w:tc>
      </w:tr>
      <w:tr>
        <w:trPr>
          <w:trHeight w:val="189"/>
        </w:trPr>
        <w:tc>
          <w:tcPr>
            <w:tcW w:w="7940" w:type="dxa"/>
            <w:vAlign w:val="bottom"/>
          </w:tcPr>
          <w:p>
            <w:pPr>
              <w:ind w:left="200"/>
              <w:spacing w:after="0"/>
              <w:rPr>
                <w:sz w:val="20"/>
                <w:szCs w:val="20"/>
                <w:color w:val="auto"/>
              </w:rPr>
            </w:pPr>
            <w:r>
              <w:rPr>
                <w:rFonts w:ascii="Arial" w:cs="Arial" w:eastAsia="Arial" w:hAnsi="Arial"/>
                <w:sz w:val="16"/>
                <w:szCs w:val="16"/>
                <w:color w:val="auto"/>
              </w:rPr>
              <w:t>Intangible assets, net of accumulated amortization of $204 and $202, respectively</w:t>
            </w:r>
          </w:p>
        </w:tc>
        <w:tc>
          <w:tcPr>
            <w:tcW w:w="10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62</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6"/>
                <w:szCs w:val="16"/>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Goodwill</w:t>
            </w:r>
          </w:p>
        </w:tc>
        <w:tc>
          <w:tcPr>
            <w:tcW w:w="108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w:t>
            </w:r>
          </w:p>
        </w:tc>
        <w:tc>
          <w:tcPr>
            <w:tcW w:w="80" w:type="dxa"/>
            <w:vAlign w:val="bottom"/>
            <w:shd w:val="clear" w:color="auto" w:fill="CFF0FC"/>
          </w:tcPr>
          <w:p>
            <w:pPr>
              <w:spacing w:after="0"/>
              <w:rPr>
                <w:sz w:val="16"/>
                <w:szCs w:val="16"/>
                <w:color w:val="auto"/>
              </w:rPr>
            </w:pPr>
          </w:p>
        </w:tc>
      </w:tr>
      <w:tr>
        <w:trPr>
          <w:trHeight w:val="189"/>
        </w:trPr>
        <w:tc>
          <w:tcPr>
            <w:tcW w:w="7940" w:type="dxa"/>
            <w:vAlign w:val="bottom"/>
          </w:tcPr>
          <w:p>
            <w:pPr>
              <w:ind w:left="200"/>
              <w:spacing w:after="0"/>
              <w:rPr>
                <w:sz w:val="20"/>
                <w:szCs w:val="20"/>
                <w:color w:val="auto"/>
              </w:rPr>
            </w:pPr>
            <w:r>
              <w:rPr>
                <w:rFonts w:ascii="Arial" w:cs="Arial" w:eastAsia="Arial" w:hAnsi="Arial"/>
                <w:sz w:val="16"/>
                <w:szCs w:val="16"/>
                <w:color w:val="auto"/>
              </w:rPr>
              <w:t>Non-marketable investments (Note 4)</w:t>
            </w:r>
          </w:p>
        </w:tc>
        <w:tc>
          <w:tcPr>
            <w:tcW w:w="10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6"/>
                <w:szCs w:val="16"/>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income taxes, net</w:t>
            </w:r>
          </w:p>
        </w:tc>
        <w:tc>
          <w:tcPr>
            <w:tcW w:w="108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FF0FC"/>
          </w:tcPr>
          <w:p>
            <w:pPr>
              <w:spacing w:after="0"/>
              <w:rPr>
                <w:sz w:val="16"/>
                <w:szCs w:val="16"/>
                <w:color w:val="auto"/>
              </w:rPr>
            </w:pPr>
          </w:p>
        </w:tc>
      </w:tr>
      <w:tr>
        <w:trPr>
          <w:trHeight w:val="189"/>
        </w:trPr>
        <w:tc>
          <w:tcPr>
            <w:tcW w:w="7940" w:type="dxa"/>
            <w:vAlign w:val="bottom"/>
          </w:tcPr>
          <w:p>
            <w:pPr>
              <w:ind w:left="200"/>
              <w:spacing w:after="0"/>
              <w:rPr>
                <w:sz w:val="20"/>
                <w:szCs w:val="20"/>
                <w:color w:val="auto"/>
              </w:rPr>
            </w:pPr>
            <w:r>
              <w:rPr>
                <w:rFonts w:ascii="Arial" w:cs="Arial" w:eastAsia="Arial" w:hAnsi="Arial"/>
                <w:sz w:val="16"/>
                <w:szCs w:val="16"/>
                <w:color w:val="auto"/>
              </w:rPr>
              <w:t>Other long-term assets, net of allowance for credit losses of $10 and $10, respectively</w:t>
            </w: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6"/>
                <w:szCs w:val="16"/>
                <w:color w:val="auto"/>
              </w:rPr>
            </w:pPr>
          </w:p>
        </w:tc>
      </w:tr>
      <w:tr>
        <w:trPr>
          <w:trHeight w:val="223"/>
        </w:trPr>
        <w:tc>
          <w:tcPr>
            <w:tcW w:w="79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TOTAL ASSETS</w:t>
            </w:r>
          </w:p>
        </w:tc>
        <w:tc>
          <w:tcPr>
            <w:tcW w:w="1080" w:type="dxa"/>
            <w:vAlign w:val="bottom"/>
            <w:tcBorders>
              <w:bottom w:val="single" w:sz="8" w:color="auto"/>
            </w:tcBorders>
            <w:shd w:val="clear" w:color="auto" w:fill="CFF0FC"/>
          </w:tcPr>
          <w:p>
            <w:pPr>
              <w:jc w:val="right"/>
              <w:ind w:right="902"/>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2,372</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2,289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70"/>
        </w:trPr>
        <w:tc>
          <w:tcPr>
            <w:tcW w:w="7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79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0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9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1080" w:type="dxa"/>
            <w:vAlign w:val="bottom"/>
            <w:shd w:val="clear" w:color="auto" w:fill="CFF0FC"/>
          </w:tcPr>
          <w:p>
            <w:pPr>
              <w:jc w:val="right"/>
              <w:ind w:right="902"/>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FF0FC"/>
          </w:tcPr>
          <w:p>
            <w:pPr>
              <w:spacing w:after="0"/>
              <w:rPr>
                <w:sz w:val="16"/>
                <w:szCs w:val="16"/>
                <w:color w:val="auto"/>
              </w:rPr>
            </w:pPr>
          </w:p>
        </w:tc>
      </w:tr>
      <w:tr>
        <w:trPr>
          <w:trHeight w:val="189"/>
        </w:trPr>
        <w:tc>
          <w:tcPr>
            <w:tcW w:w="7940" w:type="dxa"/>
            <w:vAlign w:val="bottom"/>
          </w:tcPr>
          <w:p>
            <w:pPr>
              <w:ind w:left="200"/>
              <w:spacing w:after="0"/>
              <w:rPr>
                <w:sz w:val="20"/>
                <w:szCs w:val="20"/>
                <w:color w:val="auto"/>
              </w:rPr>
            </w:pPr>
            <w:r>
              <w:rPr>
                <w:rFonts w:ascii="Arial" w:cs="Arial" w:eastAsia="Arial" w:hAnsi="Arial"/>
                <w:sz w:val="16"/>
                <w:szCs w:val="16"/>
                <w:color w:val="auto"/>
              </w:rPr>
              <w:t>Deferred merchant payables</w:t>
            </w:r>
          </w:p>
        </w:tc>
        <w:tc>
          <w:tcPr>
            <w:tcW w:w="10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197</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16"/>
                <w:szCs w:val="16"/>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revenue (Note 3)</w:t>
            </w:r>
          </w:p>
        </w:tc>
        <w:tc>
          <w:tcPr>
            <w:tcW w:w="108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FF0FC"/>
          </w:tcPr>
          <w:p>
            <w:pPr>
              <w:spacing w:after="0"/>
              <w:rPr>
                <w:sz w:val="16"/>
                <w:szCs w:val="16"/>
                <w:color w:val="auto"/>
              </w:rPr>
            </w:pPr>
          </w:p>
        </w:tc>
      </w:tr>
      <w:tr>
        <w:trPr>
          <w:trHeight w:val="189"/>
        </w:trPr>
        <w:tc>
          <w:tcPr>
            <w:tcW w:w="794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 (Note 5)</w:t>
            </w: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80" w:type="dxa"/>
            <w:vAlign w:val="bottom"/>
          </w:tcPr>
          <w:p>
            <w:pPr>
              <w:spacing w:after="0"/>
              <w:rPr>
                <w:sz w:val="16"/>
                <w:szCs w:val="16"/>
                <w:color w:val="auto"/>
              </w:rPr>
            </w:pPr>
          </w:p>
        </w:tc>
      </w:tr>
      <w:tr>
        <w:trPr>
          <w:trHeight w:val="183"/>
        </w:trPr>
        <w:tc>
          <w:tcPr>
            <w:tcW w:w="79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Total current liabilities</w:t>
            </w:r>
          </w:p>
        </w:tc>
        <w:tc>
          <w:tcPr>
            <w:tcW w:w="108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467</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357</w:t>
            </w:r>
          </w:p>
        </w:tc>
        <w:tc>
          <w:tcPr>
            <w:tcW w:w="80" w:type="dxa"/>
            <w:vAlign w:val="bottom"/>
            <w:shd w:val="clear" w:color="auto" w:fill="CFF0FC"/>
          </w:tcPr>
          <w:p>
            <w:pPr>
              <w:spacing w:after="0"/>
              <w:rPr>
                <w:sz w:val="15"/>
                <w:szCs w:val="15"/>
                <w:color w:val="auto"/>
              </w:rPr>
            </w:pPr>
          </w:p>
        </w:tc>
      </w:tr>
      <w:tr>
        <w:trPr>
          <w:trHeight w:val="189"/>
        </w:trPr>
        <w:tc>
          <w:tcPr>
            <w:tcW w:w="7940" w:type="dxa"/>
            <w:vAlign w:val="bottom"/>
          </w:tcPr>
          <w:p>
            <w:pPr>
              <w:ind w:left="200"/>
              <w:spacing w:after="0"/>
              <w:rPr>
                <w:sz w:val="20"/>
                <w:szCs w:val="20"/>
                <w:color w:val="auto"/>
              </w:rPr>
            </w:pPr>
            <w:r>
              <w:rPr>
                <w:rFonts w:ascii="Arial" w:cs="Arial" w:eastAsia="Arial" w:hAnsi="Arial"/>
                <w:sz w:val="16"/>
                <w:szCs w:val="16"/>
                <w:color w:val="auto"/>
              </w:rPr>
              <w:t>Long-term debt (Note 6)</w:t>
            </w:r>
          </w:p>
        </w:tc>
        <w:tc>
          <w:tcPr>
            <w:tcW w:w="10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834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833</w:t>
            </w:r>
          </w:p>
        </w:tc>
        <w:tc>
          <w:tcPr>
            <w:tcW w:w="80" w:type="dxa"/>
            <w:vAlign w:val="bottom"/>
          </w:tcPr>
          <w:p>
            <w:pPr>
              <w:spacing w:after="0"/>
              <w:rPr>
                <w:sz w:val="16"/>
                <w:szCs w:val="16"/>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Finance lease obligation, net of current portion</w:t>
            </w:r>
          </w:p>
        </w:tc>
        <w:tc>
          <w:tcPr>
            <w:tcW w:w="108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FF0FC"/>
          </w:tcPr>
          <w:p>
            <w:pPr>
              <w:spacing w:after="0"/>
              <w:rPr>
                <w:sz w:val="16"/>
                <w:szCs w:val="16"/>
                <w:color w:val="auto"/>
              </w:rPr>
            </w:pPr>
          </w:p>
        </w:tc>
      </w:tr>
      <w:tr>
        <w:trPr>
          <w:trHeight w:val="189"/>
        </w:trPr>
        <w:tc>
          <w:tcPr>
            <w:tcW w:w="7940" w:type="dxa"/>
            <w:vAlign w:val="bottom"/>
          </w:tcPr>
          <w:p>
            <w:pPr>
              <w:ind w:left="200"/>
              <w:spacing w:after="0"/>
              <w:rPr>
                <w:sz w:val="20"/>
                <w:szCs w:val="20"/>
                <w:color w:val="auto"/>
              </w:rPr>
            </w:pPr>
            <w:r>
              <w:rPr>
                <w:rFonts w:ascii="Arial" w:cs="Arial" w:eastAsia="Arial" w:hAnsi="Arial"/>
                <w:sz w:val="16"/>
                <w:szCs w:val="16"/>
                <w:color w:val="auto"/>
              </w:rPr>
              <w:t>Operating lease liabilities, net of current portion</w:t>
            </w:r>
          </w:p>
        </w:tc>
        <w:tc>
          <w:tcPr>
            <w:tcW w:w="10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6"/>
                <w:szCs w:val="16"/>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income taxes, net</w:t>
            </w:r>
          </w:p>
        </w:tc>
        <w:tc>
          <w:tcPr>
            <w:tcW w:w="108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6"/>
                <w:szCs w:val="16"/>
                <w:color w:val="auto"/>
              </w:rPr>
            </w:pPr>
          </w:p>
        </w:tc>
      </w:tr>
      <w:tr>
        <w:trPr>
          <w:trHeight w:val="189"/>
        </w:trPr>
        <w:tc>
          <w:tcPr>
            <w:tcW w:w="7940" w:type="dxa"/>
            <w:vAlign w:val="bottom"/>
          </w:tcPr>
          <w:p>
            <w:pPr>
              <w:ind w:left="200"/>
              <w:spacing w:after="0"/>
              <w:rPr>
                <w:sz w:val="20"/>
                <w:szCs w:val="20"/>
                <w:color w:val="auto"/>
              </w:rPr>
            </w:pPr>
            <w:r>
              <w:rPr>
                <w:rFonts w:ascii="Arial" w:cs="Arial" w:eastAsia="Arial" w:hAnsi="Arial"/>
                <w:sz w:val="16"/>
                <w:szCs w:val="16"/>
                <w:color w:val="auto"/>
              </w:rPr>
              <w:t>Other long-term liabilities</w:t>
            </w: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6"/>
                <w:szCs w:val="16"/>
                <w:color w:val="auto"/>
              </w:rPr>
            </w:pPr>
          </w:p>
        </w:tc>
      </w:tr>
      <w:tr>
        <w:trPr>
          <w:trHeight w:val="183"/>
        </w:trPr>
        <w:tc>
          <w:tcPr>
            <w:tcW w:w="79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Liabilities</w:t>
            </w:r>
          </w:p>
        </w:tc>
        <w:tc>
          <w:tcPr>
            <w:tcW w:w="108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1,605</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1,500</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83"/>
        </w:trPr>
        <w:tc>
          <w:tcPr>
            <w:tcW w:w="7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7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 (Note 8)</w:t>
            </w:r>
          </w:p>
        </w:tc>
        <w:tc>
          <w:tcPr>
            <w:tcW w:w="10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940" w:type="dxa"/>
            <w:vAlign w:val="bottom"/>
          </w:tcPr>
          <w:p>
            <w:pPr>
              <w:ind w:left="20"/>
              <w:spacing w:after="0"/>
              <w:rPr>
                <w:sz w:val="20"/>
                <w:szCs w:val="20"/>
                <w:color w:val="auto"/>
              </w:rPr>
            </w:pPr>
            <w:r>
              <w:rPr>
                <w:rFonts w:ascii="Arial" w:cs="Arial" w:eastAsia="Arial" w:hAnsi="Arial"/>
                <w:sz w:val="16"/>
                <w:szCs w:val="16"/>
                <w:color w:val="auto"/>
              </w:rPr>
              <w:t>Stockholders’ equity: (Note 10)</w:t>
            </w: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Preferred stock, $0.001 par value</w:t>
            </w:r>
          </w:p>
        </w:tc>
        <w:tc>
          <w:tcPr>
            <w:tcW w:w="108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7940" w:type="dxa"/>
            <w:vAlign w:val="bottom"/>
          </w:tcPr>
          <w:p>
            <w:pPr>
              <w:ind w:left="380"/>
              <w:spacing w:after="0"/>
              <w:rPr>
                <w:sz w:val="20"/>
                <w:szCs w:val="20"/>
                <w:color w:val="auto"/>
              </w:rPr>
            </w:pPr>
            <w:r>
              <w:rPr>
                <w:rFonts w:ascii="Arial" w:cs="Arial" w:eastAsia="Arial" w:hAnsi="Arial"/>
                <w:sz w:val="16"/>
                <w:szCs w:val="16"/>
                <w:color w:val="auto"/>
              </w:rPr>
              <w:t>Authorized shares: 100,000,000</w:t>
            </w: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7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Shares issued and outstanding: 0 and 0</w:t>
            </w:r>
          </w:p>
        </w:tc>
        <w:tc>
          <w:tcPr>
            <w:tcW w:w="10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940" w:type="dxa"/>
            <w:vAlign w:val="bottom"/>
          </w:tcPr>
          <w:p>
            <w:pPr>
              <w:ind w:left="200"/>
              <w:spacing w:after="0"/>
              <w:rPr>
                <w:sz w:val="20"/>
                <w:szCs w:val="20"/>
                <w:color w:val="auto"/>
              </w:rPr>
            </w:pPr>
            <w:r>
              <w:rPr>
                <w:rFonts w:ascii="Arial" w:cs="Arial" w:eastAsia="Arial" w:hAnsi="Arial"/>
                <w:sz w:val="16"/>
                <w:szCs w:val="16"/>
                <w:color w:val="auto"/>
              </w:rPr>
              <w:t>Common stock, $0.001 par value</w:t>
            </w:r>
          </w:p>
        </w:tc>
        <w:tc>
          <w:tcPr>
            <w:tcW w:w="1080" w:type="dxa"/>
            <w:vAlign w:val="bottom"/>
          </w:tcPr>
          <w:p>
            <w:pPr>
              <w:spacing w:after="0"/>
              <w:rPr>
                <w:sz w:val="16"/>
                <w:szCs w:val="16"/>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7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Authorized shares: 1,600,000,000</w:t>
            </w:r>
          </w:p>
        </w:tc>
        <w:tc>
          <w:tcPr>
            <w:tcW w:w="10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940" w:type="dxa"/>
            <w:vAlign w:val="bottom"/>
          </w:tcPr>
          <w:p>
            <w:pPr>
              <w:ind w:left="380"/>
              <w:spacing w:after="0"/>
              <w:rPr>
                <w:sz w:val="20"/>
                <w:szCs w:val="20"/>
                <w:color w:val="auto"/>
              </w:rPr>
            </w:pPr>
            <w:r>
              <w:rPr>
                <w:rFonts w:ascii="Arial" w:cs="Arial" w:eastAsia="Arial" w:hAnsi="Arial"/>
                <w:sz w:val="16"/>
                <w:szCs w:val="16"/>
                <w:color w:val="auto"/>
              </w:rPr>
              <w:t>Shares issued: 145,636,700 and 144,656,649, respectively</w:t>
            </w: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7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Shares outstanding: 126,792,086 and 125,812,035, respectively</w:t>
            </w:r>
          </w:p>
        </w:tc>
        <w:tc>
          <w:tcPr>
            <w:tcW w:w="10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940" w:type="dxa"/>
            <w:vAlign w:val="bottom"/>
          </w:tcPr>
          <w:p>
            <w:pPr>
              <w:ind w:left="200"/>
              <w:spacing w:after="0"/>
              <w:rPr>
                <w:sz w:val="20"/>
                <w:szCs w:val="20"/>
                <w:color w:val="auto"/>
              </w:rPr>
            </w:pPr>
            <w:r>
              <w:rPr>
                <w:rFonts w:ascii="Arial" w:cs="Arial" w:eastAsia="Arial" w:hAnsi="Arial"/>
                <w:sz w:val="16"/>
                <w:szCs w:val="16"/>
                <w:color w:val="auto"/>
              </w:rPr>
              <w:t>Class B common stock, $0.001 par value</w:t>
            </w:r>
          </w:p>
        </w:tc>
        <w:tc>
          <w:tcPr>
            <w:tcW w:w="1080" w:type="dxa"/>
            <w:vAlign w:val="bottom"/>
          </w:tcPr>
          <w:p>
            <w:pPr>
              <w:spacing w:after="0"/>
              <w:rPr>
                <w:sz w:val="16"/>
                <w:szCs w:val="16"/>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7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Authorized shares: 400,000,000</w:t>
            </w:r>
          </w:p>
        </w:tc>
        <w:tc>
          <w:tcPr>
            <w:tcW w:w="10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7940" w:type="dxa"/>
            <w:vAlign w:val="bottom"/>
          </w:tcPr>
          <w:p>
            <w:pPr>
              <w:ind w:left="380"/>
              <w:spacing w:after="0"/>
              <w:rPr>
                <w:sz w:val="20"/>
                <w:szCs w:val="20"/>
                <w:color w:val="auto"/>
              </w:rPr>
            </w:pPr>
            <w:r>
              <w:rPr>
                <w:rFonts w:ascii="Arial" w:cs="Arial" w:eastAsia="Arial" w:hAnsi="Arial"/>
                <w:sz w:val="16"/>
                <w:szCs w:val="16"/>
                <w:color w:val="auto"/>
              </w:rPr>
              <w:t>Shares issued and outstanding: 12,799,999 and 12,799,999, respectively</w:t>
            </w: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108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1,342</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1,326</w:t>
            </w:r>
          </w:p>
        </w:tc>
        <w:tc>
          <w:tcPr>
            <w:tcW w:w="80" w:type="dxa"/>
            <w:vAlign w:val="bottom"/>
            <w:shd w:val="clear" w:color="auto" w:fill="CFF0FC"/>
          </w:tcPr>
          <w:p>
            <w:pPr>
              <w:spacing w:after="0"/>
              <w:rPr>
                <w:sz w:val="16"/>
                <w:szCs w:val="16"/>
                <w:color w:val="auto"/>
              </w:rPr>
            </w:pPr>
          </w:p>
        </w:tc>
      </w:tr>
      <w:tr>
        <w:trPr>
          <w:trHeight w:val="189"/>
        </w:trPr>
        <w:tc>
          <w:tcPr>
            <w:tcW w:w="794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10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207</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241</w:t>
            </w:r>
          </w:p>
        </w:tc>
        <w:tc>
          <w:tcPr>
            <w:tcW w:w="80" w:type="dxa"/>
            <w:vAlign w:val="bottom"/>
          </w:tcPr>
          <w:p>
            <w:pPr>
              <w:spacing w:after="0"/>
              <w:rPr>
                <w:sz w:val="16"/>
                <w:szCs w:val="16"/>
                <w:color w:val="auto"/>
              </w:rPr>
            </w:pPr>
          </w:p>
        </w:tc>
      </w:tr>
      <w:tr>
        <w:trPr>
          <w:trHeight w:val="189"/>
        </w:trPr>
        <w:tc>
          <w:tcPr>
            <w:tcW w:w="79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108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(60 )</w:t>
            </w:r>
          </w:p>
        </w:tc>
        <w:tc>
          <w:tcPr>
            <w:tcW w:w="22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(56 )</w:t>
            </w:r>
          </w:p>
        </w:tc>
      </w:tr>
      <w:tr>
        <w:trPr>
          <w:trHeight w:val="189"/>
        </w:trPr>
        <w:tc>
          <w:tcPr>
            <w:tcW w:w="7940" w:type="dxa"/>
            <w:vAlign w:val="bottom"/>
          </w:tcPr>
          <w:p>
            <w:pPr>
              <w:ind w:left="200"/>
              <w:spacing w:after="0"/>
              <w:rPr>
                <w:sz w:val="20"/>
                <w:szCs w:val="20"/>
                <w:color w:val="auto"/>
              </w:rPr>
            </w:pPr>
            <w:r>
              <w:rPr>
                <w:rFonts w:ascii="Arial" w:cs="Arial" w:eastAsia="Arial" w:hAnsi="Arial"/>
                <w:sz w:val="16"/>
                <w:szCs w:val="16"/>
                <w:color w:val="auto"/>
              </w:rPr>
              <w:t>Treasury stock-common stock, at cost, 18,844,614 and 18,844,614 shares, respectively</w:t>
            </w:r>
          </w:p>
        </w:tc>
        <w:tc>
          <w:tcPr>
            <w:tcW w:w="108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(722 )</w:t>
            </w:r>
          </w:p>
        </w:tc>
        <w:tc>
          <w:tcPr>
            <w:tcW w:w="220" w:type="dxa"/>
            <w:vAlign w:val="bottom"/>
          </w:tcPr>
          <w:p>
            <w:pPr>
              <w:spacing w:after="0"/>
              <w:rPr>
                <w:sz w:val="16"/>
                <w:szCs w:val="16"/>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(722 )</w:t>
            </w:r>
          </w:p>
        </w:tc>
      </w:tr>
      <w:tr>
        <w:trPr>
          <w:trHeight w:val="183"/>
        </w:trPr>
        <w:tc>
          <w:tcPr>
            <w:tcW w:w="79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Stockholders’ Equity</w:t>
            </w:r>
          </w:p>
        </w:tc>
        <w:tc>
          <w:tcPr>
            <w:tcW w:w="1080" w:type="dxa"/>
            <w:vAlign w:val="bottom"/>
            <w:tcBorders>
              <w:top w:val="single" w:sz="8" w:color="auto"/>
              <w:bottom w:val="single" w:sz="8" w:color="auto"/>
            </w:tcBorders>
            <w:shd w:val="clear" w:color="auto" w:fill="CFF0FC"/>
          </w:tcPr>
          <w:p>
            <w:pPr>
              <w:spacing w:after="0"/>
              <w:rPr>
                <w:sz w:val="15"/>
                <w:szCs w:val="15"/>
                <w:color w:val="auto"/>
              </w:rPr>
            </w:pPr>
          </w:p>
        </w:tc>
        <w:tc>
          <w:tcPr>
            <w:tcW w:w="4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767</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2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789</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83"/>
        </w:trPr>
        <w:tc>
          <w:tcPr>
            <w:tcW w:w="79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LIABILITIES AND STOCKHOLDERS' EQUITY</w:t>
            </w:r>
          </w:p>
        </w:tc>
        <w:tc>
          <w:tcPr>
            <w:tcW w:w="1080" w:type="dxa"/>
            <w:vAlign w:val="bottom"/>
            <w:tcBorders>
              <w:bottom w:val="single" w:sz="8" w:color="auto"/>
            </w:tcBorders>
          </w:tcPr>
          <w:p>
            <w:pPr>
              <w:jc w:val="right"/>
              <w:ind w:right="902"/>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2,372</w:t>
            </w:r>
          </w:p>
        </w:tc>
        <w:tc>
          <w:tcPr>
            <w:tcW w:w="260" w:type="dxa"/>
            <w:vAlign w:val="bottom"/>
          </w:tcPr>
          <w:p>
            <w:pPr>
              <w:spacing w:after="0"/>
              <w:rPr>
                <w:sz w:val="15"/>
                <w:szCs w:val="15"/>
                <w:color w:val="auto"/>
              </w:rPr>
            </w:pP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2,289</w:t>
            </w:r>
          </w:p>
        </w:tc>
        <w:tc>
          <w:tcPr>
            <w:tcW w:w="80" w:type="dxa"/>
            <w:vAlign w:val="bottom"/>
          </w:tcPr>
          <w:p>
            <w:pPr>
              <w:spacing w:after="0"/>
              <w:rPr>
                <w:sz w:val="15"/>
                <w:szCs w:val="15"/>
                <w:color w:val="auto"/>
              </w:rPr>
            </w:pPr>
          </w:p>
        </w:tc>
      </w:tr>
      <w:tr>
        <w:trPr>
          <w:trHeight w:val="20"/>
        </w:trPr>
        <w:tc>
          <w:tcPr>
            <w:tcW w:w="79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-4053840</wp:posOffset>
            </wp:positionV>
            <wp:extent cx="514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-4036695</wp:posOffset>
            </wp:positionV>
            <wp:extent cx="51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-4053840</wp:posOffset>
            </wp:positionV>
            <wp:extent cx="514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-4036695</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-2327910</wp:posOffset>
            </wp:positionV>
            <wp:extent cx="5143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-2327910</wp:posOffset>
            </wp:positionV>
            <wp:extent cx="5143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-150495</wp:posOffset>
            </wp:positionV>
            <wp:extent cx="5143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-150495</wp:posOffset>
            </wp:positionV>
            <wp:extent cx="5143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7"/>
          <w:szCs w:val="17"/>
          <w:b w:val="1"/>
          <w:bCs w:val="1"/>
          <w:color w:val="auto"/>
        </w:rPr>
        <w:t>TRIPADVISOR, INC.</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 CONDENSED CONSOLIDATED STATEMENTS OF CHANGES IN STOCKHOLDERS’ EQUITY</w:t>
      </w:r>
    </w:p>
    <w:p>
      <w:pPr>
        <w:jc w:val="center"/>
        <w:ind w:right="-119"/>
        <w:spacing w:after="0"/>
        <w:rPr>
          <w:sz w:val="20"/>
          <w:szCs w:val="20"/>
          <w:color w:val="auto"/>
        </w:rPr>
      </w:pPr>
      <w:r>
        <w:rPr>
          <w:rFonts w:ascii="Arial" w:cs="Arial" w:eastAsia="Arial" w:hAnsi="Arial"/>
          <w:sz w:val="17"/>
          <w:szCs w:val="17"/>
          <w:b w:val="1"/>
          <w:bCs w:val="1"/>
          <w:color w:val="auto"/>
        </w:rPr>
        <w:t>(in millions, except number of shares)</w:t>
      </w:r>
    </w:p>
    <w:p>
      <w:pPr>
        <w:spacing w:after="0" w:line="3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Three months ended March 31, 2022</w:t>
      </w:r>
    </w:p>
    <w:p>
      <w:pPr>
        <w:spacing w:after="0" w:line="14" w:lineRule="exact"/>
        <w:rPr>
          <w:sz w:val="20"/>
          <w:szCs w:val="20"/>
          <w:color w:val="auto"/>
        </w:rPr>
      </w:pPr>
    </w:p>
    <w:tbl>
      <w:tblPr>
        <w:tblLayout w:type="fixed"/>
        <w:tblInd w:w="2300" w:type="dxa"/>
        <w:tblCellMar>
          <w:top w:w="0" w:type="dxa"/>
          <w:left w:w="0" w:type="dxa"/>
          <w:bottom w:w="0" w:type="dxa"/>
          <w:right w:w="0" w:type="dxa"/>
        </w:tblCellMar>
      </w:tblPr>
      <w:tr>
        <w:trPr>
          <w:trHeight w:val="133"/>
        </w:trPr>
        <w:tc>
          <w:tcPr>
            <w:tcW w:w="8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Accumulate</w:t>
            </w:r>
          </w:p>
        </w:tc>
        <w:tc>
          <w:tcPr>
            <w:tcW w:w="8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Addition</w:t>
            </w:r>
          </w:p>
        </w:tc>
        <w:tc>
          <w:tcPr>
            <w:tcW w:w="8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d</w:t>
            </w: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vMerge w:val="restart"/>
          </w:tcPr>
          <w:p>
            <w:pPr>
              <w:jc w:val="center"/>
              <w:ind w:right="528"/>
              <w:spacing w:after="0"/>
              <w:rPr>
                <w:sz w:val="20"/>
                <w:szCs w:val="20"/>
                <w:color w:val="auto"/>
              </w:rPr>
            </w:pPr>
            <w:r>
              <w:rPr>
                <w:rFonts w:ascii="Arial" w:cs="Arial" w:eastAsia="Arial" w:hAnsi="Arial"/>
                <w:sz w:val="14"/>
                <w:szCs w:val="14"/>
                <w:b w:val="1"/>
                <w:bCs w:val="1"/>
                <w:color w:val="auto"/>
                <w:w w:val="89"/>
              </w:rPr>
              <w:t>Class B</w:t>
            </w:r>
          </w:p>
        </w:tc>
        <w:tc>
          <w:tcPr>
            <w:tcW w:w="94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other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al</w:t>
            </w:r>
          </w:p>
        </w:tc>
        <w:tc>
          <w:tcPr>
            <w:tcW w:w="8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8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2"/>
                <w:szCs w:val="12"/>
                <w:color w:val="auto"/>
              </w:rPr>
            </w:pPr>
          </w:p>
        </w:tc>
        <w:tc>
          <w:tcPr>
            <w:tcW w:w="16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paid-in</w:t>
            </w:r>
          </w:p>
        </w:tc>
        <w:tc>
          <w:tcPr>
            <w:tcW w:w="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Retained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comprehens</w:t>
            </w:r>
          </w:p>
        </w:tc>
        <w:tc>
          <w:tcPr>
            <w:tcW w:w="16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Treasury Stock</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580" w:type="dxa"/>
            <w:vAlign w:val="bottom"/>
            <w:tcBorders>
              <w:bottom w:val="single" w:sz="8" w:color="auto"/>
            </w:tcBorders>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Borders>
              <w:bottom w:val="single" w:sz="8" w:color="auto"/>
            </w:tcBorders>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ive</w:t>
            </w:r>
          </w:p>
        </w:tc>
        <w:tc>
          <w:tcPr>
            <w:tcW w:w="1620" w:type="dxa"/>
            <w:vAlign w:val="bottom"/>
            <w:tcBorders>
              <w:bottom w:val="single" w:sz="8" w:color="auto"/>
            </w:tcBorders>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8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74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98"/>
              </w:rPr>
              <w:t>Amount</w:t>
            </w:r>
          </w:p>
        </w:tc>
        <w:tc>
          <w:tcPr>
            <w:tcW w:w="320" w:type="dxa"/>
            <w:vAlign w:val="bottom"/>
          </w:tcPr>
          <w:p>
            <w:pPr>
              <w:spacing w:after="0"/>
              <w:rPr>
                <w:sz w:val="11"/>
                <w:szCs w:val="11"/>
                <w:color w:val="auto"/>
              </w:rPr>
            </w:pPr>
          </w:p>
        </w:tc>
        <w:tc>
          <w:tcPr>
            <w:tcW w:w="60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85"/>
              </w:rPr>
              <w:t>Shares</w:t>
            </w: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earnings</w:t>
            </w:r>
          </w:p>
        </w:tc>
        <w:tc>
          <w:tcPr>
            <w:tcW w:w="1040" w:type="dxa"/>
            <w:vAlign w:val="bottom"/>
          </w:tcPr>
          <w:p>
            <w:pPr>
              <w:ind w:left="260"/>
              <w:spacing w:after="0" w:line="133" w:lineRule="exact"/>
              <w:rPr>
                <w:sz w:val="20"/>
                <w:szCs w:val="20"/>
                <w:color w:val="auto"/>
              </w:rPr>
            </w:pPr>
            <w:r>
              <w:rPr>
                <w:rFonts w:ascii="Arial" w:cs="Arial" w:eastAsia="Arial" w:hAnsi="Arial"/>
                <w:sz w:val="14"/>
                <w:szCs w:val="14"/>
                <w:b w:val="1"/>
                <w:bCs w:val="1"/>
                <w:color w:val="auto"/>
              </w:rPr>
              <w:t>income</w:t>
            </w:r>
          </w:p>
        </w:tc>
        <w:tc>
          <w:tcPr>
            <w:tcW w:w="8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6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8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5"/>
              </w:rPr>
              <w:t>(loss)</w:t>
            </w:r>
          </w:p>
        </w:tc>
        <w:tc>
          <w:tcPr>
            <w:tcW w:w="8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340" w:top="361" w:right="479" w:bottom="1440" w:gutter="0" w:footer="0" w:header="0"/>
        </w:sectPr>
      </w:pPr>
    </w:p>
    <w:p>
      <w:pPr>
        <w:ind w:right="60"/>
        <w:spacing w:after="0" w:line="227" w:lineRule="auto"/>
        <w:rPr>
          <w:sz w:val="20"/>
          <w:szCs w:val="20"/>
          <w:color w:val="auto"/>
        </w:rPr>
      </w:pPr>
      <w:r>
        <w:rPr>
          <w:rFonts w:ascii="Arial" w:cs="Arial" w:eastAsia="Arial" w:hAnsi="Arial"/>
          <w:sz w:val="18"/>
          <w:szCs w:val="18"/>
          <w:b w:val="1"/>
          <w:bCs w:val="1"/>
          <w:color w:val="auto"/>
        </w:rPr>
        <w:t>Balance as of December 31, 2021</w:t>
      </w:r>
    </w:p>
    <w:p>
      <w:pPr>
        <w:spacing w:after="0" w:line="236" w:lineRule="auto"/>
        <w:rPr>
          <w:sz w:val="20"/>
          <w:szCs w:val="20"/>
          <w:color w:val="auto"/>
        </w:rPr>
      </w:pPr>
      <w:r>
        <w:rPr>
          <w:rFonts w:ascii="Arial" w:cs="Arial" w:eastAsia="Arial" w:hAnsi="Arial"/>
          <w:sz w:val="18"/>
          <w:szCs w:val="18"/>
          <w:color w:val="auto"/>
        </w:rPr>
        <w:t>Net income (loss)</w:t>
      </w:r>
    </w:p>
    <w:p>
      <w:pPr>
        <w:spacing w:after="0" w:line="1"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Other comprehensive income (loss), net of tax</w:t>
      </w:r>
    </w:p>
    <w:p>
      <w:pPr>
        <w:spacing w:after="0" w:line="226" w:lineRule="auto"/>
        <w:rPr>
          <w:sz w:val="20"/>
          <w:szCs w:val="20"/>
          <w:color w:val="auto"/>
        </w:rPr>
      </w:pPr>
      <w:r>
        <w:rPr>
          <w:rFonts w:ascii="Arial" w:cs="Arial" w:eastAsia="Arial" w:hAnsi="Arial"/>
          <w:sz w:val="17"/>
          <w:szCs w:val="17"/>
          <w:color w:val="auto"/>
        </w:rPr>
        <w:t>Issuance of common stock related to exercises of options and vesting of RSUs</w:t>
      </w:r>
    </w:p>
    <w:p>
      <w:pPr>
        <w:spacing w:after="0" w:line="1" w:lineRule="exact"/>
        <w:rPr>
          <w:sz w:val="20"/>
          <w:szCs w:val="20"/>
          <w:color w:val="auto"/>
        </w:rPr>
      </w:pPr>
    </w:p>
    <w:p>
      <w:pPr>
        <w:ind w:right="240"/>
        <w:spacing w:after="0" w:line="218" w:lineRule="auto"/>
        <w:rPr>
          <w:sz w:val="20"/>
          <w:szCs w:val="20"/>
          <w:color w:val="auto"/>
        </w:rPr>
      </w:pPr>
      <w:r>
        <w:rPr>
          <w:rFonts w:ascii="Arial" w:cs="Arial" w:eastAsia="Arial" w:hAnsi="Arial"/>
          <w:sz w:val="18"/>
          <w:szCs w:val="18"/>
          <w:color w:val="auto"/>
        </w:rPr>
        <w:t>Withholding taxes on net share settlements of equity awards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w:t>
      </w:r>
    </w:p>
    <w:p>
      <w:pPr>
        <w:spacing w:after="0" w:line="29"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b w:val="1"/>
          <w:bCs w:val="1"/>
          <w:color w:val="auto"/>
        </w:rPr>
        <w:t>Balance as of March 31,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60" w:type="dxa"/>
            <w:vAlign w:val="bottom"/>
          </w:tcPr>
          <w:p>
            <w:pPr>
              <w:jc w:val="right"/>
              <w:spacing w:after="0" w:line="136" w:lineRule="exact"/>
              <w:rPr>
                <w:sz w:val="20"/>
                <w:szCs w:val="20"/>
                <w:color w:val="auto"/>
              </w:rPr>
            </w:pPr>
            <w:r>
              <w:rPr>
                <w:rFonts w:ascii="Arial" w:cs="Arial" w:eastAsia="Arial" w:hAnsi="Arial"/>
                <w:sz w:val="15"/>
                <w:szCs w:val="15"/>
                <w:b w:val="1"/>
                <w:bCs w:val="1"/>
                <w:color w:val="auto"/>
              </w:rPr>
              <w:t>144,656,6</w:t>
            </w:r>
          </w:p>
        </w:tc>
        <w:tc>
          <w:tcPr>
            <w:tcW w:w="160" w:type="dxa"/>
            <w:vAlign w:val="bottom"/>
            <w:vMerge w:val="restart"/>
          </w:tcPr>
          <w:p>
            <w:pPr>
              <w:spacing w:after="0"/>
              <w:rPr>
                <w:sz w:val="11"/>
                <w:szCs w:val="11"/>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320" w:type="dxa"/>
            <w:vAlign w:val="bottom"/>
            <w:vMerge w:val="restart"/>
          </w:tcPr>
          <w:p>
            <w:pPr>
              <w:ind w:left="12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Arial" w:cs="Arial" w:eastAsia="Arial" w:hAnsi="Arial"/>
                <w:sz w:val="15"/>
                <w:szCs w:val="15"/>
                <w:b w:val="1"/>
                <w:bCs w:val="1"/>
                <w:color w:val="auto"/>
              </w:rPr>
              <w:t>12,799,9</w:t>
            </w:r>
          </w:p>
        </w:tc>
        <w:tc>
          <w:tcPr>
            <w:tcW w:w="160" w:type="dxa"/>
            <w:vAlign w:val="bottom"/>
            <w:vMerge w:val="restart"/>
          </w:tcPr>
          <w:p>
            <w:pPr>
              <w:spacing w:after="0"/>
              <w:rPr>
                <w:sz w:val="11"/>
                <w:szCs w:val="11"/>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400" w:type="dxa"/>
            <w:vAlign w:val="bottom"/>
            <w:vMerge w:val="restart"/>
          </w:tcPr>
          <w:p>
            <w:pPr>
              <w:ind w:left="200"/>
              <w:spacing w:after="0"/>
              <w:rPr>
                <w:sz w:val="20"/>
                <w:szCs w:val="20"/>
                <w:color w:val="auto"/>
              </w:rPr>
            </w:pPr>
            <w:r>
              <w:rPr>
                <w:rFonts w:ascii="Arial" w:cs="Arial" w:eastAsia="Arial" w:hAnsi="Arial"/>
                <w:sz w:val="18"/>
                <w:szCs w:val="18"/>
                <w:b w:val="1"/>
                <w:bCs w:val="1"/>
                <w:color w:val="auto"/>
                <w:w w:val="99"/>
              </w:rPr>
              <w:t>—</w:t>
            </w:r>
          </w:p>
        </w:tc>
        <w:tc>
          <w:tcPr>
            <w:tcW w:w="160" w:type="dxa"/>
            <w:vAlign w:val="bottom"/>
            <w:vMerge w:val="restart"/>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3"/>
              </w:rPr>
              <w:t>$ 1,326</w:t>
            </w:r>
          </w:p>
        </w:tc>
        <w:tc>
          <w:tcPr>
            <w:tcW w:w="320" w:type="dxa"/>
            <w:vAlign w:val="bottom"/>
          </w:tcPr>
          <w:p>
            <w:pPr>
              <w:spacing w:after="0"/>
              <w:rPr>
                <w:sz w:val="11"/>
                <w:szCs w:val="11"/>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241</w:t>
            </w:r>
          </w:p>
        </w:tc>
        <w:tc>
          <w:tcPr>
            <w:tcW w:w="160" w:type="dxa"/>
            <w:vAlign w:val="bottom"/>
          </w:tcPr>
          <w:p>
            <w:pPr>
              <w:spacing w:after="0"/>
              <w:rPr>
                <w:sz w:val="11"/>
                <w:szCs w:val="11"/>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(56 )</w:t>
            </w:r>
          </w:p>
        </w:tc>
        <w:tc>
          <w:tcPr>
            <w:tcW w:w="800" w:type="dxa"/>
            <w:vAlign w:val="bottom"/>
          </w:tcPr>
          <w:p>
            <w:pPr>
              <w:jc w:val="right"/>
              <w:spacing w:after="0" w:line="136" w:lineRule="exact"/>
              <w:rPr>
                <w:sz w:val="20"/>
                <w:szCs w:val="20"/>
                <w:color w:val="auto"/>
              </w:rPr>
            </w:pPr>
            <w:r>
              <w:rPr>
                <w:rFonts w:ascii="Arial" w:cs="Arial" w:eastAsia="Arial" w:hAnsi="Arial"/>
                <w:sz w:val="15"/>
                <w:szCs w:val="15"/>
                <w:b w:val="1"/>
                <w:bCs w:val="1"/>
                <w:color w:val="auto"/>
              </w:rPr>
              <w:t>(18,844,6</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vMerge w:val="restart"/>
          </w:tcPr>
          <w:p>
            <w:pPr>
              <w:jc w:val="right"/>
              <w:ind w:right="60"/>
              <w:spacing w:after="0"/>
              <w:rPr>
                <w:sz w:val="20"/>
                <w:szCs w:val="20"/>
                <w:color w:val="auto"/>
              </w:rPr>
            </w:pPr>
            <w:r>
              <w:rPr>
                <w:rFonts w:ascii="Arial" w:cs="Arial" w:eastAsia="Arial" w:hAnsi="Arial"/>
                <w:sz w:val="18"/>
                <w:szCs w:val="18"/>
                <w:b w:val="1"/>
                <w:bCs w:val="1"/>
                <w:color w:val="auto"/>
              </w:rPr>
              <w:t>(722 ) $</w:t>
            </w: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789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8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49</w:t>
            </w:r>
          </w:p>
        </w:tc>
        <w:tc>
          <w:tcPr>
            <w:tcW w:w="1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99</w:t>
            </w:r>
          </w:p>
        </w:tc>
        <w:tc>
          <w:tcPr>
            <w:tcW w:w="1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160" w:type="dxa"/>
            <w:vAlign w:val="bottom"/>
            <w:gridSpan w:val="3"/>
          </w:tcPr>
          <w:p>
            <w:pPr>
              <w:jc w:val="right"/>
              <w:ind w:right="100"/>
              <w:spacing w:after="0" w:line="201" w:lineRule="exact"/>
              <w:rPr>
                <w:sz w:val="20"/>
                <w:szCs w:val="20"/>
                <w:color w:val="auto"/>
              </w:rPr>
            </w:pPr>
            <w:r>
              <w:rPr>
                <w:rFonts w:ascii="Arial" w:cs="Arial" w:eastAsia="Arial" w:hAnsi="Arial"/>
                <w:sz w:val="18"/>
                <w:szCs w:val="18"/>
                <w:b w:val="1"/>
                <w:bCs w:val="1"/>
                <w:color w:val="auto"/>
              </w:rPr>
              <w:t>14 ) $</w:t>
            </w:r>
          </w:p>
        </w:tc>
        <w:tc>
          <w:tcPr>
            <w:tcW w:w="780" w:type="dxa"/>
            <w:vAlign w:val="bottom"/>
            <w:gridSpan w:val="3"/>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(34 )</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378"/>
        </w:trPr>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(4 )</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553"/>
        </w:trPr>
        <w:tc>
          <w:tcPr>
            <w:tcW w:w="860" w:type="dxa"/>
            <w:vAlign w:val="bottom"/>
          </w:tcPr>
          <w:p>
            <w:pPr>
              <w:jc w:val="right"/>
              <w:spacing w:after="0"/>
              <w:rPr>
                <w:sz w:val="20"/>
                <w:szCs w:val="20"/>
                <w:color w:val="auto"/>
              </w:rPr>
            </w:pPr>
            <w:r>
              <w:rPr>
                <w:rFonts w:ascii="Arial" w:cs="Arial" w:eastAsia="Arial" w:hAnsi="Arial"/>
                <w:sz w:val="18"/>
                <w:szCs w:val="18"/>
                <w:color w:val="auto"/>
              </w:rPr>
              <w:t>980,051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26"/>
        </w:trPr>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(8 )</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7"/>
        </w:trPr>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6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145,636,7</w:t>
            </w:r>
          </w:p>
        </w:tc>
        <w:tc>
          <w:tcPr>
            <w:tcW w:w="400" w:type="dxa"/>
            <w:vAlign w:val="bottom"/>
            <w:gridSpan w:val="2"/>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320" w:type="dxa"/>
            <w:vAlign w:val="bottom"/>
            <w:vMerge w:val="restart"/>
          </w:tcPr>
          <w:p>
            <w:pPr>
              <w:ind w:left="12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12,799,9</w:t>
            </w:r>
          </w:p>
        </w:tc>
        <w:tc>
          <w:tcPr>
            <w:tcW w:w="480" w:type="dxa"/>
            <w:vAlign w:val="bottom"/>
            <w:gridSpan w:val="2"/>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400" w:type="dxa"/>
            <w:vAlign w:val="bottom"/>
            <w:vMerge w:val="restart"/>
          </w:tcPr>
          <w:p>
            <w:pPr>
              <w:ind w:left="20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$ 1,342</w:t>
            </w:r>
          </w:p>
        </w:tc>
        <w:tc>
          <w:tcPr>
            <w:tcW w:w="32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207</w:t>
            </w:r>
          </w:p>
        </w:tc>
        <w:tc>
          <w:tcPr>
            <w:tcW w:w="16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(60 )</w:t>
            </w:r>
          </w:p>
        </w:tc>
        <w:tc>
          <w:tcPr>
            <w:tcW w:w="800" w:type="dxa"/>
            <w:vAlign w:val="bottom"/>
          </w:tcPr>
          <w:p>
            <w:pPr>
              <w:jc w:val="right"/>
              <w:spacing w:after="0" w:line="156" w:lineRule="exact"/>
              <w:rPr>
                <w:sz w:val="20"/>
                <w:szCs w:val="20"/>
                <w:color w:val="auto"/>
              </w:rPr>
            </w:pPr>
            <w:r>
              <w:rPr>
                <w:rFonts w:ascii="Arial" w:cs="Arial" w:eastAsia="Arial" w:hAnsi="Arial"/>
                <w:sz w:val="18"/>
                <w:szCs w:val="18"/>
                <w:b w:val="1"/>
                <w:bCs w:val="1"/>
                <w:color w:val="auto"/>
                <w:w w:val="99"/>
              </w:rPr>
              <w:t>(18,844,6</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3"/>
            <w:vMerge w:val="restart"/>
          </w:tcPr>
          <w:p>
            <w:pPr>
              <w:jc w:val="right"/>
              <w:ind w:right="60"/>
              <w:spacing w:after="0"/>
              <w:rPr>
                <w:sz w:val="20"/>
                <w:szCs w:val="20"/>
                <w:color w:val="auto"/>
              </w:rPr>
            </w:pPr>
            <w:r>
              <w:rPr>
                <w:rFonts w:ascii="Arial" w:cs="Arial" w:eastAsia="Arial" w:hAnsi="Arial"/>
                <w:sz w:val="18"/>
                <w:szCs w:val="18"/>
                <w:b w:val="1"/>
                <w:bCs w:val="1"/>
                <w:color w:val="auto"/>
              </w:rPr>
              <w:t>(722 ) $</w:t>
            </w: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00</w:t>
            </w:r>
          </w:p>
        </w:tc>
        <w:tc>
          <w:tcPr>
            <w:tcW w:w="40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99</w:t>
            </w:r>
          </w:p>
        </w:tc>
        <w:tc>
          <w:tcPr>
            <w:tcW w:w="48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14 ) $</w:t>
            </w:r>
          </w:p>
        </w:tc>
        <w:tc>
          <w:tcPr>
            <w:tcW w:w="780" w:type="dxa"/>
            <w:vAlign w:val="bottom"/>
            <w:gridSpan w:val="3"/>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-1713865</wp:posOffset>
            </wp:positionV>
            <wp:extent cx="7132320"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-1344930</wp:posOffset>
            </wp:positionV>
            <wp:extent cx="713232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-753745</wp:posOffset>
            </wp:positionV>
            <wp:extent cx="7132320" cy="351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-264795</wp:posOffset>
            </wp:positionV>
            <wp:extent cx="7132320" cy="265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6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Three months ended March 31, 2021</w:t>
      </w:r>
    </w:p>
    <w:p>
      <w:pPr>
        <w:spacing w:after="0" w:line="14" w:lineRule="exact"/>
        <w:rPr>
          <w:sz w:val="20"/>
          <w:szCs w:val="20"/>
          <w:color w:val="auto"/>
        </w:rPr>
      </w:pPr>
    </w:p>
    <w:p>
      <w:pPr>
        <w:sectPr>
          <w:pgSz w:w="11900" w:h="16838" w:orient="portrait"/>
          <w:cols w:equalWidth="0" w:num="2">
            <w:col w:w="2160" w:space="140"/>
            <w:col w:w="8780"/>
          </w:cols>
          <w:pgMar w:left="340" w:top="361"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b w:val="1"/>
          <w:bCs w:val="1"/>
          <w:color w:val="auto"/>
        </w:rPr>
        <w:t>Balance as of December 31, 2020</w:t>
      </w:r>
    </w:p>
    <w:p>
      <w:pPr>
        <w:spacing w:after="0" w:line="236" w:lineRule="auto"/>
        <w:rPr>
          <w:sz w:val="20"/>
          <w:szCs w:val="20"/>
          <w:color w:val="auto"/>
        </w:rPr>
      </w:pPr>
      <w:r>
        <w:rPr>
          <w:rFonts w:ascii="Arial" w:cs="Arial" w:eastAsia="Arial" w:hAnsi="Arial"/>
          <w:sz w:val="18"/>
          <w:szCs w:val="18"/>
          <w:color w:val="auto"/>
        </w:rPr>
        <w:t>Net income (loss)</w:t>
      </w:r>
    </w:p>
    <w:p>
      <w:pPr>
        <w:ind w:right="40"/>
        <w:spacing w:after="0" w:line="219" w:lineRule="auto"/>
        <w:rPr>
          <w:sz w:val="20"/>
          <w:szCs w:val="20"/>
          <w:color w:val="auto"/>
        </w:rPr>
      </w:pPr>
      <w:r>
        <w:rPr>
          <w:rFonts w:ascii="Arial" w:cs="Arial" w:eastAsia="Arial" w:hAnsi="Arial"/>
          <w:sz w:val="18"/>
          <w:szCs w:val="18"/>
          <w:color w:val="auto"/>
        </w:rPr>
        <w:t>Other comprehensive income (loss), net of tax</w:t>
      </w:r>
    </w:p>
    <w:p>
      <w:pPr>
        <w:spacing w:after="0" w:line="226" w:lineRule="auto"/>
        <w:rPr>
          <w:sz w:val="20"/>
          <w:szCs w:val="20"/>
          <w:color w:val="auto"/>
        </w:rPr>
      </w:pPr>
      <w:r>
        <w:rPr>
          <w:rFonts w:ascii="Arial" w:cs="Arial" w:eastAsia="Arial" w:hAnsi="Arial"/>
          <w:sz w:val="17"/>
          <w:szCs w:val="17"/>
          <w:color w:val="auto"/>
        </w:rPr>
        <w:t>Issuance of common stock related to exercises of options and vesting of RSUs</w:t>
      </w:r>
    </w:p>
    <w:p>
      <w:pPr>
        <w:spacing w:after="0" w:line="1" w:lineRule="exact"/>
        <w:rPr>
          <w:sz w:val="20"/>
          <w:szCs w:val="20"/>
          <w:color w:val="auto"/>
        </w:rPr>
      </w:pPr>
    </w:p>
    <w:p>
      <w:pPr>
        <w:jc w:val="both"/>
        <w:ind w:right="80"/>
        <w:spacing w:after="0" w:line="262" w:lineRule="auto"/>
        <w:rPr>
          <w:sz w:val="20"/>
          <w:szCs w:val="20"/>
          <w:color w:val="auto"/>
        </w:rPr>
      </w:pPr>
      <w:r>
        <w:rPr>
          <w:rFonts w:ascii="Arial" w:cs="Arial" w:eastAsia="Arial" w:hAnsi="Arial"/>
          <w:sz w:val="15"/>
          <w:szCs w:val="15"/>
          <w:color w:val="auto"/>
        </w:rPr>
        <w:t>Purchase of capped calls, net of tax of $9 million (Note 6)</w:t>
      </w:r>
    </w:p>
    <w:p>
      <w:pPr>
        <w:spacing w:after="0" w:line="1" w:lineRule="exact"/>
        <w:rPr>
          <w:sz w:val="20"/>
          <w:szCs w:val="20"/>
          <w:color w:val="auto"/>
        </w:rPr>
      </w:pPr>
    </w:p>
    <w:p>
      <w:pPr>
        <w:ind w:right="240"/>
        <w:spacing w:after="0" w:line="218" w:lineRule="auto"/>
        <w:rPr>
          <w:sz w:val="20"/>
          <w:szCs w:val="20"/>
          <w:color w:val="auto"/>
        </w:rPr>
      </w:pPr>
      <w:r>
        <w:rPr>
          <w:rFonts w:ascii="Arial" w:cs="Arial" w:eastAsia="Arial" w:hAnsi="Arial"/>
          <w:sz w:val="18"/>
          <w:szCs w:val="18"/>
          <w:color w:val="auto"/>
        </w:rPr>
        <w:t>Withholding taxes on net share settlements of equity awards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w:t>
      </w:r>
    </w:p>
    <w:p>
      <w:pPr>
        <w:spacing w:after="0" w:line="29"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b w:val="1"/>
          <w:bCs w:val="1"/>
          <w:color w:val="auto"/>
        </w:rPr>
        <w:t>Balance as of March 31,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3"/>
        </w:trPr>
        <w:tc>
          <w:tcPr>
            <w:tcW w:w="8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3"/>
              </w:rPr>
              <w:t>Accumulate</w:t>
            </w:r>
          </w:p>
        </w:tc>
        <w:tc>
          <w:tcPr>
            <w:tcW w:w="6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Addition</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other</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al</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3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4"/>
              </w:rPr>
              <w:t>Common stock</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paid-in</w:t>
            </w:r>
          </w:p>
        </w:tc>
        <w:tc>
          <w:tcPr>
            <w:tcW w:w="8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comprehens</w:t>
            </w:r>
          </w:p>
        </w:tc>
        <w:tc>
          <w:tcPr>
            <w:tcW w:w="12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Treasury Stock</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ive</w:t>
            </w:r>
          </w:p>
        </w:tc>
        <w:tc>
          <w:tcPr>
            <w:tcW w:w="1280" w:type="dxa"/>
            <w:vAlign w:val="bottom"/>
            <w:tcBorders>
              <w:bottom w:val="single" w:sz="8" w:color="auto"/>
            </w:tcBorders>
            <w:gridSpan w:val="4"/>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8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320" w:type="dxa"/>
            <w:vAlign w:val="bottom"/>
          </w:tcPr>
          <w:p>
            <w:pPr>
              <w:spacing w:after="0"/>
              <w:rPr>
                <w:sz w:val="11"/>
                <w:szCs w:val="11"/>
                <w:color w:val="auto"/>
              </w:rPr>
            </w:pPr>
          </w:p>
        </w:tc>
        <w:tc>
          <w:tcPr>
            <w:tcW w:w="78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320" w:type="dxa"/>
            <w:vAlign w:val="bottom"/>
            <w:vMerge w:val="restart"/>
          </w:tcPr>
          <w:p>
            <w:pPr>
              <w:spacing w:after="0"/>
              <w:rPr>
                <w:sz w:val="11"/>
                <w:szCs w:val="11"/>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earnings</w:t>
            </w:r>
          </w:p>
        </w:tc>
        <w:tc>
          <w:tcPr>
            <w:tcW w:w="16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9"/>
              </w:rPr>
              <w:t>income</w:t>
            </w:r>
          </w:p>
        </w:tc>
        <w:tc>
          <w:tcPr>
            <w:tcW w:w="60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5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Borders>
              <w:bottom w:val="single" w:sz="8" w:color="auto"/>
            </w:tcBorders>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6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140,775,2</w:t>
            </w:r>
          </w:p>
        </w:tc>
        <w:tc>
          <w:tcPr>
            <w:tcW w:w="4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w:t>
            </w:r>
          </w:p>
        </w:tc>
        <w:tc>
          <w:tcPr>
            <w:tcW w:w="260" w:type="dxa"/>
            <w:vAlign w:val="bottom"/>
            <w:vMerge w:val="restart"/>
          </w:tcPr>
          <w:p>
            <w:pPr>
              <w:ind w:left="6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12,799,9</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ind w:left="42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$ 1,253</w:t>
            </w:r>
          </w:p>
        </w:tc>
        <w:tc>
          <w:tcPr>
            <w:tcW w:w="320" w:type="dxa"/>
            <w:vAlign w:val="bottom"/>
          </w:tcPr>
          <w:p>
            <w:pPr>
              <w:spacing w:after="0"/>
              <w:rPr>
                <w:sz w:val="13"/>
                <w:szCs w:val="13"/>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8"/>
                <w:szCs w:val="18"/>
                <w:b w:val="1"/>
                <w:bCs w:val="1"/>
                <w:color w:val="auto"/>
                <w:w w:val="7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389</w:t>
            </w:r>
          </w:p>
        </w:tc>
        <w:tc>
          <w:tcPr>
            <w:tcW w:w="16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(34 )</w:t>
            </w:r>
          </w:p>
        </w:tc>
        <w:tc>
          <w:tcPr>
            <w:tcW w:w="80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auto"/>
                <w:w w:val="99"/>
              </w:rPr>
              <w:t>(18,844,6</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3"/>
              </w:rPr>
              <w:t>(722 ) $</w:t>
            </w: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886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21</w:t>
            </w:r>
          </w:p>
        </w:tc>
        <w:tc>
          <w:tcPr>
            <w:tcW w:w="460" w:type="dxa"/>
            <w:vAlign w:val="bottom"/>
            <w:gridSpan w:val="2"/>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10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99</w:t>
            </w:r>
          </w:p>
        </w:tc>
        <w:tc>
          <w:tcPr>
            <w:tcW w:w="26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gridSpan w:val="3"/>
          </w:tcPr>
          <w:p>
            <w:pPr>
              <w:jc w:val="right"/>
              <w:ind w:right="148"/>
              <w:spacing w:after="0" w:line="201" w:lineRule="exact"/>
              <w:rPr>
                <w:sz w:val="20"/>
                <w:szCs w:val="20"/>
                <w:color w:val="auto"/>
              </w:rPr>
            </w:pPr>
            <w:r>
              <w:rPr>
                <w:rFonts w:ascii="Arial" w:cs="Arial" w:eastAsia="Arial" w:hAnsi="Arial"/>
                <w:sz w:val="18"/>
                <w:szCs w:val="18"/>
                <w:b w:val="1"/>
                <w:bCs w:val="1"/>
                <w:color w:val="auto"/>
                <w:w w:val="95"/>
              </w:rPr>
              <w:t>14 ) $</w:t>
            </w:r>
          </w:p>
        </w:tc>
        <w:tc>
          <w:tcPr>
            <w:tcW w:w="660" w:type="dxa"/>
            <w:vAlign w:val="bottom"/>
            <w:gridSpan w:val="3"/>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(80 )</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378"/>
        </w:trPr>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(12 )</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553"/>
        </w:trPr>
        <w:tc>
          <w:tcPr>
            <w:tcW w:w="860" w:type="dxa"/>
            <w:vAlign w:val="bottom"/>
          </w:tcPr>
          <w:p>
            <w:pPr>
              <w:jc w:val="right"/>
              <w:spacing w:after="0"/>
              <w:rPr>
                <w:sz w:val="20"/>
                <w:szCs w:val="20"/>
                <w:color w:val="auto"/>
              </w:rPr>
            </w:pPr>
            <w:r>
              <w:rPr>
                <w:rFonts w:ascii="Arial" w:cs="Arial" w:eastAsia="Arial" w:hAnsi="Arial"/>
                <w:sz w:val="18"/>
                <w:szCs w:val="18"/>
                <w:color w:val="auto"/>
              </w:rPr>
              <w:t>2,139,630</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(26 )</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526"/>
        </w:trPr>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(23 )</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17"/>
        </w:trPr>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86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142,914,8</w:t>
            </w:r>
          </w:p>
        </w:tc>
        <w:tc>
          <w:tcPr>
            <w:tcW w:w="46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w:t>
            </w:r>
          </w:p>
        </w:tc>
        <w:tc>
          <w:tcPr>
            <w:tcW w:w="260" w:type="dxa"/>
            <w:vAlign w:val="bottom"/>
            <w:vMerge w:val="restart"/>
          </w:tcPr>
          <w:p>
            <w:pPr>
              <w:ind w:left="6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12,799,9</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ind w:left="42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$ 1,244</w:t>
            </w:r>
          </w:p>
        </w:tc>
        <w:tc>
          <w:tcPr>
            <w:tcW w:w="320" w:type="dxa"/>
            <w:vAlign w:val="bottom"/>
          </w:tcPr>
          <w:p>
            <w:pPr>
              <w:spacing w:after="0"/>
              <w:rPr>
                <w:sz w:val="13"/>
                <w:szCs w:val="13"/>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8"/>
                <w:szCs w:val="18"/>
                <w:b w:val="1"/>
                <w:bCs w:val="1"/>
                <w:color w:val="auto"/>
                <w:w w:val="7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309</w:t>
            </w:r>
          </w:p>
        </w:tc>
        <w:tc>
          <w:tcPr>
            <w:tcW w:w="16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(46 )</w:t>
            </w:r>
          </w:p>
        </w:tc>
        <w:tc>
          <w:tcPr>
            <w:tcW w:w="80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auto"/>
                <w:w w:val="99"/>
              </w:rPr>
              <w:t>(18,844,6</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3"/>
              </w:rPr>
              <w:t>(722 ) $</w:t>
            </w:r>
          </w:p>
        </w:tc>
        <w:tc>
          <w:tcPr>
            <w:tcW w:w="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46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99</w:t>
            </w:r>
          </w:p>
        </w:tc>
        <w:tc>
          <w:tcPr>
            <w:tcW w:w="26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gridSpan w:val="3"/>
          </w:tcPr>
          <w:p>
            <w:pPr>
              <w:jc w:val="right"/>
              <w:ind w:right="148"/>
              <w:spacing w:after="0"/>
              <w:rPr>
                <w:sz w:val="20"/>
                <w:szCs w:val="20"/>
                <w:color w:val="auto"/>
              </w:rPr>
            </w:pPr>
            <w:r>
              <w:rPr>
                <w:rFonts w:ascii="Arial" w:cs="Arial" w:eastAsia="Arial" w:hAnsi="Arial"/>
                <w:sz w:val="18"/>
                <w:szCs w:val="18"/>
                <w:b w:val="1"/>
                <w:bCs w:val="1"/>
                <w:color w:val="auto"/>
                <w:w w:val="95"/>
              </w:rPr>
              <w:t>14 ) $</w:t>
            </w:r>
          </w:p>
        </w:tc>
        <w:tc>
          <w:tcPr>
            <w:tcW w:w="660" w:type="dxa"/>
            <w:vAlign w:val="bottom"/>
            <w:gridSpan w:val="3"/>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-1713865</wp:posOffset>
            </wp:positionV>
            <wp:extent cx="713232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-1344930</wp:posOffset>
            </wp:positionV>
            <wp:extent cx="7132320" cy="3511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51155"/>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-753745</wp:posOffset>
            </wp:positionV>
            <wp:extent cx="7132320" cy="3517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5179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-264795</wp:posOffset>
            </wp:positionV>
            <wp:extent cx="7132320"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160" w:space="140"/>
            <w:col w:w="8780"/>
          </w:cols>
          <w:pgMar w:left="340" w:top="361" w:right="479" w:bottom="1440" w:gutter="0" w:footer="0" w:header="0"/>
          <w:type w:val="continuous"/>
        </w:sectPr>
      </w:pPr>
    </w:p>
    <w:p>
      <w:pPr>
        <w:jc w:val="center"/>
        <w:ind w:right="-119"/>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361" w:right="479" w:bottom="1440" w:gutter="0" w:footer="0" w:header="0"/>
          <w:type w:val="continuous"/>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TRIPADVISOR,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8020" w:type="dxa"/>
            <w:vAlign w:val="bottom"/>
          </w:tcPr>
          <w:p>
            <w:pPr>
              <w:spacing w:after="0"/>
              <w:rPr>
                <w:sz w:val="14"/>
                <w:szCs w:val="14"/>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8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Net income (loss)</w:t>
            </w:r>
          </w:p>
        </w:tc>
        <w:tc>
          <w:tcPr>
            <w:tcW w:w="1020" w:type="dxa"/>
            <w:vAlign w:val="bottom"/>
          </w:tcPr>
          <w:p>
            <w:pPr>
              <w:jc w:val="right"/>
              <w:ind w:right="839"/>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(34 )</w:t>
            </w:r>
          </w:p>
        </w:tc>
        <w:tc>
          <w:tcPr>
            <w:tcW w:w="1020" w:type="dxa"/>
            <w:vAlign w:val="bottom"/>
          </w:tcPr>
          <w:p>
            <w:pPr>
              <w:jc w:val="right"/>
              <w:ind w:right="816"/>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(80 )</w:t>
            </w:r>
          </w:p>
        </w:tc>
      </w:tr>
      <w:tr>
        <w:trPr>
          <w:trHeight w:val="203"/>
        </w:trPr>
        <w:tc>
          <w:tcPr>
            <w:tcW w:w="8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80" w:type="dxa"/>
            <w:vAlign w:val="bottom"/>
          </w:tcPr>
          <w:p>
            <w:pPr>
              <w:spacing w:after="0"/>
              <w:rPr>
                <w:sz w:val="17"/>
                <w:szCs w:val="17"/>
                <w:color w:val="auto"/>
              </w:rPr>
            </w:pP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Stock-based compensation expense (Note 9)</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7"/>
                <w:szCs w:val="17"/>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 expense (benefit)</w:t>
            </w:r>
          </w:p>
        </w:tc>
        <w:tc>
          <w:tcPr>
            <w:tcW w:w="1020" w:type="dxa"/>
            <w:vAlign w:val="bottom"/>
          </w:tcPr>
          <w:p>
            <w:pPr>
              <w:spacing w:after="0"/>
              <w:rPr>
                <w:sz w:val="17"/>
                <w:szCs w:val="17"/>
                <w:color w:val="auto"/>
              </w:rPr>
            </w:pPr>
          </w:p>
        </w:tc>
        <w:tc>
          <w:tcPr>
            <w:tcW w:w="68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(22 )</w:t>
            </w: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Provision for expected credit losses</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7"/>
                <w:szCs w:val="17"/>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Other, net</w:t>
            </w:r>
          </w:p>
        </w:tc>
        <w:tc>
          <w:tcPr>
            <w:tcW w:w="10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7"/>
                <w:szCs w:val="17"/>
                <w:color w:val="auto"/>
              </w:rPr>
            </w:pP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Changes in operating assets and liabilities, net:</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8020" w:type="dxa"/>
            <w:vAlign w:val="bottom"/>
          </w:tcPr>
          <w:p>
            <w:pPr>
              <w:ind w:left="380"/>
              <w:spacing w:after="0" w:line="202" w:lineRule="exact"/>
              <w:rPr>
                <w:sz w:val="20"/>
                <w:szCs w:val="20"/>
                <w:color w:val="auto"/>
              </w:rPr>
            </w:pPr>
            <w:r>
              <w:rPr>
                <w:rFonts w:ascii="Arial" w:cs="Arial" w:eastAsia="Arial" w:hAnsi="Arial"/>
                <w:sz w:val="18"/>
                <w:szCs w:val="18"/>
                <w:color w:val="auto"/>
              </w:rPr>
              <w:t>Accounts receivable and contract assets, prepaid expenses and other assets</w:t>
            </w:r>
          </w:p>
        </w:tc>
        <w:tc>
          <w:tcPr>
            <w:tcW w:w="1020" w:type="dxa"/>
            <w:vAlign w:val="bottom"/>
          </w:tcPr>
          <w:p>
            <w:pPr>
              <w:spacing w:after="0"/>
              <w:rPr>
                <w:sz w:val="17"/>
                <w:szCs w:val="17"/>
                <w:color w:val="auto"/>
              </w:rPr>
            </w:pPr>
          </w:p>
        </w:tc>
        <w:tc>
          <w:tcPr>
            <w:tcW w:w="68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(45 )</w:t>
            </w:r>
          </w:p>
        </w:tc>
        <w:tc>
          <w:tcPr>
            <w:tcW w:w="10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(21 )</w:t>
            </w:r>
          </w:p>
        </w:tc>
      </w:tr>
      <w:tr>
        <w:trPr>
          <w:trHeight w:val="203"/>
        </w:trPr>
        <w:tc>
          <w:tcPr>
            <w:tcW w:w="80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payable, accrued expenses and other liabilities</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(11 )</w:t>
            </w:r>
          </w:p>
        </w:tc>
      </w:tr>
      <w:tr>
        <w:trPr>
          <w:trHeight w:val="203"/>
        </w:trPr>
        <w:tc>
          <w:tcPr>
            <w:tcW w:w="8020" w:type="dxa"/>
            <w:vAlign w:val="bottom"/>
          </w:tcPr>
          <w:p>
            <w:pPr>
              <w:ind w:left="380"/>
              <w:spacing w:after="0" w:line="202" w:lineRule="exact"/>
              <w:rPr>
                <w:sz w:val="20"/>
                <w:szCs w:val="20"/>
                <w:color w:val="auto"/>
              </w:rPr>
            </w:pPr>
            <w:r>
              <w:rPr>
                <w:rFonts w:ascii="Arial" w:cs="Arial" w:eastAsia="Arial" w:hAnsi="Arial"/>
                <w:sz w:val="18"/>
                <w:szCs w:val="18"/>
                <w:color w:val="auto"/>
              </w:rPr>
              <w:t>Deferred merchant payables</w:t>
            </w:r>
          </w:p>
        </w:tc>
        <w:tc>
          <w:tcPr>
            <w:tcW w:w="10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80" w:type="dxa"/>
            <w:vAlign w:val="bottom"/>
          </w:tcPr>
          <w:p>
            <w:pPr>
              <w:spacing w:after="0"/>
              <w:rPr>
                <w:sz w:val="17"/>
                <w:szCs w:val="17"/>
                <w:color w:val="auto"/>
              </w:rPr>
            </w:pPr>
          </w:p>
        </w:tc>
      </w:tr>
      <w:tr>
        <w:trPr>
          <w:trHeight w:val="203"/>
        </w:trPr>
        <w:tc>
          <w:tcPr>
            <w:tcW w:w="80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Income tax receivables/payables, net</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7"/>
                <w:szCs w:val="17"/>
                <w:color w:val="auto"/>
              </w:rPr>
            </w:pPr>
          </w:p>
        </w:tc>
      </w:tr>
      <w:tr>
        <w:trPr>
          <w:trHeight w:val="203"/>
        </w:trPr>
        <w:tc>
          <w:tcPr>
            <w:tcW w:w="8020" w:type="dxa"/>
            <w:vAlign w:val="bottom"/>
          </w:tcPr>
          <w:p>
            <w:pPr>
              <w:ind w:left="380"/>
              <w:spacing w:after="0" w:line="202" w:lineRule="exact"/>
              <w:rPr>
                <w:sz w:val="20"/>
                <w:szCs w:val="20"/>
                <w:color w:val="auto"/>
              </w:rPr>
            </w:pPr>
            <w:r>
              <w:rPr>
                <w:rFonts w:ascii="Arial" w:cs="Arial" w:eastAsia="Arial" w:hAnsi="Arial"/>
                <w:sz w:val="18"/>
                <w:szCs w:val="18"/>
                <w:color w:val="auto"/>
              </w:rPr>
              <w:t>Deferred revenue</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2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80" w:type="dxa"/>
            <w:vAlign w:val="bottom"/>
          </w:tcPr>
          <w:p>
            <w:pPr>
              <w:spacing w:after="0"/>
              <w:rPr>
                <w:sz w:val="17"/>
                <w:szCs w:val="17"/>
                <w:color w:val="auto"/>
              </w:rPr>
            </w:pPr>
          </w:p>
        </w:tc>
      </w:tr>
      <w:tr>
        <w:trPr>
          <w:trHeight w:val="196"/>
        </w:trPr>
        <w:tc>
          <w:tcPr>
            <w:tcW w:w="8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8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Investing activities:</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Capital expenditures, including capitalized website development</w:t>
            </w:r>
          </w:p>
        </w:tc>
        <w:tc>
          <w:tcPr>
            <w:tcW w:w="1020" w:type="dxa"/>
            <w:vAlign w:val="bottom"/>
          </w:tcPr>
          <w:p>
            <w:pPr>
              <w:spacing w:after="0"/>
              <w:rPr>
                <w:sz w:val="17"/>
                <w:szCs w:val="17"/>
                <w:color w:val="auto"/>
              </w:rPr>
            </w:pPr>
          </w:p>
        </w:tc>
        <w:tc>
          <w:tcPr>
            <w:tcW w:w="68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(14 )</w:t>
            </w:r>
          </w:p>
        </w:tc>
        <w:tc>
          <w:tcPr>
            <w:tcW w:w="10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(10 )</w:t>
            </w:r>
          </w:p>
        </w:tc>
      </w:tr>
      <w:tr>
        <w:trPr>
          <w:trHeight w:val="196"/>
        </w:trPr>
        <w:tc>
          <w:tcPr>
            <w:tcW w:w="8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cash provided by (used in) investing activities</w:t>
            </w:r>
          </w:p>
        </w:tc>
        <w:tc>
          <w:tcPr>
            <w:tcW w:w="10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8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Financing activities:</w:t>
            </w:r>
          </w:p>
        </w:tc>
        <w:tc>
          <w:tcPr>
            <w:tcW w:w="10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issuance of 2026 Senior Notes, net of financing costs (Note 6)</w:t>
            </w:r>
          </w:p>
        </w:tc>
        <w:tc>
          <w:tcPr>
            <w:tcW w:w="1020" w:type="dxa"/>
            <w:vAlign w:val="bottom"/>
          </w:tcPr>
          <w:p>
            <w:pPr>
              <w:spacing w:after="0"/>
              <w:rPr>
                <w:sz w:val="17"/>
                <w:szCs w:val="17"/>
                <w:color w:val="auto"/>
              </w:rPr>
            </w:pPr>
          </w:p>
        </w:tc>
        <w:tc>
          <w:tcPr>
            <w:tcW w:w="68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c>
          <w:tcPr>
            <w:tcW w:w="80" w:type="dxa"/>
            <w:vAlign w:val="bottom"/>
          </w:tcPr>
          <w:p>
            <w:pPr>
              <w:spacing w:after="0"/>
              <w:rPr>
                <w:sz w:val="17"/>
                <w:szCs w:val="17"/>
                <w:color w:val="auto"/>
              </w:rPr>
            </w:pP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 of capped calls in connection with 2026 Senior Notes (Note 6)</w:t>
            </w: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(35 )</w:t>
            </w: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Proceeds from exercise of stock options</w:t>
            </w:r>
          </w:p>
        </w:tc>
        <w:tc>
          <w:tcPr>
            <w:tcW w:w="1020" w:type="dxa"/>
            <w:vAlign w:val="bottom"/>
          </w:tcPr>
          <w:p>
            <w:pPr>
              <w:spacing w:after="0"/>
              <w:rPr>
                <w:sz w:val="17"/>
                <w:szCs w:val="17"/>
                <w:color w:val="auto"/>
              </w:rPr>
            </w:pPr>
          </w:p>
        </w:tc>
        <w:tc>
          <w:tcPr>
            <w:tcW w:w="68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r>
      <w:tr>
        <w:trPr>
          <w:trHeight w:val="203"/>
        </w:trPr>
        <w:tc>
          <w:tcPr>
            <w:tcW w:w="8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Payment of withholding taxes on net share settlements of equity awards</w:t>
            </w:r>
          </w:p>
        </w:tc>
        <w:tc>
          <w:tcPr>
            <w:tcW w:w="102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(8 )</w:t>
            </w:r>
          </w:p>
        </w:tc>
        <w:tc>
          <w:tcPr>
            <w:tcW w:w="102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(23 )</w:t>
            </w:r>
          </w:p>
        </w:tc>
      </w:tr>
      <w:tr>
        <w:trPr>
          <w:trHeight w:val="203"/>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Payments of finance lease obligation and other financing activities, net</w:t>
            </w:r>
          </w:p>
        </w:tc>
        <w:tc>
          <w:tcPr>
            <w:tcW w:w="1020" w:type="dxa"/>
            <w:vAlign w:val="bottom"/>
          </w:tcPr>
          <w:p>
            <w:pPr>
              <w:spacing w:after="0"/>
              <w:rPr>
                <w:sz w:val="17"/>
                <w:szCs w:val="17"/>
                <w:color w:val="auto"/>
              </w:rPr>
            </w:pPr>
          </w:p>
        </w:tc>
        <w:tc>
          <w:tcPr>
            <w:tcW w:w="68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(2 )</w:t>
            </w:r>
          </w:p>
        </w:tc>
        <w:tc>
          <w:tcPr>
            <w:tcW w:w="10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(2 )</w:t>
            </w:r>
          </w:p>
        </w:tc>
      </w:tr>
      <w:tr>
        <w:trPr>
          <w:trHeight w:val="196"/>
        </w:trPr>
        <w:tc>
          <w:tcPr>
            <w:tcW w:w="8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10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287</w:t>
            </w:r>
          </w:p>
        </w:tc>
        <w:tc>
          <w:tcPr>
            <w:tcW w:w="80" w:type="dxa"/>
            <w:vAlign w:val="bottom"/>
            <w:shd w:val="clear" w:color="auto" w:fill="CFF0FC"/>
          </w:tcPr>
          <w:p>
            <w:pPr>
              <w:spacing w:after="0"/>
              <w:rPr>
                <w:sz w:val="17"/>
                <w:szCs w:val="17"/>
                <w:color w:val="auto"/>
              </w:rPr>
            </w:pPr>
          </w:p>
        </w:tc>
      </w:tr>
      <w:tr>
        <w:trPr>
          <w:trHeight w:val="202"/>
        </w:trPr>
        <w:tc>
          <w:tcPr>
            <w:tcW w:w="8020" w:type="dxa"/>
            <w:vAlign w:val="bottom"/>
          </w:tcPr>
          <w:p>
            <w:pPr>
              <w:ind w:left="200"/>
              <w:spacing w:after="0" w:line="202" w:lineRule="exact"/>
              <w:rPr>
                <w:sz w:val="20"/>
                <w:szCs w:val="20"/>
                <w:color w:val="auto"/>
              </w:rPr>
            </w:pPr>
            <w:r>
              <w:rPr>
                <w:rFonts w:ascii="Arial" w:cs="Arial" w:eastAsia="Arial" w:hAnsi="Arial"/>
                <w:sz w:val="18"/>
                <w:szCs w:val="18"/>
                <w:color w:val="auto"/>
              </w:rPr>
              <w:t>Effect of exchange rate changes on cash, cash equivalents and restricted cash</w:t>
            </w:r>
          </w:p>
        </w:tc>
        <w:tc>
          <w:tcPr>
            <w:tcW w:w="1020" w:type="dxa"/>
            <w:vAlign w:val="bottom"/>
          </w:tcPr>
          <w:p>
            <w:pPr>
              <w:spacing w:after="0"/>
              <w:rPr>
                <w:sz w:val="17"/>
                <w:szCs w:val="17"/>
                <w:color w:val="auto"/>
              </w:rPr>
            </w:pPr>
          </w:p>
        </w:tc>
        <w:tc>
          <w:tcPr>
            <w:tcW w:w="68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(4 )</w:t>
            </w:r>
          </w:p>
        </w:tc>
        <w:tc>
          <w:tcPr>
            <w:tcW w:w="1020" w:type="dxa"/>
            <w:vAlign w:val="bottom"/>
          </w:tcPr>
          <w:p>
            <w:pPr>
              <w:spacing w:after="0"/>
              <w:rPr>
                <w:sz w:val="17"/>
                <w:szCs w:val="17"/>
                <w:color w:val="auto"/>
              </w:rPr>
            </w:pP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(2 )</w:t>
            </w:r>
          </w:p>
        </w:tc>
      </w:tr>
      <w:tr>
        <w:trPr>
          <w:trHeight w:val="196"/>
        </w:trPr>
        <w:tc>
          <w:tcPr>
            <w:tcW w:w="8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10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256</w:t>
            </w:r>
          </w:p>
        </w:tc>
        <w:tc>
          <w:tcPr>
            <w:tcW w:w="80" w:type="dxa"/>
            <w:vAlign w:val="bottom"/>
            <w:shd w:val="clear" w:color="auto" w:fill="CFF0FC"/>
          </w:tcPr>
          <w:p>
            <w:pPr>
              <w:spacing w:after="0"/>
              <w:rPr>
                <w:sz w:val="17"/>
                <w:szCs w:val="17"/>
                <w:color w:val="auto"/>
              </w:rPr>
            </w:pPr>
          </w:p>
        </w:tc>
      </w:tr>
      <w:tr>
        <w:trPr>
          <w:trHeight w:val="203"/>
        </w:trPr>
        <w:tc>
          <w:tcPr>
            <w:tcW w:w="802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10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723</w:t>
            </w:r>
          </w:p>
        </w:tc>
        <w:tc>
          <w:tcPr>
            <w:tcW w:w="2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418</w:t>
            </w:r>
          </w:p>
        </w:tc>
        <w:tc>
          <w:tcPr>
            <w:tcW w:w="80" w:type="dxa"/>
            <w:vAlign w:val="bottom"/>
          </w:tcPr>
          <w:p>
            <w:pPr>
              <w:spacing w:after="0"/>
              <w:rPr>
                <w:sz w:val="17"/>
                <w:szCs w:val="17"/>
                <w:color w:val="auto"/>
              </w:rPr>
            </w:pPr>
          </w:p>
        </w:tc>
      </w:tr>
      <w:tr>
        <w:trPr>
          <w:trHeight w:val="236"/>
        </w:trPr>
        <w:tc>
          <w:tcPr>
            <w:tcW w:w="80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cash equivalents and restricted cash at end of period</w:t>
            </w:r>
          </w:p>
        </w:tc>
        <w:tc>
          <w:tcPr>
            <w:tcW w:w="1020" w:type="dxa"/>
            <w:vAlign w:val="bottom"/>
            <w:tcBorders>
              <w:bottom w:val="single" w:sz="8" w:color="auto"/>
            </w:tcBorders>
            <w:shd w:val="clear" w:color="auto" w:fill="CFF0FC"/>
          </w:tcPr>
          <w:p>
            <w:pPr>
              <w:jc w:val="right"/>
              <w:ind w:right="83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781</w:t>
            </w:r>
          </w:p>
        </w:tc>
        <w:tc>
          <w:tcPr>
            <w:tcW w:w="2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16"/>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1: BUSINESS DESCRIPTION AND BASIS OF PRESENTATION</w:t>
      </w:r>
    </w:p>
    <w:p>
      <w:pPr>
        <w:spacing w:after="0" w:line="108"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unaudited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94" w:lineRule="exact"/>
        <w:rPr>
          <w:sz w:val="20"/>
          <w:szCs w:val="20"/>
          <w:color w:val="auto"/>
        </w:rPr>
      </w:pPr>
    </w:p>
    <w:p>
      <w:pPr>
        <w:ind w:right="100" w:firstLine="509"/>
        <w:spacing w:after="0" w:line="235" w:lineRule="auto"/>
        <w:rPr>
          <w:sz w:val="20"/>
          <w:szCs w:val="20"/>
          <w:color w:val="auto"/>
        </w:rPr>
      </w:pPr>
      <w:r>
        <w:rPr>
          <w:rFonts w:ascii="Arial" w:cs="Arial" w:eastAsia="Arial" w:hAnsi="Arial"/>
          <w:sz w:val="18"/>
          <w:szCs w:val="18"/>
          <w:color w:val="auto"/>
        </w:rPr>
        <w:t>Tripadvisor operates the world’s largest travel guidance platform, connecting a global audience of prospective travelers with travel partners through rich content, price comparison tools, and online reservation and related services for destinations, accommodations, travel activities and experiences, and restaurants. Our mission is to help people around the world plan, book and experience the perfect trip.</w:t>
      </w:r>
    </w:p>
    <w:p>
      <w:pPr>
        <w:spacing w:after="0" w:line="188"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In 2000, under our flagship brand Tripadvisor, we launched www.Tripadvisor.com in the U.S. Since then, we have built a portfolio of travel guidance brands and businesses, seamlessly connecting travelers to destinations, accommodations, travel activities and experiences, and restaurants in over 40 markets worldwide.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08"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spacing w:after="0" w:line="18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none of which were material to the presentation of the accompanying unaudited condensed consolidated financial statements.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2021, previously filed with the SEC. The unaudited condensed consolidated balance sheet as of December 31, 2021 included herein was derived from the audited consolidated financial statements as of that date, but does not include all disclosures including notes required by GAAP.</w:t>
      </w:r>
    </w:p>
    <w:p>
      <w:pPr>
        <w:spacing w:after="0" w:line="167"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As of March 31, 2022, Liberty Tripadvisor Holdings, Inc. (“LTRIP”) beneficially owned approximately 16.4 million shares of our common stock and 12.8 million shares of our Class B common stock, which constitute 13.0% of the outstanding shares of common stock and 100% of the outstanding shares of Class B common stock. Assuming the conversion of all of LTRIP’s shares of Class B common stock into common stock, LTRIP would beneficially own 21.0% of the outstanding common stock. Because each share of Class B common stock is entitled to ten votes per share and each share of common stock is entitled to one vote per share, LTRIP may be deemed to beneficially own equity securities representing nearly 57.0% of our voting power. We had no related party transactions with LTRIP during the three months ended March 31, 2022 and 2021, respectively.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16"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We continue to be subject to risks and uncertainties as a result of the COVID-19 pandemic. The timing of widespread vaccine distributions, efficacy against any future or existing variants (e.g., Delta and Omicron) of COVID-19, whether there will be resurgences of the virus and subsequent government restrictions, the extent and effectiveness of containment actions taken, and whether consumers' demand for travel and hospitality services continue to be negatively impacted remain uncertain. We do not know the future path or potential rate of global or regional COVID-19 resurgences, including existing COVID-19 variants (e.g., Delta and Omicron) or future variants, if any, nor do we have visibility into when remaining or reinstated restrictions will be lifted, and where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ind w:right="60"/>
        <w:spacing w:after="0" w:line="248" w:lineRule="auto"/>
        <w:rPr>
          <w:sz w:val="20"/>
          <w:szCs w:val="20"/>
          <w:color w:val="auto"/>
        </w:rPr>
      </w:pPr>
      <w:r>
        <w:rPr>
          <w:rFonts w:ascii="Arial" w:cs="Arial" w:eastAsia="Arial" w:hAnsi="Arial"/>
          <w:sz w:val="18"/>
          <w:szCs w:val="18"/>
          <w:color w:val="auto"/>
        </w:rPr>
        <w:t>additional restrictions may be implemented or reinstated in the future due to resurgence of the virus. Correspondingly, we still do not have forward-looking visibility into the long-term impacts related to consumer demand for travel, usage patterns on our platform, and travel behavior patterns when all travel bans and other government restrictions and mandates are fully lifted.</w:t>
      </w:r>
    </w:p>
    <w:p>
      <w:pPr>
        <w:spacing w:after="0" w:line="182"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Therefore, the continuing extent of the impact of the COVID-19 pandemic on our business, results of operations, liquidity and financial condition remains uncertain, and is dependent on future developments that cannot be accurately predicted at this time. We continue to believe the travel, leisure, hospitality, and restaurant industries (collectively, the “travel industry”), and our financial results, will continue to be adversely and materially affected if any new variants emerge and lingering travel bans and other government restrictions and mandates continue to remain in place or be reinstated, all of which negatively impact consumer demand, sentiment and discretionary spending patterns.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08"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is accounting for income taxes. The COVID-19 pandemic has created significant uncertainty in macroeconomic conditions, which may cause further business disruptions and continue to adversely and materially impact our results of operations. As a result, some of our estimates and assumptions required increased judgment and carry a higher degree of variability and volatility. As events continue to evolve and additional information becomes available, our estimates may change materially in future periods.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 xml:space="preserve">Consumers’ travel expenditures have historically followed a seasonal pattern. Correspondingly, travel partners’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w:t>
      </w:r>
      <w:r>
        <w:rPr>
          <w:rFonts w:ascii="Arial" w:cs="Arial" w:eastAsia="Arial" w:hAnsi="Arial"/>
          <w:sz w:val="16"/>
          <w:szCs w:val="16"/>
          <w:color w:val="231F20"/>
        </w:rPr>
        <w:t>During the first half of the year, experience and rentals</w:t>
      </w:r>
      <w:r>
        <w:rPr>
          <w:rFonts w:ascii="Arial" w:cs="Arial" w:eastAsia="Arial" w:hAnsi="Arial"/>
          <w:sz w:val="16"/>
          <w:szCs w:val="16"/>
          <w:color w:val="auto"/>
        </w:rPr>
        <w:t xml:space="preserve"> </w:t>
      </w:r>
      <w:r>
        <w:rPr>
          <w:rFonts w:ascii="Arial" w:cs="Arial" w:eastAsia="Arial" w:hAnsi="Arial"/>
          <w:sz w:val="16"/>
          <w:szCs w:val="16"/>
          <w:color w:val="231F20"/>
        </w:rPr>
        <w:t>bookings typically exceed the amount of completed experiences and rental stays, resulting in higher cash flow related to working capital, while during the second half of the year, particularly in the third quarter, this pattern reverses and cash flows from these transactions are typically negative</w:t>
      </w:r>
      <w:r>
        <w:rPr>
          <w:rFonts w:ascii="Arial" w:cs="Arial" w:eastAsia="Arial" w:hAnsi="Arial"/>
          <w:sz w:val="16"/>
          <w:szCs w:val="16"/>
          <w:color w:val="000000"/>
        </w:rPr>
        <w:t>.</w:t>
      </w:r>
    </w:p>
    <w:p>
      <w:pPr>
        <w:spacing w:after="0" w:line="162"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231F20"/>
        </w:rPr>
        <w:t xml:space="preserve">Other factors may also impact typical seasonal fluctuations, which include further significant shifts in our business mix or adverse economic conditions that could result in future seasonal patterns that are different from historical trends. For example, although </w:t>
      </w:r>
      <w:r>
        <w:rPr>
          <w:rFonts w:ascii="Arial" w:cs="Arial" w:eastAsia="Arial" w:hAnsi="Arial"/>
          <w:sz w:val="16"/>
          <w:szCs w:val="16"/>
          <w:color w:val="000000"/>
        </w:rPr>
        <w:t>consumer travel demand generally</w:t>
      </w:r>
      <w:r>
        <w:rPr>
          <w:rFonts w:ascii="Arial" w:cs="Arial" w:eastAsia="Arial" w:hAnsi="Arial"/>
          <w:sz w:val="16"/>
          <w:szCs w:val="16"/>
          <w:color w:val="231F20"/>
        </w:rPr>
        <w:t xml:space="preserve"> </w:t>
      </w:r>
      <w:r>
        <w:rPr>
          <w:rFonts w:ascii="Arial" w:cs="Arial" w:eastAsia="Arial" w:hAnsi="Arial"/>
          <w:sz w:val="16"/>
          <w:szCs w:val="16"/>
          <w:color w:val="000000"/>
        </w:rPr>
        <w:t>remained materially lower than historic levels due to the impact of COVID-19 on our business, these trends improved during 2021, resulting in increased revenues, and working capital and operating cash flow more akin to typical historical seasonality trends, which has continued during the three months ended March 31, 2022. However, it is difficult to predict the seasonality for the upcoming quarters, given the sustained uncertainty related to the continued economic impact of the COVID-19 pandemic and/or potential resurgences, and the pace of continued recovery in our key markets.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16" w:lineRule="exact"/>
        <w:rPr>
          <w:sz w:val="20"/>
          <w:szCs w:val="20"/>
          <w:color w:val="auto"/>
        </w:rPr>
      </w:pPr>
    </w:p>
    <w:p>
      <w:pPr>
        <w:ind w:right="500" w:firstLine="509"/>
        <w:spacing w:after="0" w:line="324" w:lineRule="auto"/>
        <w:rPr>
          <w:sz w:val="20"/>
          <w:szCs w:val="20"/>
          <w:color w:val="auto"/>
        </w:rPr>
      </w:pPr>
      <w:r>
        <w:rPr>
          <w:rFonts w:ascii="Arial" w:cs="Arial" w:eastAsia="Arial" w:hAnsi="Arial"/>
          <w:sz w:val="16"/>
          <w:szCs w:val="16"/>
          <w:color w:val="auto"/>
        </w:rPr>
        <w:t xml:space="preserve">There have been no material changes to our accounting policies since December 31, 2021, as described under “Note 2: </w:t>
      </w:r>
      <w:r>
        <w:rPr>
          <w:rFonts w:ascii="Arial" w:cs="Arial" w:eastAsia="Arial" w:hAnsi="Arial"/>
          <w:sz w:val="16"/>
          <w:szCs w:val="16"/>
          <w:i w:val="1"/>
          <w:iCs w:val="1"/>
          <w:color w:val="auto"/>
        </w:rPr>
        <w:t>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Policies</w:t>
      </w:r>
      <w:r>
        <w:rPr>
          <w:rFonts w:ascii="Arial" w:cs="Arial" w:eastAsia="Arial" w:hAnsi="Arial"/>
          <w:sz w:val="16"/>
          <w:szCs w:val="16"/>
          <w:color w:val="auto"/>
        </w:rPr>
        <w:t>”, in the notes to consolidated financial statements in Item 8 of our Annual Report on Form 10-K for the year ended December 31, 2021.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43"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We generate all of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we recognize revenue for only our commission on the arrangement. We determine revenue recognition through the following steps:</w:t>
      </w:r>
    </w:p>
    <w:p>
      <w:pPr>
        <w:spacing w:after="0" w:line="174"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 w:lineRule="exact"/>
        <w:rPr>
          <w:rFonts w:ascii="Arial" w:cs="Arial" w:eastAsia="Arial" w:hAnsi="Arial"/>
          <w:sz w:val="18"/>
          <w:szCs w:val="18"/>
          <w:color w:val="auto"/>
        </w:rPr>
      </w:pPr>
    </w:p>
    <w:p>
      <w:pPr>
        <w:ind w:left="360" w:hanging="352"/>
        <w:spacing w:after="0" w:line="234"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ind w:left="360" w:hanging="352"/>
        <w:spacing w:after="0" w:line="234"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ind w:left="5580" w:right="5100" w:hanging="5572"/>
        <w:spacing w:after="0" w:line="271" w:lineRule="auto"/>
        <w:tabs>
          <w:tab w:leader="none" w:pos="369"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p>
      <w:pPr>
        <w:spacing w:after="0"/>
        <w:tabs>
          <w:tab w:leader="none" w:pos="3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Recognition of revenue when, or as, we satisfy a performance obligation</w:t>
      </w:r>
    </w:p>
    <w:p>
      <w:pPr>
        <w:spacing w:after="0" w:line="212"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At contract inception, we assess the services promised in our contracts with customers and identify a performance obligation for each promise to transfer to the customer a service (or a bundle of services) that is distinct. To identify the performance obligations, we consider all of the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three months ended March 31, 2022 and 2021, respectively, related to performance obligations satisfied in prior periods. We have applied a practical expedient and do not disclose the value of unsatisfied performance obligations that have an original expected duration of less than one year, and we do not have any material unsatisfied performance obligations over one year.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w:t>
      </w:r>
    </w:p>
    <w:p>
      <w:pPr>
        <w:spacing w:after="0" w:line="180"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application of our revenue recognition policies and a description of our principal activities, organized by segment, from which we generate our revenue, are presented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08"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b w:val="1"/>
          <w:bCs w:val="1"/>
          <w:color w:val="auto"/>
        </w:rPr>
        <w:t>Tripadvisor-branded Hotels Revenue</w:t>
      </w:r>
      <w:r>
        <w:rPr>
          <w:rFonts w:ascii="Arial" w:cs="Arial" w:eastAsia="Arial" w:hAnsi="Arial"/>
          <w:sz w:val="16"/>
          <w:szCs w:val="16"/>
          <w:color w:val="auto"/>
        </w:rPr>
        <w:t>. Our largest source of Hotels, Media &amp; Platform segment revenue is generated from click-based advertising</w:t>
      </w:r>
      <w:r>
        <w:rPr>
          <w:rFonts w:ascii="Arial" w:cs="Arial" w:eastAsia="Arial" w:hAnsi="Arial"/>
          <w:sz w:val="16"/>
          <w:szCs w:val="16"/>
          <w:b w:val="1"/>
          <w:bCs w:val="1"/>
          <w:color w:val="auto"/>
        </w:rPr>
        <w:t xml:space="preserve"> </w:t>
      </w:r>
      <w:r>
        <w:rPr>
          <w:rFonts w:ascii="Arial" w:cs="Arial" w:eastAsia="Arial" w:hAnsi="Arial"/>
          <w:sz w:val="16"/>
          <w:szCs w:val="16"/>
          <w:color w:val="auto"/>
        </w:rPr>
        <w:t>on Tripadvisor-branded websites, or hotel auction revenue, which is primarily comprised of contextually-relevant booking links to our travel partners’ websites. Our click-based travel partners are predominantly online travel agencies ("OTAs") and hotels. Click-based advertising is generally priced on a cost-per-click (“CPC”), basis, with payments from travel partners determined by the number of travelers who click on a link multiplied by the CPC rate for each specific click. CPC rates are determined in a dynamic, competitive auction process, where our travel partner CPC bids for rates and availability to be listed on our platform are submitted. When a CPC bid is submitted, the travel partner agrees to pay us the bid amount each time a traveler clicks on the link to that travel partner’s websites. Bids can be submitted periodically – as often as daily – on a property-by-property basis. We record click-based advertising revenue as the click occurs and traveler leads are sent to the travel partner websites as our performance obligation is fulfilled at that time. Click-based revenue is generally billed to our travel partners on a monthly basis consistent with the timing of the service. We also generate revenue from our cost-per-action (“CPA”) model, which consists of contextually-relevant booking links to our travel partners’ websites which are advertised on our platform. We earn a commission from our travel partners, based on a pre-determined contractual commission rate, for each traveler who clicks to and books a hotel reservation on the travel partners’ website, which results in a traveler stay. CPA revenue is billable only upon the completion of each traveler’s stay resulting from a hotel reservation. The travel partners provide the service to the travelers and we act as an agent under ASC 606 – Revenue from Contracts with Customers (“ASC 606”). Our performance obligation is complete at the time of the hotel reservation booking, and the commission earned is recognized upon booking, as we have no post-booking service obligations. We recognize this revenue net of an estimate of the impact of cancellations, using historical cancellation rates and current trends. Contract assets are recognized at the time of booking for commissions that are billable at the time of stay. CPA revenue is generally billed to our travel partners on a monthly basis consistent with the timing of the service.</w:t>
      </w:r>
    </w:p>
    <w:p>
      <w:pPr>
        <w:spacing w:after="0" w:line="170" w:lineRule="exact"/>
        <w:rPr>
          <w:sz w:val="20"/>
          <w:szCs w:val="20"/>
          <w:color w:val="auto"/>
        </w:rPr>
      </w:pPr>
    </w:p>
    <w:p>
      <w:pPr>
        <w:ind w:right="80" w:firstLine="509"/>
        <w:spacing w:after="0" w:line="268" w:lineRule="auto"/>
        <w:rPr>
          <w:sz w:val="20"/>
          <w:szCs w:val="20"/>
          <w:color w:val="auto"/>
        </w:rPr>
      </w:pPr>
      <w:r>
        <w:rPr>
          <w:rFonts w:ascii="Arial" w:cs="Arial" w:eastAsia="Arial" w:hAnsi="Arial"/>
          <w:sz w:val="16"/>
          <w:szCs w:val="16"/>
          <w:color w:val="auto"/>
        </w:rPr>
        <w:t>In addition, we offer hotel business to business (“B2B”) solutions, including subscription-based advertising to hotels, owners of B&amp;Bs and other specialty lodging properties. Our performance obligation is generally to enable subscribers to advertise their businesses on our platform, as well as to manage and promote their website URL, email address, phone number, special offers and other information related to their business. Subscription-based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Subscription-based advertising services are generally billed at the inception of the service. When prepayments are received, we recognize deferred revenue initially on our unaudited condensed consolidated balance sheet for the amount of prepayment in excess of revenue recognized, until the performance obligation is satisfied. To a lesser extent, we offer travel partners the opportunity to advertise and promote their business through hotel sponsored placements on our platform. This service is generally priced on a CPC basis, with payments from travel partners determined by the number of travelers who click on the sponsored link multiplied by the CPC rate for each specific click. CPC rates for hotel sponsored placements that our travel partners pay are generally based on bids submitted as part of an auction by our travel partners. When a CPC bid is submitted, the travel partner agrees to pay us the bid amount each time a traveler clicks on a link to our travel partner’s websites. Bids may be submitted periodically – as often as daily – on a property-by-property basis. We record this click-based advertising revenue as the click occurs and traveler leads are sent to the travel partner as our performance obligation is fulfilled at that time. Hotel sponsored placements revenue is generally billed to our travel partners on a monthly basis consistent with the timing of the service.</w:t>
      </w:r>
    </w:p>
    <w:p>
      <w:pPr>
        <w:spacing w:after="0" w:line="171" w:lineRule="exact"/>
        <w:rPr>
          <w:sz w:val="20"/>
          <w:szCs w:val="20"/>
          <w:color w:val="auto"/>
        </w:rPr>
      </w:pPr>
    </w:p>
    <w:p>
      <w:pPr>
        <w:ind w:right="540" w:firstLine="509"/>
        <w:spacing w:after="0" w:line="242" w:lineRule="auto"/>
        <w:rPr>
          <w:sz w:val="20"/>
          <w:szCs w:val="20"/>
          <w:color w:val="auto"/>
        </w:rPr>
      </w:pPr>
      <w:r>
        <w:rPr>
          <w:rFonts w:ascii="Arial" w:cs="Arial" w:eastAsia="Arial" w:hAnsi="Arial"/>
          <w:sz w:val="18"/>
          <w:szCs w:val="18"/>
          <w:b w:val="1"/>
          <w:bCs w:val="1"/>
          <w:color w:val="auto"/>
        </w:rPr>
        <w:t>Tripadvisor-branded Display and Platform Revenue</w:t>
      </w:r>
      <w:r>
        <w:rPr>
          <w:rFonts w:ascii="Arial" w:cs="Arial" w:eastAsia="Arial" w:hAnsi="Arial"/>
          <w:sz w:val="18"/>
          <w:szCs w:val="18"/>
          <w:color w:val="auto"/>
        </w:rPr>
        <w:t>. We offer travel partners the ability to promote their brands through display-based</w:t>
      </w:r>
      <w:r>
        <w:rPr>
          <w:rFonts w:ascii="Arial" w:cs="Arial" w:eastAsia="Arial" w:hAnsi="Arial"/>
          <w:sz w:val="18"/>
          <w:szCs w:val="18"/>
          <w:b w:val="1"/>
          <w:bCs w:val="1"/>
          <w:color w:val="auto"/>
        </w:rPr>
        <w:t xml:space="preserve"> </w:t>
      </w:r>
      <w:r>
        <w:rPr>
          <w:rFonts w:ascii="Arial" w:cs="Arial" w:eastAsia="Arial" w:hAnsi="Arial"/>
          <w:sz w:val="18"/>
          <w:szCs w:val="18"/>
          <w:color w:val="auto"/>
        </w:rPr>
        <w:t>advertising placements on our platform across all of our segments and business units. Our display-based advertising clients are predominantly direct suppliers of hotels, airlines and cruises, as well as destination marketing organizations. We also sell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0" w:name="page11"/>
    <w:bookmarkEnd w:id="10"/>
    <w:p>
      <w:pPr>
        <w:spacing w:after="0" w:line="279" w:lineRule="auto"/>
        <w:rPr>
          <w:sz w:val="20"/>
          <w:szCs w:val="20"/>
          <w:color w:val="auto"/>
        </w:rPr>
      </w:pPr>
      <w:r>
        <w:rPr>
          <w:rFonts w:ascii="Arial" w:cs="Arial" w:eastAsia="Arial" w:hAnsi="Arial"/>
          <w:sz w:val="16"/>
          <w:szCs w:val="16"/>
          <w:color w:val="auto"/>
        </w:rPr>
        <w:t>display-based advertising to OTAs and other travel related businesses, as well as advertisers from non-travel categories. Display-based advertising is sold predominantly on a cost per thousand impressions, or CPM, basis. The performance obligation in our display-based advertising arrangements is to display a number of advertising impressions on our platform and we recognize revenue for impressions as they are delivered. Services are generally billed monthly. We have applied the practical expedient to measure progress toward completion, as we have the right to invoice the customer in an amount that directly corresponds with the value to the customer of our performance to date, which is measured based on impressions delivered.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12" w:lineRule="exact"/>
        <w:rPr>
          <w:sz w:val="20"/>
          <w:szCs w:val="20"/>
          <w:color w:val="auto"/>
        </w:rPr>
      </w:pPr>
    </w:p>
    <w:p>
      <w:pPr>
        <w:ind w:right="260" w:firstLine="509"/>
        <w:spacing w:after="0" w:line="270" w:lineRule="auto"/>
        <w:rPr>
          <w:sz w:val="20"/>
          <w:szCs w:val="20"/>
          <w:color w:val="auto"/>
        </w:rPr>
      </w:pPr>
      <w:r>
        <w:rPr>
          <w:rFonts w:ascii="Arial" w:cs="Arial" w:eastAsia="Arial" w:hAnsi="Arial"/>
          <w:sz w:val="17"/>
          <w:szCs w:val="17"/>
          <w:color w:val="auto"/>
        </w:rPr>
        <w:t>We provide information and services that allow travelers to research and book tours, activities and attractions in popular travel destinations in our Viator online marketplace. We also power travel tours, activities and attractions booking capabilities to travelers on third-party distribution partner websites, including the Tripadvisor platform, and some of the world’s top airlines, hotel chains, and online and offline travel agencies.</w:t>
      </w:r>
    </w:p>
    <w:p>
      <w:pPr>
        <w:spacing w:after="0" w:line="164"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We work with local tour, activities, and attraction operators (the “operator”) to provide travelers (the “customer”) the ability to book tours, activities and attractions (the “experience”) in destinations worldwide. We generate commissions for each booking transaction we facilitate through our online reservation system, in exchange for certain activities, including the use of the Company’s booking platform, post-booking customer support (24/7) until the time of the experience and payment processing activities as merchant of record, which is the completion of the performance obligation. These activities are not distinct from each other and are not separate performance obligations. As a result, the Company’s single performance obligation is to facilitate an experience, which is complete upon the time the experience occurs, and when revenue is recognized. We do not control the experience or have inventory risk before the operator provides the experience to our customer and therefore act as agent for substantially all of these transactions under ASC 606.</w:t>
      </w:r>
    </w:p>
    <w:p>
      <w:pPr>
        <w:spacing w:after="0" w:line="163"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We collect payment from the customer prior to the experience occurring, which includes both our commission and the amount due to the operator. We record our commissions as deferred revenue on our unaudited condensed consolidated balance sheet when payment is received, including amounts which are refundable subject to cancellation, until the experience occurs when revenue is recognized. The amount due to the operator is recorded as deferred merchant payables on our unaudited condensed consolidated balance sheet until completion of the experience when payment is made to the operator.</w:t>
      </w:r>
    </w:p>
    <w:p>
      <w:pPr>
        <w:spacing w:after="0" w:line="18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To a much lesser extent, we earn commissions from third-party merchant partners (the “customer”) who display and promote on their websites the operator experiences available on our platform to generate bookings. In these transactions, where we are not the merchant of record, and we generally invoice and receive commissions directly from the third-party merchant partners. Our performance obligation is to allow the third-party distribution partners to display and promote on their website experiences, offered by operators who utilize our platform, and we earn a commission when travelers book and complete an experience on the third-party merchant partner website. We do not control the service or have inventory risk, and therefore act as an agent for these transactions under ASC 606. We receive payment shortly after the booking in the majority of these transactions and make payments to the operators after the experience is complete. Our performance obligation is complete, and revenue is recognized at the time of the booking, as we have no post-booking obligations to the customer. We recognize this revenue net of an estimate of the impact of cancellations, which is not material, using historical cancellation rates and current trends. Contract assets are recognized for commissions that are contractually billable contingent upon completion of the experience.</w:t>
      </w:r>
    </w:p>
    <w:p>
      <w:pPr>
        <w:spacing w:after="0" w:line="188" w:lineRule="exact"/>
        <w:rPr>
          <w:sz w:val="20"/>
          <w:szCs w:val="20"/>
          <w:color w:val="auto"/>
        </w:rPr>
      </w:pPr>
    </w:p>
    <w:p>
      <w:pPr>
        <w:ind w:right="80" w:firstLine="509"/>
        <w:spacing w:after="0" w:line="265" w:lineRule="auto"/>
        <w:rPr>
          <w:sz w:val="20"/>
          <w:szCs w:val="20"/>
          <w:color w:val="auto"/>
        </w:rPr>
      </w:pPr>
      <w:r>
        <w:rPr>
          <w:rFonts w:ascii="Arial" w:cs="Arial" w:eastAsia="Arial" w:hAnsi="Arial"/>
          <w:sz w:val="16"/>
          <w:szCs w:val="16"/>
          <w:color w:val="auto"/>
        </w:rPr>
        <w:t>We also provide information and services for consumers to research and book restaurant reservations in popular travel destinations through our dedicated online restaurant reservations offering, TheFork, and on our Tripadvisor-branded websites and mobile apps. We primarily generate transaction fees (or per seated diner fees) that are paid by our restaurant customers for diners seated primarily from bookings through TheFork’s online reservation system. The transaction fee is recognized as revenue after the reservation is fulfilled, or as diners are seated by our restaurant customers. We invoice restaurants monthly for transaction fees. To a lesser extent, we also generate subscription fees for subscription-based advertising to restaurants, access to certain online reservation management services, marketing analytic tools, and menu syndication services provided by TheFork and Tripadvisor. As the performance obligation is to provide restaurants with access to these services over the subscription period, subscription fee revenue is recognized over the period of the subscription service on a straight-line basis as efforts are expended evenly throughout the contract period. Subscription fees are generally billable in advance of service. When prepayments are received, we recognize deferred revenue initially on our unaudited condensed consolidated balance sheet, for the amount of prepayment in excess of revenue recognized until the performance obligation is satisfied. In addition, we also offer restaurant partners the opportunity to advertise and promote their business through restaurant media advertising placements on our platform. This service is generally priced on a CPC basis, with payments from restaurant partners determined by the number of consumers who click on the sponsored link multiplied by the CPC rate for each specific click. CPC rates for media advertising placements that our restaurant partners pay are based on a pre-determined contractual rate. We record this click-based advertising revenue as the click occurs and diner leads are sent to the restaurant partner as our performance obligation is fulfilled at that time. Click-based revenue is generally billed to our restaurant partners on a monthly basis consistent with the timing of the service.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Other</w:t>
      </w:r>
    </w:p>
    <w:p>
      <w:pPr>
        <w:spacing w:after="0" w:line="212"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We provide information and services that allow travelers to research and book vacation and short-term rental properties, including full homes, condominiums, villas, beach properties, cabins and cottages. Our Rentals offering primarily generates revenue by offering individual property owners and managers the ability to list their properties on our platform thereby connecting with travelers through a free-to-list, commission-based option. These properties are listed on www.flipkey.com, www.holidaylettings.co.uk, www.housetrip.com, www.niumba.com, and www.vacationhomerentals.com, and on our Tripadvisor-branded websites and mobile apps. We earn commissions associated with rental transactions through our free-to-list model from both the traveler, and the property owner or manager. We provide post-booking service to the travelers, property owners and managers until the time the rental commences, which is the time the performance obligation is completed. Revenue from transaction fees is recognized at the time that the rental commences. We act as an agent, under ASC 606, in the transactions as we do not control any properties before the property owner provides the accommodation to the traveler and do not have inventory risk. We generally collect payment from the traveler at the time of booking, representing the amount due to the property owner or manager, as well as our commission. That portion of the payment representing our commission is recorded as deferred revenue on our unaudited condensed consolidated balance sheet until revenue is recognized, and that portion of the payment representing the amount due to the property owner is recorded as deferred merchant payables on our unaudited condensed consolidated balance sheet until payment is made to the property owner after the completion of the rental.</w:t>
      </w:r>
    </w:p>
    <w:p>
      <w:pPr>
        <w:spacing w:after="0" w:line="180"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In addition, Other also includes revenue generated from flights, cruises, and car offerings on Tripadvisor-branded websites and mobile apps and Tripadvisor’s portfolio of travel media brands, which primarily includes click-based advertising and display-based advertising revenue. The performance obligations, timing of customer payments for these offerings, and methods of revenue recognition are generally consistent with click-based advertising and display-based advertising revenue, as described above.</w:t>
      </w:r>
    </w:p>
    <w:p>
      <w:pPr>
        <w:spacing w:after="0" w:line="188"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 xml:space="preserve">We disaggregate revenue from contracts with customers into major products/revenue sources. We have determined that disaggregating revenue into these categories achieves the disclosure objective to depict how the nature, amount, timing, and uncertainty of revenue and cash flows are affected by economic factors. As noted in “Note 12: </w:t>
      </w:r>
      <w:r>
        <w:rPr>
          <w:rFonts w:ascii="Arial" w:cs="Arial" w:eastAsia="Arial" w:hAnsi="Arial"/>
          <w:sz w:val="17"/>
          <w:szCs w:val="17"/>
          <w:i w:val="1"/>
          <w:iCs w:val="1"/>
          <w:color w:val="auto"/>
        </w:rPr>
        <w:t>Segment Information</w:t>
      </w:r>
      <w:r>
        <w:rPr>
          <w:rFonts w:ascii="Arial" w:cs="Arial" w:eastAsia="Arial" w:hAnsi="Arial"/>
          <w:sz w:val="17"/>
          <w:szCs w:val="17"/>
          <w:color w:val="auto"/>
        </w:rPr>
        <w:t>,” our business consists of two reportable segments – (1) Hotels, Media &amp; Platform; and (2) Experiences &amp; Dining. Other consists of a combination of business units and does not constitute a reportable segment.</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disaggregated revenue to segment revenue is also included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5"/>
              </w:rPr>
              <w:t>Three months ended March 31,</w:t>
            </w:r>
          </w:p>
        </w:tc>
        <w:tc>
          <w:tcPr>
            <w:tcW w:w="13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46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96"/>
        </w:trPr>
        <w:tc>
          <w:tcPr>
            <w:tcW w:w="6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Major products/revenue sources (1):</w:t>
            </w:r>
          </w:p>
        </w:tc>
        <w:tc>
          <w:tcPr>
            <w:tcW w:w="1340" w:type="dxa"/>
            <w:vAlign w:val="bottom"/>
            <w:shd w:val="clear" w:color="auto" w:fill="CFF0FC"/>
          </w:tcPr>
          <w:p>
            <w:pPr>
              <w:spacing w:after="0"/>
              <w:rPr>
                <w:sz w:val="17"/>
                <w:szCs w:val="17"/>
                <w:color w:val="auto"/>
              </w:rPr>
            </w:pPr>
          </w:p>
        </w:tc>
        <w:tc>
          <w:tcPr>
            <w:tcW w:w="2080" w:type="dxa"/>
            <w:vAlign w:val="bottom"/>
            <w:gridSpan w:val="3"/>
            <w:shd w:val="clear" w:color="auto" w:fill="CFF0FC"/>
          </w:tcPr>
          <w:p>
            <w:pPr>
              <w:jc w:val="right"/>
              <w:ind w:right="61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Hotels, Media &amp; Platform</w:t>
            </w: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46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Tripadvisor-branded hotels</w:t>
            </w:r>
          </w:p>
        </w:tc>
        <w:tc>
          <w:tcPr>
            <w:tcW w:w="1340" w:type="dxa"/>
            <w:vAlign w:val="bottom"/>
            <w:shd w:val="clear" w:color="auto" w:fill="CFF0FC"/>
          </w:tcPr>
          <w:p>
            <w:pPr>
              <w:jc w:val="right"/>
              <w:ind w:right="1156"/>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w:t>
            </w:r>
          </w:p>
        </w:tc>
        <w:tc>
          <w:tcPr>
            <w:tcW w:w="1160" w:type="dxa"/>
            <w:vAlign w:val="bottom"/>
            <w:gridSpan w:val="2"/>
            <w:shd w:val="clear" w:color="auto" w:fill="CFF0FC"/>
          </w:tcPr>
          <w:p>
            <w:pPr>
              <w:jc w:val="right"/>
              <w:ind w:right="65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w:t>
            </w:r>
          </w:p>
        </w:tc>
        <w:tc>
          <w:tcPr>
            <w:tcW w:w="60" w:type="dxa"/>
            <w:vAlign w:val="bottom"/>
            <w:shd w:val="clear" w:color="auto" w:fill="CFF0FC"/>
          </w:tcPr>
          <w:p>
            <w:pPr>
              <w:spacing w:after="0"/>
              <w:rPr>
                <w:sz w:val="17"/>
                <w:szCs w:val="17"/>
                <w:color w:val="auto"/>
              </w:rPr>
            </w:pPr>
          </w:p>
        </w:tc>
      </w:tr>
      <w:tr>
        <w:trPr>
          <w:trHeight w:val="203"/>
        </w:trPr>
        <w:tc>
          <w:tcPr>
            <w:tcW w:w="6460" w:type="dxa"/>
            <w:vAlign w:val="bottom"/>
          </w:tcPr>
          <w:p>
            <w:pPr>
              <w:ind w:left="160"/>
              <w:spacing w:after="0" w:line="202" w:lineRule="exact"/>
              <w:rPr>
                <w:sz w:val="20"/>
                <w:szCs w:val="20"/>
                <w:color w:val="auto"/>
              </w:rPr>
            </w:pPr>
            <w:r>
              <w:rPr>
                <w:rFonts w:ascii="Arial" w:cs="Arial" w:eastAsia="Arial" w:hAnsi="Arial"/>
                <w:sz w:val="18"/>
                <w:szCs w:val="18"/>
                <w:color w:val="auto"/>
              </w:rPr>
              <w:t>Tripadvisor-branded display and platform</w:t>
            </w:r>
          </w:p>
        </w:tc>
        <w:tc>
          <w:tcPr>
            <w:tcW w:w="1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3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w:t>
            </w:r>
          </w:p>
        </w:tc>
        <w:tc>
          <w:tcPr>
            <w:tcW w:w="60" w:type="dxa"/>
            <w:vAlign w:val="bottom"/>
          </w:tcPr>
          <w:p>
            <w:pPr>
              <w:spacing w:after="0"/>
              <w:rPr>
                <w:sz w:val="17"/>
                <w:szCs w:val="17"/>
                <w:color w:val="auto"/>
              </w:rPr>
            </w:pPr>
          </w:p>
        </w:tc>
      </w:tr>
      <w:tr>
        <w:trPr>
          <w:trHeight w:val="196"/>
        </w:trPr>
        <w:tc>
          <w:tcPr>
            <w:tcW w:w="6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Hotels, Media &amp; Platform</w:t>
            </w:r>
          </w:p>
        </w:tc>
        <w:tc>
          <w:tcPr>
            <w:tcW w:w="1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160</w:t>
            </w: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88</w:t>
            </w:r>
          </w:p>
        </w:tc>
        <w:tc>
          <w:tcPr>
            <w:tcW w:w="60" w:type="dxa"/>
            <w:vAlign w:val="bottom"/>
            <w:shd w:val="clear" w:color="auto" w:fill="CFF0FC"/>
          </w:tcPr>
          <w:p>
            <w:pPr>
              <w:spacing w:after="0"/>
              <w:rPr>
                <w:sz w:val="17"/>
                <w:szCs w:val="17"/>
                <w:color w:val="auto"/>
              </w:rPr>
            </w:pPr>
          </w:p>
        </w:tc>
      </w:tr>
      <w:tr>
        <w:trPr>
          <w:trHeight w:val="203"/>
        </w:trPr>
        <w:tc>
          <w:tcPr>
            <w:tcW w:w="6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Experiences &amp; Dining</w:t>
            </w:r>
          </w:p>
        </w:tc>
        <w:tc>
          <w:tcPr>
            <w:tcW w:w="1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60" w:type="dxa"/>
            <w:vAlign w:val="bottom"/>
            <w:shd w:val="clear" w:color="auto" w:fill="CFF0FC"/>
          </w:tcPr>
          <w:p>
            <w:pPr>
              <w:spacing w:after="0"/>
              <w:rPr>
                <w:sz w:val="17"/>
                <w:szCs w:val="17"/>
                <w:color w:val="auto"/>
              </w:rPr>
            </w:pPr>
          </w:p>
        </w:tc>
      </w:tr>
      <w:tr>
        <w:trPr>
          <w:trHeight w:val="203"/>
        </w:trPr>
        <w:tc>
          <w:tcPr>
            <w:tcW w:w="646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3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7"/>
                <w:szCs w:val="17"/>
                <w:color w:val="auto"/>
              </w:rPr>
            </w:pPr>
          </w:p>
        </w:tc>
      </w:tr>
      <w:tr>
        <w:trPr>
          <w:trHeight w:val="236"/>
        </w:trPr>
        <w:tc>
          <w:tcPr>
            <w:tcW w:w="6460" w:type="dxa"/>
            <w:vAlign w:val="bottom"/>
            <w:tcBorders>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Revenue</w:t>
            </w:r>
          </w:p>
        </w:tc>
        <w:tc>
          <w:tcPr>
            <w:tcW w:w="1340" w:type="dxa"/>
            <w:vAlign w:val="bottom"/>
            <w:tcBorders>
              <w:bottom w:val="single" w:sz="8" w:color="auto"/>
            </w:tcBorders>
            <w:shd w:val="clear" w:color="auto" w:fill="CFF0FC"/>
          </w:tcPr>
          <w:p>
            <w:pPr>
              <w:jc w:val="right"/>
              <w:ind w:right="115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262</w:t>
            </w:r>
          </w:p>
        </w:tc>
        <w:tc>
          <w:tcPr>
            <w:tcW w:w="3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-24765</wp:posOffset>
            </wp:positionV>
            <wp:extent cx="431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-8255</wp:posOffset>
            </wp:positionV>
            <wp:extent cx="431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-8255</wp:posOffset>
            </wp:positionV>
            <wp:extent cx="431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92" w:lineRule="exact"/>
        <w:rPr>
          <w:sz w:val="20"/>
          <w:szCs w:val="20"/>
          <w:color w:val="auto"/>
        </w:rPr>
      </w:pPr>
    </w:p>
    <w:p>
      <w:pPr>
        <w:ind w:left="840" w:hanging="383"/>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revenue is recognized primarily at a point in time for all reported segments.</w:t>
      </w:r>
    </w:p>
    <w:p>
      <w:pPr>
        <w:spacing w:after="0" w:line="244"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The following table provides information about the opening and closing balances of accounts receivable and contract assets, net of allowance for credit losses, from contracts with customers (in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18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March 31, 2022</w:t>
            </w:r>
          </w:p>
        </w:tc>
        <w:tc>
          <w:tcPr>
            <w:tcW w:w="4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r>
      <w:tr>
        <w:trPr>
          <w:trHeight w:val="196"/>
        </w:trPr>
        <w:tc>
          <w:tcPr>
            <w:tcW w:w="6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Accounts receivable</w:t>
            </w:r>
          </w:p>
        </w:tc>
        <w:tc>
          <w:tcPr>
            <w:tcW w:w="18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132</w:t>
            </w: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7"/>
                <w:szCs w:val="17"/>
                <w:color w:val="auto"/>
              </w:rPr>
            </w:pP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Contract assets</w:t>
            </w:r>
          </w:p>
        </w:tc>
        <w:tc>
          <w:tcPr>
            <w:tcW w:w="18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w:t>
            </w:r>
          </w:p>
        </w:tc>
        <w:tc>
          <w:tcPr>
            <w:tcW w:w="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7"/>
                <w:szCs w:val="17"/>
                <w:color w:val="auto"/>
              </w:rPr>
            </w:pPr>
          </w:p>
        </w:tc>
      </w:tr>
      <w:tr>
        <w:trPr>
          <w:trHeight w:val="236"/>
        </w:trPr>
        <w:tc>
          <w:tcPr>
            <w:tcW w:w="6440" w:type="dxa"/>
            <w:vAlign w:val="bottom"/>
            <w:tcBorders>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shd w:val="clear" w:color="auto" w:fill="CFF0FC"/>
          </w:tcPr>
          <w:p>
            <w:pPr>
              <w:jc w:val="right"/>
              <w:ind w:right="1599"/>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180</w:t>
            </w:r>
          </w:p>
        </w:tc>
        <w:tc>
          <w:tcPr>
            <w:tcW w:w="3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-24765</wp:posOffset>
            </wp:positionV>
            <wp:extent cx="596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59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2" w:lineRule="exact"/>
        <w:rPr>
          <w:sz w:val="20"/>
          <w:szCs w:val="20"/>
          <w:color w:val="auto"/>
        </w:rPr>
      </w:pPr>
    </w:p>
    <w:p>
      <w:pPr>
        <w:ind w:right="160" w:firstLine="509"/>
        <w:spacing w:after="0" w:line="251" w:lineRule="auto"/>
        <w:rPr>
          <w:sz w:val="20"/>
          <w:szCs w:val="20"/>
          <w:color w:val="auto"/>
        </w:rPr>
      </w:pPr>
      <w:r>
        <w:rPr>
          <w:rFonts w:ascii="Arial" w:cs="Arial" w:eastAsia="Arial" w:hAnsi="Arial"/>
          <w:sz w:val="17"/>
          <w:szCs w:val="17"/>
          <w:color w:val="auto"/>
        </w:rPr>
        <w:t>Accounts receivable are recognized when the right to consideration becomes unconditional.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 Our contract assets increased during the first quarter of 2022, as a result of the ongoing recovery of consumer travel demand, and increased utilization of our CPA model by travel partners.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jc w:val="both"/>
        <w:ind w:firstLine="509"/>
        <w:spacing w:after="0" w:line="276" w:lineRule="auto"/>
        <w:rPr>
          <w:sz w:val="20"/>
          <w:szCs w:val="20"/>
          <w:color w:val="auto"/>
        </w:rPr>
      </w:pPr>
      <w:r>
        <w:rPr>
          <w:rFonts w:ascii="Arial" w:cs="Arial" w:eastAsia="Arial" w:hAnsi="Arial"/>
          <w:sz w:val="16"/>
          <w:szCs w:val="16"/>
          <w:color w:val="auto"/>
        </w:rPr>
        <w:t>Contract liabilities generally include payments received in advance of performance under the contract and are realized as revenue as the performance obligation to the customer is satisfied, which we present as deferred revenue on our consolidated balance sheet. As of January 1, 2022 and 2021, we had $36 million and $28 million, respectively, recorded as deferred revenue on our unaudited condensed consolidated balance sheets, of which $18 million and $11 million, respectively, was recognized in revenue and $2 million was refunded due to cancellations by travelers during both the three months ended March 31, 2022 and 2021, respectively. The difference between the opening and closing balances of our deferred revenue primarily results from the timing differences between when we receive customer payments and the time in which we satisfy our performance obligations.</w:t>
      </w:r>
    </w:p>
    <w:p>
      <w:pPr>
        <w:spacing w:after="0" w:line="16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There were no significant changes in contract assets or deferred revenue during both the three months ended March 31, 2022 and 2021, respectively, related to business combinations, impairments, cumulative catch-ups or other material adjustments. However, to the extent the COVID-19 pandemic resurges, or new variants emerge, we may incur additional significant and unanticipated cancellations by consumers related to future travel, accommodations and tour bookings, which have been reserved by travelers and recorded as deferred revenue on our unaudited condensed consolidated balance sheet as of March 31,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FINANCIAL INSTRUMENTS AND FAIR VALUE MEASUREMENTS</w:t>
      </w:r>
    </w:p>
    <w:p>
      <w:pPr>
        <w:spacing w:after="0" w:line="216"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For assets and liabilities required to be reported at fair value, GAAP provides a hierarchy that prioritizes inputs to valuation techniques used to measure fair value into three broad levels: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quoted market prices for identical assets and liabilities in active markets.</w:t>
      </w:r>
    </w:p>
    <w:p>
      <w:pPr>
        <w:spacing w:after="0" w:line="104" w:lineRule="exact"/>
        <w:rPr>
          <w:sz w:val="20"/>
          <w:szCs w:val="20"/>
          <w:color w:val="auto"/>
        </w:rPr>
      </w:pPr>
    </w:p>
    <w:p>
      <w:pPr>
        <w:ind w:left="520" w:right="40"/>
        <w:spacing w:after="0" w:line="248" w:lineRule="auto"/>
        <w:rPr>
          <w:sz w:val="20"/>
          <w:szCs w:val="20"/>
          <w:color w:val="auto"/>
        </w:rPr>
      </w:pPr>
      <w:r>
        <w:rPr>
          <w:rFonts w:ascii="Arial" w:cs="Arial" w:eastAsia="Arial" w:hAnsi="Arial"/>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4" w:lineRule="exact"/>
        <w:rPr>
          <w:sz w:val="20"/>
          <w:szCs w:val="20"/>
          <w:color w:val="auto"/>
        </w:rPr>
      </w:pPr>
    </w:p>
    <w:p>
      <w:pPr>
        <w:ind w:left="520" w:right="200"/>
        <w:spacing w:after="0" w:line="261"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212"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As of March 31, 2022, we had $781 million of cash and cash equivalents, which consisted of available on demand cash deposits and term deposits with maturities of 90 days or less at the date of purchase, respectively, in major global financial institutions. As of December 31, 2021, we had $723 million of cash and cash equivalents, which consisted of available on demand cash deposits in major global financial institutions. We had no outstanding investments classified as either short-term or long-term marketable securities as of March 31, 2022 and December 31, 2021, respectively, and there were no purchases or sales of any marketable securities during and for the three months ended March 31, 2022 and 2021.</w:t>
      </w:r>
    </w:p>
    <w:p>
      <w:pPr>
        <w:spacing w:after="0" w:line="174" w:lineRule="exact"/>
        <w:rPr>
          <w:sz w:val="20"/>
          <w:szCs w:val="20"/>
          <w:color w:val="auto"/>
        </w:rPr>
      </w:pPr>
    </w:p>
    <w:p>
      <w:pPr>
        <w:ind w:right="620" w:firstLine="509"/>
        <w:spacing w:after="0" w:line="291" w:lineRule="auto"/>
        <w:rPr>
          <w:sz w:val="20"/>
          <w:szCs w:val="20"/>
          <w:color w:val="auto"/>
        </w:rPr>
      </w:pPr>
      <w:r>
        <w:rPr>
          <w:rFonts w:ascii="Arial" w:cs="Arial" w:eastAsia="Arial" w:hAnsi="Arial"/>
          <w:sz w:val="17"/>
          <w:szCs w:val="17"/>
          <w:color w:val="auto"/>
        </w:rPr>
        <w:t>The following table shows our cash equivalents that are measured at fair value on a recurring basis and were categorized using the fair value hierarchy, as well as their classification on our unaudited condensed consolidated balance sheet as of March 31, 2022 (in millions):</w:t>
      </w:r>
    </w:p>
    <w:p>
      <w:pPr>
        <w:spacing w:after="0" w:line="4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380" w:type="dxa"/>
            <w:vAlign w:val="bottom"/>
            <w:vMerge w:val="restart"/>
          </w:tcPr>
          <w:p>
            <w:pPr>
              <w:spacing w:after="0"/>
              <w:rPr>
                <w:sz w:val="20"/>
                <w:szCs w:val="20"/>
                <w:color w:val="auto"/>
              </w:rPr>
            </w:pPr>
            <w:r>
              <w:rPr>
                <w:rFonts w:ascii="Arial" w:cs="Arial" w:eastAsia="Arial" w:hAnsi="Arial"/>
                <w:sz w:val="18"/>
                <w:szCs w:val="18"/>
                <w:color w:val="auto"/>
              </w:rPr>
              <w:t>Level 2:</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Amortized Cost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Fair Value (1)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2"/>
              </w:rPr>
              <w:t>Cash Equivalents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Term deposits</w:t>
            </w:r>
          </w:p>
        </w:tc>
        <w:tc>
          <w:tcPr>
            <w:tcW w:w="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160</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160</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160</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tcPr>
          <w:p>
            <w:pPr>
              <w:ind w:left="540"/>
              <w:spacing w:after="0" w:line="182" w:lineRule="exact"/>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160</w:t>
            </w:r>
          </w:p>
        </w:tc>
        <w:tc>
          <w:tcPr>
            <w:tcW w:w="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160</w:t>
            </w:r>
          </w:p>
        </w:tc>
        <w:tc>
          <w:tcPr>
            <w:tcW w:w="3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160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-159385</wp:posOffset>
            </wp:positionV>
            <wp:extent cx="4318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-159385</wp:posOffset>
            </wp:positionV>
            <wp:extent cx="3429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-159385</wp:posOffset>
            </wp:positionV>
            <wp:extent cx="3429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69" w:lineRule="exact"/>
        <w:rPr>
          <w:sz w:val="20"/>
          <w:szCs w:val="20"/>
          <w:color w:val="auto"/>
        </w:rPr>
      </w:pPr>
    </w:p>
    <w:p>
      <w:pPr>
        <w:ind w:left="1500" w:hanging="369"/>
        <w:spacing w:after="0"/>
        <w:tabs>
          <w:tab w:leader="none" w:pos="1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Unrealized gains and losses related to our cash equivalents were not material.</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no material financial assets or liabilities measured at fair value on a recurring basis as of December 31, 2021.</w:t>
      </w:r>
    </w:p>
    <w:p>
      <w:pPr>
        <w:spacing w:after="0" w:line="212"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04" w:lineRule="exact"/>
        <w:rPr>
          <w:sz w:val="20"/>
          <w:szCs w:val="20"/>
          <w:color w:val="auto"/>
        </w:rPr>
      </w:pPr>
    </w:p>
    <w:p>
      <w:pPr>
        <w:ind w:right="340" w:firstLine="544"/>
        <w:spacing w:after="0" w:line="244" w:lineRule="auto"/>
        <w:rPr>
          <w:sz w:val="20"/>
          <w:szCs w:val="20"/>
          <w:color w:val="auto"/>
        </w:rPr>
      </w:pPr>
      <w:r>
        <w:rPr>
          <w:rFonts w:ascii="Arial" w:cs="Arial" w:eastAsia="Arial" w:hAnsi="Arial"/>
          <w:sz w:val="18"/>
          <w:szCs w:val="18"/>
          <w:color w:val="auto"/>
        </w:rPr>
        <w:t>We generally use forward contracts to reduce the effects of foreign currency exchange rate fluctuations on our cash flows primarily for the Euro versus the U.S. Dollar. For the three months ended March 31, 2022 and 2021, our forward contracts have not</w:t>
      </w: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been designated as hedges and generally had maturities of less than 90 days. Our outstanding or unsettled forward contracts are carried at fair value on our unaudited condensed consolidated balance sheets at March 31, 2022 and December 31, 2021.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our foreign currency forward contracts in other income (expense), net on our unaudited condensed consolidated statement of operations, which was not material during both the three months ended March 31, 2022 and 2021, respectively.</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shows the net notional principal amounts of our outstanding derivative instruments as of the periods presented:</w:t>
      </w:r>
    </w:p>
    <w:p>
      <w:pPr>
        <w:spacing w:after="0" w:line="10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jc w:val="right"/>
              <w:ind w:right="19"/>
              <w:spacing w:after="0"/>
              <w:rPr>
                <w:sz w:val="20"/>
                <w:szCs w:val="20"/>
                <w:color w:val="auto"/>
              </w:rPr>
            </w:pPr>
            <w:r>
              <w:rPr>
                <w:rFonts w:ascii="Arial" w:cs="Arial" w:eastAsia="Arial" w:hAnsi="Arial"/>
                <w:sz w:val="14"/>
                <w:szCs w:val="14"/>
                <w:b w:val="1"/>
                <w:bCs w:val="1"/>
                <w:color w:val="auto"/>
              </w:rPr>
              <w:t>(in</w:t>
            </w:r>
          </w:p>
        </w:tc>
        <w:tc>
          <w:tcPr>
            <w:tcW w:w="1620" w:type="dxa"/>
            <w:vAlign w:val="bottom"/>
            <w:gridSpan w:val="2"/>
          </w:tcPr>
          <w:p>
            <w:pPr>
              <w:jc w:val="right"/>
              <w:ind w:right="1088"/>
              <w:spacing w:after="0"/>
              <w:rPr>
                <w:sz w:val="20"/>
                <w:szCs w:val="20"/>
                <w:color w:val="auto"/>
              </w:rPr>
            </w:pPr>
            <w:r>
              <w:rPr>
                <w:rFonts w:ascii="Arial" w:cs="Arial" w:eastAsia="Arial" w:hAnsi="Arial"/>
                <w:sz w:val="14"/>
                <w:szCs w:val="14"/>
                <w:b w:val="1"/>
                <w:bCs w:val="1"/>
                <w:color w:val="auto"/>
                <w:w w:val="76"/>
              </w:rPr>
              <w:t>millions)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 xml:space="preserve">Foreign currency exchange-forward contracts </w:t>
            </w:r>
            <w:r>
              <w:rPr>
                <w:rFonts w:ascii="Arial" w:cs="Arial" w:eastAsia="Arial" w:hAnsi="Arial"/>
                <w:sz w:val="14"/>
                <w:szCs w:val="14"/>
                <w:color w:val="auto"/>
              </w:rPr>
              <w:t>(1)(2)</w:t>
            </w:r>
          </w:p>
        </w:tc>
        <w:tc>
          <w:tcPr>
            <w:tcW w:w="1320" w:type="dxa"/>
            <w:vAlign w:val="bottom"/>
            <w:shd w:val="clear" w:color="auto" w:fill="CFF0FC"/>
          </w:tcPr>
          <w:p>
            <w:pPr>
              <w:jc w:val="right"/>
              <w:ind w:right="1139"/>
              <w:spacing w:after="0" w:line="202"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1620" w:type="dxa"/>
            <w:vAlign w:val="bottom"/>
            <w:gridSpan w:val="2"/>
            <w:shd w:val="clear" w:color="auto" w:fill="CFF0FC"/>
          </w:tcPr>
          <w:p>
            <w:pPr>
              <w:jc w:val="right"/>
              <w:ind w:right="1368"/>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60" w:type="dxa"/>
            <w:vAlign w:val="bottom"/>
            <w:shd w:val="clear" w:color="auto" w:fill="CFF0FC"/>
          </w:tcPr>
          <w:p>
            <w:pPr>
              <w:spacing w:after="0"/>
              <w:rPr>
                <w:sz w:val="17"/>
                <w:szCs w:val="17"/>
                <w:color w:val="auto"/>
              </w:rPr>
            </w:pPr>
          </w:p>
        </w:tc>
      </w:tr>
    </w:tbl>
    <w:p>
      <w:pPr>
        <w:spacing w:after="0" w:line="89" w:lineRule="exact"/>
        <w:rPr>
          <w:sz w:val="20"/>
          <w:szCs w:val="20"/>
          <w:color w:val="auto"/>
        </w:rPr>
      </w:pPr>
    </w:p>
    <w:p>
      <w:pPr>
        <w:ind w:left="1440" w:right="340" w:hanging="384"/>
        <w:spacing w:after="0" w:line="250" w:lineRule="auto"/>
        <w:tabs>
          <w:tab w:leader="none" w:pos="1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Derivative contracts address foreign currency exchange fluctuations for the Euro versus the U.S. dollar. These outstanding derivatives are not designated as hedging instruments and have an original maturity period of 90 days or less.</w:t>
      </w:r>
    </w:p>
    <w:p>
      <w:pPr>
        <w:ind w:left="1440" w:right="120" w:hanging="384"/>
        <w:spacing w:after="0" w:line="255" w:lineRule="auto"/>
        <w:tabs>
          <w:tab w:leader="none" w:pos="1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fair value of our outstanding derivatives as of March 31, 2022 and December 31, 2021, respectively, was not material. The notional amount of a forward contract is the contracted amount of foreign currency to be exchanged and is not recorded on the unaudited condensed consolidated balance sheet.</w:t>
      </w:r>
    </w:p>
    <w:p>
      <w:pPr>
        <w:spacing w:after="0" w:line="190" w:lineRule="exact"/>
        <w:rPr>
          <w:sz w:val="20"/>
          <w:szCs w:val="20"/>
          <w:color w:val="auto"/>
        </w:rPr>
      </w:pPr>
    </w:p>
    <w:p>
      <w:pPr>
        <w:ind w:right="20" w:firstLine="584"/>
        <w:spacing w:after="0" w:line="270" w:lineRule="auto"/>
        <w:rPr>
          <w:sz w:val="20"/>
          <w:szCs w:val="20"/>
          <w:color w:val="auto"/>
        </w:rPr>
      </w:pPr>
      <w:r>
        <w:rPr>
          <w:rFonts w:ascii="Arial" w:cs="Arial" w:eastAsia="Arial" w:hAnsi="Arial"/>
          <w:sz w:val="17"/>
          <w:szCs w:val="17"/>
          <w:color w:val="auto"/>
        </w:rPr>
        <w:t>Counterparties to our outstanding forward contracts consist of major global financial institutions. We monitor our positions and the credit ratings of the counterparties involved and, by policy limits, the amount of credit exposure to any one party. We do not use derivatives for trading or speculative purposes. We were not entered into any cash flow, fair value or net investment hedges as of March 31, 2022 or December 31, 2021.</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Financial Assets and Liabilities</w:t>
      </w:r>
    </w:p>
    <w:p>
      <w:pPr>
        <w:spacing w:after="0" w:line="212" w:lineRule="exact"/>
        <w:rPr>
          <w:sz w:val="20"/>
          <w:szCs w:val="20"/>
          <w:color w:val="auto"/>
        </w:rPr>
      </w:pPr>
    </w:p>
    <w:p>
      <w:pPr>
        <w:ind w:right="160" w:firstLine="509"/>
        <w:spacing w:after="0" w:line="259" w:lineRule="auto"/>
        <w:rPr>
          <w:sz w:val="20"/>
          <w:szCs w:val="20"/>
          <w:color w:val="auto"/>
        </w:rPr>
      </w:pPr>
      <w:r>
        <w:rPr>
          <w:rFonts w:ascii="Arial" w:cs="Arial" w:eastAsia="Arial" w:hAnsi="Arial"/>
          <w:sz w:val="17"/>
          <w:szCs w:val="17"/>
          <w:color w:val="auto"/>
        </w:rPr>
        <w:t>As of March 31, 2022 and December 31, 2021, financial instruments not measured at fair value on a recurring basis including accounts payable, accrued expenses and other current liabilities, and deferred merchant bookings, were carried at cost on our unaudited condensed consolidated balance sheets, which approximates their fair values because of the short-term nature of these items. Accounts receivable and contract assets, on our unaudited condensed consolidated balance sheets, as well as certain other financial assets, were measured at amortized cost and are carried at cost less an allowance for expected credit losses to present the net amount expected to be collected.</w:t>
      </w:r>
    </w:p>
    <w:p>
      <w:pPr>
        <w:spacing w:after="0" w:line="174" w:lineRule="exact"/>
        <w:rPr>
          <w:sz w:val="20"/>
          <w:szCs w:val="20"/>
          <w:color w:val="auto"/>
        </w:rPr>
      </w:pPr>
    </w:p>
    <w:p>
      <w:pPr>
        <w:ind w:right="380" w:firstLine="509"/>
        <w:spacing w:after="0" w:line="270" w:lineRule="auto"/>
        <w:rPr>
          <w:sz w:val="20"/>
          <w:szCs w:val="20"/>
          <w:color w:val="auto"/>
        </w:rPr>
      </w:pPr>
      <w:r>
        <w:rPr>
          <w:rFonts w:ascii="Arial" w:cs="Arial" w:eastAsia="Arial" w:hAnsi="Arial"/>
          <w:sz w:val="17"/>
          <w:szCs w:val="17"/>
          <w:color w:val="auto"/>
        </w:rPr>
        <w:t xml:space="preserve">The following table shows the aggregate principal and fair value amount of our outstanding 2025 Senior Notes and 2026 Senior Notes as of the periods presented, which are classified as long-term debt on our unaudited condensed consolidated balance sheets and considered Level 2 fair value measurements. Refer to “Note 6: </w:t>
      </w:r>
      <w:r>
        <w:rPr>
          <w:rFonts w:ascii="Arial" w:cs="Arial" w:eastAsia="Arial" w:hAnsi="Arial"/>
          <w:sz w:val="17"/>
          <w:szCs w:val="17"/>
          <w:i w:val="1"/>
          <w:iCs w:val="1"/>
          <w:color w:val="auto"/>
        </w:rPr>
        <w:t>Debt</w:t>
      </w:r>
      <w:r>
        <w:rPr>
          <w:rFonts w:ascii="Arial" w:cs="Arial" w:eastAsia="Arial" w:hAnsi="Arial"/>
          <w:sz w:val="17"/>
          <w:szCs w:val="17"/>
          <w:color w:val="auto"/>
        </w:rPr>
        <w:t>” for additional information on our 2025 Senior Notes and 2026 Senior Notes.</w:t>
      </w:r>
    </w:p>
    <w:p>
      <w:pPr>
        <w:sectPr>
          <w:pgSz w:w="11900" w:h="16838" w:orient="portrait"/>
          <w:cols w:equalWidth="0" w:num="1">
            <w:col w:w="11220"/>
          </w:cols>
          <w:pgMar w:left="320" w:top="476" w:right="35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2025 Senior Notes</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Aggregate principal amount</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Carrying value amount (1)</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Fair value amount (2)</w:t>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2026 Senior Notes</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Aggregate principal amount</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Carrying value amount (3)</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Fair value amount (2)</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3"/>
              </w:rPr>
              <w:t>December 31, 2021</w:t>
            </w:r>
          </w:p>
        </w:tc>
      </w:tr>
      <w:tr>
        <w:trPr>
          <w:trHeight w:val="180"/>
        </w:trPr>
        <w:tc>
          <w:tcPr>
            <w:tcW w:w="300" w:type="dxa"/>
            <w:vAlign w:val="bottom"/>
          </w:tcPr>
          <w:p>
            <w:pPr>
              <w:spacing w:after="0"/>
              <w:rPr>
                <w:sz w:val="15"/>
                <w:szCs w:val="15"/>
                <w:color w:val="auto"/>
              </w:rPr>
            </w:pPr>
          </w:p>
        </w:tc>
        <w:tc>
          <w:tcPr>
            <w:tcW w:w="1680" w:type="dxa"/>
            <w:vAlign w:val="bottom"/>
          </w:tcPr>
          <w:p>
            <w:pPr>
              <w:ind w:left="1400"/>
              <w:spacing w:after="0"/>
              <w:rPr>
                <w:sz w:val="20"/>
                <w:szCs w:val="20"/>
                <w:color w:val="auto"/>
              </w:rPr>
            </w:pPr>
            <w:r>
              <w:rPr>
                <w:rFonts w:ascii="Arial" w:cs="Arial" w:eastAsia="Arial" w:hAnsi="Arial"/>
                <w:sz w:val="14"/>
                <w:szCs w:val="14"/>
                <w:b w:val="1"/>
                <w:bCs w:val="1"/>
                <w:color w:val="auto"/>
              </w:rPr>
              <w:t>(in</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72"/>
              </w:rPr>
              <w:t>millions)</w:t>
            </w:r>
          </w:p>
        </w:tc>
        <w:tc>
          <w:tcPr>
            <w:tcW w:w="1640" w:type="dxa"/>
            <w:vAlign w:val="bottom"/>
          </w:tcPr>
          <w:p>
            <w:pPr>
              <w:spacing w:after="0"/>
              <w:rPr>
                <w:sz w:val="15"/>
                <w:szCs w:val="15"/>
                <w:color w:val="auto"/>
              </w:rPr>
            </w:pPr>
          </w:p>
        </w:tc>
      </w:tr>
      <w:tr>
        <w:trPr>
          <w:trHeight w:val="380"/>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Pr>
          <w:p>
            <w:pPr>
              <w:ind w:left="1400"/>
              <w:spacing w:after="0"/>
              <w:rPr>
                <w:sz w:val="20"/>
                <w:szCs w:val="20"/>
                <w:color w:val="auto"/>
              </w:rPr>
            </w:pPr>
            <w:r>
              <w:rPr>
                <w:rFonts w:ascii="Arial" w:cs="Arial" w:eastAsia="Arial" w:hAnsi="Arial"/>
                <w:sz w:val="18"/>
                <w:szCs w:val="18"/>
                <w:color w:val="auto"/>
                <w:w w:val="86"/>
              </w:rPr>
              <w:t>500</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03"/>
        </w:trPr>
        <w:tc>
          <w:tcPr>
            <w:tcW w:w="300" w:type="dxa"/>
            <w:vAlign w:val="bottom"/>
          </w:tcPr>
          <w:p>
            <w:pPr>
              <w:spacing w:after="0"/>
              <w:rPr>
                <w:sz w:val="17"/>
                <w:szCs w:val="17"/>
                <w:color w:val="auto"/>
              </w:rPr>
            </w:pPr>
          </w:p>
        </w:tc>
        <w:tc>
          <w:tcPr>
            <w:tcW w:w="1680" w:type="dxa"/>
            <w:vAlign w:val="bottom"/>
          </w:tcPr>
          <w:p>
            <w:pPr>
              <w:ind w:left="1400"/>
              <w:spacing w:after="0" w:line="202" w:lineRule="exact"/>
              <w:rPr>
                <w:sz w:val="20"/>
                <w:szCs w:val="20"/>
                <w:color w:val="auto"/>
              </w:rPr>
            </w:pPr>
            <w:r>
              <w:rPr>
                <w:rFonts w:ascii="Arial" w:cs="Arial" w:eastAsia="Arial" w:hAnsi="Arial"/>
                <w:sz w:val="18"/>
                <w:szCs w:val="18"/>
                <w:color w:val="auto"/>
                <w:w w:val="86"/>
              </w:rPr>
              <w:t>494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493</w:t>
            </w:r>
          </w:p>
        </w:tc>
      </w:tr>
      <w:tr>
        <w:trPr>
          <w:trHeight w:val="230"/>
        </w:trPr>
        <w:tc>
          <w:tcPr>
            <w:tcW w:w="300" w:type="dxa"/>
            <w:vAlign w:val="bottom"/>
          </w:tcPr>
          <w:p>
            <w:pPr>
              <w:spacing w:after="0"/>
              <w:rPr>
                <w:sz w:val="20"/>
                <w:szCs w:val="20"/>
                <w:color w:val="auto"/>
              </w:rPr>
            </w:pPr>
          </w:p>
        </w:tc>
        <w:tc>
          <w:tcPr>
            <w:tcW w:w="1680" w:type="dxa"/>
            <w:vAlign w:val="bottom"/>
          </w:tcPr>
          <w:p>
            <w:pPr>
              <w:ind w:left="1400"/>
              <w:spacing w:after="0"/>
              <w:rPr>
                <w:sz w:val="20"/>
                <w:szCs w:val="20"/>
                <w:color w:val="auto"/>
              </w:rPr>
            </w:pPr>
            <w:r>
              <w:rPr>
                <w:rFonts w:ascii="Arial" w:cs="Arial" w:eastAsia="Arial" w:hAnsi="Arial"/>
                <w:sz w:val="18"/>
                <w:szCs w:val="18"/>
                <w:color w:val="auto"/>
                <w:w w:val="86"/>
              </w:rPr>
              <w:t>516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634"/>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tcPr>
          <w:p>
            <w:pPr>
              <w:ind w:left="1400"/>
              <w:spacing w:after="0"/>
              <w:rPr>
                <w:sz w:val="20"/>
                <w:szCs w:val="20"/>
                <w:color w:val="auto"/>
              </w:rPr>
            </w:pPr>
            <w:r>
              <w:rPr>
                <w:rFonts w:ascii="Arial" w:cs="Arial" w:eastAsia="Arial" w:hAnsi="Arial"/>
                <w:sz w:val="18"/>
                <w:szCs w:val="18"/>
                <w:color w:val="auto"/>
                <w:w w:val="86"/>
              </w:rPr>
              <w:t>345</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03"/>
        </w:trPr>
        <w:tc>
          <w:tcPr>
            <w:tcW w:w="300" w:type="dxa"/>
            <w:vAlign w:val="bottom"/>
          </w:tcPr>
          <w:p>
            <w:pPr>
              <w:spacing w:after="0"/>
              <w:rPr>
                <w:sz w:val="17"/>
                <w:szCs w:val="17"/>
                <w:color w:val="auto"/>
              </w:rPr>
            </w:pPr>
          </w:p>
        </w:tc>
        <w:tc>
          <w:tcPr>
            <w:tcW w:w="1680" w:type="dxa"/>
            <w:vAlign w:val="bottom"/>
          </w:tcPr>
          <w:p>
            <w:pPr>
              <w:ind w:left="1400"/>
              <w:spacing w:after="0" w:line="202" w:lineRule="exact"/>
              <w:rPr>
                <w:sz w:val="20"/>
                <w:szCs w:val="20"/>
                <w:color w:val="auto"/>
              </w:rPr>
            </w:pPr>
            <w:r>
              <w:rPr>
                <w:rFonts w:ascii="Arial" w:cs="Arial" w:eastAsia="Arial" w:hAnsi="Arial"/>
                <w:sz w:val="18"/>
                <w:szCs w:val="18"/>
                <w:color w:val="auto"/>
                <w:w w:val="86"/>
              </w:rPr>
              <w:t>340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r>
      <w:tr>
        <w:trPr>
          <w:trHeight w:val="230"/>
        </w:trPr>
        <w:tc>
          <w:tcPr>
            <w:tcW w:w="300" w:type="dxa"/>
            <w:vAlign w:val="bottom"/>
          </w:tcPr>
          <w:p>
            <w:pPr>
              <w:spacing w:after="0"/>
              <w:rPr>
                <w:sz w:val="20"/>
                <w:szCs w:val="20"/>
                <w:color w:val="auto"/>
              </w:rPr>
            </w:pPr>
          </w:p>
        </w:tc>
        <w:tc>
          <w:tcPr>
            <w:tcW w:w="1680" w:type="dxa"/>
            <w:vAlign w:val="bottom"/>
          </w:tcPr>
          <w:p>
            <w:pPr>
              <w:ind w:left="1400"/>
              <w:spacing w:after="0"/>
              <w:rPr>
                <w:sz w:val="20"/>
                <w:szCs w:val="20"/>
                <w:color w:val="auto"/>
              </w:rPr>
            </w:pPr>
            <w:r>
              <w:rPr>
                <w:rFonts w:ascii="Arial" w:cs="Arial" w:eastAsia="Arial" w:hAnsi="Arial"/>
                <w:sz w:val="18"/>
                <w:szCs w:val="18"/>
                <w:color w:val="auto"/>
                <w:w w:val="86"/>
              </w:rPr>
              <w:t>293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-1199515</wp:posOffset>
            </wp:positionV>
            <wp:extent cx="713232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-942340</wp:posOffset>
            </wp:positionV>
            <wp:extent cx="713232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-685165</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-393700</wp:posOffset>
            </wp:positionV>
            <wp:extent cx="713232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-4451985</wp:posOffset>
            </wp:positionH>
            <wp:positionV relativeFrom="paragraph">
              <wp:posOffset>-136525</wp:posOffset>
            </wp:positionV>
            <wp:extent cx="713232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6300" w:space="720"/>
            <w:col w:w="4200"/>
          </w:cols>
          <w:pgMar w:left="320" w:top="476" w:right="359" w:bottom="1440" w:gutter="0" w:footer="0" w:header="0"/>
          <w:type w:val="continuous"/>
        </w:sectPr>
      </w:pPr>
    </w:p>
    <w:p>
      <w:pPr>
        <w:ind w:left="1500" w:hanging="369"/>
        <w:spacing w:after="0"/>
        <w:tabs>
          <w:tab w:leader="none" w:pos="1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of $6 million and $7 million of unamortized debt issuance costs as of March 31, 2022 and December 31, 2021, respectively.</w:t>
      </w:r>
    </w:p>
    <w:p>
      <w:pPr>
        <w:spacing w:after="0" w:line="13" w:lineRule="exact"/>
        <w:rPr>
          <w:rFonts w:ascii="Arial" w:cs="Arial" w:eastAsia="Arial" w:hAnsi="Arial"/>
          <w:sz w:val="14"/>
          <w:szCs w:val="14"/>
          <w:color w:val="auto"/>
        </w:rPr>
      </w:pPr>
    </w:p>
    <w:p>
      <w:pPr>
        <w:ind w:left="1500" w:right="280" w:hanging="369"/>
        <w:spacing w:after="0" w:line="241" w:lineRule="auto"/>
        <w:tabs>
          <w:tab w:leader="none" w:pos="1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estimate the fair value of our outstanding 2025 Senior Notes and 2026 Senior Notes based on recently reported market transactions and/or prices for identical or similar financial instruments obtained from a third-party pricing source.</w:t>
      </w:r>
    </w:p>
    <w:p>
      <w:pPr>
        <w:ind w:left="1500" w:hanging="369"/>
        <w:spacing w:after="0"/>
        <w:tabs>
          <w:tab w:leader="none" w:pos="1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of $5 million in unamortized debt issuance costs as of both March 31, 2022 and December 31, 2021, respectively.</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and Concentrations</w:t>
      </w:r>
    </w:p>
    <w:p>
      <w:pPr>
        <w:spacing w:after="0" w:line="212" w:lineRule="exact"/>
        <w:rPr>
          <w:sz w:val="20"/>
          <w:szCs w:val="20"/>
          <w:color w:val="auto"/>
        </w:rPr>
      </w:pPr>
    </w:p>
    <w:p>
      <w:pPr>
        <w:ind w:right="260" w:firstLine="509"/>
        <w:spacing w:after="0" w:line="252" w:lineRule="auto"/>
        <w:rPr>
          <w:sz w:val="20"/>
          <w:szCs w:val="20"/>
          <w:color w:val="auto"/>
        </w:rPr>
      </w:pPr>
      <w:r>
        <w:rPr>
          <w:rFonts w:ascii="Arial" w:cs="Arial" w:eastAsia="Arial" w:hAnsi="Arial"/>
          <w:sz w:val="17"/>
          <w:szCs w:val="17"/>
          <w:color w:val="auto"/>
        </w:rPr>
        <w:t xml:space="preserve">In addition to the risk we face from COVID-19, which is discussed in “Note 1: </w:t>
      </w:r>
      <w:r>
        <w:rPr>
          <w:rFonts w:ascii="Arial" w:cs="Arial" w:eastAsia="Arial" w:hAnsi="Arial"/>
          <w:sz w:val="17"/>
          <w:szCs w:val="17"/>
          <w:i w:val="1"/>
          <w:iCs w:val="1"/>
          <w:color w:val="auto"/>
        </w:rPr>
        <w:t>Business Description and Basis of Presentation”,</w:t>
      </w:r>
      <w:r>
        <w:rPr>
          <w:rFonts w:ascii="Arial" w:cs="Arial" w:eastAsia="Arial" w:hAnsi="Arial"/>
          <w:sz w:val="17"/>
          <w:szCs w:val="17"/>
          <w:color w:val="auto"/>
        </w:rPr>
        <w:t xml:space="preserve"> our business is subject to certain financial risks and concentrations, including concentration related to dependence on our relationships with our customers. For the year ended December 31, 2021, our two most significant travel partners, Expedia Group, Inc. (and its subsidiaries) and Booking Holdings, Inc. (and its subsidiaries), each of which accounted for 10% or more of our consolidated revenue and together accounted for approximately 34% of our consolidated revenue, with nearly all of this revenue concentrated in our Hotels, Media &amp; Platform segment.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type w:val="continuous"/>
        </w:sectPr>
      </w:pPr>
    </w:p>
    <w:bookmarkStart w:id="14" w:name="page15"/>
    <w:bookmarkEnd w:id="14"/>
    <w:p>
      <w:pPr>
        <w:ind w:right="40" w:firstLine="509"/>
        <w:spacing w:after="0" w:line="238" w:lineRule="auto"/>
        <w:rPr>
          <w:sz w:val="20"/>
          <w:szCs w:val="20"/>
          <w:color w:val="auto"/>
        </w:rPr>
      </w:pPr>
      <w:r>
        <w:rPr>
          <w:rFonts w:ascii="Arial" w:cs="Arial" w:eastAsia="Arial" w:hAnsi="Arial"/>
          <w:sz w:val="18"/>
          <w:szCs w:val="18"/>
          <w:color w:val="auto"/>
        </w:rPr>
        <w:t>Financial instruments, which potentially subject us to concentration of credit risk, generally consist, at any point in time; of cash and cash equivalents, corporate debt securities, forward contracts, capped calls, and accounts receivable. We maintain some cash balances with financial institutions that are in excess of Federal Deposit Insurance Corporation insurance limits. Our cash is generally composed of available on demand bank deposits or term deposits with major global financial institutions primarily denominated in U.S. dollars, Euros, British pounds, and Australian dollars. We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and capped calls are transacted with major international financial institutions with high credit standings. Forward contracts, which to date, have typically had maturities of less than 90 days, also mitigates risk. Our overall credit risk related to accounts receivable is mitigated by the relatively short collection period.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Non-recurring Basis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Non-Marketable Investments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Equity Securities Accounted for under the Equity Method</w:t>
      </w:r>
    </w:p>
    <w:p>
      <w:pPr>
        <w:spacing w:after="0" w:line="212"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The Company owns a 40% equity investment in Chelsea Investment Holding Company PTE Ltd, which is majority owned by Ctrip Investment Holding Ltd, a majority-owned subsidiary of Trip.com Group Limited. The Company accounts for this minority investment under the equity method, given it has the ability to exercise significant influence, but not control, over the investee. The carrying value of this minority investment was $34 million as of both March 31, 2022 and December 31, 2021, and is included in non-marketable investments on our unaudited condensed consolidated balance sheets. During the three months ended March 31, 2022, our share of the investee’s net loss recorded in other income (expenses), net within the unaudited condensed consolidated statement of operations, was not material. During the three months ended March 31, 2021, we recognized $1 million, representing our share of the investee’s net loss in other income (expenses), net within the unaudited condensed consolidated statement of operations.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During both the three months ended March 31, 2022 and 2021, we did not record any impairment loss on this equity investment.</w:t>
      </w:r>
    </w:p>
    <w:p>
      <w:pPr>
        <w:spacing w:after="0" w:line="186"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The Company maintains various commercial agreements with Chelsea Investment Holding Company PTE Ltd. and/or its subsidiaries. Transactions under these agreements are considered related-party transactions, and were not material during both the three months ended March 31, 2022 and 2021.</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212"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The Company holds collateralized notes (the “Notes Receivable”) issued by a privately held company with a total principal amount of $20 million. The Company has classified the Notes Receivable as held-to-maturity, as the Company has concluded it has the positive intent and ability to hold the Notes Receivable until maturity, with 50% due in 5 years and the remaining 50% due in 10 years from issuance date. As of both March 31, 2022 and December 31, 2021, the carrying value of the Notes Receivable was $9 million, net of accumulated allowance for credit losses, and is classified in other long-term assets, net on our unaudited condensed consolidated balance sheets at amortized cost. On a quarterly basis, we perform a qualitative assessment considering impairment indicators to evaluate whether the Notes Receivable are impaired and monitor for changes to our allowance for credit losses.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ACCRUED EXPENSES AND OTHER CURRENT LIABILITIES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1"/>
              </w:rPr>
              <w:t>December 31, 2021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millions)</w:t>
            </w: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w w:val="95"/>
              </w:rPr>
              <w:t>Accrued employee salary, bonus, and related benefits</w:t>
            </w:r>
          </w:p>
        </w:tc>
        <w:tc>
          <w:tcPr>
            <w:tcW w:w="2460" w:type="dxa"/>
            <w:vAlign w:val="bottom"/>
            <w:gridSpan w:val="2"/>
            <w:shd w:val="clear" w:color="auto" w:fill="CFF0FC"/>
          </w:tcPr>
          <w:p>
            <w:pPr>
              <w:jc w:val="right"/>
              <w:ind w:right="1208"/>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w:t>
            </w:r>
          </w:p>
        </w:tc>
        <w:tc>
          <w:tcPr>
            <w:tcW w:w="5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5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color w:val="auto"/>
              </w:rPr>
              <w:t>Accrued marketing costs</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payable (1)</w:t>
            </w:r>
          </w:p>
        </w:tc>
        <w:tc>
          <w:tcPr>
            <w:tcW w:w="1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color w:val="auto"/>
              </w:rPr>
              <w:t>Current income taxes payable</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Finance lease liabilities - current portion</w:t>
            </w:r>
          </w:p>
        </w:tc>
        <w:tc>
          <w:tcPr>
            <w:tcW w:w="1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color w:val="auto"/>
              </w:rPr>
              <w:t>Operating lease liabilities - current portion</w:t>
            </w: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1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11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120" w:type="dxa"/>
            <w:vAlign w:val="bottom"/>
          </w:tcPr>
          <w:p>
            <w:pPr>
              <w:ind w:left="180"/>
              <w:spacing w:after="0" w:line="182" w:lineRule="exact"/>
              <w:rPr>
                <w:sz w:val="20"/>
                <w:szCs w:val="20"/>
                <w:color w:val="auto"/>
              </w:rPr>
            </w:pPr>
            <w:r>
              <w:rPr>
                <w:rFonts w:ascii="Arial" w:cs="Arial" w:eastAsia="Arial" w:hAnsi="Arial"/>
                <w:sz w:val="18"/>
                <w:szCs w:val="18"/>
                <w:color w:val="auto"/>
              </w:rPr>
              <w:t>Total</w:t>
            </w:r>
          </w:p>
        </w:tc>
        <w:tc>
          <w:tcPr>
            <w:tcW w:w="2460" w:type="dxa"/>
            <w:vAlign w:val="bottom"/>
            <w:gridSpan w:val="2"/>
          </w:tcPr>
          <w:p>
            <w:pPr>
              <w:jc w:val="right"/>
              <w:ind w:right="1208"/>
              <w:spacing w:after="0" w:line="182" w:lineRule="exact"/>
              <w:rPr>
                <w:sz w:val="20"/>
                <w:szCs w:val="20"/>
                <w:color w:val="auto"/>
              </w:rPr>
            </w:pPr>
            <w:r>
              <w:rPr>
                <w:rFonts w:ascii="Arial" w:cs="Arial" w:eastAsia="Arial" w:hAnsi="Arial"/>
                <w:sz w:val="18"/>
                <w:szCs w:val="18"/>
                <w:color w:val="auto"/>
              </w:rPr>
              <w:t>$</w:t>
            </w:r>
          </w:p>
        </w:tc>
        <w:tc>
          <w:tcPr>
            <w:tcW w:w="340" w:type="dxa"/>
            <w:vAlign w:val="bottom"/>
          </w:tcPr>
          <w:p>
            <w:pPr>
              <w:jc w:val="right"/>
              <w:spacing w:after="0" w:line="182" w:lineRule="exact"/>
              <w:rPr>
                <w:sz w:val="20"/>
                <w:szCs w:val="20"/>
                <w:color w:val="auto"/>
              </w:rPr>
            </w:pPr>
            <w:r>
              <w:rPr>
                <w:rFonts w:ascii="Arial" w:cs="Arial" w:eastAsia="Arial" w:hAnsi="Arial"/>
                <w:sz w:val="18"/>
                <w:szCs w:val="18"/>
                <w:color w:val="auto"/>
                <w:w w:val="99"/>
              </w:rPr>
              <w:t>199</w:t>
            </w:r>
          </w:p>
        </w:tc>
        <w:tc>
          <w:tcPr>
            <w:tcW w:w="52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182" w:lineRule="exact"/>
              <w:rPr>
                <w:sz w:val="20"/>
                <w:szCs w:val="20"/>
                <w:color w:val="auto"/>
              </w:rPr>
            </w:pPr>
            <w:r>
              <w:rPr>
                <w:rFonts w:ascii="Arial" w:cs="Arial" w:eastAsia="Arial" w:hAnsi="Arial"/>
                <w:sz w:val="18"/>
                <w:szCs w:val="18"/>
                <w:color w:val="auto"/>
              </w:rPr>
              <w:t>181</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00" w:type="dxa"/>
            <w:vAlign w:val="bottom"/>
            <w:vMerge w:val="restart"/>
          </w:tcPr>
          <w:p>
            <w:pPr>
              <w:jc w:val="right"/>
              <w:ind w:right="550"/>
              <w:spacing w:after="0"/>
              <w:rPr>
                <w:sz w:val="20"/>
                <w:szCs w:val="20"/>
                <w:color w:val="auto"/>
              </w:rPr>
            </w:pPr>
            <w:r>
              <w:rPr>
                <w:rFonts w:ascii="Arial" w:cs="Arial" w:eastAsia="Arial" w:hAnsi="Arial"/>
                <w:sz w:val="18"/>
                <w:szCs w:val="18"/>
                <w:color w:val="auto"/>
              </w:rPr>
              <w:t>15</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-502285</wp:posOffset>
            </wp:positionV>
            <wp:extent cx="431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-502285</wp:posOffset>
            </wp:positionV>
            <wp:extent cx="431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5" w:name="page16"/>
    <w:bookmarkEnd w:id="15"/>
    <w:p>
      <w:pPr>
        <w:ind w:left="1440" w:hanging="384"/>
        <w:spacing w:after="0"/>
        <w:tabs>
          <w:tab w:leader="none" w:pos="144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Amount relates primarily to unpaid interest accrued on our 2025 Senior Notes. Refer to “Note 6: </w:t>
      </w:r>
      <w:r>
        <w:rPr>
          <w:rFonts w:ascii="Arial" w:cs="Arial" w:eastAsia="Arial" w:hAnsi="Arial"/>
          <w:sz w:val="14"/>
          <w:szCs w:val="14"/>
          <w:i w:val="1"/>
          <w:iCs w:val="1"/>
          <w:color w:val="auto"/>
        </w:rPr>
        <w:t>Debt</w:t>
      </w:r>
      <w:r>
        <w:rPr>
          <w:rFonts w:ascii="Arial" w:cs="Arial" w:eastAsia="Arial" w:hAnsi="Arial"/>
          <w:sz w:val="14"/>
          <w:szCs w:val="14"/>
          <w:color w:val="auto"/>
        </w:rPr>
        <w:t>” for further information.</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outstanding debt consisted of the following for the periods presented: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March 31, 2022</w:t>
            </w:r>
          </w:p>
        </w:tc>
        <w:tc>
          <w:tcPr>
            <w:tcW w:w="100" w:type="dxa"/>
            <w:vAlign w:val="bottom"/>
          </w:tcPr>
          <w:p>
            <w:pPr>
              <w:spacing w:after="0"/>
              <w:rPr>
                <w:sz w:val="17"/>
                <w:szCs w:val="17"/>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Outstanding Principal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Unamortized Debt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Carrying Value</w:t>
            </w:r>
          </w:p>
        </w:tc>
        <w:tc>
          <w:tcPr>
            <w:tcW w:w="0" w:type="dxa"/>
            <w:vAlign w:val="bottom"/>
          </w:tcPr>
          <w:p>
            <w:pPr>
              <w:spacing w:after="0"/>
              <w:rPr>
                <w:sz w:val="1"/>
                <w:szCs w:val="1"/>
                <w:color w:val="auto"/>
              </w:rPr>
            </w:pPr>
          </w:p>
        </w:tc>
      </w:tr>
      <w:tr>
        <w:trPr>
          <w:trHeight w:val="216"/>
        </w:trPr>
        <w:tc>
          <w:tcPr>
            <w:tcW w:w="4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Issuance Costs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(in millions)</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4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00"/>
              <w:spacing w:after="0" w:line="202" w:lineRule="exact"/>
              <w:rPr>
                <w:sz w:val="20"/>
                <w:szCs w:val="20"/>
                <w:color w:val="auto"/>
              </w:rPr>
            </w:pPr>
            <w:r>
              <w:rPr>
                <w:rFonts w:ascii="Arial" w:cs="Arial" w:eastAsia="Arial" w:hAnsi="Arial"/>
                <w:sz w:val="18"/>
                <w:szCs w:val="18"/>
                <w:color w:val="auto"/>
              </w:rPr>
              <w:t>2025 Senior Notes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4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(6 )</w:t>
            </w:r>
          </w:p>
        </w:tc>
        <w:tc>
          <w:tcPr>
            <w:tcW w:w="4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2026 Senior Notes</w:t>
            </w:r>
          </w:p>
        </w:tc>
        <w:tc>
          <w:tcPr>
            <w:tcW w:w="10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345</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(5 )</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Pr>
          <w:p>
            <w:pPr>
              <w:ind w:left="20"/>
              <w:spacing w:after="0" w:line="182" w:lineRule="exact"/>
              <w:rPr>
                <w:sz w:val="20"/>
                <w:szCs w:val="20"/>
                <w:color w:val="auto"/>
              </w:rPr>
            </w:pPr>
            <w:r>
              <w:rPr>
                <w:rFonts w:ascii="Arial" w:cs="Arial" w:eastAsia="Arial" w:hAnsi="Arial"/>
                <w:sz w:val="18"/>
                <w:szCs w:val="18"/>
                <w:color w:val="auto"/>
              </w:rPr>
              <w:t>Total Long-Term Debt</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line="182" w:lineRule="exact"/>
              <w:rPr>
                <w:sz w:val="20"/>
                <w:szCs w:val="20"/>
                <w:color w:val="auto"/>
              </w:rPr>
            </w:pPr>
            <w:r>
              <w:rPr>
                <w:rFonts w:ascii="Arial" w:cs="Arial" w:eastAsia="Arial" w:hAnsi="Arial"/>
                <w:sz w:val="18"/>
                <w:szCs w:val="18"/>
                <w:color w:val="auto"/>
              </w:rPr>
              <w:t>845</w:t>
            </w:r>
          </w:p>
        </w:tc>
        <w:tc>
          <w:tcPr>
            <w:tcW w:w="280" w:type="dxa"/>
            <w:vAlign w:val="bottom"/>
            <w:gridSpan w:val="2"/>
          </w:tcPr>
          <w:p>
            <w:pPr>
              <w:spacing w:after="0"/>
              <w:rPr>
                <w:sz w:val="17"/>
                <w:szCs w:val="17"/>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(11 )</w:t>
            </w:r>
          </w:p>
        </w:tc>
        <w:tc>
          <w:tcPr>
            <w:tcW w:w="44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1740" w:type="dxa"/>
            <w:vAlign w:val="bottom"/>
          </w:tcPr>
          <w:p>
            <w:pPr>
              <w:jc w:val="right"/>
              <w:spacing w:after="0" w:line="182" w:lineRule="exact"/>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-159385</wp:posOffset>
            </wp:positionV>
            <wp:extent cx="4254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545" cy="57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-159385</wp:posOffset>
            </wp:positionV>
            <wp:extent cx="5143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Pr>
          <w:p>
            <w:pPr>
              <w:spacing w:after="0"/>
              <w:rPr>
                <w:sz w:val="17"/>
                <w:szCs w:val="17"/>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Outstanding Principal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right"/>
              <w:ind w:right="301"/>
              <w:spacing w:after="0"/>
              <w:rPr>
                <w:sz w:val="20"/>
                <w:szCs w:val="20"/>
                <w:color w:val="auto"/>
              </w:rPr>
            </w:pPr>
            <w:r>
              <w:rPr>
                <w:rFonts w:ascii="Arial" w:cs="Arial" w:eastAsia="Arial" w:hAnsi="Arial"/>
                <w:sz w:val="18"/>
                <w:szCs w:val="18"/>
                <w:b w:val="1"/>
                <w:bCs w:val="1"/>
                <w:color w:val="auto"/>
                <w:w w:val="94"/>
              </w:rPr>
              <w:t>Unamortized Debt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Carrying Value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Issuance Costs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7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Long-Term Debt:</w:t>
            </w:r>
          </w:p>
        </w:tc>
        <w:tc>
          <w:tcPr>
            <w:tcW w:w="1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(in millions)</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2025 Senior Notes</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w:t>
            </w:r>
          </w:p>
        </w:tc>
        <w:tc>
          <w:tcPr>
            <w:tcW w:w="4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(7 )</w:t>
            </w:r>
          </w:p>
        </w:tc>
        <w:tc>
          <w:tcPr>
            <w:tcW w:w="4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ind w:left="200"/>
              <w:spacing w:after="0" w:line="202" w:lineRule="exact"/>
              <w:rPr>
                <w:sz w:val="20"/>
                <w:szCs w:val="20"/>
                <w:color w:val="auto"/>
              </w:rPr>
            </w:pPr>
            <w:r>
              <w:rPr>
                <w:rFonts w:ascii="Arial" w:cs="Arial" w:eastAsia="Arial" w:hAnsi="Arial"/>
                <w:sz w:val="18"/>
                <w:szCs w:val="18"/>
                <w:color w:val="auto"/>
              </w:rPr>
              <w:t>2026 Senior Notes</w:t>
            </w:r>
          </w:p>
        </w:tc>
        <w:tc>
          <w:tcPr>
            <w:tcW w:w="10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345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(5 )</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340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Long-Term Debt</w:t>
            </w:r>
          </w:p>
        </w:tc>
        <w:tc>
          <w:tcPr>
            <w:tcW w:w="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845</w:t>
            </w: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833</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-24765</wp:posOffset>
            </wp:positionV>
            <wp:extent cx="425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425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108"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We are party to a credit agreement with a group of lenders initially entered into in June 2015 (as amended, the “Credit Agreement”), which, among other things, provides for a $500 million unsecured revolving credit facility (the “Credit Facility”) with a maturity date of May 12, 2024. The Company may borrow from the Credit Facility in U.S. dollars and Euros. In addition, our Credit Facility includes $15 million of borrowing capacity available for letters of credit and $40 million for Swing Line borrowings on same-day notice. The Credit Facility, among other things, requires us to maintain a maximum leverage ratio and contains certain customary affirmative covenants and events of default, including a change of control.</w:t>
      </w:r>
    </w:p>
    <w:p>
      <w:pPr>
        <w:spacing w:after="0" w:line="174" w:lineRule="exact"/>
        <w:rPr>
          <w:sz w:val="20"/>
          <w:szCs w:val="20"/>
          <w:color w:val="auto"/>
        </w:rPr>
      </w:pPr>
    </w:p>
    <w:p>
      <w:pPr>
        <w:jc w:val="both"/>
        <w:ind w:right="140" w:firstLine="509"/>
        <w:spacing w:after="0" w:line="294" w:lineRule="auto"/>
        <w:rPr>
          <w:sz w:val="20"/>
          <w:szCs w:val="20"/>
          <w:color w:val="auto"/>
        </w:rPr>
      </w:pPr>
      <w:r>
        <w:rPr>
          <w:rFonts w:ascii="Arial" w:cs="Arial" w:eastAsia="Arial" w:hAnsi="Arial"/>
          <w:sz w:val="16"/>
          <w:szCs w:val="16"/>
          <w:color w:val="auto"/>
        </w:rPr>
        <w:t>As of March 31, 2022 and December 31, 2021, the Company had no outstanding borrowings under the Credit Facility and had issued $3 million of undrawn standby letters of credit under the Credit Facility. For both the three months ended March 31, 2022 and 2021, we recorded total interest expense and commitment fees on our Credit Facility of $1 million to interest expense on our unaudited condensed consolidated statements of operations.</w:t>
      </w:r>
    </w:p>
    <w:p>
      <w:pPr>
        <w:spacing w:after="0" w:line="147"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We amended the Credit Facility during 2020 to, among other things; suspend the leverage ratio covenant for quarterly testing of compliance beginning in the second quarter of 2020, replacing it with a minimum liquidity covenant through June 30, 2021 (requiring the Company to maintain $150 million of unrestricted cash, cash equivalents and short-term investments less deferred merchant payables plus available revolver capacity), until the earlier of (a) the first day after June 30, 2021 through maturity on which borrowings and other revolving credit utilizations under the revolving commitments exceed $200 million, and (b) the election of the Company, at which time the leverage ratio covenant will be reinstated (the “Leverage Covenant Holiday”).</w:t>
      </w:r>
    </w:p>
    <w:p>
      <w:pPr>
        <w:spacing w:after="0" w:line="159" w:lineRule="exact"/>
        <w:rPr>
          <w:sz w:val="20"/>
          <w:szCs w:val="20"/>
          <w:color w:val="auto"/>
        </w:rPr>
      </w:pPr>
    </w:p>
    <w:p>
      <w:pPr>
        <w:ind w:right="120" w:firstLine="509"/>
        <w:spacing w:after="0" w:line="271" w:lineRule="auto"/>
        <w:rPr>
          <w:sz w:val="20"/>
          <w:szCs w:val="20"/>
          <w:color w:val="auto"/>
        </w:rPr>
      </w:pPr>
      <w:r>
        <w:rPr>
          <w:rFonts w:ascii="Arial" w:cs="Arial" w:eastAsia="Arial" w:hAnsi="Arial"/>
          <w:sz w:val="16"/>
          <w:szCs w:val="16"/>
          <w:color w:val="auto"/>
        </w:rPr>
        <w:t>The Company remained in the Leverage Covenant Holiday as of March 31, 2022. Based on the Company’s existing leverage ratio, any outstanding or future borrowings under the Credit Facility generally bear interest, at the Company’s option, at a rate per annum equal to either (i) the Eurocurrency Borrowing rate, or the adjusted LIBO rate for the interest period in effect for such borrowing; plus an applicable margin ranging from 1.25% to 2.25% (“Eurocurrency Spread”) with a London Inter-Bank Offered Rate (“LIBOR”) floor of 1.00% per annum; or (ii) the Alternate Base Rate (“ABR”) Borrowing, which is the greatest of (a) the Prime Rate in 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(“ABR Spread”). In addition, based on the Company’s existing leverage ratio, we are required to pay a quarterly commitment fee, at an applicable rate ranging from 0.15% to 0.50%, which was 0.20% as of March 31, 2022, on the daily unused portion of the Credit Facility for each fiscal quarter during the Leverage Covenant Holiday and in connection with the issuance of letters of credit.</w:t>
      </w:r>
    </w:p>
    <w:p>
      <w:pPr>
        <w:spacing w:after="0" w:line="16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There is no specific repayment date prior to the maturity date for any borrowings under the Credit Agreement. We may voluntarily repay any outstanding borrowing under the Credit Facility at any time without premium or penalty, other than customary breakage costs with respect to Eurocurrency loans. Additionally, the Company believes that the likelihood of the lender exercising any subjective acceleration rights, which would permit the lenders to accelerate repayment of any outstanding borrowings, is remote. As such, we classify any borrowings under this facility as long-term debt. The Credit Agreement contains a number of covenants that,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6" w:name="page17"/>
    <w:bookmarkEnd w:id="16"/>
    <w:p>
      <w:pPr>
        <w:ind w:right="160"/>
        <w:spacing w:after="0" w:line="271" w:lineRule="auto"/>
        <w:rPr>
          <w:sz w:val="20"/>
          <w:szCs w:val="20"/>
          <w:color w:val="auto"/>
        </w:rPr>
      </w:pPr>
      <w:r>
        <w:rPr>
          <w:rFonts w:ascii="Arial" w:cs="Arial" w:eastAsia="Arial" w:hAnsi="Arial"/>
          <w:sz w:val="16"/>
          <w:szCs w:val="16"/>
          <w:color w:val="auto"/>
        </w:rPr>
        <w:t>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Credit Agreement also limits the Company from repurchasing shares of its common stock and paying dividends, among other restrictions, during the Leverage Covenant Holiday. In addition, to secure the obligations under the Credit Agreement, the Company and certain subsidiaries have granted security interests and liens in and on substantially all of their assets as well as pledged shares of certain of the Company’s subsidiaries. The Credit Agreement also contains certain customary affirmative covenants and events of default, including a change of control. If an event of default occurs, the lenders under the Credit Agreement will be entitled to take various actions, including the acceleration of all amounts due under the Credit Facility. As of March 31, 2022 and December 31, 2021, we were in compliance with our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Senior Notes</w:t>
      </w:r>
    </w:p>
    <w:p>
      <w:pPr>
        <w:spacing w:after="0" w:line="108" w:lineRule="exact"/>
        <w:rPr>
          <w:sz w:val="20"/>
          <w:szCs w:val="20"/>
          <w:color w:val="auto"/>
        </w:rPr>
      </w:pPr>
    </w:p>
    <w:p>
      <w:pPr>
        <w:ind w:right="120" w:firstLine="509"/>
        <w:spacing w:after="0" w:line="276" w:lineRule="auto"/>
        <w:rPr>
          <w:sz w:val="20"/>
          <w:szCs w:val="20"/>
          <w:color w:val="auto"/>
        </w:rPr>
      </w:pPr>
      <w:r>
        <w:rPr>
          <w:rFonts w:ascii="Arial" w:cs="Arial" w:eastAsia="Arial" w:hAnsi="Arial"/>
          <w:sz w:val="16"/>
          <w:szCs w:val="16"/>
          <w:color w:val="auto"/>
        </w:rPr>
        <w:t>On July 9, 2020, the Company completed the sale of $500 million aggregate principal amount of 7.0% Senior Notes due 2025 (the “2025 Senior Notes”), pursuant to a purchase agreement, dated July 7, 2020, among the Company, the guarantors party thereto and the initial purchasers party thereto in a private offering to qualified institutional buyers. The 2025 Senior Notes were issued pursuant to an indenture, dated July 9, 2020 (the “2025 Indenture”), among the Company, the guarantors and the trustee. The 2025 Indenture provides, among other things, that interest is payable on the 2025 Senior Notes semiannually on January 15 and July 15 of each year, which began on January 15, 2021, and continue until their maturity date of July 15, 2025. The 2025 Senior Notes are senior unsecured obligations of the Company and are guaranteed by certain of the Company’s domestic subsidiaries.</w:t>
      </w:r>
    </w:p>
    <w:p>
      <w:pPr>
        <w:spacing w:after="0" w:line="162" w:lineRule="exact"/>
        <w:rPr>
          <w:sz w:val="20"/>
          <w:szCs w:val="20"/>
          <w:color w:val="auto"/>
        </w:rPr>
      </w:pPr>
    </w:p>
    <w:p>
      <w:pPr>
        <w:ind w:right="40" w:firstLine="554"/>
        <w:spacing w:after="0" w:line="253" w:lineRule="auto"/>
        <w:rPr>
          <w:sz w:val="20"/>
          <w:szCs w:val="20"/>
          <w:color w:val="auto"/>
        </w:rPr>
      </w:pPr>
      <w:r>
        <w:rPr>
          <w:rFonts w:ascii="Arial" w:cs="Arial" w:eastAsia="Arial" w:hAnsi="Arial"/>
          <w:sz w:val="17"/>
          <w:szCs w:val="17"/>
          <w:color w:val="auto"/>
        </w:rPr>
        <w:t>The Company has the option to redeem all or a portion of the 2025 Senior Notes at any time on or after July 15, 2022 at the redemption prices set forth in the 2025 Indenture, plus accrued and unpaid interest, if any. The Company may also redeem all or any portion of the 2025 Senior Notes at any time prior to July 15, 2022, at a price equal to 100% of the aggregate principal amount thereof plus a make-whole premium and accrued and unpaid interest, if any. In addition, before July 15, 2022, the Company may redeem up to 40% of the aggregate principal amount of the 2025 Senior Notes with the net proceeds of certain equity offerings at the redemption price set forth in the 2025 Indenture, provided that certain conditions are met. Subject to certain limitations, in the event of a Change of Control Triggering Event (as defined in the 2025 Indenture), the Company will be required to make an offer to purchase the 2025 Senior Notes at a price equal to 101% of the aggregate principal amount of the 2025 Senior Notes repurchased, plus accrued and unpaid interest, if any, to the date of repurchase. These features have been evaluated as embedded derivatives under GAAP; however, the Company has concluded they do not meet the requirements to be accounted for separately.</w:t>
      </w:r>
    </w:p>
    <w:p>
      <w:pPr>
        <w:spacing w:after="0" w:line="18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As of March 31, 2022 and December 31, 2021, unpaid interest on our 2025 Senior Notes totaled approximately $7 million and $16 million, respectively, and is included in accrued expenses and other current liabilities on our unaudited condensed consolidated balance sheet, and $9 million and $8 million was recorded as interest expense on our unaudited condensed consolidated statements of operations for the three months ended March 31, 2022 and 2021, respectively.</w:t>
      </w:r>
    </w:p>
    <w:p>
      <w:pPr>
        <w:spacing w:after="0" w:line="18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2025 Indenture contains covenants that, among other things and subject to certain exceptions and qualifications, restrict the ability of the Company and the ability of certain of its subsidiaries to incur or guarantee additional indebtedness or issue disqualified stock or certain preferred stock; pay dividends and make other distributions or repurchase stock; make certain investments; create or incur liens; sell assets; create restrictions affecting the ability of restricted subsidiaries to make distributions, loans or advances or transfer assets to the Company or the restricted subsidiaries; enter into certain transactions with the Company’s affiliates; designate restricted subsidiaries as unrestricted subsidiaries; and merge, consolidate or transfer or sell all or substantially all of the Company’s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Senior Notes</w:t>
      </w:r>
    </w:p>
    <w:p>
      <w:pPr>
        <w:spacing w:after="0" w:line="10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On March 25, 2021, we entered into a purchase agreement for the sale of $300 million aggregate principal amount of 0.25% Convertible 2026 Senior Notes due 2026 (the “2026 Senior Notes”) in a private offering to qualified institutional buyers. The 2026 Senior Notes included of an over-allotment option that provided the initial purchasers of the 2026 Senior Notes with the option to purchase an additional $45 million aggregate principal amount of the 2026 Senior Notes; such over-allotment option was fully exercised. In connection with the issuance of the 2026 Senior Notes, the Company entered into an Indenture, dated March 25, 2021 (the “2026 Indenture”), among the Company, the guarantors party thereto and the trustee. The terms of the 2026 Senior Notes are governed by the 2026 Indenture. The 2026 Senior Notes mature on April 1, 2026, unless earlier converted, redeemed or repurchased. The 2026 Senior Notes are senior unsecured obligations of the Company, although guaranteed by certain of the Company’s domestic subsidiaries, with interest payable semiannually in arrears on April 1 and October 1 of each year, which began on October 1, 2021. As of March 31, 2022 and December 31 2021, unpaid interest on our 2026 Senior Notes was not material.</w:t>
      </w:r>
    </w:p>
    <w:p>
      <w:pPr>
        <w:spacing w:after="0" w:line="184"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The 2026 Senior Notes will be redeemable, in whole or in part, at our option at any time, and from time to time, on or after April 1, 2024 and on or before the 30th scheduled trading day immediately before the maturity date, at a cash redemption price equal to the principal amount of the 2026 Senior Notes to be redeemed, plus accrued and unpaid interest, if any, but only if the last reported sale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spacing w:after="0" w:line="241" w:lineRule="auto"/>
        <w:rPr>
          <w:sz w:val="20"/>
          <w:szCs w:val="20"/>
          <w:color w:val="auto"/>
        </w:rPr>
      </w:pPr>
      <w:r>
        <w:rPr>
          <w:rFonts w:ascii="Arial" w:cs="Arial" w:eastAsia="Arial" w:hAnsi="Arial"/>
          <w:sz w:val="18"/>
          <w:szCs w:val="18"/>
          <w:color w:val="auto"/>
        </w:rPr>
        <w:t>price per share of our common stock exceeds 130% of the conversion price on (1) each of at least 20 trading days, whether or not consecutive, during the 30 consecutive trading days ending on, and including, the trading day immediately before the date we send the related redemption notice; and (2) the trading day immediately before the date we send such notice. In addition, calling any such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89" w:lineRule="exact"/>
        <w:rPr>
          <w:sz w:val="20"/>
          <w:szCs w:val="20"/>
          <w:color w:val="auto"/>
        </w:rPr>
      </w:pPr>
    </w:p>
    <w:p>
      <w:pPr>
        <w:jc w:val="both"/>
        <w:ind w:right="60" w:firstLine="509"/>
        <w:spacing w:after="0" w:line="284" w:lineRule="auto"/>
        <w:rPr>
          <w:sz w:val="20"/>
          <w:szCs w:val="20"/>
          <w:color w:val="auto"/>
        </w:rPr>
      </w:pPr>
      <w:r>
        <w:rPr>
          <w:rFonts w:ascii="Arial" w:cs="Arial" w:eastAsia="Arial" w:hAnsi="Arial"/>
          <w:sz w:val="16"/>
          <w:szCs w:val="16"/>
          <w:color w:val="auto"/>
        </w:rPr>
        <w:t>The 2026 Senior Notes are unconditionally guaranteed, on a joint and several basis, by the guarantors on a senior, unsecured basis. The 2026 Senior Notes are our general senior unsecured obligations and rank equally in right of payment with all of our existing and future senior indebtedness, and senior in right of payment to all of our future subordinated indebtedness. The 2026 Senior Notes will be effectively subordinated to any of our existing and future secured indebtedness, including borrowings under our Credit Facility, to the extent of the value of the assets securing such indebtedness.</w:t>
      </w:r>
    </w:p>
    <w:p>
      <w:pPr>
        <w:spacing w:after="0" w:line="155" w:lineRule="exact"/>
        <w:rPr>
          <w:sz w:val="20"/>
          <w:szCs w:val="20"/>
          <w:color w:val="auto"/>
        </w:rPr>
      </w:pPr>
    </w:p>
    <w:p>
      <w:pPr>
        <w:jc w:val="both"/>
        <w:ind w:right="40" w:firstLine="374"/>
        <w:spacing w:after="0" w:line="261" w:lineRule="auto"/>
        <w:rPr>
          <w:sz w:val="20"/>
          <w:szCs w:val="20"/>
          <w:color w:val="auto"/>
        </w:rPr>
      </w:pPr>
      <w:r>
        <w:rPr>
          <w:rFonts w:ascii="Arial" w:cs="Arial" w:eastAsia="Arial" w:hAnsi="Arial"/>
          <w:sz w:val="18"/>
          <w:szCs w:val="18"/>
          <w:color w:val="auto"/>
        </w:rPr>
        <w:t>Holders may convert their 2026 Senior Notes at any time prior to the close of business on the business day immediately preceding January 1, 2026, in multiples of $1,000 principal amount, only under the following conditions and circumstances:</w:t>
      </w:r>
    </w:p>
    <w:p>
      <w:pPr>
        <w:spacing w:after="0" w:line="171" w:lineRule="exact"/>
        <w:rPr>
          <w:sz w:val="20"/>
          <w:szCs w:val="20"/>
          <w:color w:val="auto"/>
        </w:rPr>
      </w:pPr>
    </w:p>
    <w:p>
      <w:pPr>
        <w:ind w:left="1140" w:right="20" w:hanging="383"/>
        <w:spacing w:after="0" w:line="243"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June 30, 2021 (and only during such calendar quarter), if the last reported sale price of our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79" w:lineRule="exact"/>
        <w:rPr>
          <w:rFonts w:ascii="Arial" w:cs="Arial" w:eastAsia="Arial" w:hAnsi="Arial"/>
          <w:sz w:val="18"/>
          <w:szCs w:val="18"/>
          <w:color w:val="auto"/>
        </w:rPr>
      </w:pPr>
    </w:p>
    <w:p>
      <w:pPr>
        <w:jc w:val="both"/>
        <w:ind w:left="1140" w:right="80" w:hanging="383"/>
        <w:spacing w:after="0" w:line="248"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(the “measurement period”) in which the trading price per $1,000 principal amount of 2026 Senior Notes for each trading day of the measurement period was less than 98% of the product of the last reported sale price of our common stock and the conversion rate on each such trading day; or</w:t>
      </w:r>
    </w:p>
    <w:p>
      <w:pPr>
        <w:spacing w:after="0" w:line="73" w:lineRule="exact"/>
        <w:rPr>
          <w:rFonts w:ascii="Arial" w:cs="Arial" w:eastAsia="Arial" w:hAnsi="Arial"/>
          <w:sz w:val="18"/>
          <w:szCs w:val="18"/>
          <w:color w:val="auto"/>
        </w:rPr>
      </w:pPr>
    </w:p>
    <w:p>
      <w:pPr>
        <w:ind w:left="1140" w:hanging="383"/>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described in the 2026 Indenture.</w:t>
      </w:r>
    </w:p>
    <w:p>
      <w:pPr>
        <w:spacing w:after="0" w:line="212"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In addition, holders may convert their 2026 Senior Notes, in multiples of $1,000 principal amount, at their option at any time beginning on or after January 1, 2026, and prior to the close of business on the second scheduled trading day immediately preceding the stated maturity date of the 2026 Senior Notes, without regard to the foregoing circumstances.</w:t>
      </w:r>
    </w:p>
    <w:p>
      <w:pPr>
        <w:spacing w:after="0" w:line="182"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The initial conversion rate for the 2026 Senior Notes is 13.5483 shares of common stock per $1,000 principal amount of 2026 Senior Notes, which is equivalent to an initial conversion price of approximately $73.81 per share of common stock, or approximately 4.7 million shares of common stock, subject to adjustment upon the occurrence of certain specified events as set forth in the 2026 Indenture. Upon conversion, the Company may choose to pay or deliver, as the case may be, cash, shares of common stock or a combination of cash and shares of common stock.</w:t>
      </w:r>
    </w:p>
    <w:p>
      <w:pPr>
        <w:spacing w:after="0" w:line="172"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Company accounts for the 2026 Senior Notes as a liability measured at its amortized cost, and no other features of the 2026 Senior Notes are bifurcated and recognized as a derivative. The proceeds from the issuance of the 2026 Senior Notes were approximately $340 million, net of debt issuance costs of $5 million comprised primarily of the initial purchasers’ discount, and the Company used a portion of the proceeds from the 2026 Senior Notes to enter into capped call transactions, as discussed below. The Company intends to use the remainder of the proceeds from this offering for general corporate purposes, which may include repayment of debt, including the partial redemption and/or purchase of our 2025 Senior Notes prior to maturity. The debt issuance costs will be amortized over the remaining term of the 2026 Senior Notes, using the effective interest rate method, and recorded to interest expense on our unaudited condensed consolidated statements of operations. During the three months ended March 31, 2022 and 2021, our effective interest rate, including the debt issuance costs, was 0.52 % and 0.60%, respectively, and total interest expense on our 2026 Senior Notes was not material in any period</w:t>
      </w:r>
      <w:r>
        <w:rPr>
          <w:rFonts w:ascii="Arial" w:cs="Arial" w:eastAsia="Arial" w:hAnsi="Arial"/>
          <w:sz w:val="18"/>
          <w:szCs w:val="18"/>
          <w:color w:val="212529"/>
        </w:rPr>
        <w:t>.</w:t>
      </w:r>
    </w:p>
    <w:p>
      <w:pPr>
        <w:spacing w:after="0" w:line="191"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212529"/>
        </w:rPr>
        <w:t>The 2026 Senior Notes are unsecured and do not contain any financial covenants, restrictions on dividends, incurrence of senior debt or other indebtedness, or restrictions on the issuance or repurchase of securities by the Company.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C2C2C"/>
        </w:rPr>
        <w:t>Capped Call Transactions</w:t>
      </w:r>
    </w:p>
    <w:p>
      <w:pPr>
        <w:spacing w:after="0" w:line="212"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In connection with the issuance of the 2026 Senior Notes, the Company entered into privately negotiated capped call transactions (the “Capped Calls”) with certain of the initial purchasers of the 2026 Senior Notes and/or their respective affiliates and/or other financial institutions (the “Option Counterparties”) at a cost of approximately $35 million. The Capped Calls are separate transactions entered into by the Company with each of the Option Counterparties, and are not part of the terms of the 2026 Senior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8" w:name="page19"/>
    <w:bookmarkEnd w:id="18"/>
    <w:p>
      <w:pPr>
        <w:ind w:right="280"/>
        <w:spacing w:after="0" w:line="261" w:lineRule="auto"/>
        <w:rPr>
          <w:sz w:val="20"/>
          <w:szCs w:val="20"/>
          <w:color w:val="auto"/>
        </w:rPr>
      </w:pPr>
      <w:r>
        <w:rPr>
          <w:rFonts w:ascii="Arial" w:cs="Arial" w:eastAsia="Arial" w:hAnsi="Arial"/>
          <w:sz w:val="18"/>
          <w:szCs w:val="18"/>
          <w:color w:val="auto"/>
        </w:rPr>
        <w:t>Notes and therefore will not affect any noteholder’s rights under the 2026 Senior Notes. Noteholders will not have any rights with respect to the Capped Calls.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Capped Calls cover, subject to anti-dilution adjustments, substantially similar to those applicable to the conversion rate of the 2026 Senior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Notes, the number of shares of common stock initially underlying the 2026 Senior Notes, or up to approximately 4.7 million shares of our common stock.</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Capped Calls are expected generally to reduce potential dilution to the common stock upon any conversion of 2026 Senior Notes and/or offset any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potential cash payments the Company is required to make in excess of the principal amount of such converted 2026 Senior Notes, as the case may be, with</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such reduction and/or offset subject to a cap. The strike price of the Capped Calls is $73.81, while the cap price of the Capped Calls will initially be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$107.36 per share of our common stock, which represents a premium of 100% over the close price of our common stock of $53.68 per share on March 22,</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2021 and is subject to certain customary adjustments under the terms of the Capped Calls.</w:t>
      </w:r>
    </w:p>
    <w:p>
      <w:pPr>
        <w:spacing w:after="0" w:line="196"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 Capped Calls are considered indexed to our own stock and are considered equity classified under GAAP, and included as a reduction to additional paid-in-capital within stockholders’ equity on the unaudited condensed consolidated balance sheets as of March 31, 2022 and December 31, 2021, respectively. The Capped Calls are not accounted for as derivatives and their fair value is not remeasured each reporting period. In addition, we recorded a deferred tax asset of $9 million associated with the Capped Calls on our unaudited condensed consolidated balance sheet during the three months ended March 31, 2021, as we made an income tax election allowable under Internal Revenue Service (the “IRS”) regulations in order to recover the cost of the Capped Calls as interest expense for income tax purposes only over the term of the 2026 Senior Notes.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08" w:lineRule="exact"/>
        <w:rPr>
          <w:sz w:val="20"/>
          <w:szCs w:val="20"/>
          <w:color w:val="auto"/>
        </w:rPr>
      </w:pPr>
    </w:p>
    <w:p>
      <w:pPr>
        <w:jc w:val="both"/>
        <w:ind w:right="100" w:firstLine="509"/>
        <w:spacing w:after="0" w:line="243" w:lineRule="auto"/>
        <w:rPr>
          <w:sz w:val="20"/>
          <w:szCs w:val="20"/>
          <w:color w:val="auto"/>
        </w:rPr>
      </w:pPr>
      <w:r>
        <w:rPr>
          <w:rFonts w:ascii="Arial" w:cs="Arial" w:eastAsia="Arial" w:hAnsi="Arial"/>
          <w:sz w:val="18"/>
          <w:szCs w:val="18"/>
          <w:color w:val="auto"/>
        </w:rPr>
        <w:t>Each interim period is considered an integral part of the annual period;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8"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On March 27, 2020, the U.S. government enacted the Coronavirus Aid, Relief, and Economic Security Act (the "CARES Act"). The CARES Act made tax law changes to provide financial relief to companies as a result of the business impacts of COVID-19. Key income tax provisions of the CARES Act include changes in net operating losses (“NOL”) carryback and carryforward rules, increase of the net interest expense deduction limit, and immediate write-off of qualified improvement property. The CARES Act allowed the Company to carryback our U.S. federal NOLs incurred in 2020, generating an expected U.S. federal tax benefit of $76 million, of which we expected $48 million to be refunded. This refund is recorded in income taxes receivable on our unaudited condensed consolidated balance sheets as of March 31, 2022 and December 31, 2021. In April 2022, we received the entire $48 million of this refund.</w:t>
      </w:r>
    </w:p>
    <w:p>
      <w:pPr>
        <w:spacing w:after="0" w:line="191"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In addition, certain governments have passed legislation to help businesses during the COVID-19 pandemic through loans, wage subsidies, wage tax relief or other financial aid. Some of these governments have extended or are considering extending these programs. We have participated in several of these programs, including the CARES Act in the U.S., the United Kingdom's job retention scheme, as well as programs in other jurisdictions'. In addition, in certain countries, such as within the European Union, Singapore, Australia, and other jurisdictions, we are also participating in programs where government assistance is in the form of wage subsidies and reductions in wage-related employer taxes paid by us. During the three months ended March 31, 2022, government grants and other assistance benefits recognized were not material, while we recognized $3 million in benefits during the three months ended March 31, 2021. These amounts are not income tax related and were recorded as a reduction of personnel and overhead costs in the unaudited condensed consolidated statements of operations.</w:t>
      </w:r>
    </w:p>
    <w:p>
      <w:pPr>
        <w:spacing w:after="0" w:line="181"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We had an income tax provision of $1 million and an income tax benefit of $16 million for the three months ended March 31, 2022 and 2021, respectively. The change in our income taxes during the three months ended March 31, 2022, when compared to the same period in 2021, was primarily due to a decrease in pretax losses recognized as of March 31, 2022.</w:t>
      </w:r>
    </w:p>
    <w:p>
      <w:pPr>
        <w:spacing w:after="0" w:line="182"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Our policy is to recognize accrued interest and penalties related to unrecognized tax benefits and income tax liabilities as part of our income tax expense. As of March 31, 2022, we had an accrued interest liability of $40 million and no penalties have been accrued.</w:t>
      </w:r>
    </w:p>
    <w:p>
      <w:pPr>
        <w:spacing w:after="0" w:line="171"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By virtue of consolidated income tax returns previously filed with Expedia, we are currently under an IRS audit for the 2009, 2010 and short-period 2011 tax years. We are separately under examination by the IRS for the short-period 2011, 2012 through 2016, and 2018 tax years, and have various ongoing audits for foreign and state income tax returns. These audits include questioning the timing and amount of income and deductions and the allocation of income among various tax jurisdictions. These examinations may lead to proposed or ordinary course adjustments to our taxes. We are no longer subject to tax examinations by tax authorities for years prior to 2009. As of March 31, 2022, no material assessments have resulted, except as noted below regarding our 2009, 2010, and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2011 IRS audit with Expedia, our 2012 through 2016 standalone IRS audit, and our 2012 through 2016 HM Revenue &amp; Customs (“HMRC”) audit.</w:t>
      </w:r>
    </w:p>
    <w:p>
      <w:pPr>
        <w:spacing w:after="0" w:line="223"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Subsequently, in September 2019, as part of our standalone audit, we received Notices of Proposed Adjustment from the IRS for the 2012 and 2013 tax years; and in August 2020, we received Notices of Proposed Adjustment from the IRS for the 2014, 2015, and 2016 tax years. These proposed adjustments are related to certain transfer pricing arrangements with our foreign subsidiaries, and would result in an increase to our worldwide income tax expense in an estimated range of $100 million to $110 million at the close of the audit if the IRS prevails, which includes $20 million to $30 million related to the 2009 through 2011 pre Spin-Off tax years. The estimated range takes into consideration competent authority relief and transition tax regulations, and is exclusive of deferred tax consequences and interest expense,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2016 transactions, if the IRS were to seek transfer pricing adjustments of a similar nature for transactions in subsequent years, we would be subject to significant additional tax liabilities. We have requested competent authority assistance under the Mutual Agreement Procedure (“MAP”) for tax years 2009 through 2016. We expect the competent authorities to present a resolution for the 2009 through 2011 tax years in the near future. Upon receipt, we will assess the resolution provided by the competent authorities as well as its impact on our existing income tax reserves for all open subsequent years.</w:t>
      </w:r>
    </w:p>
    <w:p>
      <w:pPr>
        <w:spacing w:after="0" w:line="175"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In January 2021, we received from HMRC an issue closure notice relating to adjustments for 2012 through 2016 tax years. These proposed adjustments are related to certain transfer pricing arrangements with our foreign subsidiaries and would result in an increase to our worldwide income tax expense in an estimated range of $45 million to $55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08"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auto"/>
        </w:rPr>
        <w:t xml:space="preserve">As of March 31, 2022, there have been no material changes to our commitments and contingencies since December 31, 2021. Refer to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notes to our consolidated financial statements in Item 8 of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16" w:lineRule="exact"/>
        <w:rPr>
          <w:sz w:val="20"/>
          <w:szCs w:val="20"/>
          <w:color w:val="auto"/>
        </w:rPr>
      </w:pPr>
    </w:p>
    <w:p>
      <w:pPr>
        <w:ind w:right="140" w:firstLine="509"/>
        <w:spacing w:after="0" w:line="269" w:lineRule="auto"/>
        <w:rPr>
          <w:sz w:val="20"/>
          <w:szCs w:val="20"/>
          <w:color w:val="auto"/>
        </w:rPr>
      </w:pPr>
      <w:r>
        <w:rPr>
          <w:rFonts w:ascii="Arial" w:cs="Arial" w:eastAsia="Arial" w:hAnsi="Arial"/>
          <w:sz w:val="16"/>
          <w:szCs w:val="16"/>
          <w:color w:val="auto"/>
        </w:rPr>
        <w:t>In the ordinary course of business, we are party to legal, regulatory and administrative matters, including threats thereof, arising out of, or in connection with our operations. These matters may involve claims involving intellectual property rights (including privacy,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and Non-Income Taxes</w:t>
      </w:r>
    </w:p>
    <w:p>
      <w:pPr>
        <w:spacing w:after="0" w:line="108"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We are under audit by the IRS and various other domestic and foreign tax authorities with regards to income tax and non-income tax matters. We have reserved for potential adjustments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0" w:name="page21"/>
    <w:bookmarkEnd w:id="20"/>
    <w:p>
      <w:pPr>
        <w:ind w:right="60"/>
        <w:spacing w:after="0" w:line="261" w:lineRule="auto"/>
        <w:rPr>
          <w:sz w:val="20"/>
          <w:szCs w:val="20"/>
          <w:color w:val="auto"/>
        </w:rPr>
      </w:pPr>
      <w:r>
        <w:rPr>
          <w:rFonts w:ascii="Arial" w:cs="Arial" w:eastAsia="Arial" w:hAnsi="Arial"/>
          <w:sz w:val="18"/>
          <w:szCs w:val="18"/>
          <w:color w:val="auto"/>
        </w:rPr>
        <w:t xml:space="preserve">results of operations, or cash flows in the period for which that determination is made. Refer to “Note 7: </w:t>
      </w:r>
      <w:r>
        <w:rPr>
          <w:rFonts w:ascii="Arial" w:cs="Arial" w:eastAsia="Arial" w:hAnsi="Arial"/>
          <w:sz w:val="18"/>
          <w:szCs w:val="18"/>
          <w:i w:val="1"/>
          <w:iCs w:val="1"/>
          <w:color w:val="auto"/>
        </w:rPr>
        <w:t>Income Taxes</w:t>
      </w:r>
      <w:r>
        <w:rPr>
          <w:rFonts w:ascii="Arial" w:cs="Arial" w:eastAsia="Arial" w:hAnsi="Arial"/>
          <w:sz w:val="18"/>
          <w:szCs w:val="18"/>
          <w:color w:val="auto"/>
        </w:rPr>
        <w:t>” for further information on potential contingencies surrounding income taxes.</w:t>
      </w:r>
    </w:p>
    <w:p>
      <w:pPr>
        <w:spacing w:after="0" w:line="275" w:lineRule="exact"/>
        <w:rPr>
          <w:sz w:val="20"/>
          <w:szCs w:val="20"/>
          <w:color w:val="auto"/>
        </w:rPr>
      </w:pPr>
    </w:p>
    <w:p>
      <w:pPr>
        <w:ind w:right="5160"/>
        <w:spacing w:after="0" w:line="362" w:lineRule="auto"/>
        <w:rPr>
          <w:sz w:val="20"/>
          <w:szCs w:val="20"/>
          <w:color w:val="auto"/>
        </w:rPr>
      </w:pPr>
      <w:r>
        <w:rPr>
          <w:rFonts w:ascii="Arial" w:cs="Arial" w:eastAsia="Arial" w:hAnsi="Arial"/>
          <w:sz w:val="18"/>
          <w:szCs w:val="18"/>
          <w:b w:val="1"/>
          <w:bCs w:val="1"/>
          <w:color w:val="auto"/>
        </w:rPr>
        <w:t>NOTE 9: STOCK BASED AWARDS AND OTHER EQUITY INSTRUMENTS Stock-Based Compensation Expense</w:t>
      </w:r>
    </w:p>
    <w:p>
      <w:pPr>
        <w:spacing w:after="0" w:line="1"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primarily stock options and RSUs, on our unaudited condensed consolidated statements of operations during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5"/>
        </w:trPr>
        <w:tc>
          <w:tcPr>
            <w:tcW w:w="69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March 31,</w:t>
            </w: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6940" w:type="dxa"/>
            <w:vAlign w:val="bottom"/>
          </w:tcPr>
          <w:p>
            <w:pPr>
              <w:spacing w:after="0"/>
              <w:rPr>
                <w:sz w:val="14"/>
                <w:szCs w:val="14"/>
                <w:color w:val="auto"/>
              </w:rPr>
            </w:pP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69"/>
        </w:trPr>
        <w:tc>
          <w:tcPr>
            <w:tcW w:w="69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9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w w:val="86"/>
              </w:rPr>
              <w:t>millions)</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6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and marketing</w:t>
            </w:r>
          </w:p>
        </w:tc>
        <w:tc>
          <w:tcPr>
            <w:tcW w:w="1280" w:type="dxa"/>
            <w:vAlign w:val="bottom"/>
            <w:shd w:val="clear" w:color="auto" w:fill="CFF0FC"/>
          </w:tcPr>
          <w:p>
            <w:pPr>
              <w:jc w:val="right"/>
              <w:ind w:right="1076"/>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3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3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7"/>
                <w:szCs w:val="17"/>
                <w:color w:val="auto"/>
              </w:rPr>
            </w:pPr>
          </w:p>
        </w:tc>
      </w:tr>
      <w:tr>
        <w:trPr>
          <w:trHeight w:val="203"/>
        </w:trPr>
        <w:tc>
          <w:tcPr>
            <w:tcW w:w="6940" w:type="dxa"/>
            <w:vAlign w:val="bottom"/>
          </w:tcPr>
          <w:p>
            <w:pPr>
              <w:ind w:left="20"/>
              <w:spacing w:after="0" w:line="202" w:lineRule="exact"/>
              <w:rPr>
                <w:sz w:val="20"/>
                <w:szCs w:val="20"/>
                <w:color w:val="auto"/>
              </w:rPr>
            </w:pPr>
            <w:r>
              <w:rPr>
                <w:rFonts w:ascii="Arial" w:cs="Arial" w:eastAsia="Arial" w:hAnsi="Arial"/>
                <w:sz w:val="18"/>
                <w:szCs w:val="18"/>
                <w:color w:val="auto"/>
              </w:rPr>
              <w:t>Technology and content</w:t>
            </w:r>
          </w:p>
        </w:tc>
        <w:tc>
          <w:tcPr>
            <w:tcW w:w="1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r>
      <w:tr>
        <w:trPr>
          <w:trHeight w:val="203"/>
        </w:trPr>
        <w:tc>
          <w:tcPr>
            <w:tcW w:w="69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3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940" w:type="dxa"/>
            <w:vAlign w:val="bottom"/>
          </w:tcPr>
          <w:p>
            <w:pPr>
              <w:ind w:left="200"/>
              <w:spacing w:after="0" w:line="196" w:lineRule="exact"/>
              <w:rPr>
                <w:sz w:val="20"/>
                <w:szCs w:val="20"/>
                <w:color w:val="auto"/>
              </w:rPr>
            </w:pPr>
            <w:r>
              <w:rPr>
                <w:rFonts w:ascii="Arial" w:cs="Arial" w:eastAsia="Arial" w:hAnsi="Arial"/>
                <w:sz w:val="18"/>
                <w:szCs w:val="18"/>
                <w:color w:val="auto"/>
              </w:rPr>
              <w:t>Total stock-based compensation</w:t>
            </w:r>
          </w:p>
        </w:tc>
        <w:tc>
          <w:tcPr>
            <w:tcW w:w="12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r>
      <w:tr>
        <w:trPr>
          <w:trHeight w:val="203"/>
        </w:trPr>
        <w:tc>
          <w:tcPr>
            <w:tcW w:w="6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Income tax benefit from stock-based compensation</w:t>
            </w:r>
          </w:p>
        </w:tc>
        <w:tc>
          <w:tcPr>
            <w:tcW w:w="12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88"/>
              <w:spacing w:after="0" w:line="202" w:lineRule="exact"/>
              <w:rPr>
                <w:sz w:val="20"/>
                <w:szCs w:val="20"/>
                <w:color w:val="auto"/>
              </w:rPr>
            </w:pPr>
            <w:r>
              <w:rPr>
                <w:rFonts w:ascii="Arial" w:cs="Arial" w:eastAsia="Arial" w:hAnsi="Arial"/>
                <w:sz w:val="18"/>
                <w:szCs w:val="18"/>
                <w:color w:val="auto"/>
              </w:rPr>
              <w:t>(4 )</w:t>
            </w:r>
          </w:p>
        </w:tc>
        <w:tc>
          <w:tcPr>
            <w:tcW w:w="6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(5 )</w:t>
            </w:r>
          </w:p>
        </w:tc>
      </w:tr>
      <w:tr>
        <w:trPr>
          <w:trHeight w:val="196"/>
        </w:trPr>
        <w:tc>
          <w:tcPr>
            <w:tcW w:w="694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Total stock-based compensation, net of tax effect</w:t>
            </w:r>
          </w:p>
        </w:tc>
        <w:tc>
          <w:tcPr>
            <w:tcW w:w="1280" w:type="dxa"/>
            <w:vAlign w:val="bottom"/>
            <w:tcBorders>
              <w:top w:val="single" w:sz="8" w:color="auto"/>
              <w:bottom w:val="single" w:sz="8" w:color="auto"/>
            </w:tcBorders>
          </w:tcPr>
          <w:p>
            <w:pPr>
              <w:jc w:val="right"/>
              <w:ind w:right="1076"/>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340" w:type="dxa"/>
            <w:vAlign w:val="bottom"/>
            <w:tcBorders>
              <w:top w:val="single" w:sz="8" w:color="CFF0FC"/>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w:t>
            </w:r>
          </w:p>
        </w:tc>
        <w:tc>
          <w:tcPr>
            <w:tcW w:w="120" w:type="dxa"/>
            <w:vAlign w:val="bottom"/>
            <w:tcBorders>
              <w:top w:val="single" w:sz="8" w:color="CFF0FC"/>
            </w:tcBorders>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-424815</wp:posOffset>
            </wp:positionV>
            <wp:extent cx="8572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-424815</wp:posOffset>
            </wp:positionV>
            <wp:extent cx="7747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-159385</wp:posOffset>
            </wp:positionV>
            <wp:extent cx="8572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wp:posOffset>
            </wp:positionV>
            <wp:extent cx="7747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7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We capitalized $2 million and $3 million of stock-based compensation expense as website development costs during the three months ended March 31, 2022 and 2021,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 Activity and Valuation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Stock Option Activity</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stock option activity, consisting primarily of service-based non-qualified stock options, is presented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center"/>
              <w:ind w:right="138"/>
              <w:spacing w:after="0"/>
              <w:rPr>
                <w:sz w:val="20"/>
                <w:szCs w:val="20"/>
                <w:color w:val="auto"/>
              </w:rPr>
            </w:pPr>
            <w:r>
              <w:rPr>
                <w:rFonts w:ascii="Arial" w:cs="Arial" w:eastAsia="Arial" w:hAnsi="Arial"/>
                <w:sz w:val="14"/>
                <w:szCs w:val="14"/>
                <w:b w:val="1"/>
                <w:bCs w:val="1"/>
                <w:color w:val="auto"/>
                <w:w w:val="90"/>
              </w:rPr>
              <w:t>Exercise</w:t>
            </w:r>
          </w:p>
        </w:tc>
        <w:tc>
          <w:tcPr>
            <w:tcW w:w="2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5"/>
                <w:szCs w:val="15"/>
                <w:color w:val="auto"/>
              </w:rPr>
            </w:pPr>
          </w:p>
        </w:tc>
      </w:tr>
      <w:tr>
        <w:trPr>
          <w:trHeight w:val="176"/>
        </w:trPr>
        <w:tc>
          <w:tcPr>
            <w:tcW w:w="4980" w:type="dxa"/>
            <w:vAlign w:val="bottom"/>
          </w:tcPr>
          <w:p>
            <w:pPr>
              <w:spacing w:after="0"/>
              <w:rPr>
                <w:sz w:val="15"/>
                <w:szCs w:val="15"/>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5"/>
                <w:szCs w:val="15"/>
                <w:color w:val="auto"/>
              </w:rPr>
            </w:pPr>
          </w:p>
        </w:tc>
        <w:tc>
          <w:tcPr>
            <w:tcW w:w="1100" w:type="dxa"/>
            <w:vAlign w:val="bottom"/>
          </w:tcPr>
          <w:p>
            <w:pPr>
              <w:jc w:val="center"/>
              <w:ind w:right="138"/>
              <w:spacing w:after="0"/>
              <w:rPr>
                <w:sz w:val="20"/>
                <w:szCs w:val="20"/>
                <w:color w:val="auto"/>
              </w:rPr>
            </w:pPr>
            <w:r>
              <w:rPr>
                <w:rFonts w:ascii="Arial" w:cs="Arial" w:eastAsia="Arial" w:hAnsi="Arial"/>
                <w:sz w:val="14"/>
                <w:szCs w:val="14"/>
                <w:b w:val="1"/>
                <w:bCs w:val="1"/>
                <w:color w:val="auto"/>
                <w:w w:val="92"/>
              </w:rPr>
              <w:t>Price Per</w:t>
            </w:r>
          </w:p>
        </w:tc>
        <w:tc>
          <w:tcPr>
            <w:tcW w:w="2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40"/>
              <w:spacing w:after="0"/>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5"/>
                <w:szCs w:val="15"/>
                <w:color w:val="auto"/>
              </w:rPr>
            </w:pPr>
          </w:p>
        </w:tc>
      </w:tr>
      <w:tr>
        <w:trPr>
          <w:trHeight w:val="185"/>
        </w:trPr>
        <w:tc>
          <w:tcPr>
            <w:tcW w:w="498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6"/>
                <w:szCs w:val="16"/>
                <w:color w:val="auto"/>
              </w:rPr>
            </w:pPr>
          </w:p>
        </w:tc>
        <w:tc>
          <w:tcPr>
            <w:tcW w:w="1100" w:type="dxa"/>
            <w:vAlign w:val="bottom"/>
          </w:tcPr>
          <w:p>
            <w:pPr>
              <w:jc w:val="center"/>
              <w:ind w:right="138"/>
              <w:spacing w:after="0"/>
              <w:rPr>
                <w:sz w:val="20"/>
                <w:szCs w:val="20"/>
                <w:color w:val="auto"/>
              </w:rPr>
            </w:pPr>
            <w:r>
              <w:rPr>
                <w:rFonts w:ascii="Arial" w:cs="Arial" w:eastAsia="Arial" w:hAnsi="Arial"/>
                <w:sz w:val="14"/>
                <w:szCs w:val="14"/>
                <w:b w:val="1"/>
                <w:bCs w:val="1"/>
                <w:color w:val="auto"/>
                <w:w w:val="92"/>
              </w:rPr>
              <w:t>Share</w:t>
            </w:r>
          </w:p>
        </w:tc>
        <w:tc>
          <w:tcPr>
            <w:tcW w:w="2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r>
      <w:tr>
        <w:trPr>
          <w:trHeight w:val="169"/>
        </w:trPr>
        <w:tc>
          <w:tcPr>
            <w:tcW w:w="4980" w:type="dxa"/>
            <w:vAlign w:val="bottom"/>
          </w:tcPr>
          <w:p>
            <w:pPr>
              <w:spacing w:after="0"/>
              <w:rPr>
                <w:sz w:val="14"/>
                <w:szCs w:val="14"/>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4"/>
                <w:szCs w:val="14"/>
                <w:color w:val="auto"/>
              </w:rPr>
            </w:pPr>
          </w:p>
        </w:tc>
      </w:tr>
      <w:tr>
        <w:trPr>
          <w:trHeight w:val="203"/>
        </w:trPr>
        <w:tc>
          <w:tcPr>
            <w:tcW w:w="4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Options outstanding at December 31, 2021</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5,671</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47.03</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27.03</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Exercised (1)</w:t>
            </w:r>
          </w:p>
        </w:tc>
        <w:tc>
          <w:tcPr>
            <w:tcW w:w="16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(7 )</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24.50</w:t>
            </w: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Cancelled or expired</w:t>
            </w:r>
          </w:p>
        </w:tc>
        <w:tc>
          <w:tcPr>
            <w:tcW w:w="16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(327 )</w:t>
            </w: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54.01</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9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Options outstanding at March 31, 2022</w:t>
            </w: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5,360</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46.55</w:t>
            </w:r>
          </w:p>
        </w:tc>
        <w:tc>
          <w:tcPr>
            <w:tcW w:w="15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4.8</w:t>
            </w:r>
          </w:p>
        </w:tc>
        <w:tc>
          <w:tcPr>
            <w:tcW w:w="480" w:type="dxa"/>
            <w:vAlign w:val="bottom"/>
            <w:tcBorders>
              <w:bottom w:val="single" w:sz="8" w:color="CFF0FC"/>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4980" w:type="dxa"/>
            <w:vAlign w:val="bottom"/>
          </w:tcPr>
          <w:p>
            <w:pPr>
              <w:ind w:left="20"/>
              <w:spacing w:after="0" w:line="183" w:lineRule="exact"/>
              <w:rPr>
                <w:sz w:val="20"/>
                <w:szCs w:val="20"/>
                <w:color w:val="auto"/>
              </w:rPr>
            </w:pPr>
            <w:r>
              <w:rPr>
                <w:rFonts w:ascii="Arial" w:cs="Arial" w:eastAsia="Arial" w:hAnsi="Arial"/>
                <w:sz w:val="18"/>
                <w:szCs w:val="18"/>
                <w:color w:val="auto"/>
              </w:rPr>
              <w:t>Exercisable as of March 31, 2022</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3,976</w:t>
            </w:r>
          </w:p>
        </w:tc>
        <w:tc>
          <w:tcPr>
            <w:tcW w:w="280" w:type="dxa"/>
            <w:vAlign w:val="bottom"/>
          </w:tcPr>
          <w:p>
            <w:pPr>
              <w:spacing w:after="0"/>
              <w:rPr>
                <w:sz w:val="15"/>
                <w:szCs w:val="15"/>
                <w:color w:val="auto"/>
              </w:rPr>
            </w:pPr>
          </w:p>
        </w:tc>
        <w:tc>
          <w:tcPr>
            <w:tcW w:w="240" w:type="dxa"/>
            <w:vAlign w:val="bottom"/>
          </w:tcPr>
          <w:p>
            <w:pPr>
              <w:jc w:val="right"/>
              <w:ind w:right="30"/>
              <w:spacing w:after="0" w:line="18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83" w:lineRule="exact"/>
              <w:rPr>
                <w:sz w:val="20"/>
                <w:szCs w:val="20"/>
                <w:color w:val="auto"/>
              </w:rPr>
            </w:pPr>
            <w:r>
              <w:rPr>
                <w:rFonts w:ascii="Arial" w:cs="Arial" w:eastAsia="Arial" w:hAnsi="Arial"/>
                <w:sz w:val="18"/>
                <w:szCs w:val="18"/>
                <w:color w:val="auto"/>
              </w:rPr>
              <w:t>49.82</w:t>
            </w:r>
          </w:p>
        </w:tc>
        <w:tc>
          <w:tcPr>
            <w:tcW w:w="158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3.7</w:t>
            </w:r>
          </w:p>
        </w:tc>
        <w:tc>
          <w:tcPr>
            <w:tcW w:w="480" w:type="dxa"/>
            <w:vAlign w:val="bottom"/>
            <w:gridSpan w:val="2"/>
          </w:tcPr>
          <w:p>
            <w:pPr>
              <w:jc w:val="right"/>
              <w:ind w:right="100"/>
              <w:spacing w:after="0" w:line="183"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83"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r>
      <w:tr>
        <w:trPr>
          <w:trHeight w:val="20"/>
        </w:trPr>
        <w:tc>
          <w:tcPr>
            <w:tcW w:w="49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9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Vested and expected to vest after March 31, 2022 (2)</w:t>
            </w:r>
          </w:p>
        </w:tc>
        <w:tc>
          <w:tcPr>
            <w:tcW w:w="13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5,360</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46.55</w:t>
            </w:r>
          </w:p>
        </w:tc>
        <w:tc>
          <w:tcPr>
            <w:tcW w:w="1580" w:type="dxa"/>
            <w:vAlign w:val="bottom"/>
            <w:tcBorders>
              <w:bottom w:val="single" w:sz="8" w:color="CFF0FC"/>
            </w:tcBorders>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4.8</w:t>
            </w:r>
          </w:p>
        </w:tc>
        <w:tc>
          <w:tcPr>
            <w:tcW w:w="480" w:type="dxa"/>
            <w:vAlign w:val="bottom"/>
            <w:tcBorders>
              <w:bottom w:val="single" w:sz="8" w:color="CFF0FC"/>
            </w:tcBorders>
            <w:gridSpan w:val="2"/>
            <w:shd w:val="clear" w:color="auto" w:fill="CFF0FC"/>
          </w:tcPr>
          <w:p>
            <w:pPr>
              <w:jc w:val="right"/>
              <w:ind w:right="100"/>
              <w:spacing w:after="0" w:line="183"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-334010</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-316865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-7620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9" w:lineRule="exact"/>
        <w:rPr>
          <w:sz w:val="20"/>
          <w:szCs w:val="20"/>
          <w:color w:val="auto"/>
        </w:rPr>
      </w:pPr>
    </w:p>
    <w:p>
      <w:pPr>
        <w:ind w:left="1440" w:right="60" w:hanging="384"/>
        <w:spacing w:after="0" w:line="264" w:lineRule="auto"/>
        <w:tabs>
          <w:tab w:leader="none" w:pos="14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Inclusive of approximately 4,000 stock options which were not converted into shares due to net share settlement in order to cover the aggregate exercise price and the required amount of employee withholding taxes. Potential shares which had been convertible under stock options that were withheld under net share settlement remain in the authorized but unissued pool under the 2018 Stock and Annual Incentive Plan (the “2018 Plan”) and can be reissued by the Company. Total payments for the employees’ tax obligations to the taxing authorities due to net share settlements are reflected as a financing activity within the consolidated statements of cash flows.</w:t>
      </w:r>
    </w:p>
    <w:p>
      <w:pPr>
        <w:spacing w:after="0" w:line="2" w:lineRule="exact"/>
        <w:rPr>
          <w:rFonts w:ascii="Arial" w:cs="Arial" w:eastAsia="Arial" w:hAnsi="Arial"/>
          <w:sz w:val="13"/>
          <w:szCs w:val="13"/>
          <w:color w:val="auto"/>
        </w:rPr>
      </w:pPr>
    </w:p>
    <w:p>
      <w:pPr>
        <w:ind w:left="1440" w:right="40" w:hanging="384"/>
        <w:spacing w:after="0" w:line="255" w:lineRule="auto"/>
        <w:tabs>
          <w:tab w:leader="none" w:pos="14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90"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Aggregate intrinsic value represents the difference between the closing stock price of our common stock and the exercise price of outstanding, in-the-money options. Our closing stock price as reported on Nasdaq as of March 31, 2022 was $27.12. The total intrinsic value of stock options exercised for the three months ended March 31, 2022 was not material, and for the three months ended March 31, 2021 was $8 million.</w:t>
      </w: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ind w:right="560" w:firstLine="509"/>
        <w:spacing w:after="0" w:line="247" w:lineRule="auto"/>
        <w:rPr>
          <w:sz w:val="20"/>
          <w:szCs w:val="20"/>
          <w:color w:val="auto"/>
        </w:rPr>
      </w:pPr>
      <w:r>
        <w:rPr>
          <w:rFonts w:ascii="Arial" w:cs="Arial" w:eastAsia="Arial" w:hAnsi="Arial"/>
          <w:sz w:val="18"/>
          <w:szCs w:val="18"/>
          <w:color w:val="auto"/>
        </w:rPr>
        <w:t>The fair value of stock option grants has been estimated at the date of grant using the Black–Scholes option pricing model with the following weighted average assumptions for the periods presented:</w:t>
      </w:r>
    </w:p>
    <w:tbl>
      <w:tblPr>
        <w:tblLayout w:type="fixed"/>
        <w:tblInd w:w="0" w:type="dxa"/>
        <w:tblCellMar>
          <w:top w:w="0" w:type="dxa"/>
          <w:left w:w="0" w:type="dxa"/>
          <w:bottom w:w="0" w:type="dxa"/>
          <w:right w:w="0" w:type="dxa"/>
        </w:tblCellMar>
      </w:tblPr>
      <w:tr>
        <w:trPr>
          <w:trHeight w:val="160"/>
        </w:trPr>
        <w:tc>
          <w:tcPr>
            <w:tcW w:w="67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60" w:type="dxa"/>
            <w:vAlign w:val="bottom"/>
            <w:gridSpan w:val="3"/>
          </w:tcPr>
          <w:p>
            <w:pPr>
              <w:jc w:val="center"/>
              <w:spacing w:after="0" w:line="159" w:lineRule="exact"/>
              <w:rPr>
                <w:sz w:val="20"/>
                <w:szCs w:val="20"/>
                <w:color w:val="auto"/>
              </w:rPr>
            </w:pPr>
            <w:r>
              <w:rPr>
                <w:rFonts w:ascii="Arial" w:cs="Arial" w:eastAsia="Arial" w:hAnsi="Arial"/>
                <w:sz w:val="14"/>
                <w:szCs w:val="14"/>
                <w:b w:val="1"/>
                <w:bCs w:val="1"/>
                <w:color w:val="auto"/>
                <w:w w:val="91"/>
              </w:rPr>
              <w:t>Three months ended</w:t>
            </w: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85"/>
        </w:trPr>
        <w:tc>
          <w:tcPr>
            <w:tcW w:w="67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12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69"/>
        </w:trPr>
        <w:tc>
          <w:tcPr>
            <w:tcW w:w="6780" w:type="dxa"/>
            <w:vAlign w:val="bottom"/>
          </w:tcPr>
          <w:p>
            <w:pPr>
              <w:spacing w:after="0"/>
              <w:rPr>
                <w:sz w:val="14"/>
                <w:szCs w:val="14"/>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r>
      <w:tr>
        <w:trPr>
          <w:trHeight w:val="196"/>
        </w:trPr>
        <w:tc>
          <w:tcPr>
            <w:tcW w:w="6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Risk free interest rate</w:t>
            </w:r>
          </w:p>
        </w:tc>
        <w:tc>
          <w:tcPr>
            <w:tcW w:w="12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1.53</w:t>
            </w:r>
          </w:p>
        </w:tc>
        <w:tc>
          <w:tcPr>
            <w:tcW w:w="44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87"/>
              </w:rPr>
              <w:t>%</w:t>
            </w:r>
          </w:p>
        </w:tc>
        <w:tc>
          <w:tcPr>
            <w:tcW w:w="6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0.65</w:t>
            </w:r>
          </w:p>
        </w:tc>
        <w:tc>
          <w:tcPr>
            <w:tcW w:w="3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Expected term (in years)</w:t>
            </w:r>
          </w:p>
        </w:tc>
        <w:tc>
          <w:tcPr>
            <w:tcW w:w="1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5.15</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5.33</w:t>
            </w:r>
          </w:p>
        </w:tc>
        <w:tc>
          <w:tcPr>
            <w:tcW w:w="320" w:type="dxa"/>
            <w:vAlign w:val="bottom"/>
          </w:tcPr>
          <w:p>
            <w:pPr>
              <w:spacing w:after="0"/>
              <w:rPr>
                <w:sz w:val="17"/>
                <w:szCs w:val="17"/>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50.32 %</w:t>
            </w:r>
          </w:p>
        </w:tc>
        <w:tc>
          <w:tcPr>
            <w:tcW w:w="6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49.69 %</w:t>
            </w: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color w:val="auto"/>
              </w:rPr>
              <w:t>Expected dividend yield</w:t>
            </w:r>
          </w:p>
        </w:tc>
        <w:tc>
          <w:tcPr>
            <w:tcW w:w="1240" w:type="dxa"/>
            <w:vAlign w:val="bottom"/>
          </w:tcPr>
          <w:p>
            <w:pPr>
              <w:spacing w:after="0"/>
              <w:rPr>
                <w:sz w:val="17"/>
                <w:szCs w:val="17"/>
                <w:color w:val="auto"/>
              </w:rPr>
            </w:pPr>
          </w:p>
        </w:tc>
        <w:tc>
          <w:tcPr>
            <w:tcW w:w="1060" w:type="dxa"/>
            <w:vAlign w:val="bottom"/>
            <w:gridSpan w:val="2"/>
          </w:tcPr>
          <w:p>
            <w:pPr>
              <w:jc w:val="right"/>
              <w:ind w:right="370"/>
              <w:spacing w:after="0" w:line="202" w:lineRule="exact"/>
              <w:rPr>
                <w:sz w:val="20"/>
                <w:szCs w:val="20"/>
                <w:color w:val="auto"/>
              </w:rPr>
            </w:pPr>
            <w:r>
              <w:rPr>
                <w:rFonts w:ascii="Arial" w:cs="Arial" w:eastAsia="Arial" w:hAnsi="Arial"/>
                <w:sz w:val="18"/>
                <w:szCs w:val="18"/>
                <w:color w:val="auto"/>
              </w:rPr>
              <w:t>— %</w:t>
            </w:r>
          </w:p>
        </w:tc>
        <w:tc>
          <w:tcPr>
            <w:tcW w:w="600" w:type="dxa"/>
            <w:vAlign w:val="bottom"/>
          </w:tcPr>
          <w:p>
            <w:pPr>
              <w:spacing w:after="0"/>
              <w:rPr>
                <w:sz w:val="17"/>
                <w:szCs w:val="17"/>
                <w:color w:val="auto"/>
              </w:rPr>
            </w:pPr>
          </w:p>
        </w:tc>
        <w:tc>
          <w:tcPr>
            <w:tcW w:w="156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 %</w:t>
            </w: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grant date fair value</w:t>
            </w:r>
          </w:p>
        </w:tc>
        <w:tc>
          <w:tcPr>
            <w:tcW w:w="1240" w:type="dxa"/>
            <w:vAlign w:val="bottom"/>
            <w:shd w:val="clear" w:color="auto" w:fill="CFF0FC"/>
          </w:tcPr>
          <w:p>
            <w:pPr>
              <w:jc w:val="right"/>
              <w:ind w:right="1059"/>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12.26</w:t>
            </w:r>
          </w:p>
        </w:tc>
        <w:tc>
          <w:tcPr>
            <w:tcW w:w="44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41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20.35</w:t>
            </w:r>
          </w:p>
        </w:tc>
        <w:tc>
          <w:tcPr>
            <w:tcW w:w="320" w:type="dxa"/>
            <w:vAlign w:val="bottom"/>
            <w:shd w:val="clear" w:color="auto" w:fill="CFF0FC"/>
          </w:tcPr>
          <w:p>
            <w:pPr>
              <w:spacing w:after="0"/>
              <w:rPr>
                <w:sz w:val="17"/>
                <w:szCs w:val="17"/>
                <w:color w:val="auto"/>
              </w:rPr>
            </w:pPr>
          </w:p>
        </w:tc>
      </w:tr>
    </w:tbl>
    <w:p>
      <w:pPr>
        <w:spacing w:after="0" w:line="229"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 The total fair value of stock options vested was $6 million and $8 million for the three months ended March 31, 2022 and 2021,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RSU Activity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our activity with respect to restricted stock units (“RSUs”), consisting primarily of service-based vesting terms, is presented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8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9"/>
              </w:rPr>
              <w:t>Grant-</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84"/>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5"/>
                <w:szCs w:val="15"/>
                <w:color w:val="auto"/>
              </w:rPr>
            </w:pPr>
          </w:p>
        </w:tc>
      </w:tr>
      <w:tr>
        <w:trPr>
          <w:trHeight w:val="175"/>
        </w:trPr>
        <w:tc>
          <w:tcPr>
            <w:tcW w:w="5820" w:type="dxa"/>
            <w:vAlign w:val="bottom"/>
          </w:tcPr>
          <w:p>
            <w:pPr>
              <w:spacing w:after="0"/>
              <w:rPr>
                <w:sz w:val="15"/>
                <w:szCs w:val="15"/>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RSUs</w:t>
            </w:r>
          </w:p>
        </w:tc>
        <w:tc>
          <w:tcPr>
            <w:tcW w:w="200" w:type="dxa"/>
            <w:vAlign w:val="bottom"/>
          </w:tcPr>
          <w:p>
            <w:pPr>
              <w:spacing w:after="0"/>
              <w:rPr>
                <w:sz w:val="15"/>
                <w:szCs w:val="15"/>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6"/>
              </w:rPr>
              <w:t>Date Fair</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84"/>
              <w:spacing w:after="0"/>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5"/>
                <w:szCs w:val="15"/>
                <w:color w:val="auto"/>
              </w:rPr>
            </w:pPr>
          </w:p>
        </w:tc>
      </w:tr>
      <w:tr>
        <w:trPr>
          <w:trHeight w:val="185"/>
        </w:trPr>
        <w:tc>
          <w:tcPr>
            <w:tcW w:w="5820" w:type="dxa"/>
            <w:vAlign w:val="bottom"/>
          </w:tcPr>
          <w:p>
            <w:pPr>
              <w:spacing w:after="0"/>
              <w:rPr>
                <w:sz w:val="16"/>
                <w:szCs w:val="16"/>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6"/>
                <w:szCs w:val="16"/>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Value Per Share</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ind w:right="184"/>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r>
      <w:tr>
        <w:trPr>
          <w:trHeight w:val="155"/>
        </w:trPr>
        <w:tc>
          <w:tcPr>
            <w:tcW w:w="5820" w:type="dxa"/>
            <w:vAlign w:val="bottom"/>
          </w:tcPr>
          <w:p>
            <w:pPr>
              <w:spacing w:after="0"/>
              <w:rPr>
                <w:sz w:val="13"/>
                <w:szCs w:val="13"/>
                <w:color w:val="auto"/>
              </w:rPr>
            </w:pPr>
          </w:p>
        </w:tc>
        <w:tc>
          <w:tcPr>
            <w:tcW w:w="15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18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3"/>
                <w:szCs w:val="13"/>
                <w:color w:val="auto"/>
              </w:rPr>
            </w:pPr>
          </w:p>
        </w:tc>
      </w:tr>
      <w:tr>
        <w:trPr>
          <w:trHeight w:val="217"/>
        </w:trPr>
        <w:tc>
          <w:tcPr>
            <w:tcW w:w="5820" w:type="dxa"/>
            <w:vAlign w:val="bottom"/>
          </w:tcPr>
          <w:p>
            <w:pPr>
              <w:ind w:left="20"/>
              <w:spacing w:after="0"/>
              <w:rPr>
                <w:sz w:val="20"/>
                <w:szCs w:val="20"/>
                <w:color w:val="auto"/>
              </w:rPr>
            </w:pPr>
            <w:r>
              <w:rPr>
                <w:rFonts w:ascii="Arial" w:cs="Arial" w:eastAsia="Arial" w:hAnsi="Arial"/>
                <w:sz w:val="18"/>
                <w:szCs w:val="18"/>
                <w:color w:val="auto"/>
              </w:rPr>
              <w:t>Unvested RSUs outstanding as of December 31, 2021</w:t>
            </w:r>
          </w:p>
        </w:tc>
        <w:tc>
          <w:tcPr>
            <w:tcW w:w="1560" w:type="dxa"/>
            <w:vAlign w:val="bottom"/>
          </w:tcPr>
          <w:p>
            <w:pPr>
              <w:jc w:val="right"/>
              <w:spacing w:after="0"/>
              <w:rPr>
                <w:sz w:val="20"/>
                <w:szCs w:val="20"/>
                <w:color w:val="auto"/>
              </w:rPr>
            </w:pPr>
            <w:r>
              <w:rPr>
                <w:rFonts w:ascii="Arial" w:cs="Arial" w:eastAsia="Arial" w:hAnsi="Arial"/>
                <w:sz w:val="18"/>
                <w:szCs w:val="18"/>
                <w:color w:val="auto"/>
              </w:rPr>
              <w:t>5,786</w:t>
            </w:r>
          </w:p>
        </w:tc>
        <w:tc>
          <w:tcPr>
            <w:tcW w:w="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36.82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Granted</w:t>
            </w: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4,829</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27.24</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Vested and released (1)</w:t>
            </w:r>
          </w:p>
        </w:tc>
        <w:tc>
          <w:tcPr>
            <w:tcW w:w="18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(1,272 )</w:t>
            </w:r>
          </w:p>
        </w:tc>
        <w:tc>
          <w:tcPr>
            <w:tcW w:w="2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41.56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Cancelled</w:t>
            </w:r>
          </w:p>
        </w:tc>
        <w:tc>
          <w:tcPr>
            <w:tcW w:w="18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(401 )</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36.61</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6"/>
        </w:trPr>
        <w:tc>
          <w:tcPr>
            <w:tcW w:w="582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Unvested RSUs outstanding as of March 31, 2022 (2)</w:t>
            </w:r>
          </w:p>
        </w:tc>
        <w:tc>
          <w:tcPr>
            <w:tcW w:w="1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8,942</w:t>
            </w:r>
          </w:p>
        </w:tc>
        <w:tc>
          <w:tcPr>
            <w:tcW w:w="3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rPr>
              <w:t>30.98</w:t>
            </w:r>
          </w:p>
        </w:tc>
        <w:tc>
          <w:tcPr>
            <w:tcW w:w="560" w:type="dxa"/>
            <w:vAlign w:val="bottom"/>
            <w:tcBorders>
              <w:top w:val="single" w:sz="8" w:color="CFF0FC"/>
            </w:tcBorders>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rPr>
              <w:t>243</w:t>
            </w:r>
          </w:p>
        </w:tc>
        <w:tc>
          <w:tcPr>
            <w:tcW w:w="100" w:type="dxa"/>
            <w:vAlign w:val="bottom"/>
            <w:tcBorders>
              <w:top w:val="single" w:sz="8" w:color="CFF0FC"/>
            </w:tcBorders>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-159385</wp:posOffset>
            </wp:positionV>
            <wp:extent cx="685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69" w:lineRule="exact"/>
        <w:rPr>
          <w:sz w:val="20"/>
          <w:szCs w:val="20"/>
          <w:color w:val="auto"/>
        </w:rPr>
      </w:pPr>
    </w:p>
    <w:p>
      <w:pPr>
        <w:ind w:left="1440" w:right="240" w:hanging="384"/>
        <w:spacing w:after="0" w:line="245" w:lineRule="auto"/>
        <w:tabs>
          <w:tab w:leader="none" w:pos="14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Inclusive of approximately 295,000 RSUs withheld due to net share settlement to satisfy required employee tax withholding requirements. Potential shares which had been convertible under RSUs that were withheld under net share settlement remain in the authorized but unissued pool under the 2018 Plan and can be reissued by the Company. Total payments for the employees’ tax obligations to the taxing authorities due to net share settlements are reflected as a financing activity within the consolidated statements of cash flows.</w:t>
      </w:r>
    </w:p>
    <w:p>
      <w:pPr>
        <w:spacing w:after="0" w:line="2" w:lineRule="exact"/>
        <w:rPr>
          <w:rFonts w:ascii="Arial" w:cs="Arial" w:eastAsia="Arial" w:hAnsi="Arial"/>
          <w:sz w:val="14"/>
          <w:szCs w:val="14"/>
          <w:color w:val="auto"/>
        </w:rPr>
      </w:pPr>
    </w:p>
    <w:p>
      <w:pPr>
        <w:ind w:left="1440" w:right="40" w:hanging="384"/>
        <w:spacing w:after="0" w:line="255" w:lineRule="auto"/>
        <w:tabs>
          <w:tab w:leader="none" w:pos="14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90"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We amortize the grant-date fair value of RSUs as stock-based compensation expense over the vesting term, which is typically over a four-year requisite service period on a straight-line basis, with the amount of compensation expense recognized at any date at least equaling the portion of the grant-date fair value of the award that is vested at that date.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activity related to market-based RSUs (“MSUs”), is presented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center"/>
              <w:ind w:left="383"/>
              <w:spacing w:after="0"/>
              <w:rPr>
                <w:sz w:val="20"/>
                <w:szCs w:val="20"/>
                <w:color w:val="auto"/>
              </w:rPr>
            </w:pPr>
            <w:r>
              <w:rPr>
                <w:rFonts w:ascii="Arial" w:cs="Arial" w:eastAsia="Arial" w:hAnsi="Arial"/>
                <w:sz w:val="14"/>
                <w:szCs w:val="14"/>
                <w:b w:val="1"/>
                <w:bCs w:val="1"/>
                <w:color w:val="auto"/>
                <w:w w:val="91"/>
              </w:rPr>
              <w:t>Weighted</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5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center"/>
              <w:ind w:left="383"/>
              <w:spacing w:after="0"/>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5"/>
        </w:trPr>
        <w:tc>
          <w:tcPr>
            <w:tcW w:w="5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center"/>
              <w:ind w:left="383"/>
              <w:spacing w:after="0"/>
              <w:rPr>
                <w:sz w:val="20"/>
                <w:szCs w:val="20"/>
                <w:color w:val="auto"/>
              </w:rPr>
            </w:pPr>
            <w:r>
              <w:rPr>
                <w:rFonts w:ascii="Arial" w:cs="Arial" w:eastAsia="Arial" w:hAnsi="Arial"/>
                <w:sz w:val="14"/>
                <w:szCs w:val="14"/>
                <w:b w:val="1"/>
                <w:bCs w:val="1"/>
                <w:color w:val="auto"/>
                <w:w w:val="99"/>
              </w:rPr>
              <w:t>Grant-</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ind w:right="184"/>
              <w:spacing w:after="0"/>
              <w:rPr>
                <w:sz w:val="20"/>
                <w:szCs w:val="20"/>
                <w:color w:val="auto"/>
              </w:rPr>
            </w:pPr>
            <w:r>
              <w:rPr>
                <w:rFonts w:ascii="Arial" w:cs="Arial" w:eastAsia="Arial" w:hAnsi="Arial"/>
                <w:sz w:val="14"/>
                <w:szCs w:val="14"/>
                <w:b w:val="1"/>
                <w:bCs w:val="1"/>
                <w:color w:val="auto"/>
                <w:w w:val="92"/>
              </w:rPr>
              <w:t>Aggregate</w:t>
            </w:r>
          </w:p>
        </w:tc>
        <w:tc>
          <w:tcPr>
            <w:tcW w:w="60" w:type="dxa"/>
            <w:vAlign w:val="bottom"/>
          </w:tcPr>
          <w:p>
            <w:pPr>
              <w:spacing w:after="0"/>
              <w:rPr>
                <w:sz w:val="15"/>
                <w:szCs w:val="15"/>
                <w:color w:val="auto"/>
              </w:rPr>
            </w:pPr>
          </w:p>
        </w:tc>
      </w:tr>
      <w:tr>
        <w:trPr>
          <w:trHeight w:val="176"/>
        </w:trPr>
        <w:tc>
          <w:tcPr>
            <w:tcW w:w="5780" w:type="dxa"/>
            <w:vAlign w:val="bottom"/>
          </w:tcPr>
          <w:p>
            <w:pPr>
              <w:spacing w:after="0"/>
              <w:rPr>
                <w:sz w:val="15"/>
                <w:szCs w:val="15"/>
                <w:color w:val="auto"/>
              </w:rPr>
            </w:pPr>
          </w:p>
        </w:tc>
        <w:tc>
          <w:tcPr>
            <w:tcW w:w="1280" w:type="dxa"/>
            <w:vAlign w:val="bottom"/>
          </w:tcPr>
          <w:p>
            <w:pPr>
              <w:jc w:val="center"/>
              <w:ind w:left="268"/>
              <w:spacing w:after="0"/>
              <w:rPr>
                <w:sz w:val="20"/>
                <w:szCs w:val="20"/>
                <w:color w:val="auto"/>
              </w:rPr>
            </w:pPr>
            <w:r>
              <w:rPr>
                <w:rFonts w:ascii="Arial" w:cs="Arial" w:eastAsia="Arial" w:hAnsi="Arial"/>
                <w:sz w:val="14"/>
                <w:szCs w:val="14"/>
                <w:b w:val="1"/>
                <w:bCs w:val="1"/>
                <w:color w:val="auto"/>
                <w:w w:val="97"/>
              </w:rPr>
              <w:t>MSUs</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center"/>
              <w:ind w:left="383"/>
              <w:spacing w:after="0"/>
              <w:rPr>
                <w:sz w:val="20"/>
                <w:szCs w:val="20"/>
                <w:color w:val="auto"/>
              </w:rPr>
            </w:pPr>
            <w:r>
              <w:rPr>
                <w:rFonts w:ascii="Arial" w:cs="Arial" w:eastAsia="Arial" w:hAnsi="Arial"/>
                <w:sz w:val="14"/>
                <w:szCs w:val="14"/>
                <w:b w:val="1"/>
                <w:bCs w:val="1"/>
                <w:color w:val="auto"/>
                <w:w w:val="96"/>
              </w:rPr>
              <w:t>Date Fair</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ind w:right="184"/>
              <w:spacing w:after="0"/>
              <w:rPr>
                <w:sz w:val="20"/>
                <w:szCs w:val="20"/>
                <w:color w:val="auto"/>
              </w:rPr>
            </w:pPr>
            <w:r>
              <w:rPr>
                <w:rFonts w:ascii="Arial" w:cs="Arial" w:eastAsia="Arial" w:hAnsi="Arial"/>
                <w:sz w:val="14"/>
                <w:szCs w:val="14"/>
                <w:b w:val="1"/>
                <w:bCs w:val="1"/>
                <w:color w:val="auto"/>
                <w:w w:val="95"/>
              </w:rPr>
              <w:t>Intrinsic</w:t>
            </w:r>
          </w:p>
        </w:tc>
        <w:tc>
          <w:tcPr>
            <w:tcW w:w="60" w:type="dxa"/>
            <w:vAlign w:val="bottom"/>
          </w:tcPr>
          <w:p>
            <w:pPr>
              <w:spacing w:after="0"/>
              <w:rPr>
                <w:sz w:val="15"/>
                <w:szCs w:val="15"/>
                <w:color w:val="auto"/>
              </w:rPr>
            </w:pPr>
          </w:p>
        </w:tc>
      </w:tr>
      <w:tr>
        <w:trPr>
          <w:trHeight w:val="185"/>
        </w:trPr>
        <w:tc>
          <w:tcPr>
            <w:tcW w:w="5780" w:type="dxa"/>
            <w:vAlign w:val="bottom"/>
          </w:tcPr>
          <w:p>
            <w:pPr>
              <w:spacing w:after="0"/>
              <w:rPr>
                <w:sz w:val="16"/>
                <w:szCs w:val="16"/>
                <w:color w:val="auto"/>
              </w:rPr>
            </w:pPr>
          </w:p>
        </w:tc>
        <w:tc>
          <w:tcPr>
            <w:tcW w:w="12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4"/>
              </w:rPr>
              <w:t>Outstanding</w:t>
            </w:r>
          </w:p>
        </w:tc>
        <w:tc>
          <w:tcPr>
            <w:tcW w:w="3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Value Per Share</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6"/>
              </w:rPr>
              <w:t>Value</w:t>
            </w:r>
          </w:p>
        </w:tc>
        <w:tc>
          <w:tcPr>
            <w:tcW w:w="60" w:type="dxa"/>
            <w:vAlign w:val="bottom"/>
          </w:tcPr>
          <w:p>
            <w:pPr>
              <w:spacing w:after="0"/>
              <w:rPr>
                <w:sz w:val="16"/>
                <w:szCs w:val="16"/>
                <w:color w:val="auto"/>
              </w:rPr>
            </w:pPr>
          </w:p>
        </w:tc>
      </w:tr>
      <w:tr>
        <w:trPr>
          <w:trHeight w:val="155"/>
        </w:trPr>
        <w:tc>
          <w:tcPr>
            <w:tcW w:w="5780" w:type="dxa"/>
            <w:vAlign w:val="bottom"/>
          </w:tcPr>
          <w:p>
            <w:pPr>
              <w:spacing w:after="0"/>
              <w:rPr>
                <w:sz w:val="13"/>
                <w:szCs w:val="13"/>
                <w:color w:val="auto"/>
              </w:rPr>
            </w:pPr>
          </w:p>
        </w:tc>
        <w:tc>
          <w:tcPr>
            <w:tcW w:w="1280" w:type="dxa"/>
            <w:vAlign w:val="bottom"/>
          </w:tcPr>
          <w:p>
            <w:pPr>
              <w:jc w:val="center"/>
              <w:ind w:left="268"/>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center"/>
              <w:ind w:right="16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3"/>
                <w:szCs w:val="13"/>
                <w:color w:val="auto"/>
              </w:rPr>
            </w:pPr>
          </w:p>
        </w:tc>
      </w:tr>
      <w:tr>
        <w:trPr>
          <w:trHeight w:val="217"/>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Unvested MSUs outstanding as of December 31, 2021</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120</w:t>
            </w:r>
          </w:p>
        </w:tc>
        <w:tc>
          <w:tcPr>
            <w:tcW w:w="300" w:type="dxa"/>
            <w:vAlign w:val="bottom"/>
          </w:tcPr>
          <w:p>
            <w:pPr>
              <w:spacing w:after="0"/>
              <w:rPr>
                <w:sz w:val="18"/>
                <w:szCs w:val="18"/>
                <w:color w:val="auto"/>
              </w:rPr>
            </w:pPr>
          </w:p>
        </w:tc>
        <w:tc>
          <w:tcPr>
            <w:tcW w:w="1160" w:type="dxa"/>
            <w:vAlign w:val="bottom"/>
          </w:tcPr>
          <w:p>
            <w:pPr>
              <w:jc w:val="right"/>
              <w:ind w:right="983"/>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28.15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5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Cancelled</w:t>
            </w:r>
          </w:p>
        </w:tc>
        <w:tc>
          <w:tcPr>
            <w:tcW w:w="128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(35 )</w:t>
            </w:r>
          </w:p>
        </w:tc>
        <w:tc>
          <w:tcPr>
            <w:tcW w:w="116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28.15</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196"/>
        </w:trPr>
        <w:tc>
          <w:tcPr>
            <w:tcW w:w="57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Unvested MSUs outstanding as of March 31, 2022 (1)</w:t>
            </w:r>
          </w:p>
        </w:tc>
        <w:tc>
          <w:tcPr>
            <w:tcW w:w="12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w:t>
            </w:r>
          </w:p>
        </w:tc>
        <w:tc>
          <w:tcPr>
            <w:tcW w:w="300" w:type="dxa"/>
            <w:vAlign w:val="bottom"/>
            <w:tcBorders>
              <w:top w:val="single" w:sz="8" w:color="CFF0FC"/>
            </w:tcBorders>
          </w:tcPr>
          <w:p>
            <w:pPr>
              <w:spacing w:after="0"/>
              <w:rPr>
                <w:sz w:val="17"/>
                <w:szCs w:val="17"/>
                <w:color w:val="auto"/>
              </w:rPr>
            </w:pPr>
          </w:p>
        </w:tc>
        <w:tc>
          <w:tcPr>
            <w:tcW w:w="1160" w:type="dxa"/>
            <w:vAlign w:val="bottom"/>
            <w:tcBorders>
              <w:top w:val="single" w:sz="8" w:color="CFF0FC"/>
            </w:tcBorders>
          </w:tcPr>
          <w:p>
            <w:pPr>
              <w:jc w:val="right"/>
              <w:ind w:right="983"/>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w w:val="93"/>
              </w:rPr>
              <w:t>28.15</w:t>
            </w:r>
          </w:p>
        </w:tc>
        <w:tc>
          <w:tcPr>
            <w:tcW w:w="520" w:type="dxa"/>
            <w:vAlign w:val="bottom"/>
            <w:tcBorders>
              <w:top w:val="single" w:sz="8" w:color="CFF0FC"/>
            </w:tcBorders>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CFF0FC"/>
            </w:tcBorders>
          </w:tcPr>
          <w:p>
            <w:pPr>
              <w:jc w:val="right"/>
              <w:spacing w:after="0" w:line="196" w:lineRule="exact"/>
              <w:rPr>
                <w:sz w:val="20"/>
                <w:szCs w:val="20"/>
                <w:color w:val="auto"/>
              </w:rPr>
            </w:pPr>
            <w:r>
              <w:rPr>
                <w:rFonts w:ascii="Arial" w:cs="Arial" w:eastAsia="Arial" w:hAnsi="Arial"/>
                <w:sz w:val="18"/>
                <w:szCs w:val="18"/>
                <w:color w:val="auto"/>
              </w:rPr>
              <w:t>2</w:t>
            </w:r>
          </w:p>
        </w:tc>
        <w:tc>
          <w:tcPr>
            <w:tcW w:w="60" w:type="dxa"/>
            <w:vAlign w:val="bottom"/>
            <w:tcBorders>
              <w:top w:val="single" w:sz="8" w:color="CFF0FC"/>
            </w:tcBorders>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-159385</wp:posOffset>
            </wp:positionV>
            <wp:extent cx="5969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23" w:lineRule="exact"/>
        <w:rPr>
          <w:sz w:val="20"/>
          <w:szCs w:val="20"/>
          <w:color w:val="auto"/>
        </w:rPr>
      </w:pPr>
    </w:p>
    <w:p>
      <w:pPr>
        <w:ind w:left="1440" w:right="80" w:hanging="384"/>
        <w:spacing w:after="0" w:line="257" w:lineRule="auto"/>
        <w:tabs>
          <w:tab w:leader="none" w:pos="14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MSUs provide for vesting based upon the Company’s total shareholder return, or TSR, performance over the period commencing January 1, 2020 through December 31, 2022 relative to the TSR performance of The Nasdaq Composite Total Return Index. Based upon actual attainment relative to the target performance metric, the grantee has the ability to receive up to 200% of the target number of MSUs originally granted, or to receive none at all.</w:t>
      </w:r>
    </w:p>
    <w:p>
      <w:pPr>
        <w:spacing w:after="0" w:line="189" w:lineRule="exact"/>
        <w:rPr>
          <w:sz w:val="20"/>
          <w:szCs w:val="20"/>
          <w:color w:val="auto"/>
        </w:rPr>
      </w:pPr>
    </w:p>
    <w:p>
      <w:pPr>
        <w:ind w:right="540" w:firstLine="539"/>
        <w:spacing w:after="0" w:line="244" w:lineRule="auto"/>
        <w:rPr>
          <w:sz w:val="20"/>
          <w:szCs w:val="20"/>
          <w:color w:val="auto"/>
        </w:rPr>
      </w:pPr>
      <w:r>
        <w:rPr>
          <w:rFonts w:ascii="Arial" w:cs="Arial" w:eastAsia="Arial" w:hAnsi="Arial"/>
          <w:sz w:val="18"/>
          <w:szCs w:val="18"/>
          <w:color w:val="auto"/>
        </w:rPr>
        <w:t>Total current income tax benefits associated with the exercise or settlement of Tripadvisor stock-based awards held by our employees was $2 million and $9 million during the three months ended March 31, 2022 and 2021, respectively.</w:t>
      </w: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04"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A summary of our remaining unrecognized stock-based compensation expense and the weighted average remaining amortization period at March 31, 2022 related to our non-vested equity awards is presented below (in millions, except in years information):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60" w:type="dxa"/>
            <w:vAlign w:val="bottom"/>
          </w:tcPr>
          <w:p>
            <w:pPr>
              <w:spacing w:after="0"/>
              <w:rPr>
                <w:sz w:val="15"/>
                <w:szCs w:val="15"/>
                <w:color w:val="auto"/>
              </w:rPr>
            </w:pPr>
          </w:p>
        </w:tc>
        <w:tc>
          <w:tcPr>
            <w:tcW w:w="1460" w:type="dxa"/>
            <w:vAlign w:val="bottom"/>
          </w:tcPr>
          <w:p>
            <w:pPr>
              <w:jc w:val="center"/>
              <w:ind w:left="402"/>
              <w:spacing w:after="0"/>
              <w:rPr>
                <w:sz w:val="20"/>
                <w:szCs w:val="20"/>
                <w:color w:val="auto"/>
              </w:rPr>
            </w:pPr>
            <w:r>
              <w:rPr>
                <w:rFonts w:ascii="Arial" w:cs="Arial" w:eastAsia="Arial" w:hAnsi="Arial"/>
                <w:sz w:val="14"/>
                <w:szCs w:val="14"/>
                <w:b w:val="1"/>
                <w:bCs w:val="1"/>
                <w:color w:val="auto"/>
                <w:w w:val="89"/>
              </w:rPr>
              <w:t>Stock</w:t>
            </w: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6960" w:type="dxa"/>
            <w:vAlign w:val="bottom"/>
          </w:tcPr>
          <w:p>
            <w:pPr>
              <w:spacing w:after="0"/>
              <w:rPr>
                <w:sz w:val="16"/>
                <w:szCs w:val="16"/>
                <w:color w:val="auto"/>
              </w:rPr>
            </w:pPr>
          </w:p>
        </w:tc>
        <w:tc>
          <w:tcPr>
            <w:tcW w:w="1460" w:type="dxa"/>
            <w:vAlign w:val="bottom"/>
            <w:tcBorders>
              <w:bottom w:val="single" w:sz="8" w:color="auto"/>
            </w:tcBorders>
          </w:tcPr>
          <w:p>
            <w:pPr>
              <w:jc w:val="center"/>
              <w:ind w:left="402"/>
              <w:spacing w:after="0"/>
              <w:rPr>
                <w:sz w:val="20"/>
                <w:szCs w:val="20"/>
                <w:color w:val="auto"/>
              </w:rPr>
            </w:pPr>
            <w:r>
              <w:rPr>
                <w:rFonts w:ascii="Arial" w:cs="Arial" w:eastAsia="Arial" w:hAnsi="Arial"/>
                <w:sz w:val="14"/>
                <w:szCs w:val="14"/>
                <w:b w:val="1"/>
                <w:bCs w:val="1"/>
                <w:color w:val="auto"/>
                <w:w w:val="94"/>
              </w:rPr>
              <w:t>Options</w:t>
            </w:r>
          </w:p>
        </w:tc>
        <w:tc>
          <w:tcPr>
            <w:tcW w:w="4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RSUs/MSUs</w:t>
            </w:r>
          </w:p>
        </w:tc>
        <w:tc>
          <w:tcPr>
            <w:tcW w:w="100" w:type="dxa"/>
            <w:vAlign w:val="bottom"/>
          </w:tcPr>
          <w:p>
            <w:pPr>
              <w:spacing w:after="0"/>
              <w:rPr>
                <w:sz w:val="16"/>
                <w:szCs w:val="16"/>
                <w:color w:val="auto"/>
              </w:rPr>
            </w:pPr>
          </w:p>
        </w:tc>
      </w:tr>
      <w:tr>
        <w:trPr>
          <w:trHeight w:val="196"/>
        </w:trPr>
        <w:tc>
          <w:tcPr>
            <w:tcW w:w="6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Unrecognized compensation expense</w:t>
            </w:r>
          </w:p>
        </w:tc>
        <w:tc>
          <w:tcPr>
            <w:tcW w:w="1460" w:type="dxa"/>
            <w:vAlign w:val="bottom"/>
            <w:shd w:val="clear" w:color="auto" w:fill="CFF0FC"/>
          </w:tcPr>
          <w:p>
            <w:pPr>
              <w:jc w:val="right"/>
              <w:ind w:right="1282"/>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w:t>
            </w: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233</w:t>
            </w:r>
          </w:p>
        </w:tc>
        <w:tc>
          <w:tcPr>
            <w:tcW w:w="100" w:type="dxa"/>
            <w:vAlign w:val="bottom"/>
            <w:shd w:val="clear" w:color="auto" w:fill="CFF0FC"/>
          </w:tcPr>
          <w:p>
            <w:pPr>
              <w:spacing w:after="0"/>
              <w:rPr>
                <w:sz w:val="17"/>
                <w:szCs w:val="17"/>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Weighted average period remaining (in years)</w:t>
            </w:r>
          </w:p>
        </w:tc>
        <w:tc>
          <w:tcPr>
            <w:tcW w:w="14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16"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On November 1, 2019, our Board of Directors authorized the repurchase of an additional $100 million in shares of our common stock under our existing share repurchase program, which increased the amount available to the Company under this share repurchase program to $250 million. This share repurchase program has no expiration date but may be suspended or terminated by our Board of Directors at any time. During the three months ended March 31, 2022 and 2021, respectively, the Company did not repurchase any shares of outstanding common stock under the share repurchase program. As of March 31, 2022 and December 31, 2021, we had $75 million remaining available to repurchase shares of our common stock under this share repurchase program and 18,844,614 shares of the Company’s common stock held in treasury with an aggregate cost of $722 million.</w:t>
      </w:r>
    </w:p>
    <w:p>
      <w:pPr>
        <w:spacing w:after="0" w:line="162"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 xml:space="preserve">Our Board of Directors authorized and directed management, working with the Executive Committee of our Board of Directors, to affect the share repurchase program discussed above in compliance with applicable legal requirements. While the Board of Directors has not suspended or terminated the share repurchase program, the terms of the Credit Agreement currently limit the Company from engaging in share repurchases during the Leverage Covenant Holiday and the terms of our 2025 Indenture also imposes certain limitations and restrictions on share repurchases. Refer to “Note 6: </w:t>
      </w:r>
      <w:r>
        <w:rPr>
          <w:rFonts w:ascii="Arial" w:cs="Arial" w:eastAsia="Arial" w:hAnsi="Arial"/>
          <w:sz w:val="18"/>
          <w:szCs w:val="18"/>
          <w:i w:val="1"/>
          <w:iCs w:val="1"/>
          <w:color w:val="auto"/>
        </w:rPr>
        <w:t>Debt</w:t>
      </w:r>
      <w:r>
        <w:rPr>
          <w:rFonts w:ascii="Arial" w:cs="Arial" w:eastAsia="Arial" w:hAnsi="Arial"/>
          <w:sz w:val="18"/>
          <w:szCs w:val="18"/>
          <w:color w:val="auto"/>
        </w:rPr>
        <w:t>” for further information about our Credit Facility and our 2025 Indenture.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p>
      <w:pPr>
        <w:spacing w:after="0" w:line="108" w:lineRule="exact"/>
        <w:rPr>
          <w:sz w:val="20"/>
          <w:szCs w:val="20"/>
          <w:color w:val="auto"/>
        </w:rPr>
      </w:pPr>
    </w:p>
    <w:p>
      <w:pPr>
        <w:ind w:right="140" w:firstLine="544"/>
        <w:spacing w:after="0" w:line="262" w:lineRule="auto"/>
        <w:rPr>
          <w:sz w:val="20"/>
          <w:szCs w:val="20"/>
          <w:color w:val="auto"/>
        </w:rPr>
      </w:pPr>
      <w:r>
        <w:rPr>
          <w:rFonts w:ascii="Arial" w:cs="Arial" w:eastAsia="Arial" w:hAnsi="Arial"/>
          <w:sz w:val="17"/>
          <w:szCs w:val="17"/>
          <w:color w:val="auto"/>
        </w:rPr>
        <w:t>We compute basic earnings per share, or Basic EPS, by dividing net income (loss)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p>
      <w:pPr>
        <w:spacing w:after="0" w:line="108"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Diluted earnings per share, or Diluted EPS, includes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EPS calculation as indicated above, and (ii) if dilutive, the incremental weighted average common stock that we would issue upon the assumed exercise of outstanding common equivalent shares, primarily related to stock options and the vesting of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168" w:lineRule="exact"/>
        <w:rPr>
          <w:sz w:val="20"/>
          <w:szCs w:val="20"/>
          <w:color w:val="auto"/>
        </w:rPr>
      </w:pPr>
    </w:p>
    <w:p>
      <w:pPr>
        <w:jc w:val="both"/>
        <w:ind w:right="80" w:firstLine="509"/>
        <w:spacing w:after="0" w:line="294"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147"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In periods of net income, shares of our common stock subject to the potential conversion of the 2026 Senior Notes outstanding during the period is also included in our weighted average number of shares outstanding used to calculate Diluted EPS using the if-converted method under GAAP, as share settlement is presumed. The Capped Calls are excluded from the calculation of Diluted EPS, as they would be antidilutive. However, upon conversion of the 2026 Senior Notes, unless the market price of our common stock exceeds the cap price, an exercise of the Capped Calls would generally offset any dilution from the 2026 Senior Notes from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3" w:name="page24"/>
    <w:bookmarkEnd w:id="23"/>
    <w:p>
      <w:pPr>
        <w:ind w:right="420"/>
        <w:spacing w:after="0" w:line="261" w:lineRule="auto"/>
        <w:rPr>
          <w:sz w:val="20"/>
          <w:szCs w:val="20"/>
          <w:color w:val="auto"/>
        </w:rPr>
      </w:pPr>
      <w:r>
        <w:rPr>
          <w:rFonts w:ascii="Arial" w:cs="Arial" w:eastAsia="Arial" w:hAnsi="Arial"/>
          <w:sz w:val="18"/>
          <w:szCs w:val="18"/>
          <w:color w:val="auto"/>
        </w:rPr>
        <w:t>conversion price up to the cap price. As of March 31, 2022 and 2021, the market price of a share of our common stock did not exceed the $107.36 cap price.</w:t>
      </w:r>
    </w:p>
    <w:p>
      <w:pPr>
        <w:spacing w:after="0" w:line="171"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In periods of a net loss, common equivalent shares are excluded from the calculation of Diluted EPS as their inclusion would have an antidilutive effect. Accordingly, for periods in which we report a net loss, such as for the three months ended March 31, 2022 and 2021, respectively, Diluted EPS is the same as Basic EPS, since dilutive common equivalent shares are not assumed to have been issued if their effect is antidilutive.</w:t>
      </w:r>
    </w:p>
    <w:p>
      <w:pPr>
        <w:spacing w:after="0" w:line="164"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6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332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140" w:type="dxa"/>
            <w:vAlign w:val="bottom"/>
            <w:tcBorders>
              <w:left w:val="single" w:sz="8" w:color="CFF0FC"/>
            </w:tcBorders>
            <w:gridSpan w:val="3"/>
            <w:shd w:val="clear" w:color="auto" w:fill="CFF0FC"/>
          </w:tcPr>
          <w:p>
            <w:pPr>
              <w:ind w:left="20"/>
              <w:spacing w:after="0" w:line="169" w:lineRule="exact"/>
              <w:rPr>
                <w:sz w:val="20"/>
                <w:szCs w:val="20"/>
                <w:color w:val="auto"/>
              </w:rPr>
            </w:pPr>
            <w:r>
              <w:rPr>
                <w:rFonts w:ascii="Arial" w:cs="Arial" w:eastAsia="Arial" w:hAnsi="Arial"/>
                <w:sz w:val="18"/>
                <w:szCs w:val="18"/>
                <w:b w:val="1"/>
                <w:bCs w:val="1"/>
                <w:color w:val="auto"/>
              </w:rPr>
              <w:t>Numerator:</w:t>
            </w:r>
          </w:p>
        </w:tc>
        <w:tc>
          <w:tcPr>
            <w:tcW w:w="11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7"/>
        </w:trPr>
        <w:tc>
          <w:tcPr>
            <w:tcW w:w="940" w:type="dxa"/>
            <w:vAlign w:val="bottom"/>
            <w:tcBorders>
              <w:left w:val="single" w:sz="8" w:color="CFF0FC"/>
            </w:tcBorders>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604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03"/>
        </w:trPr>
        <w:tc>
          <w:tcPr>
            <w:tcW w:w="71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Net income (loss)</w:t>
            </w:r>
          </w:p>
        </w:tc>
        <w:tc>
          <w:tcPr>
            <w:tcW w:w="1160" w:type="dxa"/>
            <w:vAlign w:val="bottom"/>
          </w:tcPr>
          <w:p>
            <w:pPr>
              <w:jc w:val="right"/>
              <w:ind w:right="977"/>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(34 )</w:t>
            </w:r>
          </w:p>
        </w:tc>
        <w:tc>
          <w:tcPr>
            <w:tcW w:w="1140" w:type="dxa"/>
            <w:vAlign w:val="bottom"/>
          </w:tcPr>
          <w:p>
            <w:pPr>
              <w:jc w:val="right"/>
              <w:ind w:right="955"/>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(80 )</w:t>
            </w:r>
          </w:p>
        </w:tc>
      </w:tr>
      <w:tr>
        <w:trPr>
          <w:trHeight w:val="175"/>
        </w:trPr>
        <w:tc>
          <w:tcPr>
            <w:tcW w:w="7140" w:type="dxa"/>
            <w:vAlign w:val="bottom"/>
            <w:tcBorders>
              <w:left w:val="single" w:sz="8" w:color="CFF0FC"/>
            </w:tcBorders>
            <w:gridSpan w:val="3"/>
            <w:shd w:val="clear" w:color="auto" w:fill="CFF0FC"/>
          </w:tcPr>
          <w:p>
            <w:pPr>
              <w:ind w:left="20"/>
              <w:spacing w:after="0" w:line="176" w:lineRule="exact"/>
              <w:rPr>
                <w:sz w:val="20"/>
                <w:szCs w:val="20"/>
                <w:color w:val="auto"/>
              </w:rPr>
            </w:pPr>
            <w:r>
              <w:rPr>
                <w:rFonts w:ascii="Arial" w:cs="Arial" w:eastAsia="Arial" w:hAnsi="Arial"/>
                <w:sz w:val="18"/>
                <w:szCs w:val="18"/>
                <w:b w:val="1"/>
                <w:bCs w:val="1"/>
                <w:color w:val="auto"/>
              </w:rPr>
              <w:t>Denominator:</w:t>
            </w:r>
          </w:p>
        </w:tc>
        <w:tc>
          <w:tcPr>
            <w:tcW w:w="11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7"/>
        </w:trPr>
        <w:tc>
          <w:tcPr>
            <w:tcW w:w="940" w:type="dxa"/>
            <w:vAlign w:val="bottom"/>
            <w:tcBorders>
              <w:left w:val="single" w:sz="8" w:color="CFF0FC"/>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4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03"/>
        </w:trPr>
        <w:tc>
          <w:tcPr>
            <w:tcW w:w="71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Weighted average shares used to compute Basic EPS</w:t>
            </w:r>
          </w:p>
        </w:tc>
        <w:tc>
          <w:tcPr>
            <w:tcW w:w="1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139,092</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135,746</w:t>
            </w:r>
          </w:p>
        </w:tc>
        <w:tc>
          <w:tcPr>
            <w:tcW w:w="100" w:type="dxa"/>
            <w:vAlign w:val="bottom"/>
          </w:tcPr>
          <w:p>
            <w:pPr>
              <w:spacing w:after="0"/>
              <w:rPr>
                <w:sz w:val="17"/>
                <w:szCs w:val="17"/>
                <w:color w:val="auto"/>
              </w:rPr>
            </w:pPr>
          </w:p>
        </w:tc>
      </w:tr>
      <w:tr>
        <w:trPr>
          <w:trHeight w:val="203"/>
        </w:trPr>
        <w:tc>
          <w:tcPr>
            <w:tcW w:w="7140" w:type="dxa"/>
            <w:vAlign w:val="bottom"/>
            <w:tcBorders>
              <w:left w:val="single" w:sz="8" w:color="CFF0FC"/>
            </w:tcBorders>
            <w:gridSpan w:val="3"/>
            <w:shd w:val="clear" w:color="auto" w:fill="CFF0FC"/>
          </w:tcPr>
          <w:p>
            <w:pPr>
              <w:ind w:left="200"/>
              <w:spacing w:after="0" w:line="202" w:lineRule="exact"/>
              <w:rPr>
                <w:sz w:val="20"/>
                <w:szCs w:val="20"/>
                <w:color w:val="auto"/>
              </w:rPr>
            </w:pPr>
            <w:r>
              <w:rPr>
                <w:rFonts w:ascii="Arial" w:cs="Arial" w:eastAsia="Arial" w:hAnsi="Arial"/>
                <w:sz w:val="18"/>
                <w:szCs w:val="18"/>
                <w:color w:val="auto"/>
              </w:rPr>
              <w:t>Weighted average effect of dilutive securities:</w:t>
            </w:r>
          </w:p>
        </w:tc>
        <w:tc>
          <w:tcPr>
            <w:tcW w:w="1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140" w:type="dxa"/>
            <w:vAlign w:val="bottom"/>
            <w:gridSpan w:val="3"/>
          </w:tcPr>
          <w:p>
            <w:pPr>
              <w:ind w:left="380"/>
              <w:spacing w:after="0" w:line="202" w:lineRule="exact"/>
              <w:rPr>
                <w:sz w:val="20"/>
                <w:szCs w:val="20"/>
                <w:color w:val="auto"/>
              </w:rPr>
            </w:pPr>
            <w:r>
              <w:rPr>
                <w:rFonts w:ascii="Arial" w:cs="Arial" w:eastAsia="Arial" w:hAnsi="Arial"/>
                <w:sz w:val="18"/>
                <w:szCs w:val="18"/>
                <w:color w:val="auto"/>
              </w:rPr>
              <w:t>Stock options</w:t>
            </w:r>
          </w:p>
        </w:tc>
        <w:tc>
          <w:tcPr>
            <w:tcW w:w="1160" w:type="dxa"/>
            <w:vAlign w:val="bottom"/>
          </w:tcPr>
          <w:p>
            <w:pPr>
              <w:spacing w:after="0"/>
              <w:rPr>
                <w:sz w:val="17"/>
                <w:szCs w:val="17"/>
                <w:color w:val="auto"/>
              </w:rPr>
            </w:pPr>
          </w:p>
        </w:tc>
        <w:tc>
          <w:tcPr>
            <w:tcW w:w="10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140" w:type="dxa"/>
            <w:vAlign w:val="bottom"/>
            <w:tcBorders>
              <w:left w:val="single" w:sz="8" w:color="CFF0FC"/>
            </w:tcBorders>
            <w:gridSpan w:val="3"/>
            <w:shd w:val="clear" w:color="auto" w:fill="CFF0FC"/>
          </w:tcPr>
          <w:p>
            <w:pPr>
              <w:ind w:left="380"/>
              <w:spacing w:after="0" w:line="202" w:lineRule="exact"/>
              <w:rPr>
                <w:sz w:val="20"/>
                <w:szCs w:val="20"/>
                <w:color w:val="auto"/>
              </w:rPr>
            </w:pPr>
            <w:r>
              <w:rPr>
                <w:rFonts w:ascii="Arial" w:cs="Arial" w:eastAsia="Arial" w:hAnsi="Arial"/>
                <w:sz w:val="18"/>
                <w:szCs w:val="18"/>
                <w:color w:val="auto"/>
              </w:rPr>
              <w:t>RSUs/MSUs</w:t>
            </w:r>
          </w:p>
        </w:tc>
        <w:tc>
          <w:tcPr>
            <w:tcW w:w="1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140" w:type="dxa"/>
            <w:vAlign w:val="bottom"/>
            <w:gridSpan w:val="3"/>
          </w:tcPr>
          <w:p>
            <w:pPr>
              <w:ind w:left="380"/>
              <w:spacing w:after="0" w:line="202" w:lineRule="exact"/>
              <w:rPr>
                <w:sz w:val="20"/>
                <w:szCs w:val="20"/>
                <w:color w:val="auto"/>
              </w:rPr>
            </w:pPr>
            <w:r>
              <w:rPr>
                <w:rFonts w:ascii="Arial" w:cs="Arial" w:eastAsia="Arial" w:hAnsi="Arial"/>
                <w:sz w:val="18"/>
                <w:szCs w:val="18"/>
                <w:color w:val="auto"/>
              </w:rPr>
              <w:t>2026 Senior Notes (Note 6)</w:t>
            </w:r>
          </w:p>
        </w:tc>
        <w:tc>
          <w:tcPr>
            <w:tcW w:w="1160" w:type="dxa"/>
            <w:vAlign w:val="bottom"/>
          </w:tcPr>
          <w:p>
            <w:pPr>
              <w:spacing w:after="0"/>
              <w:rPr>
                <w:sz w:val="17"/>
                <w:szCs w:val="17"/>
                <w:color w:val="auto"/>
              </w:rPr>
            </w:pPr>
          </w:p>
        </w:tc>
        <w:tc>
          <w:tcPr>
            <w:tcW w:w="10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36"/>
        </w:trPr>
        <w:tc>
          <w:tcPr>
            <w:tcW w:w="7140" w:type="dxa"/>
            <w:vAlign w:val="bottom"/>
            <w:tcBorders>
              <w:left w:val="single" w:sz="8" w:color="CFF0FC"/>
              <w:bottom w:val="single" w:sz="8" w:color="CFF0FC"/>
            </w:tcBorders>
            <w:gridSpan w:val="3"/>
            <w:shd w:val="clear" w:color="auto" w:fill="CFF0FC"/>
          </w:tcPr>
          <w:p>
            <w:pPr>
              <w:ind w:left="200"/>
              <w:spacing w:after="0" w:line="182" w:lineRule="exact"/>
              <w:rPr>
                <w:sz w:val="20"/>
                <w:szCs w:val="20"/>
                <w:color w:val="auto"/>
              </w:rPr>
            </w:pPr>
            <w:r>
              <w:rPr>
                <w:rFonts w:ascii="Arial" w:cs="Arial" w:eastAsia="Arial" w:hAnsi="Arial"/>
                <w:sz w:val="18"/>
                <w:szCs w:val="18"/>
                <w:color w:val="auto"/>
              </w:rPr>
              <w:t>Weighted average shares used to compute Diluted EPS</w:t>
            </w:r>
          </w:p>
        </w:tc>
        <w:tc>
          <w:tcPr>
            <w:tcW w:w="116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139,092</w:t>
            </w:r>
          </w:p>
        </w:tc>
        <w:tc>
          <w:tcPr>
            <w:tcW w:w="3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135,746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140" w:type="dxa"/>
            <w:vAlign w:val="bottom"/>
            <w:gridSpan w:val="3"/>
          </w:tcPr>
          <w:p>
            <w:pPr>
              <w:ind w:left="20"/>
              <w:spacing w:after="0" w:line="183" w:lineRule="exact"/>
              <w:rPr>
                <w:sz w:val="20"/>
                <w:szCs w:val="20"/>
                <w:color w:val="auto"/>
              </w:rPr>
            </w:pPr>
            <w:r>
              <w:rPr>
                <w:rFonts w:ascii="Arial" w:cs="Arial" w:eastAsia="Arial" w:hAnsi="Arial"/>
                <w:sz w:val="18"/>
                <w:szCs w:val="18"/>
                <w:color w:val="auto"/>
              </w:rPr>
              <w:t>Basic EPS</w:t>
            </w:r>
          </w:p>
        </w:tc>
        <w:tc>
          <w:tcPr>
            <w:tcW w:w="1160" w:type="dxa"/>
            <w:vAlign w:val="bottom"/>
          </w:tcPr>
          <w:p>
            <w:pPr>
              <w:jc w:val="right"/>
              <w:ind w:right="977"/>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line="183" w:lineRule="exact"/>
              <w:rPr>
                <w:sz w:val="20"/>
                <w:szCs w:val="20"/>
                <w:color w:val="auto"/>
              </w:rPr>
            </w:pPr>
            <w:r>
              <w:rPr>
                <w:rFonts w:ascii="Arial" w:cs="Arial" w:eastAsia="Arial" w:hAnsi="Arial"/>
                <w:sz w:val="18"/>
                <w:szCs w:val="18"/>
                <w:color w:val="auto"/>
              </w:rPr>
              <w:t>(0.24 )</w:t>
            </w:r>
          </w:p>
        </w:tc>
        <w:tc>
          <w:tcPr>
            <w:tcW w:w="1140" w:type="dxa"/>
            <w:vAlign w:val="bottom"/>
          </w:tcPr>
          <w:p>
            <w:pPr>
              <w:jc w:val="right"/>
              <w:ind w:right="955"/>
              <w:spacing w:after="0" w:line="183"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line="183" w:lineRule="exact"/>
              <w:rPr>
                <w:sz w:val="20"/>
                <w:szCs w:val="20"/>
                <w:color w:val="auto"/>
              </w:rPr>
            </w:pPr>
            <w:r>
              <w:rPr>
                <w:rFonts w:ascii="Arial" w:cs="Arial" w:eastAsia="Arial" w:hAnsi="Arial"/>
                <w:sz w:val="18"/>
                <w:szCs w:val="18"/>
                <w:color w:val="auto"/>
              </w:rPr>
              <w:t>(0.59 )</w:t>
            </w:r>
          </w:p>
        </w:tc>
      </w:tr>
      <w:tr>
        <w:trPr>
          <w:trHeight w:val="203"/>
        </w:trPr>
        <w:tc>
          <w:tcPr>
            <w:tcW w:w="7140" w:type="dxa"/>
            <w:vAlign w:val="bottom"/>
            <w:tcBorders>
              <w:left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Diluted EPS</w:t>
            </w:r>
          </w:p>
        </w:tc>
        <w:tc>
          <w:tcPr>
            <w:tcW w:w="1160" w:type="dxa"/>
            <w:vAlign w:val="bottom"/>
            <w:shd w:val="clear" w:color="auto" w:fill="CFF0FC"/>
          </w:tcPr>
          <w:p>
            <w:pPr>
              <w:jc w:val="right"/>
              <w:ind w:right="977"/>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(0.24 )</w:t>
            </w:r>
          </w:p>
        </w:tc>
        <w:tc>
          <w:tcPr>
            <w:tcW w:w="1140" w:type="dxa"/>
            <w:vAlign w:val="bottom"/>
            <w:shd w:val="clear" w:color="auto" w:fill="CFF0FC"/>
          </w:tcPr>
          <w:p>
            <w:pPr>
              <w:jc w:val="right"/>
              <w:ind w:right="955"/>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(0.59 )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-282575</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-265430</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-282575</wp:posOffset>
            </wp:positionV>
            <wp:extent cx="5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-265430</wp:posOffset>
            </wp:positionV>
            <wp:extent cx="59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55"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Potential common shares, consisting of outstanding stock options, RSUs, MSUs, and those issuable under the 2026 Senior Notes, totaling approximately 19.0 million shares and 17.8 million shares for the three months ended March 31, 2022 and 2021, respectively, have been excluded from the calculation of Diluted EPS because their effect would have been antidilutive. In addition, potential common shares from certain performance-based awards of approximately 0.1 million shares for the three months ended March 31, 2022 and 2021, respectively, for which all targets required to trigger vesting had not been achieved, were also excluded from the calculation of weighted average shares used to compute Diluted EPS.</w:t>
      </w:r>
    </w:p>
    <w:p>
      <w:pPr>
        <w:spacing w:after="0" w:line="159" w:lineRule="exact"/>
        <w:rPr>
          <w:sz w:val="20"/>
          <w:szCs w:val="20"/>
          <w:color w:val="auto"/>
        </w:rPr>
      </w:pPr>
    </w:p>
    <w:p>
      <w:pPr>
        <w:jc w:val="both"/>
        <w:ind w:right="80" w:firstLine="509"/>
        <w:spacing w:after="0" w:line="210" w:lineRule="exact"/>
        <w:rPr>
          <w:sz w:val="20"/>
          <w:szCs w:val="20"/>
          <w:color w:val="auto"/>
        </w:rPr>
      </w:pPr>
      <w:r>
        <w:rPr>
          <w:rFonts w:ascii="Arial" w:cs="Arial" w:eastAsia="Arial" w:hAnsi="Arial"/>
          <w:sz w:val="16"/>
          <w:szCs w:val="16"/>
          <w:color w:val="auto"/>
        </w:rPr>
        <w:t>The earnings per share amounts are the same for common stock and Class B common stock because the holders of each class are legally entitled to equal per share distributions whether through dividends or in liquidation. In addition, our non-vested RSUs and MSUs are entitled to dividend equivalents, which are payable to the holder subject to, and only upon vesting of, the underlying awards and are therefore forfeitable. Given such dividend equivalents are forfeitable, we do not consider them to be participating securities and, consequently, they are not subject to the two</w:t>
      </w:r>
      <w:r>
        <w:rPr>
          <w:rFonts w:ascii="MS PGothic" w:cs="MS PGothic" w:eastAsia="MS PGothic" w:hAnsi="MS PGothic"/>
          <w:sz w:val="16"/>
          <w:szCs w:val="16"/>
          <w:color w:val="auto"/>
        </w:rPr>
        <w:t>‑</w:t>
      </w:r>
      <w:r>
        <w:rPr>
          <w:rFonts w:ascii="Arial" w:cs="Arial" w:eastAsia="Arial" w:hAnsi="Arial"/>
          <w:sz w:val="16"/>
          <w:szCs w:val="16"/>
          <w:color w:val="auto"/>
        </w:rPr>
        <w:t>class method of determining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108"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 xml:space="preserve">We have two reportable segments: (1) Hotels, Media &amp; Platform; and (2) Experiences &amp; Dining. Our Hotels, Media &amp; Platform reportable segment includes the following revenue sources: (1) Tripadvisor-branded hotels revenue – primarily consisting of hotel auction revenue, CPA revenue, subscription-based advertising revenue, and hotel sponsored placements revenue; and (2) Tripadvisor-branded display and platform revenue – consisting of display-based advertising revenue. Our Experiences &amp; Dining reportable segment includes an aggregation of our Experiences and Dining operating segments. All remaining business units, including Rentals, Flights &amp; Car, and Cruises have been combined into and reported as “Other”, which does not constitute a reportable segment, as none of these businesses meet the quantitative thresholds and/or other criteria to qualify as reportable segments. The nature of the services provided and revenue recognition policies are summarized by reported segment in “Note 3: </w:t>
      </w:r>
      <w:r>
        <w:rPr>
          <w:rFonts w:ascii="Arial" w:cs="Arial" w:eastAsia="Arial" w:hAnsi="Arial"/>
          <w:sz w:val="16"/>
          <w:szCs w:val="16"/>
          <w:i w:val="1"/>
          <w:iCs w:val="1"/>
          <w:color w:val="auto"/>
        </w:rPr>
        <w:t>Revenue Recognition</w:t>
      </w:r>
      <w:r>
        <w:rPr>
          <w:rFonts w:ascii="Arial" w:cs="Arial" w:eastAsia="Arial" w:hAnsi="Arial"/>
          <w:sz w:val="16"/>
          <w:szCs w:val="16"/>
          <w:color w:val="auto"/>
        </w:rPr>
        <w:t>.” Our operating segments are determined based on how our chief operating decision maker manages our business, regularly accesses information and evaluates performance for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operating decision-making purposes, including allocation of resources.</w:t>
      </w:r>
    </w:p>
    <w:p>
      <w:pPr>
        <w:spacing w:after="0" w:line="224" w:lineRule="exact"/>
        <w:rPr>
          <w:sz w:val="20"/>
          <w:szCs w:val="20"/>
          <w:color w:val="auto"/>
        </w:rPr>
      </w:pPr>
    </w:p>
    <w:p>
      <w:pPr>
        <w:ind w:right="540" w:firstLine="509"/>
        <w:spacing w:after="0" w:line="243" w:lineRule="auto"/>
        <w:rPr>
          <w:sz w:val="20"/>
          <w:szCs w:val="20"/>
          <w:color w:val="auto"/>
        </w:rPr>
      </w:pPr>
      <w:r>
        <w:rPr>
          <w:rFonts w:ascii="Arial" w:cs="Arial" w:eastAsia="Arial" w:hAnsi="Arial"/>
          <w:sz w:val="18"/>
          <w:szCs w:val="18"/>
          <w:color w:val="auto"/>
        </w:rPr>
        <w:t>All direct general and administrative costs are included in the applicable segments and business units; however, all corporate general and administrative costs are included in the Hotels, Media &amp; Platform reportable segment. In addition, the Hotels, Media &amp; Platform reportable segment includes all Tripadvisor-related brand advertising expenses (primarily television advertising), technical infrastructure, and other costs supporting the Tripadvisor platform.</w:t>
      </w:r>
    </w:p>
    <w:p>
      <w:pPr>
        <w:spacing w:after="0" w:line="18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Adjusted EBITDA is our segment profit measure and a key measure used by our management and Board of Directors to understand and evaluate the operating performance of our business and on which internal budgets and forecasts are based and approved. We define Adjusted EBITDA as net income (loss) plus: (1) (provision) benefit for income taxes; (2) other income (expense), net; (3) depreciation and amortization; (4) stock-based compensation and other stock-settled obligations; (5) goodwill,</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ind w:right="160"/>
        <w:spacing w:after="0" w:line="261" w:lineRule="auto"/>
        <w:rPr>
          <w:sz w:val="20"/>
          <w:szCs w:val="20"/>
          <w:color w:val="auto"/>
        </w:rPr>
      </w:pPr>
      <w:r>
        <w:rPr>
          <w:rFonts w:ascii="Arial" w:cs="Arial" w:eastAsia="Arial" w:hAnsi="Arial"/>
          <w:sz w:val="18"/>
          <w:szCs w:val="18"/>
          <w:color w:val="auto"/>
        </w:rPr>
        <w:t>intangible asset, and long-lived asset impairments; (6) legal reserves and settlements; (7) restructuring and other related reorganization costs; and (8) non-recurring expenses and income.</w:t>
      </w:r>
    </w:p>
    <w:p>
      <w:pPr>
        <w:spacing w:after="0" w:line="171"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The following tables present our segment information for the three months ended March 31, 2022 and 2021 and includes a reconciliation of Adjusted EBITDA to Net Income (Loss). We record depreciation and amortization, stock-based compensation and other stock-settled obligations, goodwill, intangible asset and other long-lived asset impairments, legal reserves and settlements, restructuring and other related reorganization costs, and other non-recurring expenses and income, net, which are excluded from segment operating performance, in corporate and unallocated. In addition, we do not report our assets, capital expenditures and related depreciation expense by segment as our CODM does not use this information to evaluate operating segments. Accordingly, we do not regularly provide such information by segment to our CODM. Intersegment revenue is not material and is included and eliminated in Other.</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11"/>
          </w:tcPr>
          <w:p>
            <w:pPr>
              <w:jc w:val="center"/>
              <w:ind w:right="420"/>
              <w:spacing w:after="0"/>
              <w:rPr>
                <w:sz w:val="20"/>
                <w:szCs w:val="20"/>
                <w:color w:val="auto"/>
              </w:rPr>
            </w:pPr>
            <w:r>
              <w:rPr>
                <w:rFonts w:ascii="Arial" w:cs="Arial" w:eastAsia="Arial" w:hAnsi="Arial"/>
                <w:sz w:val="14"/>
                <w:szCs w:val="14"/>
                <w:b w:val="1"/>
                <w:bCs w:val="1"/>
                <w:color w:val="auto"/>
                <w:w w:val="93"/>
              </w:rPr>
              <w:t>Three months ended March 31, 2022</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7"/>
              </w:rPr>
              <w:t>Hotels, Media &amp;</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jc w:val="center"/>
              <w:ind w:right="460"/>
              <w:spacing w:after="0" w:line="133" w:lineRule="exact"/>
              <w:rPr>
                <w:sz w:val="20"/>
                <w:szCs w:val="20"/>
                <w:color w:val="auto"/>
              </w:rPr>
            </w:pPr>
            <w:r>
              <w:rPr>
                <w:rFonts w:ascii="Arial" w:cs="Arial" w:eastAsia="Arial" w:hAnsi="Arial"/>
                <w:sz w:val="14"/>
                <w:szCs w:val="14"/>
                <w:b w:val="1"/>
                <w:bCs w:val="1"/>
                <w:color w:val="auto"/>
                <w:w w:val="93"/>
              </w:rPr>
              <w:t>Experiences &amp;</w:t>
            </w:r>
          </w:p>
        </w:tc>
        <w:tc>
          <w:tcPr>
            <w:tcW w:w="160" w:type="dxa"/>
            <w:vAlign w:val="bottom"/>
          </w:tcPr>
          <w:p>
            <w:pPr>
              <w:spacing w:after="0"/>
              <w:rPr>
                <w:sz w:val="11"/>
                <w:szCs w:val="11"/>
                <w:color w:val="auto"/>
              </w:rPr>
            </w:pPr>
          </w:p>
        </w:tc>
        <w:tc>
          <w:tcPr>
            <w:tcW w:w="13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280" w:type="dxa"/>
            <w:vAlign w:val="bottom"/>
          </w:tcPr>
          <w:p>
            <w:pPr>
              <w:spacing w:after="0"/>
              <w:rPr>
                <w:sz w:val="11"/>
                <w:szCs w:val="11"/>
                <w:color w:val="auto"/>
              </w:rPr>
            </w:pPr>
          </w:p>
        </w:tc>
        <w:tc>
          <w:tcPr>
            <w:tcW w:w="1020" w:type="dxa"/>
            <w:vAlign w:val="bottom"/>
            <w:gridSpan w:val="2"/>
            <w:vMerge w:val="restart"/>
          </w:tcPr>
          <w:p>
            <w:pPr>
              <w:jc w:val="right"/>
              <w:ind w:right="45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Platform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6"/>
              </w:rPr>
              <w:t>Dining</w:t>
            </w:r>
          </w:p>
        </w:tc>
        <w:tc>
          <w:tcPr>
            <w:tcW w:w="16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Unallocated</w:t>
            </w: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w:t>
            </w:r>
          </w:p>
        </w:tc>
        <w:tc>
          <w:tcPr>
            <w:tcW w:w="24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(22 )</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(25 )</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(22 )</w:t>
            </w:r>
          </w:p>
        </w:tc>
        <w:tc>
          <w:tcPr>
            <w:tcW w:w="2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196"/>
        </w:trPr>
        <w:tc>
          <w:tcPr>
            <w:tcW w:w="3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196"/>
        </w:trPr>
        <w:tc>
          <w:tcPr>
            <w:tcW w:w="3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58"/>
        </w:trPr>
        <w:tc>
          <w:tcPr>
            <w:tcW w:w="3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11"/>
          </w:tcPr>
          <w:p>
            <w:pPr>
              <w:jc w:val="center"/>
              <w:ind w:right="420"/>
              <w:spacing w:after="0"/>
              <w:rPr>
                <w:sz w:val="20"/>
                <w:szCs w:val="20"/>
                <w:color w:val="auto"/>
              </w:rPr>
            </w:pPr>
            <w:r>
              <w:rPr>
                <w:rFonts w:ascii="Arial" w:cs="Arial" w:eastAsia="Arial" w:hAnsi="Arial"/>
                <w:sz w:val="14"/>
                <w:szCs w:val="14"/>
                <w:b w:val="1"/>
                <w:bCs w:val="1"/>
                <w:color w:val="auto"/>
                <w:w w:val="93"/>
              </w:rPr>
              <w:t>Three months ended March 31, 2021</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7"/>
              </w:rPr>
              <w:t>Hotels, Media &amp;</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Experiences &amp;</w:t>
            </w:r>
          </w:p>
        </w:tc>
        <w:tc>
          <w:tcPr>
            <w:tcW w:w="160" w:type="dxa"/>
            <w:vAlign w:val="bottom"/>
          </w:tcPr>
          <w:p>
            <w:pPr>
              <w:spacing w:after="0"/>
              <w:rPr>
                <w:sz w:val="11"/>
                <w:szCs w:val="11"/>
                <w:color w:val="auto"/>
              </w:rPr>
            </w:pPr>
          </w:p>
        </w:tc>
        <w:tc>
          <w:tcPr>
            <w:tcW w:w="13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6"/>
              </w:rPr>
              <w:t>Corporate and</w:t>
            </w:r>
          </w:p>
        </w:tc>
        <w:tc>
          <w:tcPr>
            <w:tcW w:w="280" w:type="dxa"/>
            <w:vAlign w:val="bottom"/>
          </w:tcPr>
          <w:p>
            <w:pPr>
              <w:spacing w:after="0"/>
              <w:rPr>
                <w:sz w:val="11"/>
                <w:szCs w:val="11"/>
                <w:color w:val="auto"/>
              </w:rPr>
            </w:pPr>
          </w:p>
        </w:tc>
        <w:tc>
          <w:tcPr>
            <w:tcW w:w="1020" w:type="dxa"/>
            <w:vAlign w:val="bottom"/>
            <w:gridSpan w:val="2"/>
            <w:vMerge w:val="restart"/>
          </w:tcPr>
          <w:p>
            <w:pPr>
              <w:jc w:val="right"/>
              <w:ind w:right="45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Platform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Dining</w:t>
            </w:r>
          </w:p>
        </w:tc>
        <w:tc>
          <w:tcPr>
            <w:tcW w:w="16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Unallocated</w:t>
            </w: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w:t>
            </w:r>
          </w:p>
        </w:tc>
        <w:tc>
          <w:tcPr>
            <w:tcW w:w="24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17"/>
                <w:szCs w:val="17"/>
                <w:color w:val="auto"/>
              </w:rPr>
            </w:pPr>
          </w:p>
        </w:tc>
        <w:tc>
          <w:tcPr>
            <w:tcW w:w="1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(24 )</w:t>
            </w:r>
          </w:p>
        </w:tc>
        <w:tc>
          <w:tcPr>
            <w:tcW w:w="16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3"/>
        </w:trPr>
        <w:tc>
          <w:tcPr>
            <w:tcW w:w="39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(29 )</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3"/>
        </w:trPr>
        <w:tc>
          <w:tcPr>
            <w:tcW w:w="390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(29 )</w:t>
            </w:r>
          </w:p>
        </w:tc>
        <w:tc>
          <w:tcPr>
            <w:tcW w:w="2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196"/>
        </w:trPr>
        <w:tc>
          <w:tcPr>
            <w:tcW w:w="3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6"/>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w:t>
            </w:r>
          </w:p>
        </w:tc>
        <w:tc>
          <w:tcPr>
            <w:tcW w:w="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-1868170</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-1851025</wp:posOffset>
            </wp:positionV>
            <wp:extent cx="514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69" w:lineRule="exact"/>
        <w:rPr>
          <w:sz w:val="20"/>
          <w:szCs w:val="20"/>
          <w:color w:val="auto"/>
        </w:rPr>
      </w:pPr>
    </w:p>
    <w:p>
      <w:pPr>
        <w:ind w:left="840" w:right="220" w:hanging="383"/>
        <w:spacing w:after="0" w:line="273" w:lineRule="auto"/>
        <w:tabs>
          <w:tab w:leader="none" w:pos="8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allocated corporate general and administrative costs of $19 million and $16 million for the three months ended March 31, 2022 and 2021, respectively, and Tripadvisor-branded advertising expenses of $1 million for both the three months ended March 31, 2022 and 2021, respectively.</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Customer Concentrations</w:t>
      </w:r>
    </w:p>
    <w:p>
      <w:pPr>
        <w:spacing w:after="0" w:line="212"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Financial Instruments and Fair Value Measurements</w:t>
      </w:r>
      <w:r>
        <w:rPr>
          <w:rFonts w:ascii="Arial" w:cs="Arial" w:eastAsia="Arial" w:hAnsi="Arial"/>
          <w:sz w:val="18"/>
          <w:szCs w:val="18"/>
          <w:color w:val="auto"/>
        </w:rPr>
        <w:t>” under the section entitled “Risks and Concentrations” for information regarding our major customer concentrations.</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2021.</w:t>
      </w:r>
    </w:p>
    <w:p>
      <w:pPr>
        <w:spacing w:after="0" w:line="64"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Annual Report on Form 10-K for the year ended December 31, 2021,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as well as those discussed elsewhere in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5" w:name="page26"/>
    <w:bookmarkEnd w:id="25"/>
    <w:p>
      <w:pPr>
        <w:ind w:right="20"/>
        <w:spacing w:after="0" w:line="271" w:lineRule="auto"/>
        <w:rPr>
          <w:sz w:val="20"/>
          <w:szCs w:val="20"/>
          <w:color w:val="auto"/>
        </w:rPr>
      </w:pPr>
      <w:r>
        <w:rPr>
          <w:rFonts w:ascii="Arial" w:cs="Arial" w:eastAsia="Arial" w:hAnsi="Arial"/>
          <w:sz w:val="16"/>
          <w:szCs w:val="16"/>
          <w:color w:val="auto"/>
        </w:rPr>
        <w:t>this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Tripadvisor operates the world’s largest travel guidance platform, connecting a global audience of prospective travelers with travel partners through rich content, price comparison tools, and online reservation and related services for destinations, accommodations, travel activities and experiences, and restaurants. Our mission is to help people around the world plan, book and experience the perfect trip.</w:t>
      </w:r>
    </w:p>
    <w:p>
      <w:pPr>
        <w:spacing w:after="0" w:line="60"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In 2000, under our flagship brand Tripadvisor, we launched www.Tripadvisor.com in the U.S. Since then, we have built a portfolio of travel guidance brands and businesses, seamlessly connecting travelers to destinations, accommodations, travel activities and experiences, and restaurants in over 40 markets and over 20 languages worldwide.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Financial Summary</w:t>
      </w:r>
    </w:p>
    <w:p>
      <w:pPr>
        <w:spacing w:after="0" w:line="216"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Tripadvisor is the world’s largest travel guidance platform, as measured by unique users de-duplicated monthly, according to SimilarWeb. As a result, Tripadvisor represents an attractive platform for travel partners – including hotel chains, independent hoteliers, OTAs, destination marketing organizations, experience operators, restaurants, and other travel-related and non-travel related product and service providers – who seek to market and sell their products and services to a global audience. Tripadvisor’s platform and product offerings enable consumers to discover, research and price shop a variety of travel products, including hotels, flights, cruises, cars, vacation rentals, tours, travel activities and other experiences, and restaurants; and book a number of these travel experiences either directly on our platform, or on our travel partners’ websites or mobile apps.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Long-Term Growth Strategy</w:t>
      </w:r>
    </w:p>
    <w:p>
      <w:pPr>
        <w:spacing w:after="0" w:line="104" w:lineRule="exact"/>
        <w:rPr>
          <w:sz w:val="20"/>
          <w:szCs w:val="20"/>
          <w:color w:val="auto"/>
        </w:rPr>
      </w:pPr>
    </w:p>
    <w:p>
      <w:pPr>
        <w:ind w:right="40" w:firstLine="509"/>
        <w:spacing w:after="0" w:line="294" w:lineRule="auto"/>
        <w:rPr>
          <w:sz w:val="20"/>
          <w:szCs w:val="20"/>
          <w:color w:val="auto"/>
        </w:rPr>
      </w:pPr>
      <w:r>
        <w:rPr>
          <w:rFonts w:ascii="Arial" w:cs="Arial" w:eastAsia="Arial" w:hAnsi="Arial"/>
          <w:sz w:val="16"/>
          <w:szCs w:val="16"/>
          <w:color w:val="auto"/>
        </w:rPr>
        <w:t>The global travel market (which excludes dining) is expected to reach $1.4 trillion of bookings in 2024, according to Phocuswright, an independent travel, tourism and hospitality research firm. Given we have the world’s largest travel audience, we believe that Tripadvisor’s influence in the travel ecosystem is significant. Our long-term growth strategy aims to increase consumer engagement on our platform and drive profitable growth through:</w:t>
      </w:r>
    </w:p>
    <w:p>
      <w:pPr>
        <w:spacing w:after="0" w:line="39" w:lineRule="exact"/>
        <w:rPr>
          <w:sz w:val="20"/>
          <w:szCs w:val="20"/>
          <w:color w:val="auto"/>
        </w:rPr>
      </w:pPr>
    </w:p>
    <w:p>
      <w:pPr>
        <w:ind w:left="1200" w:hanging="383"/>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offering products that delight travelers by reducing friction throughout the travel planning and trip-taking journey;</w:t>
      </w:r>
    </w:p>
    <w:p>
      <w:pPr>
        <w:spacing w:after="0" w:line="103" w:lineRule="exact"/>
        <w:rPr>
          <w:rFonts w:ascii="Arial" w:cs="Arial" w:eastAsia="Arial" w:hAnsi="Arial"/>
          <w:sz w:val="18"/>
          <w:szCs w:val="18"/>
          <w:color w:val="auto"/>
        </w:rPr>
      </w:pPr>
    </w:p>
    <w:p>
      <w:pPr>
        <w:ind w:left="1200" w:right="20" w:hanging="383"/>
        <w:spacing w:after="0" w:line="291" w:lineRule="auto"/>
        <w:tabs>
          <w:tab w:leader="none" w:pos="12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driving consumer loyalty to our platform through user experience and by offering products and services that increase engagement with our platform and result in membership growth, new and repeat bookings, mobile app engagement and repeat usage;</w:t>
      </w:r>
    </w:p>
    <w:p>
      <w:pPr>
        <w:spacing w:after="0" w:line="38" w:lineRule="exact"/>
        <w:rPr>
          <w:rFonts w:ascii="Arial" w:cs="Arial" w:eastAsia="Arial" w:hAnsi="Arial"/>
          <w:sz w:val="17"/>
          <w:szCs w:val="17"/>
          <w:color w:val="auto"/>
        </w:rPr>
      </w:pPr>
    </w:p>
    <w:p>
      <w:pPr>
        <w:ind w:left="1200" w:right="320" w:hanging="383"/>
        <w:spacing w:after="0" w:line="261"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driving traveler and diner engagement, bookings, and loyalty on our branded platforms by offering industry-leading choices for online bookable experiences and restaurants in top destinations worldwide;</w:t>
      </w:r>
    </w:p>
    <w:p>
      <w:pPr>
        <w:spacing w:after="0" w:line="62" w:lineRule="exact"/>
        <w:rPr>
          <w:rFonts w:ascii="Arial" w:cs="Arial" w:eastAsia="Arial" w:hAnsi="Arial"/>
          <w:sz w:val="18"/>
          <w:szCs w:val="18"/>
          <w:color w:val="auto"/>
        </w:rPr>
      </w:pPr>
    </w:p>
    <w:p>
      <w:pPr>
        <w:ind w:left="1200" w:hanging="383"/>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deepening travel partner engagement on our platform by expanding the number of products and services we offer; and</w:t>
      </w:r>
    </w:p>
    <w:p>
      <w:pPr>
        <w:spacing w:after="0" w:line="103" w:lineRule="exact"/>
        <w:rPr>
          <w:rFonts w:ascii="Arial" w:cs="Arial" w:eastAsia="Arial" w:hAnsi="Arial"/>
          <w:sz w:val="18"/>
          <w:szCs w:val="18"/>
          <w:color w:val="auto"/>
        </w:rPr>
      </w:pPr>
    </w:p>
    <w:p>
      <w:pPr>
        <w:ind w:left="1200" w:right="300" w:hanging="383"/>
        <w:spacing w:after="0" w:line="248"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leveraging our platform’s brand and scale and our unique attributes to expand and grow our offerings such as hotel and restaurant B2B solutions, direct-to-consumer products and services where consumers pay us on a per trip planned or an annual subscription basis and click-based and display-based media advertising.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expect to enable our growth through investment in:</w:t>
      </w:r>
    </w:p>
    <w:p>
      <w:pPr>
        <w:spacing w:after="0" w:line="104" w:lineRule="exact"/>
        <w:rPr>
          <w:sz w:val="20"/>
          <w:szCs w:val="20"/>
          <w:color w:val="auto"/>
        </w:rPr>
      </w:pPr>
    </w:p>
    <w:p>
      <w:pPr>
        <w:ind w:left="1200" w:right="140" w:hanging="383"/>
        <w:spacing w:after="0" w:line="261"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organic investment in marketing and technology (e.g., machine learning) to further improve the experiences we can deliver to consumers and travel partners on our platform; and</w:t>
      </w:r>
    </w:p>
    <w:p>
      <w:pPr>
        <w:spacing w:after="0" w:line="62" w:lineRule="exact"/>
        <w:rPr>
          <w:rFonts w:ascii="Arial" w:cs="Arial" w:eastAsia="Arial" w:hAnsi="Arial"/>
          <w:sz w:val="18"/>
          <w:szCs w:val="18"/>
          <w:color w:val="auto"/>
        </w:rPr>
      </w:pPr>
    </w:p>
    <w:p>
      <w:pPr>
        <w:ind w:left="1200" w:hanging="383"/>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inorganically by opportunistically pursuing strategic acquisitions.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Business Trends</w:t>
      </w:r>
    </w:p>
    <w:p>
      <w:pPr>
        <w:spacing w:after="0" w:line="10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online travel industry in which we operate is large and also highly dynamic and competitive. Our overall strategy is to deliver more value to consumers and travel partners in order to generate more monetization on our platform. While we operate with a long-term growth focus, our specific growth objectives and resource allocation strategies can differ in both duration and magnitude within our segments. We describe below these dynamics, as well as the current trends affecting our overall business and reportable segments, key drivers of our financial results, and uncertainties that may impact our ability to execute on our objectives and strategies.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COVID-19</w:t>
      </w:r>
    </w:p>
    <w:p>
      <w:pPr>
        <w:spacing w:after="0" w:line="198"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COVID-19 pandemic has caused a significant negative impact on the travel, leisure, hospitality, and restaurant industries (collectively, the “travel industry”), and consequently has adversely and materially affected our business, results of operations, liquidity and financial condition since early 2020, continuing, albeit, at a lessening degree and unevenly at times, throughout 2021 and through the three months ended March 31, 2022. Among other impacts, COVID-19 has negatively impacted global consumer travel demand and consumers’ ability to travel and take part in other travel, leisure, and dining activities at varying degrees during this time period, and at various times causing many of our travel partners to operate at significantly reduced and/or intermittent service levels during this timeframe.</w:t>
      </w:r>
    </w:p>
    <w:p>
      <w:pPr>
        <w:spacing w:after="0" w:line="189"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Traffic trends on our platform, a leading indicator of consumer travel demand have improved substantially since the trough of significant declines seen in the second half of March 2020 and throughout April 2020. By means of showing a comparison to a pre-COVID-19 timeframe, average monthly unique users on Tripadvisor-branded websites during the first quarter of 2022 was approximately 71% of 2019’s comparable period, an increase from approximately 55% of 2019’s comparable period during the first quarter of 2021. This improvement was largely driven by vaccine progress, the easing of various government restrictions, albeit unevenly, and consumer travel demand’s continuous improving recovery.</w:t>
      </w:r>
    </w:p>
    <w:p>
      <w:pPr>
        <w:spacing w:after="0" w:line="17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consolidated revenue for the three months ended March 31, 2022 was $262 million, or an increase of 113% when compared to the same period in 2021. In addition, by means of showing a comparison to a pre-COVID-19 timeframe, consolidated revenue for the first quarter of 2022 reached approximately 70% of 2019’s comparable period, an increase from approximately 33% of 2019’s comparable period during the first quarter of 2021. This increase in revenue was driven by strong performance in our Experiences and Dining segment, supported by steady recovery in our Tripadvisor-branded hotels and display and platform offerings due to vaccine progress, the easing of various government restrictions and consumer travel demand’s improving recovery.</w:t>
      </w:r>
    </w:p>
    <w:p>
      <w:pPr>
        <w:spacing w:after="0" w:line="189"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The ultimate duration of the negative impact of COVID-19 on our results of operations, liquidity and financial condition remains uncertain and is dependent upon factors beyond our control, such as the continued transmission rate of COVID-19, including new variants and/or additional resurgences of existing variants, if any, the extent and effectiveness of containment actions that are taken, vaccine efficacy, and the ultimate long-term impact of these and other factors on consumer demand for travel and usage patterns on our platform. Although uncertainty remains, we generally saw continuous, albeit uneven, improvement in the travel market in 2021 and during the first quarter of 2022 and expect that the market will continue to improve as 2022 progresses, driven by continued vaccination programs, the gradual lifting of government restrictions, and what we believe to be continued significant pent-up consumer demand for travel industry related services.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12" w:lineRule="exact"/>
        <w:rPr>
          <w:sz w:val="20"/>
          <w:szCs w:val="20"/>
          <w:color w:val="auto"/>
        </w:rPr>
      </w:pPr>
    </w:p>
    <w:p>
      <w:pPr>
        <w:ind w:right="640" w:firstLine="509"/>
        <w:spacing w:after="0" w:line="261" w:lineRule="auto"/>
        <w:rPr>
          <w:sz w:val="20"/>
          <w:szCs w:val="20"/>
          <w:color w:val="auto"/>
        </w:rPr>
      </w:pPr>
      <w:r>
        <w:rPr>
          <w:rFonts w:ascii="Arial" w:cs="Arial" w:eastAsia="Arial" w:hAnsi="Arial"/>
          <w:sz w:val="18"/>
          <w:szCs w:val="18"/>
          <w:color w:val="auto"/>
        </w:rPr>
        <w:t>Our Hotels, Media &amp; Platform segment is comprised of Tripadvisor-branded hotels revenue and Tripadvisor-branded Display and Platform Revenue.</w:t>
      </w:r>
    </w:p>
    <w:p>
      <w:pPr>
        <w:spacing w:after="0" w:line="17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Tripadvisor-branded hotels revenue primarily consists of hotel auction revenue and, to a lesser extent, hotel B2B revenue, which primarily includes subscription-based advertising services that we offer to travel partners and click-based revenue generated from hotel sponsored placement advertising that enables hotels to enhance their visibility on Tripadvisor hotel pages. Tripadvisor-branded Display and Platform Revenue primarily includes impression-based advertising revenue.</w:t>
      </w:r>
    </w:p>
    <w:p>
      <w:pPr>
        <w:spacing w:after="0" w:line="188" w:lineRule="exact"/>
        <w:rPr>
          <w:sz w:val="20"/>
          <w:szCs w:val="20"/>
          <w:color w:val="auto"/>
        </w:rPr>
      </w:pPr>
    </w:p>
    <w:p>
      <w:pPr>
        <w:jc w:val="both"/>
        <w:ind w:right="340" w:firstLine="509"/>
        <w:spacing w:after="0" w:line="248" w:lineRule="auto"/>
        <w:rPr>
          <w:sz w:val="20"/>
          <w:szCs w:val="20"/>
          <w:color w:val="auto"/>
        </w:rPr>
      </w:pPr>
      <w:r>
        <w:rPr>
          <w:rFonts w:ascii="Arial" w:cs="Arial" w:eastAsia="Arial" w:hAnsi="Arial"/>
          <w:sz w:val="18"/>
          <w:szCs w:val="18"/>
          <w:color w:val="auto"/>
        </w:rPr>
        <w:t>Our overall strategic objective in our Hotels, Media &amp; Platform segment is to drive revenue and profits while delivering compelling services to consumers and driving a holistic user experience, increased customer engagement and monetization, as well as offering travel partners a diverse set of advertising opportunities on the Tripadvisor platform.</w:t>
      </w:r>
    </w:p>
    <w:p>
      <w:pPr>
        <w:spacing w:after="0" w:line="182"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For consumers, we test and implement product enhancements that deliver a more engaging and comprehensive hotel shopping experience. This includes providing rich, immersive content – reviews, photos, videos and ratings, among other contributions, increasing the number of travel partners and properties as well as the available hotel supply on our platform. We believe providing consumers tools to discover, research, price shop and book a comprehensive selection of accommodations helps increase brand</w:t>
      </w:r>
    </w:p>
    <w:p>
      <w:pPr>
        <w:spacing w:after="0" w:line="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bookmarkStart w:id="27" w:name="page28"/>
    <w:bookmarkEnd w:id="27"/>
    <w:p>
      <w:pPr>
        <w:ind w:right="560"/>
        <w:spacing w:after="0" w:line="261" w:lineRule="auto"/>
        <w:rPr>
          <w:sz w:val="20"/>
          <w:szCs w:val="20"/>
          <w:color w:val="auto"/>
        </w:rPr>
      </w:pPr>
      <w:r>
        <w:rPr>
          <w:rFonts w:ascii="Arial" w:cs="Arial" w:eastAsia="Arial" w:hAnsi="Arial"/>
          <w:sz w:val="18"/>
          <w:szCs w:val="18"/>
          <w:color w:val="auto"/>
        </w:rPr>
        <w:t>awareness and brand loyalty and, over time, can result in deeper consumer engagement, more qualified leads delivered to travel partners and greater monetization on our platform.</w:t>
      </w:r>
    </w:p>
    <w:p>
      <w:pPr>
        <w:spacing w:after="0" w:line="171"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We seek to monetize our influence through hotel-related product improvements, supply and marketing efforts and customer advertising opportunities. Historically, we have generated a significant amount of hotel shoppers from search engines, such as Google. A hotel shopper is a visitor to our platform that views either a listing of hotels in a city or a specific hotel page. Our key ongoing objective related to traffic acquisition is to attract or acquire hotel shoppers at or above our desired marketing return on investment targets. Over the long-term, we are focused on driving a greater percentage of our traffic from direct traffic sources rather than search engines, which comes with little to no traffic acquisition costs.</w:t>
      </w:r>
    </w:p>
    <w:p>
      <w:pPr>
        <w:spacing w:after="0" w:line="174" w:lineRule="exact"/>
        <w:rPr>
          <w:sz w:val="20"/>
          <w:szCs w:val="20"/>
          <w:color w:val="auto"/>
        </w:rPr>
      </w:pPr>
    </w:p>
    <w:p>
      <w:pPr>
        <w:ind w:right="60" w:firstLine="509"/>
        <w:spacing w:after="0" w:line="267" w:lineRule="auto"/>
        <w:rPr>
          <w:sz w:val="20"/>
          <w:szCs w:val="20"/>
          <w:color w:val="auto"/>
        </w:rPr>
      </w:pPr>
      <w:r>
        <w:rPr>
          <w:rFonts w:ascii="Arial" w:cs="Arial" w:eastAsia="Arial" w:hAnsi="Arial"/>
          <w:sz w:val="16"/>
          <w:szCs w:val="16"/>
          <w:color w:val="auto"/>
        </w:rPr>
        <w:t>As noted in the “COVID-19” discussion above, easing of travel restrictions across the world, rising vaccination rates, and an increase in consumer travel demand drove improved financial results during the first quarter of 2022, as Hotel, Media &amp; Platform revenue increased by 82% during the three months ended March 31, 2022, when compared to the same period in 2021, despite the significant impact from the Omicron variant in the month of January 2022, as travel demand and revenue rebounded significantly in the months of February and March of 2022. During the three months ended March 31, 2022, Hotels, Media &amp; Platform revenue reached approximately 63% of 2019’s comparable period, an increase from approximately 35% of 2019’s comparable period during the first quarter of 2021. Tripadvisor-branded hotels revenue increased 84% during the three months ended March 31, 2022, when compared to the same period in 2021, primarily driven by growth in our hotel auction revenue. During the three months ended March 31, 2022, Tripadvisor-branded hotels revenue reached approximately 63% of 2019’s comparable period, an increase from approximately 34% of 2019’s comparable period during the first quarter of 2021. The Company saw strength of recovery in all markets during the first quarter of 2022. In particular, our U.S. hotel auction revenue during the first quarter of 2022 showed continued improvement when compared to the same period in 2019 on strong consumer travel demand, despite the impact of the Omicron variant early in the first quarter of 2022. However, our hotel auction revenue decreased sequentially during the fourth quarter of 2021 and the first quarter of 2022, when compared as a percentage to 2019's comparable periods, due to the emergence of the Omicron variant. In addition, our U.S. hotel auction CPC rates regained 2019 levels in early May 2021 and have remained near or above 2019 levels through March 31, 2022, demonstrating strong travel partner engagement on our platform as consumer travel demand recovers in the U.S. Although slower to recover, hotel auction revenue in our largest European markets showed significant improvement during first quarter of 2022; however, as with the U.S., Europe and the rest of the world performance was also negatively impacted by the emergence of the Omicron variant. As a result of these overall positive trends noted above, we increased our performance marketing investment during the first quarter of 2022 in correlation with the increase in consumer travel demand and a more favorable hotel auction environment. Relative strength in CPC pricing allowed us to increase spend in marketing channels at a profitable ROAS (return on ad spend), while our free traffic, in particular SEO traffic, has been slower to recover.</w:t>
      </w:r>
    </w:p>
    <w:p>
      <w:pPr>
        <w:spacing w:after="0" w:line="1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While slower to recover than Tripadvisor-branded hotels revenue, our display and platform revenue increased by 71% during the three months ended March 31, 2022, when compared to the same period in 2021. In addition, and by means of also showing a comparison to a pre-COVID-19 timeframe, Tripadvisor-branded display and platform revenue for the three months ended March 31, 2022 was approximately 63% of 2019’s comparable period, an increase from approximately 37% of 2019’s comparable period during the three months ended March 31, 2021. This overall improvement during the first quarter of 2022 was primarily driven by an increase in marketing spend from our advertisers in correlation with increasing consumer travel demand, as discussed above.</w:t>
      </w:r>
    </w:p>
    <w:p>
      <w:pPr>
        <w:spacing w:after="0" w:line="189"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Over the long-term, we believe that improving our offerings to deepen consumer engagement on our platform will enable us to more effectively monetize our influence. For example, in Tripadvisor-branded display and platform revenue, we enable travel partners to amplify their brand, generate brand impressions, and potentially drive qualified leads and bookings for their businesses. We continue to work on initiatives to better leverage our audience, content, data, travel influence and platform breadth to open up new media advertising opportunities through a more modern, high-powered advertising suite spanning native, video and programmatic solutions. Our platform is open to advertising from travel endemic and non-travel endemic partners, including industries such as entertainment, spirits, and finance. On the consumer side, we are focused on making Tripadvisor membership more valuable for consumers. As an example, during 2021, we launched Tripadvisor Plus, an annual subscription-based membership that offers financial incentives, benefits and perks to members who book hotels and experiences on our platform.</w:t>
      </w:r>
    </w:p>
    <w:p>
      <w:pPr>
        <w:spacing w:after="0" w:line="181"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These efforts demonstrate our continued focus on increasing the quality of customer engagement on our platform, including driving membership growth, increasing personalization, and innovating our mobile app experience. We believe delivering – and improving upon – a great experience for users will encourage more users to use our services more frequently, increase member growth and member engagement, and drive loyalty to our brand and services. In turn, we believe this makes our platform more attractive for travel partners, and can result in increased monetization over time for us and our travel partners.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12"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Our Experiences &amp; Dining offerings contribute to the comprehensive user experience we deliver, which we believe helps to increase awareness of, loyalty to, and engagement with our products, drive more bookings to Experiences &amp; Dining travel partners</w:t>
      </w: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8" w:name="page29"/>
    <w:bookmarkEnd w:id="28"/>
    <w:p>
      <w:pPr>
        <w:ind w:right="140"/>
        <w:spacing w:after="0" w:line="255" w:lineRule="auto"/>
        <w:rPr>
          <w:sz w:val="20"/>
          <w:szCs w:val="20"/>
          <w:color w:val="auto"/>
        </w:rPr>
      </w:pPr>
      <w:r>
        <w:rPr>
          <w:rFonts w:ascii="Arial" w:cs="Arial" w:eastAsia="Arial" w:hAnsi="Arial"/>
          <w:sz w:val="17"/>
          <w:szCs w:val="17"/>
          <w:color w:val="auto"/>
        </w:rPr>
        <w:t>and generate greater revenue and increased profitability on our platform. Given the significant market opportunities in these large categories, we expect to continue to invest aggressively in building these offerings to drive consumer engagement, bookings and revenue growth for the long-term. Since the first quarter of 2020, this segment has been negatively and materially impacted at varying levels by a significant reduction in consumer demand due to the COVID-19 pandemic, which has reduced consumer willingness to research, purchase, and consume travel activities. This negative impact has also been driven by a wide variety of government-instituted actions and restrictions around the globe aimed at limiting the spread of the virus, all of which have impacted consumer access to experience offerings and restaurants. For example, during the first quarter of 2021, restaurants in most of the European countries in which our Dining business operates were ordered to remain closed.</w:t>
      </w:r>
    </w:p>
    <w:p>
      <w:pPr>
        <w:spacing w:after="0" w:line="180"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However, during most of 2021, our Experiences &amp; Dining segment’s financial results improved significantly and this trend continued in the first quarter of 2022, as revenue in this segment increased by 229% during the three months ended March 31, 2022, when compared to the same period in 2021, driven by both an increase in experiences and dining revenue, as a result of the growing travel demand recovery driven by vaccine progress and various government restrictions being lifted. By means of showing a comparison to a pre-COVID-19 timeframe, our Experiences &amp; Dining segment revenue for the first quarter of 2022 was approximately 115% of 2019’s comparable period, an increase from approximately 35% of 2019’s comparable period during the first quarter of 2021.</w:t>
      </w:r>
    </w:p>
    <w:p>
      <w:pPr>
        <w:spacing w:after="0" w:line="189"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During the three months ended March 31, 2022, our Experiences revenue grew over 350%, when compared to the same period in 2021, and was approximately 127% of 2019’s comparable period revenue. As a result of strong consumer demand in our Viator business with the growing travel demand recovery during the first quarter of 2022, we significantly increased investments in performance marketing channels in order to capture additional market share while maintaining a positive return on investment measured over the projected lifetime of a customer. From a geographical perspective, we continued to see strong revenue growth in the U.S., as well as in Europe this quarter. In Dining, we have seen a notable recovery since mid-May 2021, as restaurants in most European countries in which TheFork operates began reopening for in-restaurant dining. However, late in the fourth quarter of 2021 and early into the first quarter of 2022, Omicron-related restrictions and related impact to consumer demand within Europe again began to impact Dining. Overall, Dining revenue during the first quarter of 2022, increased by approximately 125%, when compared to the same period in 2021, primarily driven by the re-opening of restaurants for in-restaurant dining which were ordered to remained closed in most European countries during the first quarter of 2021. By means of showing a comparison to a pre-COVID-19 timeframe, Dining revenue during the first quarter of 2022 nearly reached parity of 2019's comparable period, an increase from approximately 44% of 2019’s comparable period during the first quarter of 2021.</w:t>
      </w:r>
    </w:p>
    <w:p>
      <w:pPr>
        <w:spacing w:after="0" w:line="167"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We continue to explore new initiatives to delight and engage consumers. For example, we improved our site navigation, recommendations, sort orders, quality of our experience products, and offered new consumer payment options and customer support improvements, as new customer acquisition remains top priority during the growing travel recovery. In addition, we remain focused on enhancing and promoting our mobile app experience, further improving the traveler experience. For operators, we continued to scale a new advertising program, Viator Accelerate, which is aimed at helping operators increase their visibility on the platform through targeted advertising, ultimately with the goal of increasing bookings and reach.</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Other is a combination of our Rentals, Flights &amp; Car, and Cruise offerings and is not considered a reportable segment. Similar to our other business units, financial results in Other also improved during the three months ended March 31, 2022, when compared to the same period in 2021, as a result of increased consumer demand due to the growing travel demand recovery. We continue to operate these businesses opportunistically as they complement our overall strategic objectives to deliver more value to consumers and travel partners.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16"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As of March 31, 2022, the Company had 2,760 employees. Approximately 55%, 35%, and 10% of the Company’s current employees are based in Europe, the U.S., and the rest of world, respectively. Our number of employees increased approximately 7% compared to March 31, 2021. Additionally, we use independent contractors to supplement our workforce. We believe we have good relationships with our employees and contractors, including relationships with employees represented by international works councils or other similar organizations.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Consumers’ travel expenditures have historically followed a seasonal pattern. Correspondingly, travel partners’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ind w:right="460"/>
        <w:spacing w:after="0" w:line="248" w:lineRule="auto"/>
        <w:rPr>
          <w:sz w:val="20"/>
          <w:szCs w:val="20"/>
          <w:color w:val="auto"/>
        </w:rPr>
      </w:pPr>
      <w:r>
        <w:rPr>
          <w:rFonts w:ascii="Arial" w:cs="Arial" w:eastAsia="Arial" w:hAnsi="Arial"/>
          <w:sz w:val="18"/>
          <w:szCs w:val="18"/>
          <w:color w:val="auto"/>
        </w:rPr>
        <w:t xml:space="preserve">which represent seasonal low points. </w:t>
      </w:r>
      <w:r>
        <w:rPr>
          <w:rFonts w:ascii="Arial" w:cs="Arial" w:eastAsia="Arial" w:hAnsi="Arial"/>
          <w:sz w:val="18"/>
          <w:szCs w:val="18"/>
          <w:color w:val="231F20"/>
        </w:rPr>
        <w:t>During the first half of the year, experience and rentals bookings typically exceed the amount of completed</w:t>
      </w:r>
      <w:r>
        <w:rPr>
          <w:rFonts w:ascii="Arial" w:cs="Arial" w:eastAsia="Arial" w:hAnsi="Arial"/>
          <w:sz w:val="18"/>
          <w:szCs w:val="18"/>
          <w:color w:val="auto"/>
        </w:rPr>
        <w:t xml:space="preserve"> </w:t>
      </w:r>
      <w:r>
        <w:rPr>
          <w:rFonts w:ascii="Arial" w:cs="Arial" w:eastAsia="Arial" w:hAnsi="Arial"/>
          <w:sz w:val="18"/>
          <w:szCs w:val="18"/>
          <w:color w:val="231F20"/>
        </w:rPr>
        <w:t>experiences and rental stays, resulting in higher cash flow related to working capital, while during the second half of the year, particularly in the third quarter, this pattern reverses and cash flows from these transactions are typically negative</w:t>
      </w:r>
      <w:r>
        <w:rPr>
          <w:rFonts w:ascii="Arial" w:cs="Arial" w:eastAsia="Arial" w:hAnsi="Arial"/>
          <w:sz w:val="18"/>
          <w:szCs w:val="18"/>
          <w:color w:val="000000"/>
        </w:rPr>
        <w:t>.</w:t>
      </w:r>
    </w:p>
    <w:p>
      <w:pPr>
        <w:spacing w:after="0" w:line="182"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231F20"/>
        </w:rPr>
        <w:t xml:space="preserve">Other factors may also impact typical seasonal fluctuations, which include further significant shifts in our business mix or adverse economic conditions that could result in future seasonal patterns that are different from historical trends. For example, although </w:t>
      </w:r>
      <w:r>
        <w:rPr>
          <w:rFonts w:ascii="Arial" w:cs="Arial" w:eastAsia="Arial" w:hAnsi="Arial"/>
          <w:sz w:val="16"/>
          <w:szCs w:val="16"/>
          <w:color w:val="000000"/>
        </w:rPr>
        <w:t>consumer travel demand generally</w:t>
      </w:r>
      <w:r>
        <w:rPr>
          <w:rFonts w:ascii="Arial" w:cs="Arial" w:eastAsia="Arial" w:hAnsi="Arial"/>
          <w:sz w:val="16"/>
          <w:szCs w:val="16"/>
          <w:color w:val="231F20"/>
        </w:rPr>
        <w:t xml:space="preserve"> </w:t>
      </w:r>
      <w:r>
        <w:rPr>
          <w:rFonts w:ascii="Arial" w:cs="Arial" w:eastAsia="Arial" w:hAnsi="Arial"/>
          <w:sz w:val="16"/>
          <w:szCs w:val="16"/>
          <w:color w:val="000000"/>
        </w:rPr>
        <w:t>remained materially lower than historic levels due to the impact of COVID-19 on our business, these trends improved during 2021, resulting in increased revenues, and working capital and operating cash flow more akin to typical historical seasonality trends, which has continued during the three months ended March 31, 2022. However, it is difficult to predict the seasonality for the upcoming quarters, given the sustained uncertainty related to the continued economic impact of the COVID-19 pandemic and/or potential resurgences, and the pace of continued recovery in our key markets.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77"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63" w:lineRule="exact"/>
        <w:rPr>
          <w:sz w:val="20"/>
          <w:szCs w:val="20"/>
          <w:color w:val="auto"/>
        </w:rPr>
      </w:pPr>
    </w:p>
    <w:p>
      <w:pPr>
        <w:ind w:left="760" w:right="280" w:hanging="378"/>
        <w:spacing w:after="0" w:line="244"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and/or</w:t>
      </w:r>
    </w:p>
    <w:p>
      <w:pPr>
        <w:ind w:left="760" w:hanging="378"/>
        <w:spacing w:after="0" w:line="243"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86"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New Accounting Pronouncements</w:t>
      </w:r>
    </w:p>
    <w:p>
      <w:pPr>
        <w:spacing w:after="0" w:line="21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 xml:space="preserve">There have been no material changes to our significant accounting policies since December 31, 2021, as compared to those described under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consolidated financial statements in Item 8 of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0" w:name="page31"/>
    <w:bookmarkEnd w:id="30"/>
    <w:p>
      <w:pPr>
        <w:jc w:val="center"/>
        <w:ind w:right="40"/>
        <w:spacing w:after="0"/>
        <w:rPr>
          <w:sz w:val="20"/>
          <w:szCs w:val="20"/>
          <w:color w:val="auto"/>
        </w:rPr>
      </w:pPr>
      <w:r>
        <w:rPr>
          <w:rFonts w:ascii="Arial" w:cs="Arial" w:eastAsia="Arial" w:hAnsi="Arial"/>
          <w:sz w:val="18"/>
          <w:szCs w:val="18"/>
          <w:b w:val="1"/>
          <w:bCs w:val="1"/>
          <w:color w:val="auto"/>
        </w:rPr>
        <w:t>Statements of Operations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Financial Data</w:t>
      </w:r>
    </w:p>
    <w:p>
      <w:pPr>
        <w:jc w:val="center"/>
        <w:ind w:right="40"/>
        <w:spacing w:after="0"/>
        <w:rPr>
          <w:sz w:val="20"/>
          <w:szCs w:val="20"/>
          <w:color w:val="auto"/>
        </w:rPr>
      </w:pPr>
      <w:r>
        <w:rPr>
          <w:rFonts w:ascii="Arial" w:cs="Arial" w:eastAsia="Arial" w:hAnsi="Arial"/>
          <w:sz w:val="18"/>
          <w:szCs w:val="18"/>
          <w:b w:val="1"/>
          <w:bCs w:val="1"/>
          <w:color w:val="auto"/>
        </w:rPr>
        <w:t>(in millions, except percentages)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8"/>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13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5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8"/>
              </w:rPr>
              <w:t>2022 vs. 2021</w:t>
            </w:r>
          </w:p>
        </w:tc>
        <w:tc>
          <w:tcPr>
            <w:tcW w:w="320" w:type="dxa"/>
            <w:vAlign w:val="bottom"/>
          </w:tcPr>
          <w:p>
            <w:pPr>
              <w:spacing w:after="0"/>
              <w:rPr>
                <w:sz w:val="14"/>
                <w:szCs w:val="14"/>
                <w:color w:val="auto"/>
              </w:rPr>
            </w:pPr>
          </w:p>
        </w:tc>
      </w:tr>
      <w:tr>
        <w:trPr>
          <w:trHeight w:val="196"/>
        </w:trPr>
        <w:tc>
          <w:tcPr>
            <w:tcW w:w="5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262</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113</w:t>
            </w:r>
          </w:p>
        </w:tc>
        <w:tc>
          <w:tcPr>
            <w:tcW w:w="3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5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5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Costs and expenses:</w:t>
            </w: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03"/>
        </w:trPr>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Cost of revenue</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150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83 %</w:t>
            </w:r>
          </w:p>
        </w:tc>
      </w:tr>
      <w:tr>
        <w:trPr>
          <w:trHeight w:val="203"/>
        </w:trPr>
        <w:tc>
          <w:tcPr>
            <w:tcW w:w="53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Selling and marketing</w:t>
            </w: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141</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17"/>
                <w:szCs w:val="17"/>
                <w:color w:val="auto"/>
              </w:rPr>
            </w:pPr>
          </w:p>
        </w:tc>
        <w:tc>
          <w:tcPr>
            <w:tcW w:w="1500" w:type="dxa"/>
            <w:vAlign w:val="bottom"/>
            <w:gridSpan w:val="3"/>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93 %</w:t>
            </w:r>
          </w:p>
        </w:tc>
      </w:tr>
      <w:tr>
        <w:trPr>
          <w:trHeight w:val="203"/>
        </w:trPr>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Technology and content</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55</w:t>
            </w:r>
          </w:p>
        </w:tc>
        <w:tc>
          <w:tcPr>
            <w:tcW w:w="100" w:type="dxa"/>
            <w:vAlign w:val="bottom"/>
          </w:tcPr>
          <w:p>
            <w:pPr>
              <w:spacing w:after="0"/>
              <w:rPr>
                <w:sz w:val="17"/>
                <w:szCs w:val="17"/>
                <w:color w:val="auto"/>
              </w:rPr>
            </w:pPr>
          </w:p>
        </w:tc>
        <w:tc>
          <w:tcPr>
            <w:tcW w:w="1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(2 )%</w:t>
            </w:r>
          </w:p>
        </w:tc>
      </w:tr>
      <w:tr>
        <w:trPr>
          <w:trHeight w:val="203"/>
        </w:trPr>
        <w:tc>
          <w:tcPr>
            <w:tcW w:w="53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7"/>
                <w:szCs w:val="17"/>
                <w:color w:val="auto"/>
              </w:rPr>
            </w:pPr>
          </w:p>
        </w:tc>
        <w:tc>
          <w:tcPr>
            <w:tcW w:w="1500" w:type="dxa"/>
            <w:vAlign w:val="bottom"/>
            <w:gridSpan w:val="3"/>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5 %</w:t>
            </w:r>
          </w:p>
        </w:tc>
      </w:tr>
      <w:tr>
        <w:trPr>
          <w:trHeight w:val="203"/>
        </w:trPr>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25</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7"/>
                <w:szCs w:val="17"/>
                <w:color w:val="auto"/>
              </w:rPr>
            </w:pPr>
          </w:p>
        </w:tc>
        <w:tc>
          <w:tcPr>
            <w:tcW w:w="1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(14 )%</w:t>
            </w:r>
          </w:p>
        </w:tc>
      </w:tr>
      <w:tr>
        <w:trPr>
          <w:trHeight w:val="196"/>
        </w:trPr>
        <w:tc>
          <w:tcPr>
            <w:tcW w:w="53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costs and expenses:</w:t>
            </w:r>
          </w:p>
        </w:tc>
        <w:tc>
          <w:tcPr>
            <w:tcW w:w="10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282</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207</w:t>
            </w:r>
          </w:p>
        </w:tc>
        <w:tc>
          <w:tcPr>
            <w:tcW w:w="10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CFF0FC"/>
            </w:tcBorders>
            <w:gridSpan w:val="3"/>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36 %</w:t>
            </w:r>
          </w:p>
        </w:tc>
      </w:tr>
      <w:tr>
        <w:trPr>
          <w:trHeight w:val="196"/>
        </w:trPr>
        <w:tc>
          <w:tcPr>
            <w:tcW w:w="5300" w:type="dxa"/>
            <w:vAlign w:val="bottom"/>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3"/>
          </w:tcPr>
          <w:p>
            <w:pPr>
              <w:jc w:val="right"/>
              <w:ind w:right="90"/>
              <w:spacing w:after="0" w:line="196" w:lineRule="exact"/>
              <w:rPr>
                <w:sz w:val="20"/>
                <w:szCs w:val="20"/>
                <w:color w:val="auto"/>
              </w:rPr>
            </w:pPr>
            <w:r>
              <w:rPr>
                <w:rFonts w:ascii="Arial" w:cs="Arial" w:eastAsia="Arial" w:hAnsi="Arial"/>
                <w:sz w:val="18"/>
                <w:szCs w:val="18"/>
                <w:color w:val="auto"/>
              </w:rPr>
              <w:t>(20 )</w:t>
            </w:r>
          </w:p>
        </w:tc>
        <w:tc>
          <w:tcPr>
            <w:tcW w:w="240" w:type="dxa"/>
            <w:vAlign w:val="bottom"/>
          </w:tcPr>
          <w:p>
            <w:pPr>
              <w:spacing w:after="0"/>
              <w:rPr>
                <w:sz w:val="17"/>
                <w:szCs w:val="17"/>
                <w:color w:val="auto"/>
              </w:rPr>
            </w:pP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(84 )</w:t>
            </w:r>
          </w:p>
        </w:tc>
        <w:tc>
          <w:tcPr>
            <w:tcW w:w="15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(76 )%</w:t>
            </w:r>
          </w:p>
        </w:tc>
      </w:tr>
      <w:tr>
        <w:trPr>
          <w:trHeight w:val="203"/>
        </w:trPr>
        <w:tc>
          <w:tcPr>
            <w:tcW w:w="5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03"/>
        </w:trPr>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(12 )</w:t>
            </w:r>
          </w:p>
        </w:tc>
        <w:tc>
          <w:tcPr>
            <w:tcW w:w="240" w:type="dxa"/>
            <w:vAlign w:val="bottom"/>
          </w:tcPr>
          <w:p>
            <w:pPr>
              <w:spacing w:after="0"/>
              <w:rPr>
                <w:sz w:val="17"/>
                <w:szCs w:val="17"/>
                <w:color w:val="auto"/>
              </w:rPr>
            </w:pPr>
          </w:p>
        </w:tc>
        <w:tc>
          <w:tcPr>
            <w:tcW w:w="12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(11 )</w:t>
            </w:r>
          </w:p>
        </w:tc>
        <w:tc>
          <w:tcPr>
            <w:tcW w:w="150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9 %</w:t>
            </w:r>
          </w:p>
        </w:tc>
      </w:tr>
      <w:tr>
        <w:trPr>
          <w:trHeight w:val="203"/>
        </w:trPr>
        <w:tc>
          <w:tcPr>
            <w:tcW w:w="53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income and other, net</w:t>
            </w: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3"/>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(1 )</w:t>
            </w:r>
          </w:p>
        </w:tc>
        <w:tc>
          <w:tcPr>
            <w:tcW w:w="240" w:type="dxa"/>
            <w:vAlign w:val="bottom"/>
            <w:shd w:val="clear" w:color="auto" w:fill="CFF0FC"/>
          </w:tcPr>
          <w:p>
            <w:pPr>
              <w:spacing w:after="0"/>
              <w:rPr>
                <w:sz w:val="17"/>
                <w:szCs w:val="17"/>
                <w:color w:val="auto"/>
              </w:rPr>
            </w:pPr>
          </w:p>
        </w:tc>
        <w:tc>
          <w:tcPr>
            <w:tcW w:w="124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500" w:type="dxa"/>
            <w:vAlign w:val="bottom"/>
            <w:gridSpan w:val="3"/>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0 %</w:t>
            </w:r>
          </w:p>
        </w:tc>
      </w:tr>
      <w:tr>
        <w:trPr>
          <w:trHeight w:val="20"/>
        </w:trPr>
        <w:tc>
          <w:tcPr>
            <w:tcW w:w="53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r>
      <w:tr>
        <w:trPr>
          <w:trHeight w:val="196"/>
        </w:trPr>
        <w:tc>
          <w:tcPr>
            <w:tcW w:w="5300" w:type="dxa"/>
            <w:vAlign w:val="bottom"/>
          </w:tcPr>
          <w:p>
            <w:pPr>
              <w:ind w:left="20"/>
              <w:spacing w:after="0" w:line="196" w:lineRule="exact"/>
              <w:rPr>
                <w:sz w:val="20"/>
                <w:szCs w:val="20"/>
                <w:color w:val="auto"/>
              </w:rPr>
            </w:pPr>
            <w:r>
              <w:rPr>
                <w:rFonts w:ascii="Arial" w:cs="Arial" w:eastAsia="Arial" w:hAnsi="Arial"/>
                <w:sz w:val="18"/>
                <w:szCs w:val="18"/>
                <w:color w:val="auto"/>
              </w:rPr>
              <w:t>Total other income (expense), net</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3"/>
          </w:tcPr>
          <w:p>
            <w:pPr>
              <w:jc w:val="right"/>
              <w:ind w:right="110"/>
              <w:spacing w:after="0"/>
              <w:rPr>
                <w:sz w:val="20"/>
                <w:szCs w:val="20"/>
                <w:color w:val="auto"/>
              </w:rPr>
            </w:pPr>
            <w:r>
              <w:rPr>
                <w:rFonts w:ascii="Arial" w:cs="Arial" w:eastAsia="Arial" w:hAnsi="Arial"/>
                <w:sz w:val="16"/>
                <w:szCs w:val="16"/>
                <w:color w:val="auto"/>
              </w:rPr>
              <w:t>(13 )</w:t>
            </w:r>
          </w:p>
        </w:tc>
        <w:tc>
          <w:tcPr>
            <w:tcW w:w="240" w:type="dxa"/>
            <w:vAlign w:val="bottom"/>
          </w:tcPr>
          <w:p>
            <w:pPr>
              <w:spacing w:after="0"/>
              <w:rPr>
                <w:sz w:val="17"/>
                <w:szCs w:val="17"/>
                <w:color w:val="auto"/>
              </w:rPr>
            </w:pPr>
          </w:p>
        </w:tc>
        <w:tc>
          <w:tcPr>
            <w:tcW w:w="12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(12 )</w:t>
            </w:r>
          </w:p>
        </w:tc>
        <w:tc>
          <w:tcPr>
            <w:tcW w:w="1500" w:type="dxa"/>
            <w:vAlign w:val="bottom"/>
            <w:gridSpan w:val="3"/>
          </w:tcPr>
          <w:p>
            <w:pPr>
              <w:jc w:val="right"/>
              <w:ind w:right="50"/>
              <w:spacing w:after="0" w:line="196" w:lineRule="exact"/>
              <w:rPr>
                <w:sz w:val="20"/>
                <w:szCs w:val="20"/>
                <w:color w:val="auto"/>
              </w:rPr>
            </w:pPr>
            <w:r>
              <w:rPr>
                <w:rFonts w:ascii="Arial" w:cs="Arial" w:eastAsia="Arial" w:hAnsi="Arial"/>
                <w:sz w:val="18"/>
                <w:szCs w:val="18"/>
                <w:color w:val="auto"/>
              </w:rPr>
              <w:t>8 %</w:t>
            </w:r>
          </w:p>
        </w:tc>
      </w:tr>
      <w:tr>
        <w:trPr>
          <w:trHeight w:val="196"/>
        </w:trPr>
        <w:tc>
          <w:tcPr>
            <w:tcW w:w="5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(33</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5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(66 )%</w:t>
            </w:r>
          </w:p>
        </w:tc>
      </w:tr>
      <w:tr>
        <w:trPr>
          <w:trHeight w:val="203"/>
        </w:trPr>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(Provision) benefit for income taxes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(1 )</w:t>
            </w:r>
          </w:p>
        </w:tc>
        <w:tc>
          <w:tcPr>
            <w:tcW w:w="240" w:type="dxa"/>
            <w:vAlign w:val="bottom"/>
          </w:tcPr>
          <w:p>
            <w:pPr>
              <w:spacing w:after="0"/>
              <w:rPr>
                <w:sz w:val="17"/>
                <w:szCs w:val="17"/>
                <w:color w:val="auto"/>
              </w:rPr>
            </w:pPr>
          </w:p>
        </w:tc>
        <w:tc>
          <w:tcPr>
            <w:tcW w:w="11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n.m.</w:t>
            </w:r>
          </w:p>
        </w:tc>
      </w:tr>
      <w:tr>
        <w:trPr>
          <w:trHeight w:val="236"/>
        </w:trPr>
        <w:tc>
          <w:tcPr>
            <w:tcW w:w="53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income (loss)</w:t>
            </w:r>
          </w:p>
        </w:tc>
        <w:tc>
          <w:tcPr>
            <w:tcW w:w="10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16"/>
              <w:spacing w:after="0" w:line="182"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(34</w:t>
            </w:r>
          </w:p>
        </w:tc>
        <w:tc>
          <w:tcPr>
            <w:tcW w:w="260" w:type="dxa"/>
            <w:vAlign w:val="bottom"/>
            <w:tcBorders>
              <w:bottom w:val="single" w:sz="8" w:color="CFF0FC"/>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3"/>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(80</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1500" w:type="dxa"/>
            <w:vAlign w:val="bottom"/>
            <w:tcBorders>
              <w:bottom w:val="single" w:sz="8" w:color="CFF0FC"/>
            </w:tcBorders>
            <w:gridSpan w:val="3"/>
            <w:shd w:val="clear" w:color="auto" w:fill="CFF0FC"/>
          </w:tcPr>
          <w:p>
            <w:pPr>
              <w:jc w:val="right"/>
              <w:spacing w:after="0" w:line="182" w:lineRule="exact"/>
              <w:rPr>
                <w:sz w:val="20"/>
                <w:szCs w:val="20"/>
                <w:color w:val="auto"/>
              </w:rPr>
            </w:pPr>
            <w:r>
              <w:rPr>
                <w:rFonts w:ascii="Arial" w:cs="Arial" w:eastAsia="Arial" w:hAnsi="Arial"/>
                <w:sz w:val="18"/>
                <w:szCs w:val="18"/>
                <w:color w:val="auto"/>
              </w:rPr>
              <w:t>(58 )%</w:t>
            </w:r>
          </w:p>
        </w:tc>
      </w:tr>
      <w:tr>
        <w:trPr>
          <w:trHeight w:val="183"/>
        </w:trPr>
        <w:tc>
          <w:tcPr>
            <w:tcW w:w="5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03"/>
        </w:trPr>
        <w:tc>
          <w:tcPr>
            <w:tcW w:w="5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Financial Data:</w:t>
            </w: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03"/>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Adjusted EBITDA (1)</w:t>
            </w:r>
          </w:p>
        </w:tc>
        <w:tc>
          <w:tcPr>
            <w:tcW w:w="1080" w:type="dxa"/>
            <w:vAlign w:val="bottom"/>
          </w:tcPr>
          <w:p>
            <w:pPr>
              <w:spacing w:after="0"/>
              <w:rPr>
                <w:sz w:val="17"/>
                <w:szCs w:val="17"/>
                <w:color w:val="auto"/>
              </w:rPr>
            </w:pPr>
          </w:p>
        </w:tc>
        <w:tc>
          <w:tcPr>
            <w:tcW w:w="440" w:type="dxa"/>
            <w:vAlign w:val="bottom"/>
            <w:gridSpan w:val="2"/>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w:t>
            </w:r>
          </w:p>
        </w:tc>
        <w:tc>
          <w:tcPr>
            <w:tcW w:w="260" w:type="dxa"/>
            <w:vAlign w:val="bottom"/>
          </w:tcPr>
          <w:p>
            <w:pPr>
              <w:spacing w:after="0"/>
              <w:rPr>
                <w:sz w:val="17"/>
                <w:szCs w:val="17"/>
                <w:color w:val="auto"/>
              </w:rPr>
            </w:pP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2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(26 )</w:t>
            </w:r>
          </w:p>
        </w:tc>
        <w:tc>
          <w:tcPr>
            <w:tcW w:w="180" w:type="dxa"/>
            <w:vAlign w:val="bottom"/>
          </w:tcPr>
          <w:p>
            <w:pPr>
              <w:spacing w:after="0"/>
              <w:rPr>
                <w:sz w:val="17"/>
                <w:szCs w:val="17"/>
                <w:color w:val="auto"/>
              </w:rPr>
            </w:pPr>
          </w:p>
        </w:tc>
        <w:tc>
          <w:tcPr>
            <w:tcW w:w="132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n.m.</w:t>
            </w:r>
          </w:p>
        </w:tc>
      </w:tr>
      <w:tr>
        <w:trPr>
          <w:trHeight w:val="203"/>
        </w:trPr>
        <w:tc>
          <w:tcPr>
            <w:tcW w:w="5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 xml:space="preserve">n.m. = </w:t>
            </w:r>
            <w:r>
              <w:rPr>
                <w:rFonts w:ascii="Arial" w:cs="Arial" w:eastAsia="Arial" w:hAnsi="Arial"/>
                <w:sz w:val="18"/>
                <w:szCs w:val="18"/>
                <w:i w:val="1"/>
                <w:iCs w:val="1"/>
                <w:color w:val="auto"/>
              </w:rPr>
              <w:t>not meaningful</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37"/>
        </w:trPr>
        <w:tc>
          <w:tcPr>
            <w:tcW w:w="5300" w:type="dxa"/>
            <w:vAlign w:val="bottom"/>
          </w:tcPr>
          <w:p>
            <w:pPr>
              <w:ind w:left="20"/>
              <w:spacing w:after="0"/>
              <w:rPr>
                <w:sz w:val="20"/>
                <w:szCs w:val="20"/>
                <w:color w:val="auto"/>
              </w:rPr>
            </w:pPr>
            <w:r>
              <w:rPr>
                <w:rFonts w:ascii="Arial" w:cs="Arial" w:eastAsia="Arial" w:hAnsi="Arial"/>
                <w:sz w:val="18"/>
                <w:szCs w:val="18"/>
                <w:i w:val="1"/>
                <w:iCs w:val="1"/>
                <w:color w:val="auto"/>
                <w:w w:val="99"/>
              </w:rPr>
              <w:t>(1) See “Adjusted EBITDA” discussion below for more information.</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770"/>
        </w:trPr>
        <w:tc>
          <w:tcPr>
            <w:tcW w:w="5300" w:type="dxa"/>
            <w:vAlign w:val="bottom"/>
          </w:tcPr>
          <w:p>
            <w:pPr>
              <w:spacing w:after="0"/>
              <w:rPr>
                <w:sz w:val="20"/>
                <w:szCs w:val="20"/>
                <w:color w:val="auto"/>
              </w:rPr>
            </w:pPr>
            <w:r>
              <w:rPr>
                <w:rFonts w:ascii="Arial" w:cs="Arial" w:eastAsia="Arial" w:hAnsi="Arial"/>
                <w:sz w:val="18"/>
                <w:szCs w:val="18"/>
                <w:b w:val="1"/>
                <w:bCs w:val="1"/>
                <w:color w:val="auto"/>
              </w:rPr>
              <w:t>Revenue and Segment Information</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0"/>
        </w:trPr>
        <w:tc>
          <w:tcPr>
            <w:tcW w:w="5300" w:type="dxa"/>
            <w:vAlign w:val="bottom"/>
          </w:tcPr>
          <w:p>
            <w:pPr>
              <w:spacing w:after="0"/>
              <w:rPr>
                <w:sz w:val="23"/>
                <w:szCs w:val="23"/>
                <w:color w:val="auto"/>
              </w:rPr>
            </w:pPr>
          </w:p>
        </w:tc>
        <w:tc>
          <w:tcPr>
            <w:tcW w:w="2960" w:type="dxa"/>
            <w:vAlign w:val="bottom"/>
            <w:gridSpan w:val="7"/>
          </w:tcPr>
          <w:p>
            <w:pPr>
              <w:jc w:val="right"/>
              <w:ind w:right="11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gridSpan w:val="3"/>
          </w:tcPr>
          <w:p>
            <w:pPr>
              <w:jc w:val="right"/>
              <w:ind w:right="63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530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gridSpan w:val="2"/>
          </w:tcPr>
          <w:p>
            <w:pPr>
              <w:jc w:val="right"/>
              <w:ind w:right="235"/>
              <w:spacing w:after="0"/>
              <w:rPr>
                <w:sz w:val="20"/>
                <w:szCs w:val="20"/>
                <w:color w:val="auto"/>
              </w:rPr>
            </w:pPr>
            <w:r>
              <w:rPr>
                <w:rFonts w:ascii="Arial" w:cs="Arial" w:eastAsia="Arial" w:hAnsi="Arial"/>
                <w:sz w:val="14"/>
                <w:szCs w:val="14"/>
                <w:b w:val="1"/>
                <w:bCs w:val="1"/>
                <w:color w:val="auto"/>
                <w:w w:val="93"/>
              </w:rPr>
              <w:t>2022 vs. 2021</w:t>
            </w:r>
          </w:p>
        </w:tc>
        <w:tc>
          <w:tcPr>
            <w:tcW w:w="320" w:type="dxa"/>
            <w:vAlign w:val="bottom"/>
          </w:tcPr>
          <w:p>
            <w:pPr>
              <w:spacing w:after="0"/>
              <w:rPr>
                <w:sz w:val="14"/>
                <w:szCs w:val="14"/>
                <w:color w:val="auto"/>
              </w:rPr>
            </w:pPr>
          </w:p>
        </w:tc>
      </w:tr>
      <w:tr>
        <w:trPr>
          <w:trHeight w:val="196"/>
        </w:trPr>
        <w:tc>
          <w:tcPr>
            <w:tcW w:w="5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by Segment:</w:t>
            </w: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gridSpan w:val="5"/>
            <w:shd w:val="clear" w:color="auto" w:fill="CFF0FC"/>
          </w:tcPr>
          <w:p>
            <w:pPr>
              <w:jc w:val="right"/>
              <w:ind w:right="690"/>
              <w:spacing w:after="0"/>
              <w:rPr>
                <w:sz w:val="20"/>
                <w:szCs w:val="20"/>
                <w:color w:val="auto"/>
              </w:rPr>
            </w:pPr>
            <w:r>
              <w:rPr>
                <w:rFonts w:ascii="Arial" w:cs="Arial" w:eastAsia="Arial" w:hAnsi="Arial"/>
                <w:sz w:val="14"/>
                <w:szCs w:val="14"/>
                <w:b w:val="1"/>
                <w:bCs w:val="1"/>
                <w:color w:val="auto"/>
              </w:rPr>
              <w:t>(in millions)</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03"/>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Hotels, Media &amp; Platform</w:t>
            </w:r>
          </w:p>
        </w:tc>
        <w:tc>
          <w:tcPr>
            <w:tcW w:w="1080" w:type="dxa"/>
            <w:vAlign w:val="bottom"/>
          </w:tcPr>
          <w:p>
            <w:pPr>
              <w:jc w:val="right"/>
              <w:ind w:right="896"/>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160</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82 %</w:t>
            </w:r>
          </w:p>
        </w:tc>
      </w:tr>
      <w:tr>
        <w:trPr>
          <w:trHeight w:val="203"/>
        </w:trPr>
        <w:tc>
          <w:tcPr>
            <w:tcW w:w="5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Experiences &amp; Dining</w:t>
            </w:r>
          </w:p>
        </w:tc>
        <w:tc>
          <w:tcPr>
            <w:tcW w:w="108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92</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w:t>
            </w: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00" w:type="dxa"/>
            <w:vAlign w:val="bottom"/>
            <w:gridSpan w:val="3"/>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229 %</w:t>
            </w:r>
          </w:p>
        </w:tc>
      </w:tr>
      <w:tr>
        <w:trPr>
          <w:trHeight w:val="202"/>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43 %</w:t>
            </w:r>
          </w:p>
        </w:tc>
      </w:tr>
      <w:tr>
        <w:trPr>
          <w:trHeight w:val="236"/>
        </w:trPr>
        <w:tc>
          <w:tcPr>
            <w:tcW w:w="530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 revenue</w:t>
            </w:r>
          </w:p>
        </w:tc>
        <w:tc>
          <w:tcPr>
            <w:tcW w:w="1080" w:type="dxa"/>
            <w:vAlign w:val="bottom"/>
            <w:tcBorders>
              <w:bottom w:val="single" w:sz="8" w:color="auto"/>
            </w:tcBorders>
            <w:shd w:val="clear" w:color="auto" w:fill="CFF0FC"/>
          </w:tcPr>
          <w:p>
            <w:pPr>
              <w:jc w:val="right"/>
              <w:ind w:right="896"/>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262</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419"/>
              <w:spacing w:after="0" w:line="182" w:lineRule="exact"/>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123</w:t>
            </w:r>
          </w:p>
        </w:tc>
        <w:tc>
          <w:tcPr>
            <w:tcW w:w="5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CFF0FC"/>
            </w:tcBorders>
            <w:gridSpan w:val="3"/>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113 %</w:t>
            </w:r>
          </w:p>
        </w:tc>
      </w:tr>
      <w:tr>
        <w:trPr>
          <w:trHeight w:val="183"/>
        </w:trPr>
        <w:tc>
          <w:tcPr>
            <w:tcW w:w="5300" w:type="dxa"/>
            <w:vAlign w:val="bottom"/>
          </w:tcPr>
          <w:p>
            <w:pPr>
              <w:ind w:left="20"/>
              <w:spacing w:after="0" w:line="183" w:lineRule="exact"/>
              <w:rPr>
                <w:sz w:val="20"/>
                <w:szCs w:val="20"/>
                <w:color w:val="auto"/>
              </w:rPr>
            </w:pPr>
            <w:r>
              <w:rPr>
                <w:rFonts w:ascii="Arial" w:cs="Arial" w:eastAsia="Arial" w:hAnsi="Arial"/>
                <w:sz w:val="18"/>
                <w:szCs w:val="18"/>
                <w:color w:val="auto"/>
              </w:rPr>
              <w:t>Adjusted EBITDA by Segment:</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03"/>
        </w:trPr>
        <w:tc>
          <w:tcPr>
            <w:tcW w:w="5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Hotels, Media &amp; Platform</w:t>
            </w:r>
          </w:p>
        </w:tc>
        <w:tc>
          <w:tcPr>
            <w:tcW w:w="1080" w:type="dxa"/>
            <w:vAlign w:val="bottom"/>
            <w:shd w:val="clear" w:color="auto" w:fill="CFF0FC"/>
          </w:tcPr>
          <w:p>
            <w:pPr>
              <w:jc w:val="right"/>
              <w:ind w:right="896"/>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419"/>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460"/>
              <w:spacing w:after="0" w:line="202" w:lineRule="exact"/>
              <w:rPr>
                <w:sz w:val="20"/>
                <w:szCs w:val="20"/>
                <w:color w:val="auto"/>
              </w:rPr>
            </w:pPr>
            <w:r>
              <w:rPr>
                <w:rFonts w:ascii="Arial" w:cs="Arial" w:eastAsia="Arial" w:hAnsi="Arial"/>
                <w:sz w:val="18"/>
                <w:szCs w:val="18"/>
                <w:color w:val="auto"/>
              </w:rPr>
              <w:t>(3 )</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230"/>
              <w:spacing w:after="0" w:line="202" w:lineRule="exact"/>
              <w:rPr>
                <w:sz w:val="20"/>
                <w:szCs w:val="20"/>
                <w:color w:val="auto"/>
              </w:rPr>
            </w:pPr>
            <w:r>
              <w:rPr>
                <w:rFonts w:ascii="Arial" w:cs="Arial" w:eastAsia="Arial" w:hAnsi="Arial"/>
                <w:sz w:val="18"/>
                <w:szCs w:val="18"/>
                <w:color w:val="auto"/>
              </w:rPr>
              <w:t>n.m.</w:t>
            </w:r>
          </w:p>
        </w:tc>
      </w:tr>
      <w:tr>
        <w:trPr>
          <w:trHeight w:val="203"/>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Experiences &amp; Dining</w:t>
            </w:r>
          </w:p>
        </w:tc>
        <w:tc>
          <w:tcPr>
            <w:tcW w:w="1080" w:type="dxa"/>
            <w:vAlign w:val="bottom"/>
          </w:tcPr>
          <w:p>
            <w:pPr>
              <w:spacing w:after="0"/>
              <w:rPr>
                <w:sz w:val="17"/>
                <w:szCs w:val="17"/>
                <w:color w:val="auto"/>
              </w:rPr>
            </w:pPr>
          </w:p>
        </w:tc>
        <w:tc>
          <w:tcPr>
            <w:tcW w:w="7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(22 )</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(24 )</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(8 )%</w:t>
            </w:r>
          </w:p>
        </w:tc>
      </w:tr>
      <w:tr>
        <w:trPr>
          <w:trHeight w:val="203"/>
        </w:trPr>
        <w:tc>
          <w:tcPr>
            <w:tcW w:w="53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5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CFF0FC"/>
            </w:tcBorders>
            <w:gridSpan w:val="3"/>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200 %</w:t>
            </w:r>
          </w:p>
        </w:tc>
      </w:tr>
      <w:tr>
        <w:trPr>
          <w:trHeight w:val="196"/>
        </w:trPr>
        <w:tc>
          <w:tcPr>
            <w:tcW w:w="5300" w:type="dxa"/>
            <w:vAlign w:val="bottom"/>
          </w:tcPr>
          <w:p>
            <w:pPr>
              <w:ind w:left="200"/>
              <w:spacing w:after="0" w:line="182" w:lineRule="exact"/>
              <w:rPr>
                <w:sz w:val="20"/>
                <w:szCs w:val="20"/>
                <w:color w:val="auto"/>
              </w:rPr>
            </w:pPr>
            <w:r>
              <w:rPr>
                <w:rFonts w:ascii="Arial" w:cs="Arial" w:eastAsia="Arial" w:hAnsi="Arial"/>
                <w:sz w:val="18"/>
                <w:szCs w:val="18"/>
                <w:color w:val="auto"/>
              </w:rPr>
              <w:t>Total Adjusted EBITDA</w:t>
            </w:r>
          </w:p>
        </w:tc>
        <w:tc>
          <w:tcPr>
            <w:tcW w:w="1080" w:type="dxa"/>
            <w:vAlign w:val="bottom"/>
          </w:tcPr>
          <w:p>
            <w:pPr>
              <w:jc w:val="right"/>
              <w:ind w:right="896"/>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27</w:t>
            </w:r>
          </w:p>
        </w:tc>
        <w:tc>
          <w:tcPr>
            <w:tcW w:w="280" w:type="dxa"/>
            <w:vAlign w:val="bottom"/>
          </w:tcPr>
          <w:p>
            <w:pPr>
              <w:spacing w:after="0"/>
              <w:rPr>
                <w:sz w:val="17"/>
                <w:szCs w:val="17"/>
                <w:color w:val="auto"/>
              </w:rPr>
            </w:pPr>
          </w:p>
        </w:tc>
        <w:tc>
          <w:tcPr>
            <w:tcW w:w="900" w:type="dxa"/>
            <w:vAlign w:val="bottom"/>
            <w:gridSpan w:val="2"/>
          </w:tcPr>
          <w:p>
            <w:pPr>
              <w:jc w:val="right"/>
              <w:ind w:right="419"/>
              <w:spacing w:after="0" w:line="18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460"/>
              <w:spacing w:after="0" w:line="182" w:lineRule="exact"/>
              <w:rPr>
                <w:sz w:val="20"/>
                <w:szCs w:val="20"/>
                <w:color w:val="auto"/>
              </w:rPr>
            </w:pPr>
            <w:r>
              <w:rPr>
                <w:rFonts w:ascii="Arial" w:cs="Arial" w:eastAsia="Arial" w:hAnsi="Arial"/>
                <w:sz w:val="18"/>
                <w:szCs w:val="18"/>
                <w:color w:val="auto"/>
              </w:rPr>
              <w:t>(26 )</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230"/>
              <w:spacing w:after="0" w:line="182" w:lineRule="exact"/>
              <w:rPr>
                <w:sz w:val="20"/>
                <w:szCs w:val="20"/>
                <w:color w:val="auto"/>
              </w:rPr>
            </w:pPr>
            <w:r>
              <w:rPr>
                <w:rFonts w:ascii="Arial" w:cs="Arial" w:eastAsia="Arial" w:hAnsi="Arial"/>
                <w:sz w:val="18"/>
                <w:szCs w:val="18"/>
                <w:color w:val="auto"/>
              </w:rPr>
              <w:t>n.m.</w:t>
            </w:r>
          </w:p>
        </w:tc>
      </w:tr>
      <w:tr>
        <w:trPr>
          <w:trHeight w:val="20"/>
        </w:trPr>
        <w:tc>
          <w:tcPr>
            <w:tcW w:w="53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3"/>
        </w:trPr>
        <w:tc>
          <w:tcPr>
            <w:tcW w:w="53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 xml:space="preserve">Adjusted EBITDA Margin by Segment </w:t>
            </w:r>
            <w:r>
              <w:rPr>
                <w:rFonts w:ascii="Arial" w:cs="Arial" w:eastAsia="Arial" w:hAnsi="Arial"/>
                <w:sz w:val="14"/>
                <w:szCs w:val="14"/>
                <w:color w:val="auto"/>
              </w:rPr>
              <w:t>(1)</w:t>
            </w:r>
            <w:r>
              <w:rPr>
                <w:rFonts w:ascii="Arial" w:cs="Arial" w:eastAsia="Arial" w:hAnsi="Arial"/>
                <w:sz w:val="18"/>
                <w:szCs w:val="18"/>
                <w:color w:val="auto"/>
              </w:rPr>
              <w:t>:</w:t>
            </w:r>
          </w:p>
        </w:tc>
        <w:tc>
          <w:tcPr>
            <w:tcW w:w="10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r>
      <w:tr>
        <w:trPr>
          <w:trHeight w:val="203"/>
        </w:trPr>
        <w:tc>
          <w:tcPr>
            <w:tcW w:w="5300" w:type="dxa"/>
            <w:vAlign w:val="bottom"/>
          </w:tcPr>
          <w:p>
            <w:pPr>
              <w:ind w:left="20"/>
              <w:spacing w:after="0" w:line="202" w:lineRule="exact"/>
              <w:rPr>
                <w:sz w:val="20"/>
                <w:szCs w:val="20"/>
                <w:color w:val="auto"/>
              </w:rPr>
            </w:pPr>
            <w:r>
              <w:rPr>
                <w:rFonts w:ascii="Arial" w:cs="Arial" w:eastAsia="Arial" w:hAnsi="Arial"/>
                <w:sz w:val="18"/>
                <w:szCs w:val="18"/>
                <w:color w:val="auto"/>
              </w:rPr>
              <w:t>Hotels, Media &amp; Platform</w:t>
            </w:r>
          </w:p>
        </w:tc>
        <w:tc>
          <w:tcPr>
            <w:tcW w:w="1080" w:type="dxa"/>
            <w:vAlign w:val="bottom"/>
          </w:tcPr>
          <w:p>
            <w:pPr>
              <w:spacing w:after="0"/>
              <w:rPr>
                <w:sz w:val="17"/>
                <w:szCs w:val="17"/>
                <w:color w:val="auto"/>
              </w:rPr>
            </w:pPr>
          </w:p>
        </w:tc>
        <w:tc>
          <w:tcPr>
            <w:tcW w:w="7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29 %</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(3 )%</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53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Experiences &amp; Dining</w:t>
            </w:r>
          </w:p>
        </w:tc>
        <w:tc>
          <w:tcPr>
            <w:tcW w:w="1080" w:type="dxa"/>
            <w:vAlign w:val="bottom"/>
            <w:shd w:val="clear" w:color="auto" w:fill="CFF0FC"/>
          </w:tcPr>
          <w:p>
            <w:pPr>
              <w:spacing w:after="0"/>
              <w:rPr>
                <w:sz w:val="17"/>
                <w:szCs w:val="17"/>
                <w:color w:val="auto"/>
              </w:rPr>
            </w:pPr>
          </w:p>
        </w:tc>
        <w:tc>
          <w:tcPr>
            <w:tcW w:w="720" w:type="dxa"/>
            <w:vAlign w:val="bottom"/>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(24 )%</w:t>
            </w: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(86 )%</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30 %</w:t>
            </w: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14 %</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-4634865</wp:posOffset>
            </wp:positionV>
            <wp:extent cx="6032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-4634865</wp:posOffset>
            </wp:positionV>
            <wp:extent cx="5143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-4111625</wp:posOffset>
            </wp:positionV>
            <wp:extent cx="6032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-4111625</wp:posOffset>
            </wp:positionV>
            <wp:extent cx="5143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-3574415</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-3557270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-3574415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-3557270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-1234440</wp:posOffset>
            </wp:positionV>
            <wp:extent cx="2057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-1217295</wp:posOffset>
            </wp:positionV>
            <wp:extent cx="2057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-1234440</wp:posOffset>
            </wp:positionV>
            <wp:extent cx="1968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-1217295</wp:posOffset>
            </wp:positionV>
            <wp:extent cx="1968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-691515</wp:posOffset>
            </wp:positionV>
            <wp:extent cx="2057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-691515</wp:posOffset>
            </wp:positionV>
            <wp:extent cx="19685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6850" cy="57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xml:space="preserve">n.m. = </w:t>
      </w:r>
      <w:r>
        <w:rPr>
          <w:rFonts w:ascii="Arial" w:cs="Arial" w:eastAsia="Arial" w:hAnsi="Arial"/>
          <w:sz w:val="14"/>
          <w:szCs w:val="14"/>
          <w:i w:val="1"/>
          <w:iCs w:val="1"/>
          <w:color w:val="auto"/>
        </w:rPr>
        <w:t>not meaningful</w:t>
      </w:r>
    </w:p>
    <w:p>
      <w:pPr>
        <w:spacing w:after="0" w:line="109" w:lineRule="exact"/>
        <w:rPr>
          <w:sz w:val="20"/>
          <w:szCs w:val="20"/>
          <w:color w:val="auto"/>
        </w:rPr>
      </w:pPr>
    </w:p>
    <w:p>
      <w:pPr>
        <w:ind w:left="840" w:hanging="383"/>
        <w:spacing w:after="0"/>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"Adjusted EBITDA Margin by Segment" is defined as Adjusted EBITDA by segment divided by revenue by segment.</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12" w:lineRule="exact"/>
        <w:rPr>
          <w:sz w:val="20"/>
          <w:szCs w:val="20"/>
          <w:color w:val="auto"/>
        </w:rPr>
      </w:pPr>
    </w:p>
    <w:p>
      <w:pPr>
        <w:ind w:right="260" w:firstLine="509"/>
        <w:spacing w:after="0" w:line="244" w:lineRule="auto"/>
        <w:rPr>
          <w:sz w:val="20"/>
          <w:szCs w:val="20"/>
          <w:color w:val="auto"/>
        </w:rPr>
      </w:pPr>
      <w:r>
        <w:rPr>
          <w:rFonts w:ascii="Arial" w:cs="Arial" w:eastAsia="Arial" w:hAnsi="Arial"/>
          <w:sz w:val="18"/>
          <w:szCs w:val="18"/>
          <w:color w:val="auto"/>
        </w:rPr>
        <w:t>Hotels, Media &amp; Platform segment revenue increased by $72 million, or 82%, during the three months ended March 31, 2022, when compared to the same period in 2021, primarily due to increased hotel auction revenue, particularly in the U.S. and Europe, and,</w:t>
      </w: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ind w:right="200"/>
        <w:spacing w:after="0" w:line="261" w:lineRule="auto"/>
        <w:rPr>
          <w:sz w:val="20"/>
          <w:szCs w:val="20"/>
          <w:color w:val="auto"/>
        </w:rPr>
      </w:pPr>
      <w:r>
        <w:rPr>
          <w:rFonts w:ascii="Arial" w:cs="Arial" w:eastAsia="Arial" w:hAnsi="Arial"/>
          <w:sz w:val="18"/>
          <w:szCs w:val="18"/>
          <w:color w:val="auto"/>
        </w:rPr>
        <w:t>to a lesser extent, an increase in Tripadvisor-branded display and platform revenue, due to the impact of growing consumer travel demand and increasing travel industry recovery on our business, as discussed above.</w:t>
      </w:r>
    </w:p>
    <w:p>
      <w:pPr>
        <w:spacing w:after="0" w:line="17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Adjusted EBITDA in our Hotels, Media &amp; Platform segment increased $49 million during the three months ended March 31, 2022, when compared to the same period in 2021. This was primarily due to an increase in revenue as noted above, partially offset by an increase in direct selling and marketing expenses related to search engine marketing, or SEM, and other online paid traffic acquisition costs in response to increasing consumer travel demand as travel restrictions ease, vaccination rates increase, and the travel industry recovers.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detailed discussion of the revenue sources within our Hotels, Media &amp; Platform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2"/>
              </w:rPr>
              <w:t>Three months ended March 31,</w:t>
            </w:r>
          </w:p>
        </w:tc>
        <w:tc>
          <w:tcPr>
            <w:tcW w:w="11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Change</w:t>
            </w:r>
          </w:p>
        </w:tc>
      </w:tr>
      <w:tr>
        <w:trPr>
          <w:trHeight w:val="169"/>
        </w:trPr>
        <w:tc>
          <w:tcPr>
            <w:tcW w:w="478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 vs. 2021</w:t>
            </w:r>
          </w:p>
        </w:tc>
        <w:tc>
          <w:tcPr>
            <w:tcW w:w="220" w:type="dxa"/>
            <w:vAlign w:val="bottom"/>
          </w:tcPr>
          <w:p>
            <w:pPr>
              <w:spacing w:after="0"/>
              <w:rPr>
                <w:sz w:val="14"/>
                <w:szCs w:val="14"/>
                <w:color w:val="auto"/>
              </w:rPr>
            </w:pPr>
          </w:p>
        </w:tc>
      </w:tr>
      <w:tr>
        <w:trPr>
          <w:trHeight w:val="169"/>
        </w:trPr>
        <w:tc>
          <w:tcPr>
            <w:tcW w:w="4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6"/>
              </w:rPr>
              <w:t>millions)</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3"/>
        </w:trPr>
        <w:tc>
          <w:tcPr>
            <w:tcW w:w="4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Hotels, Media &amp; Platform:</w:t>
            </w:r>
          </w:p>
        </w:tc>
        <w:tc>
          <w:tcPr>
            <w:tcW w:w="1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4780" w:type="dxa"/>
            <w:vAlign w:val="bottom"/>
          </w:tcPr>
          <w:p>
            <w:pPr>
              <w:ind w:left="20"/>
              <w:spacing w:after="0" w:line="202" w:lineRule="exact"/>
              <w:rPr>
                <w:sz w:val="20"/>
                <w:szCs w:val="20"/>
                <w:color w:val="auto"/>
              </w:rPr>
            </w:pPr>
            <w:r>
              <w:rPr>
                <w:rFonts w:ascii="Arial" w:cs="Arial" w:eastAsia="Arial" w:hAnsi="Arial"/>
                <w:sz w:val="18"/>
                <w:szCs w:val="18"/>
                <w:color w:val="auto"/>
              </w:rPr>
              <w:t>Tripadvisor-branded hotels</w:t>
            </w:r>
          </w:p>
        </w:tc>
        <w:tc>
          <w:tcPr>
            <w:tcW w:w="1120" w:type="dxa"/>
            <w:vAlign w:val="bottom"/>
          </w:tcPr>
          <w:p>
            <w:pPr>
              <w:jc w:val="right"/>
              <w:ind w:right="936"/>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c>
          <w:tcPr>
            <w:tcW w:w="112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22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84 %</w:t>
            </w:r>
          </w:p>
        </w:tc>
      </w:tr>
      <w:tr>
        <w:trPr>
          <w:trHeight w:val="203"/>
        </w:trPr>
        <w:tc>
          <w:tcPr>
            <w:tcW w:w="47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Tripadvisor-branded display and platform</w:t>
            </w:r>
          </w:p>
        </w:tc>
        <w:tc>
          <w:tcPr>
            <w:tcW w:w="11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3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2280" w:type="dxa"/>
            <w:vAlign w:val="bottom"/>
            <w:tcBorders>
              <w:bottom w:val="single" w:sz="8" w:color="CFF0FC"/>
            </w:tcBorders>
            <w:gridSpan w:val="3"/>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71 %</w:t>
            </w:r>
          </w:p>
        </w:tc>
      </w:tr>
      <w:tr>
        <w:trPr>
          <w:trHeight w:val="196"/>
        </w:trPr>
        <w:tc>
          <w:tcPr>
            <w:tcW w:w="4780" w:type="dxa"/>
            <w:vAlign w:val="bottom"/>
          </w:tcPr>
          <w:p>
            <w:pPr>
              <w:ind w:left="200"/>
              <w:spacing w:after="0" w:line="182" w:lineRule="exact"/>
              <w:rPr>
                <w:sz w:val="20"/>
                <w:szCs w:val="20"/>
                <w:color w:val="auto"/>
              </w:rPr>
            </w:pPr>
            <w:r>
              <w:rPr>
                <w:rFonts w:ascii="Arial" w:cs="Arial" w:eastAsia="Arial" w:hAnsi="Arial"/>
                <w:sz w:val="18"/>
                <w:szCs w:val="18"/>
                <w:color w:val="auto"/>
              </w:rPr>
              <w:t>Total Hotels, Media &amp; Platform revenue</w:t>
            </w:r>
          </w:p>
        </w:tc>
        <w:tc>
          <w:tcPr>
            <w:tcW w:w="1120" w:type="dxa"/>
            <w:vAlign w:val="bottom"/>
          </w:tcPr>
          <w:p>
            <w:pPr>
              <w:jc w:val="right"/>
              <w:ind w:right="936"/>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160</w:t>
            </w:r>
          </w:p>
        </w:tc>
        <w:tc>
          <w:tcPr>
            <w:tcW w:w="1120" w:type="dxa"/>
            <w:vAlign w:val="bottom"/>
            <w:gridSpan w:val="2"/>
          </w:tcPr>
          <w:p>
            <w:pPr>
              <w:jc w:val="right"/>
              <w:ind w:right="70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c>
          <w:tcPr>
            <w:tcW w:w="2280" w:type="dxa"/>
            <w:vAlign w:val="bottom"/>
            <w:gridSpan w:val="3"/>
          </w:tcPr>
          <w:p>
            <w:pPr>
              <w:jc w:val="right"/>
              <w:ind w:right="60"/>
              <w:spacing w:after="0" w:line="182" w:lineRule="exact"/>
              <w:rPr>
                <w:sz w:val="20"/>
                <w:szCs w:val="20"/>
                <w:color w:val="auto"/>
              </w:rPr>
            </w:pPr>
            <w:r>
              <w:rPr>
                <w:rFonts w:ascii="Arial" w:cs="Arial" w:eastAsia="Arial" w:hAnsi="Arial"/>
                <w:sz w:val="18"/>
                <w:szCs w:val="18"/>
                <w:color w:val="auto"/>
              </w:rPr>
              <w:t>82 %</w:t>
            </w:r>
          </w:p>
        </w:tc>
      </w:tr>
      <w:tr>
        <w:trPr>
          <w:trHeight w:val="20"/>
        </w:trPr>
        <w:tc>
          <w:tcPr>
            <w:tcW w:w="47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-159385</wp:posOffset>
            </wp:positionV>
            <wp:extent cx="431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-159385</wp:posOffset>
            </wp:positionV>
            <wp:extent cx="3429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Hotels Revenue</w:t>
      </w:r>
    </w:p>
    <w:p>
      <w:pPr>
        <w:spacing w:after="0" w:line="104"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For the three months ended March 31, 2022 and 2021, 85% and 84%, respectively, of our total Hotels, Media &amp; Platform segment revenue was derived from Tripadvisor-branded hotels revenue. Tripadvisor-branded hotels revenue increased $62 million, or 84%, during the three months ended March 31, 2022, when compared to the same period in 2021. This increase was primarily driven by our hotel auction revenue across all markets, particularly in the U.S. and our largest European markets, and, to a lesser extent, an increase in hotel auction revenue in the rest of the world, despite the impact of the Omicron variant early in the first quarter of 2022, due to rising consumer travel demand and travel industry recovery, given rising vaccination rates and easing of government travel and leisure restrictions. As consumer travel demand continued to increase during the first quarter of 2022, the Company saw continued improvement in hotel auction monetization, as CPC rates during the first quarter of 2022 were near or exceeded parity of 2019's comparable period, driven by continued strength in the U.S. and improving trends in Europe and the rest of the world, which enabled increased efficient marketing investment on performance channels, enhancing our 2022 hotel auction revenue growth. See “</w:t>
      </w:r>
      <w:r>
        <w:rPr>
          <w:rFonts w:ascii="Arial" w:cs="Arial" w:eastAsia="Arial" w:hAnsi="Arial"/>
          <w:sz w:val="16"/>
          <w:szCs w:val="16"/>
          <w:i w:val="1"/>
          <w:iCs w:val="1"/>
          <w:color w:val="auto"/>
        </w:rPr>
        <w:t>Business Trends</w:t>
      </w:r>
      <w:r>
        <w:rPr>
          <w:rFonts w:ascii="Arial" w:cs="Arial" w:eastAsia="Arial" w:hAnsi="Arial"/>
          <w:sz w:val="16"/>
          <w:szCs w:val="16"/>
          <w:color w:val="auto"/>
        </w:rPr>
        <w:t>” above for further discussion.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Display and Platform Revenue</w:t>
      </w:r>
    </w:p>
    <w:p>
      <w:pPr>
        <w:spacing w:after="0" w:line="104" w:lineRule="exact"/>
        <w:rPr>
          <w:sz w:val="20"/>
          <w:szCs w:val="20"/>
          <w:color w:val="auto"/>
        </w:rPr>
      </w:pPr>
    </w:p>
    <w:p>
      <w:pPr>
        <w:jc w:val="both"/>
        <w:ind w:right="80" w:firstLine="509"/>
        <w:spacing w:after="0" w:line="324" w:lineRule="auto"/>
        <w:rPr>
          <w:sz w:val="20"/>
          <w:szCs w:val="20"/>
          <w:color w:val="auto"/>
        </w:rPr>
      </w:pPr>
      <w:r>
        <w:rPr>
          <w:rFonts w:ascii="Arial" w:cs="Arial" w:eastAsia="Arial" w:hAnsi="Arial"/>
          <w:sz w:val="16"/>
          <w:szCs w:val="16"/>
          <w:color w:val="auto"/>
        </w:rPr>
        <w:t>For the three months ended March 31, 2022 and 2021, 15% and 16%, respectively, of Hotels, Media &amp; Platform segment revenue was derived from our Tripadvisor-branded display and platform revenue, which consists of revenue from Tripadvisor-branded display-based advertising across our platform.</w:t>
      </w:r>
    </w:p>
    <w:p>
      <w:pPr>
        <w:spacing w:after="0" w:line="124" w:lineRule="exact"/>
        <w:rPr>
          <w:sz w:val="20"/>
          <w:szCs w:val="20"/>
          <w:color w:val="auto"/>
        </w:rPr>
      </w:pPr>
    </w:p>
    <w:p>
      <w:pPr>
        <w:jc w:val="both"/>
        <w:ind w:right="360" w:firstLine="509"/>
        <w:spacing w:after="0" w:line="248" w:lineRule="auto"/>
        <w:rPr>
          <w:sz w:val="20"/>
          <w:szCs w:val="20"/>
          <w:color w:val="auto"/>
        </w:rPr>
      </w:pPr>
      <w:r>
        <w:rPr>
          <w:rFonts w:ascii="Arial" w:cs="Arial" w:eastAsia="Arial" w:hAnsi="Arial"/>
          <w:sz w:val="18"/>
          <w:szCs w:val="18"/>
          <w:color w:val="auto"/>
        </w:rPr>
        <w:t>Tripadvisor-branded display-based advertising revenue increased by $10 million, or 71%, during the three months ended March 31, 2022, when compared to the same period in 2021, primarily driven by an increase in marketing spend from our advertisers in correlation with increasing consumer travel demand, as discussed above.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12" w:lineRule="exact"/>
        <w:rPr>
          <w:sz w:val="20"/>
          <w:szCs w:val="20"/>
          <w:color w:val="auto"/>
        </w:rPr>
      </w:pPr>
    </w:p>
    <w:p>
      <w:pPr>
        <w:ind w:right="160" w:firstLine="509"/>
        <w:spacing w:after="0" w:line="294" w:lineRule="auto"/>
        <w:rPr>
          <w:sz w:val="20"/>
          <w:szCs w:val="20"/>
          <w:color w:val="auto"/>
        </w:rPr>
      </w:pPr>
      <w:r>
        <w:rPr>
          <w:rFonts w:ascii="Arial" w:cs="Arial" w:eastAsia="Arial" w:hAnsi="Arial"/>
          <w:sz w:val="16"/>
          <w:szCs w:val="16"/>
          <w:color w:val="auto"/>
        </w:rPr>
        <w:t>Experiences &amp; Dining segment revenue increased by $64 million, or 229%, during the three months ended March 31, 2022, when compared to the same period in 2021, driven by both experiences and dining revenue, as a result of the growing consumer travel demand recovery, driven by vaccine progress and various government restrictions being lifted during the same time period, which is discussed further in “</w:t>
      </w:r>
      <w:r>
        <w:rPr>
          <w:rFonts w:ascii="Arial" w:cs="Arial" w:eastAsia="Arial" w:hAnsi="Arial"/>
          <w:sz w:val="16"/>
          <w:szCs w:val="16"/>
          <w:i w:val="1"/>
          <w:iCs w:val="1"/>
          <w:color w:val="auto"/>
        </w:rPr>
        <w:t>Business Trends</w:t>
      </w:r>
      <w:r>
        <w:rPr>
          <w:rFonts w:ascii="Arial" w:cs="Arial" w:eastAsia="Arial" w:hAnsi="Arial"/>
          <w:sz w:val="16"/>
          <w:szCs w:val="16"/>
          <w:color w:val="auto"/>
        </w:rPr>
        <w:t>” above.</w:t>
      </w:r>
    </w:p>
    <w:p>
      <w:pPr>
        <w:spacing w:after="0" w:line="147" w:lineRule="exact"/>
        <w:rPr>
          <w:sz w:val="20"/>
          <w:szCs w:val="20"/>
          <w:color w:val="auto"/>
        </w:rPr>
      </w:pPr>
    </w:p>
    <w:p>
      <w:pPr>
        <w:ind w:right="60" w:firstLine="509"/>
        <w:spacing w:after="0" w:line="251" w:lineRule="auto"/>
        <w:rPr>
          <w:sz w:val="20"/>
          <w:szCs w:val="20"/>
          <w:color w:val="auto"/>
        </w:rPr>
      </w:pPr>
      <w:r>
        <w:rPr>
          <w:rFonts w:ascii="Arial" w:cs="Arial" w:eastAsia="Arial" w:hAnsi="Arial"/>
          <w:sz w:val="17"/>
          <w:szCs w:val="17"/>
          <w:color w:val="auto"/>
        </w:rPr>
        <w:t>Experiences &amp; Dining segment Adjusted EBITDA loss of $22 million for the three months ended March 31, 2022, decreased by $2 million during the three months ended March 31, 2022 when compared to the same period in 2021, primarily due to an increase in revenue as noted above, largely offset by an increase in selling and marketing expenses related to SEM and other online paid traffic acquisition costs in response to increased consumer demand for experiences and restaurants as part of the growing consumer travel demand recovery and, to a lesser extent, an increase in personnel and overhead costs to help support business growth during the growing travel demand recovery and increased direct costs from credit card payments and other revenue-related transaction costs in direct correlation with the increase in revenue.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b w:val="1"/>
          <w:bCs w:val="1"/>
          <w:i w:val="1"/>
          <w:iCs w:val="1"/>
          <w:color w:val="auto"/>
        </w:rPr>
        <w:t>Other</w:t>
      </w:r>
    </w:p>
    <w:p>
      <w:pPr>
        <w:spacing w:after="0" w:line="212"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Other revenue, which includes Rentals revenue, in addition to primarily click-based advertising and display-based advertising revenue from our Flights &amp; Cars, and Cruises offerings on Tripadvisor websites and mobile apps, increased by $3 million or 43% during the year ended March 31, 2022, when compared to the same period in 2021, primarily due to the impact of growing consumer travel demand and increasing travel industry recovery on our business, as discussed above.</w:t>
      </w:r>
    </w:p>
    <w:p>
      <w:pPr>
        <w:spacing w:after="0" w:line="188" w:lineRule="exact"/>
        <w:rPr>
          <w:sz w:val="20"/>
          <w:szCs w:val="20"/>
          <w:color w:val="auto"/>
        </w:rPr>
      </w:pPr>
    </w:p>
    <w:p>
      <w:pPr>
        <w:ind w:right="480" w:firstLine="554"/>
        <w:spacing w:after="0" w:line="261" w:lineRule="auto"/>
        <w:rPr>
          <w:sz w:val="20"/>
          <w:szCs w:val="20"/>
          <w:color w:val="auto"/>
        </w:rPr>
      </w:pPr>
      <w:r>
        <w:rPr>
          <w:rFonts w:ascii="Arial" w:cs="Arial" w:eastAsia="Arial" w:hAnsi="Arial"/>
          <w:sz w:val="18"/>
          <w:szCs w:val="18"/>
          <w:color w:val="auto"/>
        </w:rPr>
        <w:t>Adjusted EBITDA in Other increased $2 million or 200% during the year ended March 31, 2022, when compared to the same period in 2021, primarily due to an increase in revenue as noted above.</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Consolidated Expenses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2" w:lineRule="exact"/>
        <w:rPr>
          <w:sz w:val="20"/>
          <w:szCs w:val="20"/>
          <w:color w:val="auto"/>
        </w:rPr>
      </w:pPr>
    </w:p>
    <w:p>
      <w:pPr>
        <w:ind w:right="200" w:firstLine="509"/>
        <w:spacing w:after="0" w:line="262" w:lineRule="auto"/>
        <w:rPr>
          <w:sz w:val="20"/>
          <w:szCs w:val="20"/>
          <w:color w:val="auto"/>
        </w:rPr>
      </w:pPr>
      <w:r>
        <w:rPr>
          <w:rFonts w:ascii="Arial" w:cs="Arial" w:eastAsia="Arial" w:hAnsi="Arial"/>
          <w:sz w:val="17"/>
          <w:szCs w:val="17"/>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w w:val="93"/>
              </w:rPr>
              <w:t>Three months ended March 31,</w:t>
            </w:r>
          </w:p>
        </w:tc>
        <w:tc>
          <w:tcPr>
            <w:tcW w:w="50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 Change</w:t>
            </w:r>
          </w:p>
        </w:tc>
      </w:tr>
      <w:tr>
        <w:trPr>
          <w:trHeight w:val="169"/>
        </w:trPr>
        <w:tc>
          <w:tcPr>
            <w:tcW w:w="466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320" w:type="dxa"/>
            <w:vAlign w:val="bottom"/>
          </w:tcPr>
          <w:p>
            <w:pPr>
              <w:spacing w:after="0"/>
              <w:rPr>
                <w:sz w:val="14"/>
                <w:szCs w:val="14"/>
                <w:color w:val="auto"/>
              </w:rPr>
            </w:pPr>
          </w:p>
        </w:tc>
      </w:tr>
      <w:tr>
        <w:trPr>
          <w:trHeight w:val="169"/>
        </w:trPr>
        <w:tc>
          <w:tcPr>
            <w:tcW w:w="4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780" w:type="dxa"/>
            <w:vAlign w:val="bottom"/>
            <w:gridSpan w:val="2"/>
          </w:tcPr>
          <w:p>
            <w:pPr>
              <w:jc w:val="right"/>
              <w:ind w:right="1116"/>
              <w:spacing w:after="0"/>
              <w:rPr>
                <w:sz w:val="20"/>
                <w:szCs w:val="20"/>
                <w:color w:val="auto"/>
              </w:rPr>
            </w:pPr>
            <w:r>
              <w:rPr>
                <w:rFonts w:ascii="Arial" w:cs="Arial" w:eastAsia="Arial" w:hAnsi="Arial"/>
                <w:sz w:val="14"/>
                <w:szCs w:val="14"/>
                <w:b w:val="1"/>
                <w:bCs w:val="1"/>
                <w:color w:val="auto"/>
                <w:w w:val="97"/>
              </w:rPr>
              <w:t>millions)</w:t>
            </w: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03"/>
        </w:trPr>
        <w:tc>
          <w:tcPr>
            <w:tcW w:w="4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Direct costs</w:t>
            </w:r>
          </w:p>
        </w:tc>
        <w:tc>
          <w:tcPr>
            <w:tcW w:w="1100" w:type="dxa"/>
            <w:vAlign w:val="bottom"/>
            <w:shd w:val="clear" w:color="auto" w:fill="CFF0FC"/>
          </w:tcPr>
          <w:p>
            <w:pPr>
              <w:jc w:val="right"/>
              <w:ind w:right="916"/>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44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156"/>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400" w:type="dxa"/>
            <w:vAlign w:val="bottom"/>
            <w:shd w:val="clear" w:color="auto" w:fill="CFF0FC"/>
          </w:tcPr>
          <w:p>
            <w:pPr>
              <w:spacing w:after="0"/>
              <w:rPr>
                <w:sz w:val="17"/>
                <w:szCs w:val="17"/>
                <w:color w:val="auto"/>
              </w:rPr>
            </w:pPr>
          </w:p>
        </w:tc>
        <w:tc>
          <w:tcPr>
            <w:tcW w:w="20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114 %</w:t>
            </w: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Personnel and overhead</w:t>
            </w:r>
          </w:p>
        </w:tc>
        <w:tc>
          <w:tcPr>
            <w:tcW w:w="1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44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400" w:type="dxa"/>
            <w:vAlign w:val="bottom"/>
          </w:tcPr>
          <w:p>
            <w:pPr>
              <w:spacing w:after="0"/>
              <w:rPr>
                <w:sz w:val="17"/>
                <w:szCs w:val="17"/>
                <w:color w:val="auto"/>
              </w:rPr>
            </w:pPr>
          </w:p>
        </w:tc>
        <w:tc>
          <w:tcPr>
            <w:tcW w:w="2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40 %</w:t>
            </w:r>
          </w:p>
        </w:tc>
      </w:tr>
      <w:tr>
        <w:trPr>
          <w:trHeight w:val="236"/>
        </w:trPr>
        <w:tc>
          <w:tcPr>
            <w:tcW w:w="466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 cost of revenue</w:t>
            </w:r>
          </w:p>
        </w:tc>
        <w:tc>
          <w:tcPr>
            <w:tcW w:w="1100" w:type="dxa"/>
            <w:vAlign w:val="bottom"/>
            <w:tcBorders>
              <w:bottom w:val="single" w:sz="8" w:color="auto"/>
            </w:tcBorders>
            <w:shd w:val="clear" w:color="auto" w:fill="CFF0FC"/>
          </w:tcPr>
          <w:p>
            <w:pPr>
              <w:jc w:val="right"/>
              <w:ind w:right="916"/>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w:t>
            </w:r>
          </w:p>
        </w:tc>
        <w:tc>
          <w:tcPr>
            <w:tcW w:w="4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1156"/>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w:t>
            </w:r>
          </w:p>
        </w:tc>
        <w:tc>
          <w:tcPr>
            <w:tcW w:w="400" w:type="dxa"/>
            <w:vAlign w:val="bottom"/>
            <w:tcBorders>
              <w:bottom w:val="single" w:sz="8" w:color="CFF0FC"/>
            </w:tcBorders>
            <w:shd w:val="clear" w:color="auto" w:fill="CFF0FC"/>
          </w:tcPr>
          <w:p>
            <w:pPr>
              <w:spacing w:after="0"/>
              <w:rPr>
                <w:sz w:val="20"/>
                <w:szCs w:val="20"/>
                <w:color w:val="auto"/>
              </w:rPr>
            </w:pPr>
          </w:p>
        </w:tc>
        <w:tc>
          <w:tcPr>
            <w:tcW w:w="2040" w:type="dxa"/>
            <w:vAlign w:val="bottom"/>
            <w:tcBorders>
              <w:bottom w:val="single" w:sz="8" w:color="CFF0FC"/>
            </w:tcBorders>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83 %</w:t>
            </w:r>
          </w:p>
        </w:tc>
      </w:tr>
      <w:tr>
        <w:trPr>
          <w:trHeight w:val="211"/>
        </w:trPr>
        <w:tc>
          <w:tcPr>
            <w:tcW w:w="4660" w:type="dxa"/>
            <w:vAlign w:val="bottom"/>
          </w:tcPr>
          <w:p>
            <w:pPr>
              <w:ind w:left="200"/>
              <w:spacing w:after="0"/>
              <w:rPr>
                <w:sz w:val="20"/>
                <w:szCs w:val="20"/>
                <w:color w:val="auto"/>
              </w:rPr>
            </w:pPr>
            <w:r>
              <w:rPr>
                <w:rFonts w:ascii="Arial" w:cs="Arial" w:eastAsia="Arial" w:hAnsi="Arial"/>
                <w:sz w:val="18"/>
                <w:szCs w:val="18"/>
                <w:color w:val="auto"/>
              </w:rPr>
              <w:t>% of revenue</w:t>
            </w:r>
          </w:p>
        </w:tc>
        <w:tc>
          <w:tcPr>
            <w:tcW w:w="1100" w:type="dxa"/>
            <w:vAlign w:val="bottom"/>
          </w:tcPr>
          <w:p>
            <w:pPr>
              <w:spacing w:after="0"/>
              <w:rPr>
                <w:sz w:val="18"/>
                <w:szCs w:val="18"/>
                <w:color w:val="auto"/>
              </w:rPr>
            </w:pPr>
          </w:p>
        </w:tc>
        <w:tc>
          <w:tcPr>
            <w:tcW w:w="1200" w:type="dxa"/>
            <w:vAlign w:val="bottom"/>
            <w:gridSpan w:val="2"/>
          </w:tcPr>
          <w:p>
            <w:pPr>
              <w:jc w:val="right"/>
              <w:ind w:right="188"/>
              <w:spacing w:after="0"/>
              <w:rPr>
                <w:sz w:val="20"/>
                <w:szCs w:val="20"/>
                <w:color w:val="auto"/>
              </w:rPr>
            </w:pPr>
            <w:r>
              <w:rPr>
                <w:rFonts w:ascii="Arial" w:cs="Arial" w:eastAsia="Arial" w:hAnsi="Arial"/>
                <w:sz w:val="18"/>
                <w:szCs w:val="18"/>
                <w:color w:val="auto"/>
              </w:rPr>
              <w:t>8.4 %</w:t>
            </w:r>
          </w:p>
        </w:tc>
        <w:tc>
          <w:tcPr>
            <w:tcW w:w="13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9.8 %</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-171450</wp:posOffset>
            </wp:positionV>
            <wp:extent cx="1543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-154305</wp:posOffset>
            </wp:positionV>
            <wp:extent cx="1543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-171450</wp:posOffset>
            </wp:positionV>
            <wp:extent cx="1460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-154305</wp:posOffset>
            </wp:positionV>
            <wp:extent cx="1460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5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Cost of revenue increased $10 million during the three months ended March 31, 2022, when compared to the same period in 2021, primarily due to increased direct costs from credit card payment and other revenue-related transaction costs in our Experiences &amp; Dining segment in direct correlation with the increase in revenue, as well as, and to a lesser extent, an increase in contingent staff costs to help support business growth across all segments during the growing travel demand recovery.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39"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Selling and marketing expenses consist of direct costs, including traffic generation costs from SEM and other online traffic acquisition costs, syndication costs and affiliate marketing commissions, social media costs, brand advertising (including television and other offline advertising), promotions and public relations. In addition, our selling and marketing expenses consist of indirect costs such as personnel and overhead expenses, including salaries, commissions, benefits, stock-based compensation, and bonuses for sales, sales support, customer support and marketing employees.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w w:val="93"/>
              </w:rPr>
              <w:t>Three months ended March 31,</w:t>
            </w:r>
          </w:p>
        </w:tc>
        <w:tc>
          <w:tcPr>
            <w:tcW w:w="54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 Change</w:t>
            </w:r>
          </w:p>
        </w:tc>
      </w:tr>
      <w:tr>
        <w:trPr>
          <w:trHeight w:val="169"/>
        </w:trPr>
        <w:tc>
          <w:tcPr>
            <w:tcW w:w="468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320" w:type="dxa"/>
            <w:vAlign w:val="bottom"/>
          </w:tcPr>
          <w:p>
            <w:pPr>
              <w:spacing w:after="0"/>
              <w:rPr>
                <w:sz w:val="14"/>
                <w:szCs w:val="14"/>
                <w:color w:val="auto"/>
              </w:rPr>
            </w:pPr>
          </w:p>
        </w:tc>
      </w:tr>
      <w:tr>
        <w:trPr>
          <w:trHeight w:val="169"/>
        </w:trPr>
        <w:tc>
          <w:tcPr>
            <w:tcW w:w="4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720" w:type="dxa"/>
            <w:vAlign w:val="bottom"/>
            <w:gridSpan w:val="2"/>
          </w:tcPr>
          <w:p>
            <w:pPr>
              <w:jc w:val="right"/>
              <w:ind w:right="1056"/>
              <w:spacing w:after="0"/>
              <w:rPr>
                <w:sz w:val="20"/>
                <w:szCs w:val="20"/>
                <w:color w:val="auto"/>
              </w:rPr>
            </w:pPr>
            <w:r>
              <w:rPr>
                <w:rFonts w:ascii="Arial" w:cs="Arial" w:eastAsia="Arial" w:hAnsi="Arial"/>
                <w:sz w:val="14"/>
                <w:szCs w:val="14"/>
                <w:b w:val="1"/>
                <w:bCs w:val="1"/>
                <w:color w:val="auto"/>
                <w:w w:val="97"/>
              </w:rPr>
              <w:t>millions)</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03"/>
        </w:trPr>
        <w:tc>
          <w:tcPr>
            <w:tcW w:w="4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Direct costs</w:t>
            </w:r>
          </w:p>
        </w:tc>
        <w:tc>
          <w:tcPr>
            <w:tcW w:w="1080" w:type="dxa"/>
            <w:vAlign w:val="bottom"/>
            <w:shd w:val="clear" w:color="auto" w:fill="CFF0FC"/>
          </w:tcPr>
          <w:p>
            <w:pPr>
              <w:jc w:val="right"/>
              <w:ind w:right="896"/>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w:t>
            </w:r>
          </w:p>
        </w:tc>
        <w:tc>
          <w:tcPr>
            <w:tcW w:w="4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16"/>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400" w:type="dxa"/>
            <w:vAlign w:val="bottom"/>
            <w:shd w:val="clear" w:color="auto" w:fill="CFF0FC"/>
          </w:tcPr>
          <w:p>
            <w:pPr>
              <w:spacing w:after="0"/>
              <w:rPr>
                <w:sz w:val="17"/>
                <w:szCs w:val="17"/>
                <w:color w:val="auto"/>
              </w:rPr>
            </w:pPr>
          </w:p>
        </w:tc>
        <w:tc>
          <w:tcPr>
            <w:tcW w:w="20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224 %</w:t>
            </w: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Personnel and overhead</w:t>
            </w:r>
          </w:p>
        </w:tc>
        <w:tc>
          <w:tcPr>
            <w:tcW w:w="10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w:t>
            </w:r>
          </w:p>
        </w:tc>
        <w:tc>
          <w:tcPr>
            <w:tcW w:w="42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w:t>
            </w:r>
          </w:p>
        </w:tc>
        <w:tc>
          <w:tcPr>
            <w:tcW w:w="400" w:type="dxa"/>
            <w:vAlign w:val="bottom"/>
          </w:tcPr>
          <w:p>
            <w:pPr>
              <w:spacing w:after="0"/>
              <w:rPr>
                <w:sz w:val="17"/>
                <w:szCs w:val="17"/>
                <w:color w:val="auto"/>
              </w:rPr>
            </w:pPr>
          </w:p>
        </w:tc>
        <w:tc>
          <w:tcPr>
            <w:tcW w:w="2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7 %</w:t>
            </w:r>
          </w:p>
        </w:tc>
      </w:tr>
      <w:tr>
        <w:trPr>
          <w:trHeight w:val="236"/>
        </w:trPr>
        <w:tc>
          <w:tcPr>
            <w:tcW w:w="468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 selling and marketing</w:t>
            </w:r>
          </w:p>
        </w:tc>
        <w:tc>
          <w:tcPr>
            <w:tcW w:w="1080" w:type="dxa"/>
            <w:vAlign w:val="bottom"/>
            <w:tcBorders>
              <w:bottom w:val="single" w:sz="8" w:color="auto"/>
            </w:tcBorders>
            <w:shd w:val="clear" w:color="auto" w:fill="CFF0FC"/>
          </w:tcPr>
          <w:p>
            <w:pPr>
              <w:jc w:val="right"/>
              <w:ind w:right="896"/>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141</w:t>
            </w:r>
          </w:p>
        </w:tc>
        <w:tc>
          <w:tcPr>
            <w:tcW w:w="42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116"/>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73</w:t>
            </w:r>
          </w:p>
        </w:tc>
        <w:tc>
          <w:tcPr>
            <w:tcW w:w="400" w:type="dxa"/>
            <w:vAlign w:val="bottom"/>
            <w:tcBorders>
              <w:bottom w:val="single" w:sz="8" w:color="CFF0FC"/>
            </w:tcBorders>
            <w:shd w:val="clear" w:color="auto" w:fill="CFF0FC"/>
          </w:tcPr>
          <w:p>
            <w:pPr>
              <w:spacing w:after="0"/>
              <w:rPr>
                <w:sz w:val="20"/>
                <w:szCs w:val="20"/>
                <w:color w:val="auto"/>
              </w:rPr>
            </w:pPr>
          </w:p>
        </w:tc>
        <w:tc>
          <w:tcPr>
            <w:tcW w:w="2040" w:type="dxa"/>
            <w:vAlign w:val="bottom"/>
            <w:tcBorders>
              <w:bottom w:val="single" w:sz="8" w:color="CFF0FC"/>
            </w:tcBorders>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93 %</w:t>
            </w:r>
          </w:p>
        </w:tc>
      </w:tr>
      <w:tr>
        <w:trPr>
          <w:trHeight w:val="211"/>
        </w:trPr>
        <w:tc>
          <w:tcPr>
            <w:tcW w:w="4680" w:type="dxa"/>
            <w:vAlign w:val="bottom"/>
          </w:tcPr>
          <w:p>
            <w:pPr>
              <w:ind w:left="200"/>
              <w:spacing w:after="0"/>
              <w:rPr>
                <w:sz w:val="20"/>
                <w:szCs w:val="20"/>
                <w:color w:val="auto"/>
              </w:rPr>
            </w:pPr>
            <w:r>
              <w:rPr>
                <w:rFonts w:ascii="Arial" w:cs="Arial" w:eastAsia="Arial" w:hAnsi="Arial"/>
                <w:sz w:val="18"/>
                <w:szCs w:val="18"/>
                <w:color w:val="auto"/>
              </w:rPr>
              <w:t>% of revenue</w:t>
            </w:r>
          </w:p>
        </w:tc>
        <w:tc>
          <w:tcPr>
            <w:tcW w:w="1080" w:type="dxa"/>
            <w:vAlign w:val="bottom"/>
          </w:tcPr>
          <w:p>
            <w:pPr>
              <w:spacing w:after="0"/>
              <w:rPr>
                <w:sz w:val="18"/>
                <w:szCs w:val="18"/>
                <w:color w:val="auto"/>
              </w:rPr>
            </w:pPr>
          </w:p>
        </w:tc>
        <w:tc>
          <w:tcPr>
            <w:tcW w:w="1200" w:type="dxa"/>
            <w:vAlign w:val="bottom"/>
            <w:gridSpan w:val="2"/>
          </w:tcPr>
          <w:p>
            <w:pPr>
              <w:jc w:val="right"/>
              <w:ind w:right="188"/>
              <w:spacing w:after="0"/>
              <w:rPr>
                <w:sz w:val="20"/>
                <w:szCs w:val="20"/>
                <w:color w:val="auto"/>
              </w:rPr>
            </w:pPr>
            <w:r>
              <w:rPr>
                <w:rFonts w:ascii="Arial" w:cs="Arial" w:eastAsia="Arial" w:hAnsi="Arial"/>
                <w:sz w:val="18"/>
                <w:szCs w:val="18"/>
                <w:color w:val="auto"/>
              </w:rPr>
              <w:t>53.8 %</w:t>
            </w:r>
          </w:p>
        </w:tc>
        <w:tc>
          <w:tcPr>
            <w:tcW w:w="1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59.3 %</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-171450</wp:posOffset>
            </wp:positionV>
            <wp:extent cx="1543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-154305</wp:posOffset>
            </wp:positionV>
            <wp:extent cx="1543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-171450</wp:posOffset>
            </wp:positionV>
            <wp:extent cx="1460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-154305</wp:posOffset>
            </wp:positionV>
            <wp:extent cx="14605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5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Direct selling and marketing costs increased $65 million during the three months ended March 31, 2022, when compared to the same period in 2021, primarily due to an increase of approximately $62 million in SEM and other online traffic acquisition spend, majority of which was in our Experiences &amp; Dining segment, in response to increasing consumer travel demand as travel activity restrictions ease and the travel industry recovers.</w:t>
      </w:r>
    </w:p>
    <w:p>
      <w:pPr>
        <w:spacing w:after="0" w:line="164" w:lineRule="exact"/>
        <w:rPr>
          <w:sz w:val="20"/>
          <w:szCs w:val="20"/>
          <w:color w:val="auto"/>
        </w:rPr>
      </w:pPr>
    </w:p>
    <w:p>
      <w:pPr>
        <w:jc w:val="both"/>
        <w:ind w:right="420" w:firstLine="509"/>
        <w:spacing w:after="0" w:line="274" w:lineRule="auto"/>
        <w:rPr>
          <w:sz w:val="20"/>
          <w:szCs w:val="20"/>
          <w:color w:val="auto"/>
        </w:rPr>
      </w:pPr>
      <w:r>
        <w:rPr>
          <w:rFonts w:ascii="Arial" w:cs="Arial" w:eastAsia="Arial" w:hAnsi="Arial"/>
          <w:sz w:val="16"/>
          <w:szCs w:val="16"/>
          <w:color w:val="auto"/>
        </w:rPr>
        <w:t>Personnel and overhead costs increased $3 million during the three months ended March 31, 2022, when compared to the same period in 2021, primarily due to an increase in contingent staff and additional headcount to help support business growth during the growing travel demand recovery.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239"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platform. Other costs include licensing, maintenance expense, computer supplies, telecom costs, content translation and localization costs, and consulting costs.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w w:val="93"/>
              </w:rPr>
              <w:t>Three months ended March 31,</w:t>
            </w:r>
          </w:p>
        </w:tc>
        <w:tc>
          <w:tcPr>
            <w:tcW w:w="54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 Change</w:t>
            </w:r>
          </w:p>
        </w:tc>
      </w:tr>
      <w:tr>
        <w:trPr>
          <w:trHeight w:val="169"/>
        </w:trPr>
        <w:tc>
          <w:tcPr>
            <w:tcW w:w="468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320" w:type="dxa"/>
            <w:vAlign w:val="bottom"/>
          </w:tcPr>
          <w:p>
            <w:pPr>
              <w:spacing w:after="0"/>
              <w:rPr>
                <w:sz w:val="14"/>
                <w:szCs w:val="14"/>
                <w:color w:val="auto"/>
              </w:rPr>
            </w:pPr>
          </w:p>
        </w:tc>
      </w:tr>
      <w:tr>
        <w:trPr>
          <w:trHeight w:val="169"/>
        </w:trPr>
        <w:tc>
          <w:tcPr>
            <w:tcW w:w="4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720" w:type="dxa"/>
            <w:vAlign w:val="bottom"/>
            <w:gridSpan w:val="2"/>
          </w:tcPr>
          <w:p>
            <w:pPr>
              <w:jc w:val="right"/>
              <w:ind w:right="1056"/>
              <w:spacing w:after="0"/>
              <w:rPr>
                <w:sz w:val="20"/>
                <w:szCs w:val="20"/>
                <w:color w:val="auto"/>
              </w:rPr>
            </w:pPr>
            <w:r>
              <w:rPr>
                <w:rFonts w:ascii="Arial" w:cs="Arial" w:eastAsia="Arial" w:hAnsi="Arial"/>
                <w:sz w:val="14"/>
                <w:szCs w:val="14"/>
                <w:b w:val="1"/>
                <w:bCs w:val="1"/>
                <w:color w:val="auto"/>
                <w:w w:val="97"/>
              </w:rPr>
              <w:t>millions)</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02"/>
        </w:trPr>
        <w:tc>
          <w:tcPr>
            <w:tcW w:w="4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Personnel and overhead</w:t>
            </w:r>
          </w:p>
        </w:tc>
        <w:tc>
          <w:tcPr>
            <w:tcW w:w="1080" w:type="dxa"/>
            <w:vAlign w:val="bottom"/>
            <w:shd w:val="clear" w:color="auto" w:fill="CFF0FC"/>
          </w:tcPr>
          <w:p>
            <w:pPr>
              <w:jc w:val="right"/>
              <w:ind w:right="896"/>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w:t>
            </w:r>
          </w:p>
        </w:tc>
        <w:tc>
          <w:tcPr>
            <w:tcW w:w="4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16"/>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c>
          <w:tcPr>
            <w:tcW w:w="400" w:type="dxa"/>
            <w:vAlign w:val="bottom"/>
            <w:shd w:val="clear" w:color="auto" w:fill="CFF0FC"/>
          </w:tcPr>
          <w:p>
            <w:pPr>
              <w:spacing w:after="0"/>
              <w:rPr>
                <w:sz w:val="17"/>
                <w:szCs w:val="17"/>
                <w:color w:val="auto"/>
              </w:rPr>
            </w:pPr>
          </w:p>
        </w:tc>
        <w:tc>
          <w:tcPr>
            <w:tcW w:w="20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(4 %)</w:t>
            </w: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42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400" w:type="dxa"/>
            <w:vAlign w:val="bottom"/>
          </w:tcPr>
          <w:p>
            <w:pPr>
              <w:spacing w:after="0"/>
              <w:rPr>
                <w:sz w:val="17"/>
                <w:szCs w:val="17"/>
                <w:color w:val="auto"/>
              </w:rPr>
            </w:pPr>
          </w:p>
        </w:tc>
        <w:tc>
          <w:tcPr>
            <w:tcW w:w="2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20 %</w:t>
            </w:r>
          </w:p>
        </w:tc>
      </w:tr>
      <w:tr>
        <w:trPr>
          <w:trHeight w:val="236"/>
        </w:trPr>
        <w:tc>
          <w:tcPr>
            <w:tcW w:w="468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 technology and content</w:t>
            </w:r>
          </w:p>
        </w:tc>
        <w:tc>
          <w:tcPr>
            <w:tcW w:w="1080" w:type="dxa"/>
            <w:vAlign w:val="bottom"/>
            <w:tcBorders>
              <w:bottom w:val="single" w:sz="8" w:color="auto"/>
            </w:tcBorders>
            <w:shd w:val="clear" w:color="auto" w:fill="CFF0FC"/>
          </w:tcPr>
          <w:p>
            <w:pPr>
              <w:jc w:val="right"/>
              <w:ind w:right="896"/>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54</w:t>
            </w:r>
          </w:p>
        </w:tc>
        <w:tc>
          <w:tcPr>
            <w:tcW w:w="42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116"/>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55</w:t>
            </w:r>
          </w:p>
        </w:tc>
        <w:tc>
          <w:tcPr>
            <w:tcW w:w="400" w:type="dxa"/>
            <w:vAlign w:val="bottom"/>
            <w:tcBorders>
              <w:bottom w:val="single" w:sz="8" w:color="CFF0FC"/>
            </w:tcBorders>
            <w:shd w:val="clear" w:color="auto" w:fill="CFF0FC"/>
          </w:tcPr>
          <w:p>
            <w:pPr>
              <w:spacing w:after="0"/>
              <w:rPr>
                <w:sz w:val="20"/>
                <w:szCs w:val="20"/>
                <w:color w:val="auto"/>
              </w:rPr>
            </w:pPr>
          </w:p>
        </w:tc>
        <w:tc>
          <w:tcPr>
            <w:tcW w:w="2040" w:type="dxa"/>
            <w:vAlign w:val="bottom"/>
            <w:tcBorders>
              <w:bottom w:val="single" w:sz="8" w:color="CFF0FC"/>
            </w:tcBorders>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(2 %)</w:t>
            </w:r>
          </w:p>
        </w:tc>
      </w:tr>
      <w:tr>
        <w:trPr>
          <w:trHeight w:val="211"/>
        </w:trPr>
        <w:tc>
          <w:tcPr>
            <w:tcW w:w="4680" w:type="dxa"/>
            <w:vAlign w:val="bottom"/>
          </w:tcPr>
          <w:p>
            <w:pPr>
              <w:ind w:left="200"/>
              <w:spacing w:after="0"/>
              <w:rPr>
                <w:sz w:val="20"/>
                <w:szCs w:val="20"/>
                <w:color w:val="auto"/>
              </w:rPr>
            </w:pPr>
            <w:r>
              <w:rPr>
                <w:rFonts w:ascii="Arial" w:cs="Arial" w:eastAsia="Arial" w:hAnsi="Arial"/>
                <w:sz w:val="18"/>
                <w:szCs w:val="18"/>
                <w:color w:val="auto"/>
              </w:rPr>
              <w:t>% of revenue</w:t>
            </w:r>
          </w:p>
        </w:tc>
        <w:tc>
          <w:tcPr>
            <w:tcW w:w="1080" w:type="dxa"/>
            <w:vAlign w:val="bottom"/>
          </w:tcPr>
          <w:p>
            <w:pPr>
              <w:spacing w:after="0"/>
              <w:rPr>
                <w:sz w:val="18"/>
                <w:szCs w:val="18"/>
                <w:color w:val="auto"/>
              </w:rPr>
            </w:pPr>
          </w:p>
        </w:tc>
        <w:tc>
          <w:tcPr>
            <w:tcW w:w="1200" w:type="dxa"/>
            <w:vAlign w:val="bottom"/>
            <w:gridSpan w:val="2"/>
          </w:tcPr>
          <w:p>
            <w:pPr>
              <w:jc w:val="right"/>
              <w:ind w:right="188"/>
              <w:spacing w:after="0"/>
              <w:rPr>
                <w:sz w:val="20"/>
                <w:szCs w:val="20"/>
                <w:color w:val="auto"/>
              </w:rPr>
            </w:pPr>
            <w:r>
              <w:rPr>
                <w:rFonts w:ascii="Arial" w:cs="Arial" w:eastAsia="Arial" w:hAnsi="Arial"/>
                <w:sz w:val="18"/>
                <w:szCs w:val="18"/>
                <w:color w:val="auto"/>
              </w:rPr>
              <w:t>20.6 %</w:t>
            </w:r>
          </w:p>
        </w:tc>
        <w:tc>
          <w:tcPr>
            <w:tcW w:w="1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44.7 %</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-171450</wp:posOffset>
            </wp:positionV>
            <wp:extent cx="1543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-154305</wp:posOffset>
            </wp:positionV>
            <wp:extent cx="1543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-171450</wp:posOffset>
            </wp:positionV>
            <wp:extent cx="1460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-154305</wp:posOffset>
            </wp:positionV>
            <wp:extent cx="1460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54"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Personnel and overhead costs decreased $2 million during the three months ended March 31, 2022, when compared to the same period in 2021, primarily due to a decrease in stock-based compensation expense.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39"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w w:val="93"/>
              </w:rPr>
              <w:t>Three months ended March 31,</w:t>
            </w:r>
          </w:p>
        </w:tc>
        <w:tc>
          <w:tcPr>
            <w:tcW w:w="54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 Change</w:t>
            </w:r>
          </w:p>
        </w:tc>
      </w:tr>
      <w:tr>
        <w:trPr>
          <w:trHeight w:val="169"/>
        </w:trPr>
        <w:tc>
          <w:tcPr>
            <w:tcW w:w="468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320" w:type="dxa"/>
            <w:vAlign w:val="bottom"/>
          </w:tcPr>
          <w:p>
            <w:pPr>
              <w:spacing w:after="0"/>
              <w:rPr>
                <w:sz w:val="14"/>
                <w:szCs w:val="14"/>
                <w:color w:val="auto"/>
              </w:rPr>
            </w:pPr>
          </w:p>
        </w:tc>
      </w:tr>
      <w:tr>
        <w:trPr>
          <w:trHeight w:val="169"/>
        </w:trPr>
        <w:tc>
          <w:tcPr>
            <w:tcW w:w="4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720" w:type="dxa"/>
            <w:vAlign w:val="bottom"/>
            <w:gridSpan w:val="2"/>
          </w:tcPr>
          <w:p>
            <w:pPr>
              <w:jc w:val="right"/>
              <w:ind w:right="1056"/>
              <w:spacing w:after="0"/>
              <w:rPr>
                <w:sz w:val="20"/>
                <w:szCs w:val="20"/>
                <w:color w:val="auto"/>
              </w:rPr>
            </w:pPr>
            <w:r>
              <w:rPr>
                <w:rFonts w:ascii="Arial" w:cs="Arial" w:eastAsia="Arial" w:hAnsi="Arial"/>
                <w:sz w:val="14"/>
                <w:szCs w:val="14"/>
                <w:b w:val="1"/>
                <w:bCs w:val="1"/>
                <w:color w:val="auto"/>
                <w:w w:val="97"/>
              </w:rPr>
              <w:t>millions)</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03"/>
        </w:trPr>
        <w:tc>
          <w:tcPr>
            <w:tcW w:w="4680" w:type="dxa"/>
            <w:vAlign w:val="bottom"/>
            <w:shd w:val="clear" w:color="auto" w:fill="CFF0FC"/>
          </w:tcPr>
          <w:p>
            <w:pPr>
              <w:jc w:val="right"/>
              <w:ind w:right="2850"/>
              <w:spacing w:after="0" w:line="202" w:lineRule="exact"/>
              <w:rPr>
                <w:sz w:val="20"/>
                <w:szCs w:val="20"/>
                <w:color w:val="auto"/>
              </w:rPr>
            </w:pPr>
            <w:r>
              <w:rPr>
                <w:rFonts w:ascii="Arial" w:cs="Arial" w:eastAsia="Arial" w:hAnsi="Arial"/>
                <w:sz w:val="18"/>
                <w:szCs w:val="18"/>
                <w:color w:val="auto"/>
                <w:w w:val="87"/>
              </w:rPr>
              <w:t>Personnel and overhead</w:t>
            </w:r>
          </w:p>
        </w:tc>
        <w:tc>
          <w:tcPr>
            <w:tcW w:w="1080" w:type="dxa"/>
            <w:vAlign w:val="bottom"/>
            <w:shd w:val="clear" w:color="auto" w:fill="CFF0FC"/>
          </w:tcPr>
          <w:p>
            <w:pPr>
              <w:jc w:val="right"/>
              <w:ind w:right="896"/>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4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16"/>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400" w:type="dxa"/>
            <w:vAlign w:val="bottom"/>
            <w:shd w:val="clear" w:color="auto" w:fill="CFF0FC"/>
          </w:tcPr>
          <w:p>
            <w:pPr>
              <w:spacing w:after="0"/>
              <w:rPr>
                <w:sz w:val="17"/>
                <w:szCs w:val="17"/>
                <w:color w:val="auto"/>
              </w:rPr>
            </w:pPr>
          </w:p>
        </w:tc>
        <w:tc>
          <w:tcPr>
            <w:tcW w:w="20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7 %</w:t>
            </w:r>
          </w:p>
        </w:tc>
      </w:tr>
      <w:tr>
        <w:trPr>
          <w:trHeight w:val="203"/>
        </w:trPr>
        <w:tc>
          <w:tcPr>
            <w:tcW w:w="4680" w:type="dxa"/>
            <w:vAlign w:val="bottom"/>
          </w:tcPr>
          <w:p>
            <w:pPr>
              <w:jc w:val="right"/>
              <w:ind w:right="2070"/>
              <w:spacing w:after="0" w:line="202" w:lineRule="exact"/>
              <w:rPr>
                <w:sz w:val="20"/>
                <w:szCs w:val="20"/>
                <w:color w:val="auto"/>
              </w:rPr>
            </w:pPr>
            <w:r>
              <w:rPr>
                <w:rFonts w:ascii="Arial" w:cs="Arial" w:eastAsia="Arial" w:hAnsi="Arial"/>
                <w:sz w:val="18"/>
                <w:szCs w:val="18"/>
                <w:color w:val="auto"/>
                <w:w w:val="88"/>
              </w:rPr>
              <w:t>Professional service fees and other</w:t>
            </w:r>
          </w:p>
        </w:tc>
        <w:tc>
          <w:tcPr>
            <w:tcW w:w="10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42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c>
          <w:tcPr>
            <w:tcW w:w="400" w:type="dxa"/>
            <w:vAlign w:val="bottom"/>
          </w:tcPr>
          <w:p>
            <w:pPr>
              <w:spacing w:after="0"/>
              <w:rPr>
                <w:sz w:val="17"/>
                <w:szCs w:val="17"/>
                <w:color w:val="auto"/>
              </w:rPr>
            </w:pPr>
          </w:p>
        </w:tc>
        <w:tc>
          <w:tcPr>
            <w:tcW w:w="2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0 %</w:t>
            </w:r>
          </w:p>
        </w:tc>
      </w:tr>
      <w:tr>
        <w:trPr>
          <w:trHeight w:val="236"/>
        </w:trPr>
        <w:tc>
          <w:tcPr>
            <w:tcW w:w="4680" w:type="dxa"/>
            <w:vAlign w:val="bottom"/>
            <w:tcBorders>
              <w:bottom w:val="single" w:sz="8" w:color="CFF0FC"/>
            </w:tcBorders>
            <w:shd w:val="clear" w:color="auto" w:fill="CFF0FC"/>
          </w:tcPr>
          <w:p>
            <w:pPr>
              <w:jc w:val="right"/>
              <w:ind w:right="2070"/>
              <w:spacing w:after="0" w:line="182" w:lineRule="exact"/>
              <w:rPr>
                <w:sz w:val="20"/>
                <w:szCs w:val="20"/>
                <w:color w:val="auto"/>
              </w:rPr>
            </w:pPr>
            <w:r>
              <w:rPr>
                <w:rFonts w:ascii="Arial" w:cs="Arial" w:eastAsia="Arial" w:hAnsi="Arial"/>
                <w:sz w:val="18"/>
                <w:szCs w:val="18"/>
                <w:color w:val="auto"/>
                <w:w w:val="97"/>
              </w:rPr>
              <w:t>Total general and administrative</w:t>
            </w:r>
          </w:p>
        </w:tc>
        <w:tc>
          <w:tcPr>
            <w:tcW w:w="1080" w:type="dxa"/>
            <w:vAlign w:val="bottom"/>
            <w:tcBorders>
              <w:bottom w:val="single" w:sz="8" w:color="auto"/>
            </w:tcBorders>
            <w:shd w:val="clear" w:color="auto" w:fill="CFF0FC"/>
          </w:tcPr>
          <w:p>
            <w:pPr>
              <w:jc w:val="right"/>
              <w:ind w:right="896"/>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w:t>
            </w:r>
          </w:p>
        </w:tc>
        <w:tc>
          <w:tcPr>
            <w:tcW w:w="42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1116"/>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38</w:t>
            </w:r>
          </w:p>
        </w:tc>
        <w:tc>
          <w:tcPr>
            <w:tcW w:w="400" w:type="dxa"/>
            <w:vAlign w:val="bottom"/>
            <w:tcBorders>
              <w:bottom w:val="single" w:sz="8" w:color="CFF0FC"/>
            </w:tcBorders>
            <w:shd w:val="clear" w:color="auto" w:fill="CFF0FC"/>
          </w:tcPr>
          <w:p>
            <w:pPr>
              <w:spacing w:after="0"/>
              <w:rPr>
                <w:sz w:val="20"/>
                <w:szCs w:val="20"/>
                <w:color w:val="auto"/>
              </w:rPr>
            </w:pPr>
          </w:p>
        </w:tc>
        <w:tc>
          <w:tcPr>
            <w:tcW w:w="2040" w:type="dxa"/>
            <w:vAlign w:val="bottom"/>
            <w:tcBorders>
              <w:bottom w:val="single" w:sz="8" w:color="CFF0FC"/>
            </w:tcBorders>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5 %</w:t>
            </w:r>
          </w:p>
        </w:tc>
      </w:tr>
      <w:tr>
        <w:trPr>
          <w:trHeight w:val="211"/>
        </w:trPr>
        <w:tc>
          <w:tcPr>
            <w:tcW w:w="4680" w:type="dxa"/>
            <w:vAlign w:val="bottom"/>
          </w:tcPr>
          <w:p>
            <w:pPr>
              <w:jc w:val="right"/>
              <w:ind w:right="3430"/>
              <w:spacing w:after="0"/>
              <w:rPr>
                <w:sz w:val="20"/>
                <w:szCs w:val="20"/>
                <w:color w:val="auto"/>
              </w:rPr>
            </w:pPr>
            <w:r>
              <w:rPr>
                <w:rFonts w:ascii="Arial" w:cs="Arial" w:eastAsia="Arial" w:hAnsi="Arial"/>
                <w:sz w:val="18"/>
                <w:szCs w:val="18"/>
                <w:color w:val="auto"/>
              </w:rPr>
              <w:t>% of revenue</w:t>
            </w:r>
          </w:p>
        </w:tc>
        <w:tc>
          <w:tcPr>
            <w:tcW w:w="1080" w:type="dxa"/>
            <w:vAlign w:val="bottom"/>
          </w:tcPr>
          <w:p>
            <w:pPr>
              <w:spacing w:after="0"/>
              <w:rPr>
                <w:sz w:val="18"/>
                <w:szCs w:val="18"/>
                <w:color w:val="auto"/>
              </w:rPr>
            </w:pPr>
          </w:p>
        </w:tc>
        <w:tc>
          <w:tcPr>
            <w:tcW w:w="1200" w:type="dxa"/>
            <w:vAlign w:val="bottom"/>
            <w:gridSpan w:val="2"/>
          </w:tcPr>
          <w:p>
            <w:pPr>
              <w:jc w:val="right"/>
              <w:ind w:right="188"/>
              <w:spacing w:after="0"/>
              <w:rPr>
                <w:sz w:val="20"/>
                <w:szCs w:val="20"/>
                <w:color w:val="auto"/>
              </w:rPr>
            </w:pPr>
            <w:r>
              <w:rPr>
                <w:rFonts w:ascii="Arial" w:cs="Arial" w:eastAsia="Arial" w:hAnsi="Arial"/>
                <w:sz w:val="18"/>
                <w:szCs w:val="18"/>
                <w:color w:val="auto"/>
              </w:rPr>
              <w:t>15.3 %</w:t>
            </w:r>
          </w:p>
        </w:tc>
        <w:tc>
          <w:tcPr>
            <w:tcW w:w="13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30.9 %</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-171450</wp:posOffset>
            </wp:positionV>
            <wp:extent cx="1543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-154305</wp:posOffset>
            </wp:positionV>
            <wp:extent cx="1543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-171450</wp:posOffset>
            </wp:positionV>
            <wp:extent cx="14605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-154305</wp:posOffset>
            </wp:positionV>
            <wp:extent cx="1460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54"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General and administrative costs increased $2 million during the three months ended March 31, 2022, when compared to the same period in 2021, primarily due to an increase in personnel and overhead costs of $2 million driven by additional headcount to help support business growth during the growing travel demand recovery, partially offset by a decrease in stock-based compensation expense.</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12"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and amortization of capitalized website development costs and right-of-use (“ROU”) assets related to our finance lease. Amortization consists of the amortization of definite-lived intangibles purchased in business acquisitions.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 March 31,</w:t>
            </w:r>
          </w:p>
        </w:tc>
        <w:tc>
          <w:tcPr>
            <w:tcW w:w="10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w w:val="83"/>
              </w:rPr>
              <w:t>2021</w:t>
            </w:r>
          </w:p>
        </w:tc>
        <w:tc>
          <w:tcPr>
            <w:tcW w:w="240" w:type="dxa"/>
            <w:vAlign w:val="bottom"/>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20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w w:val="97"/>
              </w:rPr>
              <w:t>millions)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Depreciation</w:t>
            </w:r>
          </w:p>
        </w:tc>
        <w:tc>
          <w:tcPr>
            <w:tcW w:w="1060" w:type="dxa"/>
            <w:vAlign w:val="bottom"/>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w:t>
            </w:r>
          </w:p>
        </w:tc>
        <w:tc>
          <w:tcPr>
            <w:tcW w:w="4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5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240" w:type="dxa"/>
            <w:vAlign w:val="bottom"/>
            <w:shd w:val="clear" w:color="auto" w:fill="CFF0FC"/>
          </w:tcPr>
          <w:p>
            <w:pPr>
              <w:spacing w:after="0"/>
              <w:rPr>
                <w:sz w:val="17"/>
                <w:szCs w:val="17"/>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0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4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240" w:type="dxa"/>
            <w:vAlign w:val="bottom"/>
          </w:tcPr>
          <w:p>
            <w:pPr>
              <w:spacing w:after="0"/>
              <w:rPr>
                <w:sz w:val="17"/>
                <w:szCs w:val="17"/>
                <w:color w:val="auto"/>
              </w:rPr>
            </w:pPr>
          </w:p>
        </w:tc>
      </w:tr>
      <w:tr>
        <w:trPr>
          <w:trHeight w:val="236"/>
        </w:trPr>
        <w:tc>
          <w:tcPr>
            <w:tcW w:w="464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depreciation and amortization</w:t>
            </w:r>
          </w:p>
        </w:tc>
        <w:tc>
          <w:tcPr>
            <w:tcW w:w="1060" w:type="dxa"/>
            <w:vAlign w:val="bottom"/>
            <w:tcBorders>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w:t>
            </w:r>
          </w:p>
        </w:tc>
        <w:tc>
          <w:tcPr>
            <w:tcW w:w="42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59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w:t>
            </w:r>
          </w:p>
        </w:tc>
        <w:tc>
          <w:tcPr>
            <w:tcW w:w="240" w:type="dxa"/>
            <w:vAlign w:val="bottom"/>
            <w:tcBorders>
              <w:bottom w:val="single" w:sz="8" w:color="CFF0FC"/>
            </w:tcBorders>
            <w:shd w:val="clear" w:color="auto" w:fill="CFF0FC"/>
          </w:tcPr>
          <w:p>
            <w:pPr>
              <w:spacing w:after="0"/>
              <w:rPr>
                <w:sz w:val="20"/>
                <w:szCs w:val="20"/>
                <w:color w:val="auto"/>
              </w:rPr>
            </w:pPr>
          </w:p>
        </w:tc>
      </w:tr>
      <w:tr>
        <w:trPr>
          <w:trHeight w:val="211"/>
        </w:trPr>
        <w:tc>
          <w:tcPr>
            <w:tcW w:w="4640" w:type="dxa"/>
            <w:vAlign w:val="bottom"/>
          </w:tcPr>
          <w:p>
            <w:pPr>
              <w:ind w:left="180"/>
              <w:spacing w:after="0"/>
              <w:rPr>
                <w:sz w:val="20"/>
                <w:szCs w:val="20"/>
                <w:color w:val="auto"/>
              </w:rPr>
            </w:pPr>
            <w:r>
              <w:rPr>
                <w:rFonts w:ascii="Arial" w:cs="Arial" w:eastAsia="Arial" w:hAnsi="Arial"/>
                <w:sz w:val="18"/>
                <w:szCs w:val="18"/>
                <w:color w:val="auto"/>
              </w:rPr>
              <w:t>% of revenue</w:t>
            </w:r>
          </w:p>
        </w:tc>
        <w:tc>
          <w:tcPr>
            <w:tcW w:w="1060" w:type="dxa"/>
            <w:vAlign w:val="bottom"/>
          </w:tcPr>
          <w:p>
            <w:pPr>
              <w:spacing w:after="0"/>
              <w:rPr>
                <w:sz w:val="18"/>
                <w:szCs w:val="18"/>
                <w:color w:val="auto"/>
              </w:rPr>
            </w:pPr>
          </w:p>
        </w:tc>
        <w:tc>
          <w:tcPr>
            <w:tcW w:w="1180" w:type="dxa"/>
            <w:vAlign w:val="bottom"/>
            <w:gridSpan w:val="2"/>
          </w:tcPr>
          <w:p>
            <w:pPr>
              <w:jc w:val="right"/>
              <w:ind w:right="188"/>
              <w:spacing w:after="0"/>
              <w:rPr>
                <w:sz w:val="20"/>
                <w:szCs w:val="20"/>
                <w:color w:val="auto"/>
              </w:rPr>
            </w:pPr>
            <w:r>
              <w:rPr>
                <w:rFonts w:ascii="Arial" w:cs="Arial" w:eastAsia="Arial" w:hAnsi="Arial"/>
                <w:sz w:val="18"/>
                <w:szCs w:val="18"/>
                <w:color w:val="auto"/>
              </w:rPr>
              <w:t>9.5 %</w:t>
            </w:r>
          </w:p>
        </w:tc>
        <w:tc>
          <w:tcPr>
            <w:tcW w:w="7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-171450</wp:posOffset>
            </wp:positionV>
            <wp:extent cx="1631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-154305</wp:posOffset>
            </wp:positionV>
            <wp:extent cx="1631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-171450</wp:posOffset>
            </wp:positionV>
            <wp:extent cx="1543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-154305</wp:posOffset>
            </wp:positionV>
            <wp:extent cx="1543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54" w:lineRule="exact"/>
        <w:rPr>
          <w:sz w:val="20"/>
          <w:szCs w:val="20"/>
          <w:color w:val="auto"/>
        </w:rPr>
      </w:pPr>
    </w:p>
    <w:p>
      <w:pPr>
        <w:ind w:right="340" w:firstLine="509"/>
        <w:spacing w:after="0" w:line="258" w:lineRule="auto"/>
        <w:rPr>
          <w:sz w:val="20"/>
          <w:szCs w:val="20"/>
          <w:color w:val="auto"/>
        </w:rPr>
      </w:pPr>
      <w:r>
        <w:rPr>
          <w:rFonts w:ascii="Arial" w:cs="Arial" w:eastAsia="Arial" w:hAnsi="Arial"/>
          <w:sz w:val="17"/>
          <w:szCs w:val="17"/>
          <w:color w:val="auto"/>
        </w:rPr>
        <w:t>Depreciation and amortization decreased $4 million during the three months ended March 31, 2022, when compared to the same period in 2021, primarily due to the completion of amortization related to certain intangible assets from business acquisitions in previous years.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2"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Credit Facility, 2025 Senior Notes, 2026 Senior Notes, as well as interest on finance leases.</w:t>
      </w:r>
    </w:p>
    <w:p>
      <w:pPr>
        <w:spacing w:after="0" w:line="68"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 March 31,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68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169"/>
        </w:trPr>
        <w:tc>
          <w:tcPr>
            <w:tcW w:w="46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40" w:type="dxa"/>
            <w:vAlign w:val="bottom"/>
            <w:shd w:val="clear" w:color="auto" w:fill="CFF0FC"/>
          </w:tcPr>
          <w:p>
            <w:pPr>
              <w:ind w:left="600"/>
              <w:spacing w:after="0"/>
              <w:rPr>
                <w:sz w:val="20"/>
                <w:szCs w:val="20"/>
                <w:color w:val="auto"/>
              </w:rPr>
            </w:pPr>
            <w:r>
              <w:rPr>
                <w:rFonts w:ascii="Arial" w:cs="Arial" w:eastAsia="Arial" w:hAnsi="Arial"/>
                <w:sz w:val="14"/>
                <w:szCs w:val="14"/>
                <w:b w:val="1"/>
                <w:bCs w:val="1"/>
                <w:color w:val="auto"/>
              </w:rPr>
              <w:t>(in</w:t>
            </w:r>
          </w:p>
        </w:tc>
        <w:tc>
          <w:tcPr>
            <w:tcW w:w="1120" w:type="dxa"/>
            <w:vAlign w:val="bottom"/>
            <w:gridSpan w:val="2"/>
            <w:shd w:val="clear" w:color="auto" w:fill="CFF0FC"/>
          </w:tcPr>
          <w:p>
            <w:pPr>
              <w:jc w:val="right"/>
              <w:ind w:right="530"/>
              <w:spacing w:after="0"/>
              <w:rPr>
                <w:sz w:val="20"/>
                <w:szCs w:val="20"/>
                <w:color w:val="auto"/>
              </w:rPr>
            </w:pPr>
            <w:r>
              <w:rPr>
                <w:rFonts w:ascii="Arial" w:cs="Arial" w:eastAsia="Arial" w:hAnsi="Arial"/>
                <w:sz w:val="14"/>
                <w:szCs w:val="14"/>
                <w:b w:val="1"/>
                <w:bCs w:val="1"/>
                <w:color w:val="auto"/>
                <w:w w:val="83"/>
              </w:rPr>
              <w:t>millions)</w:t>
            </w: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Interest expense</w:t>
            </w:r>
          </w:p>
        </w:tc>
        <w:tc>
          <w:tcPr>
            <w:tcW w:w="1120" w:type="dxa"/>
            <w:vAlign w:val="bottom"/>
          </w:tcPr>
          <w:p>
            <w:pPr>
              <w:jc w:val="right"/>
              <w:ind w:right="9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8"/>
              <w:spacing w:after="0"/>
              <w:rPr>
                <w:sz w:val="20"/>
                <w:szCs w:val="20"/>
                <w:color w:val="auto"/>
              </w:rPr>
            </w:pPr>
            <w:r>
              <w:rPr>
                <w:rFonts w:ascii="Arial" w:cs="Arial" w:eastAsia="Arial" w:hAnsi="Arial"/>
                <w:sz w:val="18"/>
                <w:szCs w:val="18"/>
                <w:color w:val="auto"/>
              </w:rPr>
              <w:t>(12 )</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(11 )</w:t>
            </w:r>
          </w:p>
        </w:tc>
      </w:tr>
    </w:tbl>
    <w:p>
      <w:pPr>
        <w:spacing w:after="0" w:line="17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 xml:space="preserve">Interest expense increased $1 million during the three months ended March 31, 2022, when compared to the same period in 2021, primarily related to the timing of the issuance of our 2026 Senior Notes on March 25, 2021. Refer to “Note 6: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unaudited condensed consolidated financial statements in Item 1 in this Quarterly Report on Form 10-Q for further information.</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Three months ended March 31,</w:t>
            </w:r>
          </w:p>
        </w:tc>
        <w:tc>
          <w:tcPr>
            <w:tcW w:w="11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456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4"/>
                <w:szCs w:val="14"/>
                <w:color w:val="auto"/>
              </w:rPr>
            </w:pPr>
          </w:p>
        </w:tc>
      </w:tr>
      <w:tr>
        <w:trPr>
          <w:trHeight w:val="169"/>
        </w:trPr>
        <w:tc>
          <w:tcPr>
            <w:tcW w:w="4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03"/>
        </w:trPr>
        <w:tc>
          <w:tcPr>
            <w:tcW w:w="45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(Provision) benefit for income taxes</w:t>
            </w:r>
          </w:p>
        </w:tc>
        <w:tc>
          <w:tcPr>
            <w:tcW w:w="1080" w:type="dxa"/>
            <w:vAlign w:val="bottom"/>
            <w:shd w:val="clear" w:color="auto" w:fill="CFF0FC"/>
          </w:tcPr>
          <w:p>
            <w:pPr>
              <w:jc w:val="right"/>
              <w:ind w:right="92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(1 )</w:t>
            </w:r>
          </w:p>
        </w:tc>
        <w:tc>
          <w:tcPr>
            <w:tcW w:w="740" w:type="dxa"/>
            <w:vAlign w:val="bottom"/>
            <w:shd w:val="clear" w:color="auto" w:fill="CFF0FC"/>
          </w:tcPr>
          <w:p>
            <w:pPr>
              <w:jc w:val="right"/>
              <w:ind w:right="5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7"/>
                <w:szCs w:val="17"/>
                <w:color w:val="auto"/>
              </w:rPr>
            </w:pPr>
          </w:p>
        </w:tc>
      </w:tr>
      <w:tr>
        <w:trPr>
          <w:trHeight w:val="230"/>
        </w:trPr>
        <w:tc>
          <w:tcPr>
            <w:tcW w:w="4560" w:type="dxa"/>
            <w:vAlign w:val="bottom"/>
          </w:tcPr>
          <w:p>
            <w:pPr>
              <w:ind w:left="180"/>
              <w:spacing w:after="0"/>
              <w:rPr>
                <w:sz w:val="20"/>
                <w:szCs w:val="20"/>
                <w:color w:val="auto"/>
              </w:rPr>
            </w:pPr>
            <w:r>
              <w:rPr>
                <w:rFonts w:ascii="Arial" w:cs="Arial" w:eastAsia="Arial" w:hAnsi="Arial"/>
                <w:sz w:val="18"/>
                <w:szCs w:val="18"/>
                <w:color w:val="auto"/>
              </w:rPr>
              <w:t>Effective tax rate</w:t>
            </w:r>
          </w:p>
        </w:tc>
        <w:tc>
          <w:tcPr>
            <w:tcW w:w="108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(3.0 %)</w:t>
            </w:r>
          </w:p>
        </w:tc>
        <w:tc>
          <w:tcPr>
            <w:tcW w:w="74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16.7 %</w:t>
            </w:r>
          </w:p>
        </w:tc>
      </w:tr>
    </w:tbl>
    <w:p>
      <w:pPr>
        <w:spacing w:after="0" w:line="174"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For the three months ended March 31, 2022, our negative effective tax rate was primarily the result of discrete items recorded in the period related to share-based payment arrangements.</w:t>
      </w:r>
    </w:p>
    <w:p>
      <w:pPr>
        <w:spacing w:after="0" w:line="171"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 xml:space="preserve">We had an income tax provision of $1 million and an income tax benefit of $16 million for the three months ended March 31, 2022 and 2021, respectively. The change in our income taxes during the three months ended March 31, 2022, when compared to the same period in 2021, was primarily due to a decrease in pretax losses recognized during the three months ended March 31, 2022. Refer to “Note 7: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in the notes to our unaudited condensed consolidated financial statements in Item 1 in this Quarterly Report on Form 10-Q for further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11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 March 31,</w:t>
            </w:r>
          </w:p>
        </w:tc>
        <w:tc>
          <w:tcPr>
            <w:tcW w:w="10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69"/>
        </w:trPr>
        <w:tc>
          <w:tcPr>
            <w:tcW w:w="448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w w:val="89"/>
              </w:rPr>
              <w:t>2021</w:t>
            </w:r>
          </w:p>
        </w:tc>
        <w:tc>
          <w:tcPr>
            <w:tcW w:w="360" w:type="dxa"/>
            <w:vAlign w:val="bottom"/>
          </w:tcPr>
          <w:p>
            <w:pPr>
              <w:spacing w:after="0"/>
              <w:rPr>
                <w:sz w:val="14"/>
                <w:szCs w:val="14"/>
                <w:color w:val="auto"/>
              </w:rPr>
            </w:pPr>
          </w:p>
        </w:tc>
      </w:tr>
      <w:tr>
        <w:trPr>
          <w:trHeight w:val="169"/>
        </w:trPr>
        <w:tc>
          <w:tcPr>
            <w:tcW w:w="44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40" w:type="dxa"/>
            <w:vAlign w:val="bottom"/>
            <w:shd w:val="clear" w:color="auto" w:fill="CFF0FC"/>
          </w:tcPr>
          <w:p>
            <w:pPr>
              <w:ind w:left="620"/>
              <w:spacing w:after="0"/>
              <w:rPr>
                <w:sz w:val="20"/>
                <w:szCs w:val="20"/>
                <w:color w:val="auto"/>
              </w:rPr>
            </w:pPr>
            <w:r>
              <w:rPr>
                <w:rFonts w:ascii="Arial" w:cs="Arial" w:eastAsia="Arial" w:hAnsi="Arial"/>
                <w:sz w:val="11"/>
                <w:szCs w:val="11"/>
                <w:b w:val="1"/>
                <w:bCs w:val="1"/>
                <w:color w:val="auto"/>
                <w:w w:val="74"/>
              </w:rPr>
              <w:t>(in</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83"/>
              </w:rPr>
              <w:t>millions)</w:t>
            </w:r>
          </w:p>
        </w:tc>
        <w:tc>
          <w:tcPr>
            <w:tcW w:w="7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080" w:type="dxa"/>
            <w:vAlign w:val="bottom"/>
          </w:tcPr>
          <w:p>
            <w:pPr>
              <w:jc w:val="right"/>
              <w:ind w:right="9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8"/>
              <w:spacing w:after="0" w:line="202" w:lineRule="exact"/>
              <w:rPr>
                <w:sz w:val="20"/>
                <w:szCs w:val="20"/>
                <w:color w:val="auto"/>
              </w:rPr>
            </w:pPr>
            <w:r>
              <w:rPr>
                <w:rFonts w:ascii="Arial" w:cs="Arial" w:eastAsia="Arial" w:hAnsi="Arial"/>
                <w:sz w:val="18"/>
                <w:szCs w:val="18"/>
                <w:color w:val="auto"/>
              </w:rPr>
              <w:t>(34 )</w:t>
            </w: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(80 )</w:t>
            </w:r>
          </w:p>
        </w:tc>
      </w:tr>
      <w:tr>
        <w:trPr>
          <w:trHeight w:val="202"/>
        </w:trPr>
        <w:tc>
          <w:tcPr>
            <w:tcW w:w="4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Net income (loss) margin</w:t>
            </w:r>
          </w:p>
        </w:tc>
        <w:tc>
          <w:tcPr>
            <w:tcW w:w="10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208"/>
              <w:spacing w:after="0" w:line="202" w:lineRule="exact"/>
              <w:rPr>
                <w:sz w:val="20"/>
                <w:szCs w:val="20"/>
                <w:color w:val="auto"/>
              </w:rPr>
            </w:pPr>
            <w:r>
              <w:rPr>
                <w:rFonts w:ascii="Arial" w:cs="Arial" w:eastAsia="Arial" w:hAnsi="Arial"/>
                <w:sz w:val="18"/>
                <w:szCs w:val="18"/>
                <w:color w:val="auto"/>
              </w:rPr>
              <w:t>(13.0 %)</w:t>
            </w:r>
          </w:p>
        </w:tc>
        <w:tc>
          <w:tcPr>
            <w:tcW w:w="7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(65.0 %)</w:t>
            </w:r>
          </w:p>
        </w:tc>
      </w:tr>
    </w:tbl>
    <w:p>
      <w:pPr>
        <w:spacing w:after="0" w:line="202"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Net loss improved by $46 million during the three months ended March 31, 2022, when compared to the same period in 2021, primarily due to an increase in revenue, as described in more detail above under “</w:t>
      </w:r>
      <w:r>
        <w:rPr>
          <w:rFonts w:ascii="Arial" w:cs="Arial" w:eastAsia="Arial" w:hAnsi="Arial"/>
          <w:sz w:val="17"/>
          <w:szCs w:val="17"/>
          <w:i w:val="1"/>
          <w:iCs w:val="1"/>
          <w:color w:val="auto"/>
        </w:rPr>
        <w:t>Revenue and Segment Information</w:t>
      </w:r>
      <w:r>
        <w:rPr>
          <w:rFonts w:ascii="Arial" w:cs="Arial" w:eastAsia="Arial" w:hAnsi="Arial"/>
          <w:sz w:val="17"/>
          <w:szCs w:val="17"/>
          <w:color w:val="auto"/>
        </w:rPr>
        <w:t>”, largely offset by an increase in selling and marketing expenses in response to increasing consumer travel demand as travel activity restrictions ease and the travel industry recovers and, to a lesser extent, an increase in personnel and overhead costs to help support business growth during the growing consumer travel demand recovery and increased direct costs from credit card payment and other revenue-related transaction costs in direct correlation with the increase in revenue during the three months ended March 31, 2022, all of which is described in more detail above under “</w:t>
      </w:r>
      <w:r>
        <w:rPr>
          <w:rFonts w:ascii="Arial" w:cs="Arial" w:eastAsia="Arial" w:hAnsi="Arial"/>
          <w:sz w:val="17"/>
          <w:szCs w:val="17"/>
          <w:i w:val="1"/>
          <w:iCs w:val="1"/>
          <w:color w:val="auto"/>
        </w:rPr>
        <w:t>Consolidated Expenses.</w:t>
      </w:r>
      <w:r>
        <w:rPr>
          <w:rFonts w:ascii="Arial" w:cs="Arial" w:eastAsia="Arial" w:hAnsi="Arial"/>
          <w:sz w:val="17"/>
          <w:szCs w:val="17"/>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08"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8"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management and board of</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5" w:name="page36"/>
    <w:bookmarkEnd w:id="35"/>
    <w:p>
      <w:pPr>
        <w:ind w:right="40"/>
        <w:spacing w:after="0" w:line="294" w:lineRule="auto"/>
        <w:rPr>
          <w:sz w:val="20"/>
          <w:szCs w:val="20"/>
          <w:color w:val="auto"/>
        </w:rPr>
      </w:pPr>
      <w:r>
        <w:rPr>
          <w:rFonts w:ascii="Arial" w:cs="Arial" w:eastAsia="Arial" w:hAnsi="Arial"/>
          <w:sz w:val="16"/>
          <w:szCs w:val="16"/>
          <w:color w:val="auto"/>
        </w:rPr>
        <w:t>directors. We define Adjusted EBITDA as net income (loss) plus: (1) (provision) benefit for income taxes; (2) other income (expense), net; (3) depreciation and amortization; (4) stock-based compensation and other stock-settled obligations; (5) goodwill, intangible asset, and long-lived asset impairments; (6) legal reserves and settlements; (7) restructuring and other related reorganization costs; and (8) other non-recurring expenses and income.</w:t>
      </w:r>
    </w:p>
    <w:p>
      <w:pPr>
        <w:spacing w:after="0" w:line="147"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and our other GAAP results.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Some of these limitations are:</w:t>
      </w:r>
    </w:p>
    <w:p>
      <w:pPr>
        <w:spacing w:after="0" w:line="104" w:lineRule="exact"/>
        <w:rPr>
          <w:sz w:val="20"/>
          <w:szCs w:val="20"/>
          <w:color w:val="auto"/>
        </w:rPr>
      </w:pPr>
    </w:p>
    <w:p>
      <w:pPr>
        <w:ind w:left="1400" w:hanging="374"/>
        <w:spacing w:after="0"/>
        <w:tabs>
          <w:tab w:leader="none" w:pos="1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26" w:lineRule="exact"/>
        <w:rPr>
          <w:rFonts w:ascii="Arial" w:cs="Arial" w:eastAsia="Arial" w:hAnsi="Arial"/>
          <w:sz w:val="16"/>
          <w:szCs w:val="16"/>
          <w:color w:val="auto"/>
        </w:rPr>
      </w:pPr>
    </w:p>
    <w:p>
      <w:pPr>
        <w:ind w:left="1400" w:hanging="374"/>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03" w:lineRule="exact"/>
        <w:rPr>
          <w:rFonts w:ascii="Arial" w:cs="Arial" w:eastAsia="Arial" w:hAnsi="Arial"/>
          <w:sz w:val="18"/>
          <w:szCs w:val="18"/>
          <w:color w:val="auto"/>
        </w:rPr>
      </w:pPr>
    </w:p>
    <w:p>
      <w:pPr>
        <w:ind w:left="1400" w:right="100" w:hanging="374"/>
        <w:spacing w:after="0" w:line="261"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cash requirements necessary to service interest or principal payments on our debt;</w:t>
      </w:r>
    </w:p>
    <w:p>
      <w:pPr>
        <w:spacing w:after="0" w:line="62" w:lineRule="exact"/>
        <w:rPr>
          <w:rFonts w:ascii="Arial" w:cs="Arial" w:eastAsia="Arial" w:hAnsi="Arial"/>
          <w:sz w:val="18"/>
          <w:szCs w:val="18"/>
          <w:color w:val="auto"/>
        </w:rPr>
      </w:pPr>
    </w:p>
    <w:p>
      <w:pPr>
        <w:ind w:left="1400" w:hanging="374"/>
        <w:spacing w:after="0"/>
        <w:tabs>
          <w:tab w:leader="none" w:pos="1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Adjusted EBITDA does not consider the potentially dilutive impact of stock-based compensation or other stock-settled obligations;</w:t>
      </w:r>
    </w:p>
    <w:p>
      <w:pPr>
        <w:spacing w:after="0" w:line="115" w:lineRule="exact"/>
        <w:rPr>
          <w:rFonts w:ascii="Arial" w:cs="Arial" w:eastAsia="Arial" w:hAnsi="Arial"/>
          <w:sz w:val="17"/>
          <w:szCs w:val="17"/>
          <w:color w:val="auto"/>
        </w:rPr>
      </w:pPr>
    </w:p>
    <w:p>
      <w:pPr>
        <w:ind w:left="1400" w:right="60" w:hanging="374"/>
        <w:spacing w:after="0" w:line="248"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1400" w:right="60" w:hanging="374"/>
        <w:spacing w:after="0" w:line="261"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certain income and expenses not directly tied to the ongoing core operations of our business, such as legal reserves and settlements, restructuring and other related reorganization costs;</w:t>
      </w:r>
    </w:p>
    <w:p>
      <w:pPr>
        <w:spacing w:after="0" w:line="62" w:lineRule="exact"/>
        <w:rPr>
          <w:rFonts w:ascii="Arial" w:cs="Arial" w:eastAsia="Arial" w:hAnsi="Arial"/>
          <w:sz w:val="18"/>
          <w:szCs w:val="18"/>
          <w:color w:val="auto"/>
        </w:rPr>
      </w:pPr>
    </w:p>
    <w:p>
      <w:pPr>
        <w:ind w:left="1400" w:hanging="374"/>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w:t>
      </w:r>
    </w:p>
    <w:p>
      <w:pPr>
        <w:spacing w:after="0" w:line="103" w:lineRule="exact"/>
        <w:rPr>
          <w:rFonts w:ascii="Arial" w:cs="Arial" w:eastAsia="Arial" w:hAnsi="Arial"/>
          <w:sz w:val="18"/>
          <w:szCs w:val="18"/>
          <w:color w:val="auto"/>
        </w:rPr>
      </w:pPr>
    </w:p>
    <w:p>
      <w:pPr>
        <w:ind w:left="1400" w:right="540" w:hanging="374"/>
        <w:spacing w:after="0" w:line="261"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EBITDA is unaudited and does not conform to SEC Regulation S-X, and as a result such information may be presented differently in our future filings with the SEC; and</w:t>
      </w:r>
    </w:p>
    <w:p>
      <w:pPr>
        <w:spacing w:after="0" w:line="62" w:lineRule="exact"/>
        <w:rPr>
          <w:rFonts w:ascii="Arial" w:cs="Arial" w:eastAsia="Arial" w:hAnsi="Arial"/>
          <w:sz w:val="18"/>
          <w:szCs w:val="18"/>
          <w:color w:val="auto"/>
        </w:rPr>
      </w:pPr>
    </w:p>
    <w:p>
      <w:pPr>
        <w:ind w:left="1400" w:right="640" w:hanging="374"/>
        <w:spacing w:after="0" w:line="261" w:lineRule="auto"/>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71"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following table presents a reconciliation of Adjusted EBITDA to Net Income (Loss), the most directly comparable financial measure calculated and presented in accordance with GAAP, for the periods presented: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98"/>
              </w:rPr>
              <w:t>Three months ended March 31,</w:t>
            </w:r>
          </w:p>
        </w:tc>
        <w:tc>
          <w:tcPr>
            <w:tcW w:w="1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960" w:type="dxa"/>
            <w:vAlign w:val="bottom"/>
          </w:tcPr>
          <w:p>
            <w:pPr>
              <w:spacing w:after="0"/>
              <w:rPr>
                <w:sz w:val="14"/>
                <w:szCs w:val="14"/>
                <w:color w:val="auto"/>
              </w:rPr>
            </w:pPr>
          </w:p>
        </w:tc>
        <w:tc>
          <w:tcPr>
            <w:tcW w:w="1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97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69"/>
        </w:trPr>
        <w:tc>
          <w:tcPr>
            <w:tcW w:w="5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300" w:type="dxa"/>
            <w:vAlign w:val="bottom"/>
            <w:gridSpan w:val="2"/>
          </w:tcPr>
          <w:p>
            <w:pPr>
              <w:jc w:val="right"/>
              <w:ind w:right="670"/>
              <w:spacing w:after="0"/>
              <w:rPr>
                <w:sz w:val="20"/>
                <w:szCs w:val="20"/>
                <w:color w:val="auto"/>
              </w:rPr>
            </w:pPr>
            <w:r>
              <w:rPr>
                <w:rFonts w:ascii="Arial" w:cs="Arial" w:eastAsia="Arial" w:hAnsi="Arial"/>
                <w:sz w:val="14"/>
                <w:szCs w:val="14"/>
                <w:b w:val="1"/>
                <w:bCs w:val="1"/>
                <w:color w:val="auto"/>
                <w:w w:val="90"/>
              </w:rPr>
              <w:t>millions)</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5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Net income (loss)</w:t>
            </w:r>
          </w:p>
        </w:tc>
        <w:tc>
          <w:tcPr>
            <w:tcW w:w="1500" w:type="dxa"/>
            <w:vAlign w:val="bottom"/>
            <w:shd w:val="clear" w:color="auto" w:fill="CFF0FC"/>
          </w:tcPr>
          <w:p>
            <w:pPr>
              <w:jc w:val="right"/>
              <w:ind w:right="1316"/>
              <w:spacing w:after="0" w:line="202" w:lineRule="exact"/>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FF0FC"/>
          </w:tcPr>
          <w:p>
            <w:pPr>
              <w:jc w:val="right"/>
              <w:ind w:right="228"/>
              <w:spacing w:after="0" w:line="202" w:lineRule="exact"/>
              <w:rPr>
                <w:sz w:val="20"/>
                <w:szCs w:val="20"/>
                <w:color w:val="auto"/>
              </w:rPr>
            </w:pPr>
            <w:r>
              <w:rPr>
                <w:rFonts w:ascii="Arial" w:cs="Arial" w:eastAsia="Arial" w:hAnsi="Arial"/>
                <w:sz w:val="18"/>
                <w:szCs w:val="18"/>
                <w:b w:val="1"/>
                <w:bCs w:val="1"/>
                <w:color w:val="auto"/>
              </w:rPr>
              <w:t>(34 )</w:t>
            </w:r>
          </w:p>
        </w:tc>
        <w:tc>
          <w:tcPr>
            <w:tcW w:w="920" w:type="dxa"/>
            <w:vAlign w:val="bottom"/>
            <w:shd w:val="clear" w:color="auto" w:fill="CFF0FC"/>
          </w:tcPr>
          <w:p>
            <w:pPr>
              <w:jc w:val="right"/>
              <w:ind w:right="710"/>
              <w:spacing w:after="0" w:line="202" w:lineRule="exact"/>
              <w:rPr>
                <w:sz w:val="20"/>
                <w:szCs w:val="20"/>
                <w:color w:val="auto"/>
              </w:rPr>
            </w:pPr>
            <w:r>
              <w:rPr>
                <w:rFonts w:ascii="Arial" w:cs="Arial" w:eastAsia="Arial" w:hAnsi="Arial"/>
                <w:sz w:val="18"/>
                <w:szCs w:val="18"/>
                <w:b w:val="1"/>
                <w:bCs w:val="1"/>
                <w:color w:val="auto"/>
                <w:w w:val="99"/>
              </w:rPr>
              <w:t>$</w:t>
            </w:r>
          </w:p>
        </w:tc>
        <w:tc>
          <w:tcPr>
            <w:tcW w:w="1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(80 )</w:t>
            </w:r>
          </w:p>
        </w:tc>
      </w:tr>
      <w:tr>
        <w:trPr>
          <w:trHeight w:val="203"/>
        </w:trPr>
        <w:tc>
          <w:tcPr>
            <w:tcW w:w="5960" w:type="dxa"/>
            <w:vAlign w:val="bottom"/>
          </w:tcPr>
          <w:p>
            <w:pPr>
              <w:ind w:left="20"/>
              <w:spacing w:after="0" w:line="202" w:lineRule="exact"/>
              <w:rPr>
                <w:sz w:val="20"/>
                <w:szCs w:val="20"/>
                <w:color w:val="auto"/>
              </w:rPr>
            </w:pPr>
            <w:r>
              <w:rPr>
                <w:rFonts w:ascii="Arial" w:cs="Arial" w:eastAsia="Arial" w:hAnsi="Arial"/>
                <w:sz w:val="18"/>
                <w:szCs w:val="18"/>
                <w:color w:val="auto"/>
              </w:rPr>
              <w:t>Add: (Benefit) provision for income taxes</w:t>
            </w:r>
          </w:p>
        </w:tc>
        <w:tc>
          <w:tcPr>
            <w:tcW w:w="15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(16 )</w:t>
            </w:r>
          </w:p>
        </w:tc>
      </w:tr>
      <w:tr>
        <w:trPr>
          <w:trHeight w:val="203"/>
        </w:trPr>
        <w:tc>
          <w:tcPr>
            <w:tcW w:w="5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Add: Other expense (income), net</w:t>
            </w:r>
          </w:p>
        </w:tc>
        <w:tc>
          <w:tcPr>
            <w:tcW w:w="15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7"/>
                <w:szCs w:val="17"/>
                <w:color w:val="auto"/>
              </w:rPr>
            </w:pPr>
          </w:p>
        </w:tc>
      </w:tr>
      <w:tr>
        <w:trPr>
          <w:trHeight w:val="203"/>
        </w:trPr>
        <w:tc>
          <w:tcPr>
            <w:tcW w:w="5960" w:type="dxa"/>
            <w:vAlign w:val="bottom"/>
          </w:tcPr>
          <w:p>
            <w:pPr>
              <w:ind w:left="20"/>
              <w:spacing w:after="0" w:line="202" w:lineRule="exact"/>
              <w:rPr>
                <w:sz w:val="20"/>
                <w:szCs w:val="20"/>
                <w:color w:val="auto"/>
              </w:rPr>
            </w:pPr>
            <w:r>
              <w:rPr>
                <w:rFonts w:ascii="Arial" w:cs="Arial" w:eastAsia="Arial" w:hAnsi="Arial"/>
                <w:sz w:val="18"/>
                <w:szCs w:val="18"/>
                <w:color w:val="auto"/>
              </w:rPr>
              <w:t>Add: Stock-based compensation</w:t>
            </w:r>
          </w:p>
        </w:tc>
        <w:tc>
          <w:tcPr>
            <w:tcW w:w="15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80" w:type="dxa"/>
            <w:vAlign w:val="bottom"/>
          </w:tcPr>
          <w:p>
            <w:pPr>
              <w:spacing w:after="0"/>
              <w:rPr>
                <w:sz w:val="17"/>
                <w:szCs w:val="17"/>
                <w:color w:val="auto"/>
              </w:rPr>
            </w:pPr>
          </w:p>
        </w:tc>
      </w:tr>
      <w:tr>
        <w:trPr>
          <w:trHeight w:val="203"/>
        </w:trPr>
        <w:tc>
          <w:tcPr>
            <w:tcW w:w="59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Add: Depreciation and amortization</w:t>
            </w:r>
          </w:p>
        </w:tc>
        <w:tc>
          <w:tcPr>
            <w:tcW w:w="15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3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960" w:type="dxa"/>
            <w:vAlign w:val="bottom"/>
          </w:tcPr>
          <w:p>
            <w:pPr>
              <w:ind w:left="20"/>
              <w:spacing w:after="0" w:line="182" w:lineRule="exact"/>
              <w:rPr>
                <w:sz w:val="20"/>
                <w:szCs w:val="20"/>
                <w:color w:val="auto"/>
              </w:rPr>
            </w:pPr>
            <w:r>
              <w:rPr>
                <w:rFonts w:ascii="Arial" w:cs="Arial" w:eastAsia="Arial" w:hAnsi="Arial"/>
                <w:sz w:val="18"/>
                <w:szCs w:val="18"/>
                <w:color w:val="auto"/>
              </w:rPr>
              <w:t>Adjusted EBITDA</w:t>
            </w:r>
          </w:p>
        </w:tc>
        <w:tc>
          <w:tcPr>
            <w:tcW w:w="1500" w:type="dxa"/>
            <w:vAlign w:val="bottom"/>
          </w:tcPr>
          <w:p>
            <w:pPr>
              <w:jc w:val="right"/>
              <w:ind w:right="1316"/>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c>
          <w:tcPr>
            <w:tcW w:w="380" w:type="dxa"/>
            <w:vAlign w:val="bottom"/>
          </w:tcPr>
          <w:p>
            <w:pPr>
              <w:spacing w:after="0"/>
              <w:rPr>
                <w:sz w:val="17"/>
                <w:szCs w:val="17"/>
                <w:color w:val="auto"/>
              </w:rPr>
            </w:pPr>
          </w:p>
        </w:tc>
        <w:tc>
          <w:tcPr>
            <w:tcW w:w="920" w:type="dxa"/>
            <w:vAlign w:val="bottom"/>
          </w:tcPr>
          <w:p>
            <w:pPr>
              <w:jc w:val="right"/>
              <w:ind w:right="710"/>
              <w:spacing w:after="0" w:line="182" w:lineRule="exact"/>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(26 )</w:t>
            </w:r>
          </w:p>
        </w:tc>
      </w:tr>
      <w:tr>
        <w:trPr>
          <w:trHeight w:val="20"/>
        </w:trPr>
        <w:tc>
          <w:tcPr>
            <w:tcW w:w="59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-159385</wp:posOffset>
            </wp:positionV>
            <wp:extent cx="5969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0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 xml:space="preserve">For information on our relationship with LTRIP, which may be deemed to beneficially own equity securities representing nearly 57.0% of our voting power as of March 31, 2022, refer to “Note 1: </w:t>
      </w:r>
      <w:r>
        <w:rPr>
          <w:rFonts w:ascii="Arial" w:cs="Arial" w:eastAsia="Arial" w:hAnsi="Arial"/>
          <w:sz w:val="18"/>
          <w:szCs w:val="18"/>
          <w:i w:val="1"/>
          <w:iCs w:val="1"/>
          <w:color w:val="auto"/>
        </w:rPr>
        <w:t>Business Description and Basis of Presentation</w:t>
      </w:r>
      <w:r>
        <w:rPr>
          <w:rFonts w:ascii="Arial" w:cs="Arial" w:eastAsia="Arial" w:hAnsi="Arial"/>
          <w:sz w:val="18"/>
          <w:szCs w:val="18"/>
          <w:color w:val="auto"/>
        </w:rPr>
        <w:t>” in the notes to our unaudited condensed consolidated financial statements in Item 1 in this Quarterly Report on Form 10-Q. We had no related party transactions with LTRIP during both the three months ended March 31, 2022 and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08" w:lineRule="exact"/>
        <w:rPr>
          <w:sz w:val="20"/>
          <w:szCs w:val="20"/>
          <w:color w:val="auto"/>
        </w:rPr>
      </w:pPr>
    </w:p>
    <w:p>
      <w:pPr>
        <w:ind w:right="200" w:firstLine="509"/>
        <w:spacing w:after="0" w:line="271" w:lineRule="auto"/>
        <w:rPr>
          <w:sz w:val="20"/>
          <w:szCs w:val="20"/>
          <w:color w:val="auto"/>
        </w:rPr>
      </w:pPr>
      <w:r>
        <w:rPr>
          <w:rFonts w:ascii="Arial" w:cs="Arial" w:eastAsia="Arial" w:hAnsi="Arial"/>
          <w:sz w:val="16"/>
          <w:szCs w:val="16"/>
          <w:color w:val="auto"/>
        </w:rPr>
        <w:t xml:space="preserve">Refer to “Note 9: </w:t>
      </w:r>
      <w:r>
        <w:rPr>
          <w:rFonts w:ascii="Arial" w:cs="Arial" w:eastAsia="Arial" w:hAnsi="Arial"/>
          <w:sz w:val="16"/>
          <w:szCs w:val="16"/>
          <w:i w:val="1"/>
          <w:iCs w:val="1"/>
          <w:color w:val="auto"/>
        </w:rPr>
        <w:t>Stock Based Awards and Other Equity Instruments</w:t>
      </w:r>
      <w:r>
        <w:rPr>
          <w:rFonts w:ascii="Arial" w:cs="Arial" w:eastAsia="Arial" w:hAnsi="Arial"/>
          <w:sz w:val="16"/>
          <w:szCs w:val="16"/>
          <w:color w:val="auto"/>
        </w:rPr>
        <w:t>” in the notes to our unaudited condensed consolidated financial statements in Item 1 in this Quarterly Report on Form 10-Q for further information on current year equity award activity, including the issuance of approximately 4.8 million service-based RSUs with a weighted average grant-date fair value of $27.24 during the three months ended March 31, 2022.</w:t>
      </w: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Our principal source of liquidity is cash flow generated from operations and our existing cash and cash equivalents balance. Our liquidity needs can also be met through drawdowns under our Credit Facility. As of March 31, 2022 and December 31, 2021, we had $781 million and $723 million, respectively, of cash and cash equivalents, and $497 million of available borrowing capacity under our Credit Facility. As of March 31, 2022, approximately $170 million of our cash and cash equivalents were held by our international subsidiaries outside of the U.S., of which nearly 50% was located in the U.K. As of March 31, 2022, the significant majority of our cash was denominated in U.S. dollars.</w:t>
      </w:r>
    </w:p>
    <w:p>
      <w:pPr>
        <w:spacing w:after="0" w:line="17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As of March 31, 2022, we had $446 million of cumulative undistributed earnings in foreign subsidiaries that are no longer considered to be indefinitely reinvested. As of March 31, 2022, we maintained a deferred income tax liability on our unaudited condensed consolidated balance sheet, which was not material, for the U.S. federal and state income tax and foreign withholding tax liabilities on the cumulative undistributed foreign earnings that we no longer consider indefinitely reinvested.</w:t>
      </w:r>
    </w:p>
    <w:p>
      <w:pPr>
        <w:spacing w:after="0" w:line="188"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As of March 31, 2022, we are party to our Credit Facility, which, among other things, provides for a $500 million revolving credit facility with a maturity date of May 12, 2024. The Company may borrow from the Credit Facility in U.S. dollars and Euros. The Credit Facility requires us to maintain a maximum leverage ratio and contains certain customary affirmative covenants and events of default, including a change of control.</w:t>
      </w:r>
    </w:p>
    <w:p>
      <w:pPr>
        <w:spacing w:after="0" w:line="16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amended the Credit Facility in May 2020 and December 2020 to, among other things, suspend the leverage ratio covenant for quarterly testing of compliance beginning in the second quarter of 2020, replacing it with a minimum liquidity covenant through June 30, 2021 (requiring the Company to maintain $150 million of unrestricted cash, cash equivalent and short-term investments less deferred merchant payables plus available revolver capacity), until the earlier of (a) the first day after June 30, 2021 through maturity on which borrowings and other revolving credit utilizations under the revolving commitments exceed $200 million, and (b) the election of the Company, at which time the leverage ratio covenant (the “Leverage Covenant Holiday”) will be reinstated.</w:t>
      </w:r>
    </w:p>
    <w:p>
      <w:pPr>
        <w:spacing w:after="0" w:line="189" w:lineRule="exact"/>
        <w:rPr>
          <w:sz w:val="20"/>
          <w:szCs w:val="20"/>
          <w:color w:val="auto"/>
        </w:rPr>
      </w:pPr>
    </w:p>
    <w:p>
      <w:pPr>
        <w:ind w:right="100" w:firstLine="509"/>
        <w:spacing w:after="0" w:line="270" w:lineRule="auto"/>
        <w:rPr>
          <w:sz w:val="20"/>
          <w:szCs w:val="20"/>
          <w:color w:val="auto"/>
        </w:rPr>
      </w:pPr>
      <w:r>
        <w:rPr>
          <w:rFonts w:ascii="Arial" w:cs="Arial" w:eastAsia="Arial" w:hAnsi="Arial"/>
          <w:sz w:val="16"/>
          <w:szCs w:val="16"/>
          <w:color w:val="auto"/>
        </w:rPr>
        <w:t>The Company remained in the Leverage Covenant Holiday as of March 31, 2022. Based on the Company’s existing leverage ratio, any outstanding or future borrowings under the Credit Facility generally bear interest, at the Company’s option, at a rate per annum equal to either (i) the Eurocurrency Borrowing rate, or the adjusted LIBO rate for the interest period in effect for such borrowing; plus an applicable margin ranging from 1.25% to 2.25% (“Eurocurrency Spread”) with a London Inter-Bank Offered Rate (“LIBOR”) floor of 1.00% per annum; or (ii) the Alternate Base Rate (“ABR”) Borrowing, which is the greatest of (a) the Prime Rate in 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(“ABR Spread”). In addition, based on the Company’s existing leverage ratio, we are required to pay a quarterly commitment fee, at an applicable rate ranging from 0.15% to 0.50%, which was 0.20% as of March 31, 2022, on the daily unused portion of the Credit Facility for each fiscal quarter during the Leverage Covenant Holiday and in connection with the issuance of letters of credit. The Credit Facility includes restrictions on the Company’s ability to make certain payments and distributions, including share repurchases and dividends.</w:t>
      </w:r>
    </w:p>
    <w:p>
      <w:pPr>
        <w:spacing w:after="0" w:line="17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As of March 31, 2022 and December 31, 2021, respectively, we had no outstanding borrowings and were in compliance with our covenant requirements in effect under the Credit Facility. While there can be no assurance that we will be able to meet the leverage ratio covenant after the Leverage Covenant Holiday ceases, based on our current projections, we do not believe there is a material risk we will not remain in compliance throughout the next twelve months.</w:t>
      </w:r>
    </w:p>
    <w:p>
      <w:pPr>
        <w:spacing w:after="0" w:line="188"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As of March 31, 2022, the Company had $845 million in long-term debt, as a result of the issuance of our 2025 Senior Notes in July 2020 and 2026 Senior Notes in March 2021, as discussed below.</w:t>
      </w:r>
    </w:p>
    <w:p>
      <w:pPr>
        <w:spacing w:after="0" w:line="17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In July 2020, the Company completed the sale of $500 million in 2025 Senior Notes. The 2025 Senior Notes provide, among other things, that interest, at an interest rate of 7.0% per annum, is payable on January 15 and July 15 of each year, which began on January 15, 2021, until their maturity on July 15, 2025. The 2025 Senior Notes are senior unsecured obligations of the Company and are guaranteed by certain of the Company’s domestic subsidiaries.</w:t>
      </w:r>
    </w:p>
    <w:p>
      <w:pPr>
        <w:spacing w:after="0" w:line="188" w:lineRule="exact"/>
        <w:rPr>
          <w:sz w:val="20"/>
          <w:szCs w:val="20"/>
          <w:color w:val="auto"/>
        </w:rPr>
      </w:pPr>
    </w:p>
    <w:p>
      <w:pPr>
        <w:ind w:right="60" w:firstLine="509"/>
        <w:spacing w:after="0" w:line="267" w:lineRule="auto"/>
        <w:rPr>
          <w:sz w:val="20"/>
          <w:szCs w:val="20"/>
          <w:color w:val="auto"/>
        </w:rPr>
      </w:pPr>
      <w:r>
        <w:rPr>
          <w:rFonts w:ascii="Arial" w:cs="Arial" w:eastAsia="Arial" w:hAnsi="Arial"/>
          <w:sz w:val="16"/>
          <w:szCs w:val="16"/>
          <w:color w:val="auto"/>
        </w:rPr>
        <w:t>In March 2021, the Company completed the sale of $345 million of our 2026 Senior Notes. The 2026 Senior Notes provide, among other things, that interest, at an interest rate of 0.25% per annum, is payable on April 1 and October 1 of each year, which began on October 1, 2021, until their maturity on April 1, 2026. Concurrently, the Company used a portion of the proceeds from the 2026 Senior Notes to enter into privately negotiated capped call transactions with certain of the initial purchasers of the 2026 Senior Notes and/or their respective affiliates and/or other financial institutions at a cost of approximately $35 million. The Company intends to use the remainder of the proceeds from this offering for general corporate purposes, which may include repayment of debt, including the partial redemption and/or purchase of the 2025 Senior Notes prior to maturity. The 2026 Senior Notes are senior unsecured obligations of the Company and are guaranteed by certain of the Company’s domestic subsidiaries.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37" w:name="page38"/>
    <w:bookmarkEnd w:id="37"/>
    <w:p>
      <w:pPr>
        <w:ind w:right="60" w:firstLine="509"/>
        <w:spacing w:after="0" w:line="284" w:lineRule="auto"/>
        <w:rPr>
          <w:sz w:val="20"/>
          <w:szCs w:val="20"/>
          <w:color w:val="auto"/>
        </w:rPr>
      </w:pPr>
      <w:r>
        <w:rPr>
          <w:rFonts w:ascii="Arial" w:cs="Arial" w:eastAsia="Arial" w:hAnsi="Arial"/>
          <w:sz w:val="16"/>
          <w:szCs w:val="16"/>
          <w:color w:val="auto"/>
        </w:rPr>
        <w:t>The 2025 Senior Notes and 2026 Senior Notes are not registered securities and there are currently no plans to register these notes as securities in the future. As a result, no separate financial statements are required for the guarantor subsidiaries of these notes. We may from time to time repurchase our outstanding 2025 Senior Notes or 2026 Senior Notes through tender offers, open market purchases, privately negotiated transactions or otherwise. Such repurchases, if any, will depend on prevailing market conditions, our liquidity requirements, contractual restrictions and other factors.</w:t>
      </w:r>
    </w:p>
    <w:p>
      <w:pPr>
        <w:spacing w:after="0" w:line="155"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 xml:space="preserve">For further information on our Credit Facility, 2025 Senior Notes, and 2026 Senior Notes, refer to “Note 6: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unaudited condensed consolidated financial statements in Item 1 in this Quarterly Report on Form 10-Q.</w:t>
      </w:r>
    </w:p>
    <w:p>
      <w:pPr>
        <w:spacing w:after="0" w:line="171"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As of March 31, 2022, we had $75 million remaining available to repurchase shares of our common stock under our existing share repurchase program authorized by our Board of Directors. During the three months ended March 31, 2022 and 2021, respectively, the Company did not repurchase any shares of outstanding common stock under the share repurchase program. The terms of our Credit Agreement were amended to limit the Company from share repurchases during the Leverage Covenant Holiday and the terms of the 2025 Indenture related to the 2025 Senior Notes also impose certain limitations and restrictions on share repurchases.</w:t>
      </w:r>
    </w:p>
    <w:p>
      <w:pPr>
        <w:spacing w:after="0" w:line="189"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Our business typically experiences seasonal fluctuations that affect the timing of our annual cash flows during the year related to working capital. In our Experiences and Rentals free-to-list models, we receive cash from travelers at the time of booking or prior to the occurrence of an experience or rental, and we record these amounts, net of commissions, on our consolidated balance sheet as deferred merchant payables. We pay the operator, or the experience supplier and/or property rental owners, after the travelers’ use. Therefore, we generally receive cash from the traveler prior to paying the operator and this operating cycle represents a source or use of cash to us. During the first half of the year experiences and rentals bookings typically exceed the amount of completed experiences and rental stays, resulting in higher cash flow related to working capital, while during the second half of the year, particularly in the third quarter, this pattern reverses and cash flows from these transactions are typically negative. Although consumer travel demand generally remained materially lower than historic levels due to the impact of COVID-19 on our business, these trends improved during 2021 from 2020, resulting in increased revenues, and working capital and operating cash flow more akin to typical historical seasonality trends, which continued during the three months ended March 31, 2022. However, the ultimate extent and longevity of the COVID-19 pandemic, including new or resurgences of existing variants (i.e. Delta and/or Omicron), and its impact on travel, regional and global markets, and overall economic activity in currently affected countries and/or globally remains unknown and impossible to predict with certainty, as such, the impacts on our business, including our operating cash flows, while generally improving, remain uncertain at this point in time. Other factors may also impact typical seasonal fluctuations, which include further significant shifts in our business mix or adverse economic conditions unrelated to COVID-19 that could result in future seasonal patterns that are different from historical trends. In addition, new or different payment options offered to our customers could impact the timing of cash flows. For example, our “Reserve Now, Pay Later” payment option, which allows our travelers the option to reserve certain experiences and defer payment until a date no later than two days before the experience date, which although used in a minority of bookings to date, may continue to increase, and affect the timing of our future cash flows and working capital.</w:t>
      </w:r>
    </w:p>
    <w:p>
      <w:pPr>
        <w:spacing w:after="0" w:line="181"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 xml:space="preserve">As discussed in “Note 7: </w:t>
      </w:r>
      <w:r>
        <w:rPr>
          <w:rFonts w:ascii="Arial" w:cs="Arial" w:eastAsia="Arial" w:hAnsi="Arial"/>
          <w:sz w:val="16"/>
          <w:szCs w:val="16"/>
          <w:i w:val="1"/>
          <w:iCs w:val="1"/>
          <w:color w:val="auto"/>
        </w:rPr>
        <w:t>Income Taxes</w:t>
      </w:r>
      <w:r>
        <w:rPr>
          <w:rFonts w:ascii="Arial" w:cs="Arial" w:eastAsia="Arial" w:hAnsi="Arial"/>
          <w:sz w:val="16"/>
          <w:szCs w:val="16"/>
          <w:color w:val="auto"/>
        </w:rPr>
        <w:t>” in the notes to our unaudited condensed consolidated financial statements in Item 1 in this Quarterly Report on Form 10-Q, we have received Notices of Proposed Adjustments issued by the IRS for tax years 2009 through 2016, as of March 31, 2022. These proposed adjustments are related to certain transfer pricing arrangements with our foreign subsidiaries, and would result in an increase to our worldwide income tax expense in an estimated range of $100 million to $110 million, exclusive of interest expense, at the close of the audit if the IRS prevails. In addition, we received from HMRC in the U.K. an issue closure notice relating to adjustments for 2012 through 2016 tax years, as of March 31, 2022. These proposed adjustments are related to certain transfer pricing arrangements with our foreign subsidiaries and would result in an increase to our worldwide income tax expense in an estimated range of $45 million to $55 million, exclusive of interest expense, at the close of the audit if HMRC prevails. We disagree with the proposed adjustments and we intend to defend our positions through applicable administrative and, if necessary, judicial remedies. Although the ultimate timing for resolution of these matters is uncertain, any future payments would negatively impact our operating cash flows.</w:t>
      </w:r>
    </w:p>
    <w:p>
      <w:pPr>
        <w:spacing w:after="0" w:line="169"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The CARES Act, enacted in March 2020, made tax law changes to provide financial relief to companies as a result of the impact to businesses related to COVID-19. Key income tax provisions of the CARES Act include changes in NOL carryback and carryforward rules, increase of the net interest expense deduction limit, and immediate write-off of qualified improvement property. The CARES Act allowed us to carryback our U.S. federal NOL incurred in 2020, generating an expected tax refund of $48 million, which is reported in income taxes receivable on our unaudited condensed consolidated balance sheet as of March 31, 2022. In April 2022, we received the entire $48 million of this refund.</w:t>
      </w:r>
    </w:p>
    <w:p>
      <w:pPr>
        <w:spacing w:after="0" w:line="174"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which may potentially reduce our cash balance and/or require us to borrow under our Credit Facility or to seek other financing alternatives.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ind w:right="20" w:firstLine="509"/>
        <w:spacing w:after="0" w:line="261" w:lineRule="auto"/>
        <w:rPr>
          <w:sz w:val="20"/>
          <w:szCs w:val="20"/>
          <w:color w:val="auto"/>
        </w:rPr>
      </w:pPr>
      <w:r>
        <w:rPr>
          <w:rFonts w:ascii="Arial" w:cs="Arial" w:eastAsia="Arial" w:hAnsi="Arial"/>
          <w:sz w:val="18"/>
          <w:szCs w:val="18"/>
          <w:color w:val="auto"/>
        </w:rPr>
        <w:t>Our cash flows for the three months ended March 31, 2022 and 2021, as reflected in our unaudited condensed consolidated statements of cash flows, are summarized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98"/>
              </w:rPr>
              <w:t>Three months ended March 31,</w:t>
            </w:r>
          </w:p>
        </w:tc>
        <w:tc>
          <w:tcPr>
            <w:tcW w:w="1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940" w:type="dxa"/>
            <w:vAlign w:val="bottom"/>
          </w:tcPr>
          <w:p>
            <w:pPr>
              <w:spacing w:after="0"/>
              <w:rPr>
                <w:sz w:val="14"/>
                <w:szCs w:val="14"/>
                <w:color w:val="auto"/>
              </w:rPr>
            </w:pPr>
          </w:p>
        </w:tc>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9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69"/>
        </w:trPr>
        <w:tc>
          <w:tcPr>
            <w:tcW w:w="5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300" w:type="dxa"/>
            <w:vAlign w:val="bottom"/>
            <w:gridSpan w:val="2"/>
          </w:tcPr>
          <w:p>
            <w:pPr>
              <w:jc w:val="right"/>
              <w:ind w:right="650"/>
              <w:spacing w:after="0"/>
              <w:rPr>
                <w:sz w:val="20"/>
                <w:szCs w:val="20"/>
                <w:color w:val="auto"/>
              </w:rPr>
            </w:pPr>
            <w:r>
              <w:rPr>
                <w:rFonts w:ascii="Arial" w:cs="Arial" w:eastAsia="Arial" w:hAnsi="Arial"/>
                <w:sz w:val="14"/>
                <w:szCs w:val="14"/>
                <w:b w:val="1"/>
                <w:bCs w:val="1"/>
                <w:color w:val="auto"/>
                <w:w w:val="93"/>
              </w:rPr>
              <w:t>millions)</w:t>
            </w: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5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(used in):</w:t>
            </w:r>
          </w:p>
        </w:tc>
        <w:tc>
          <w:tcPr>
            <w:tcW w:w="14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5940" w:type="dxa"/>
            <w:vAlign w:val="bottom"/>
          </w:tcPr>
          <w:p>
            <w:pPr>
              <w:ind w:left="20"/>
              <w:spacing w:after="0" w:line="202" w:lineRule="exact"/>
              <w:rPr>
                <w:sz w:val="20"/>
                <w:szCs w:val="20"/>
                <w:color w:val="auto"/>
              </w:rPr>
            </w:pPr>
            <w:r>
              <w:rPr>
                <w:rFonts w:ascii="Arial" w:cs="Arial" w:eastAsia="Arial" w:hAnsi="Arial"/>
                <w:sz w:val="18"/>
                <w:szCs w:val="18"/>
                <w:color w:val="auto"/>
              </w:rPr>
              <w:t>Operating activities</w:t>
            </w:r>
          </w:p>
        </w:tc>
        <w:tc>
          <w:tcPr>
            <w:tcW w:w="1480" w:type="dxa"/>
            <w:vAlign w:val="bottom"/>
          </w:tcPr>
          <w:p>
            <w:pPr>
              <w:jc w:val="right"/>
              <w:ind w:right="1299"/>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380" w:type="dxa"/>
            <w:vAlign w:val="bottom"/>
          </w:tcPr>
          <w:p>
            <w:pPr>
              <w:spacing w:after="0"/>
              <w:rPr>
                <w:sz w:val="17"/>
                <w:szCs w:val="17"/>
                <w:color w:val="auto"/>
              </w:rPr>
            </w:pPr>
          </w:p>
        </w:tc>
        <w:tc>
          <w:tcPr>
            <w:tcW w:w="920" w:type="dxa"/>
            <w:vAlign w:val="bottom"/>
          </w:tcPr>
          <w:p>
            <w:pPr>
              <w:jc w:val="right"/>
              <w:ind w:right="710"/>
              <w:spacing w:after="0" w:line="202" w:lineRule="exact"/>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(19 )</w:t>
            </w:r>
          </w:p>
        </w:tc>
      </w:tr>
      <w:tr>
        <w:trPr>
          <w:trHeight w:val="203"/>
        </w:trPr>
        <w:tc>
          <w:tcPr>
            <w:tcW w:w="5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Investing activities</w:t>
            </w:r>
          </w:p>
        </w:tc>
        <w:tc>
          <w:tcPr>
            <w:tcW w:w="14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28"/>
              <w:spacing w:after="0" w:line="202" w:lineRule="exact"/>
              <w:rPr>
                <w:sz w:val="20"/>
                <w:szCs w:val="20"/>
                <w:color w:val="auto"/>
              </w:rPr>
            </w:pPr>
            <w:r>
              <w:rPr>
                <w:rFonts w:ascii="Arial" w:cs="Arial" w:eastAsia="Arial" w:hAnsi="Arial"/>
                <w:sz w:val="18"/>
                <w:szCs w:val="18"/>
                <w:color w:val="auto"/>
              </w:rPr>
              <w:t>(14 )</w:t>
            </w:r>
          </w:p>
        </w:tc>
        <w:tc>
          <w:tcPr>
            <w:tcW w:w="92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(10 )</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1480" w:type="dxa"/>
            <w:vAlign w:val="bottom"/>
          </w:tcPr>
          <w:p>
            <w:pPr>
              <w:spacing w:after="0"/>
              <w:rPr>
                <w:sz w:val="20"/>
                <w:szCs w:val="20"/>
                <w:color w:val="auto"/>
              </w:rPr>
            </w:pPr>
          </w:p>
        </w:tc>
        <w:tc>
          <w:tcPr>
            <w:tcW w:w="1300" w:type="dxa"/>
            <w:vAlign w:val="bottom"/>
            <w:gridSpan w:val="2"/>
          </w:tcPr>
          <w:p>
            <w:pPr>
              <w:jc w:val="right"/>
              <w:ind w:right="228"/>
              <w:spacing w:after="0"/>
              <w:rPr>
                <w:sz w:val="20"/>
                <w:szCs w:val="20"/>
                <w:color w:val="auto"/>
              </w:rPr>
            </w:pPr>
            <w:r>
              <w:rPr>
                <w:rFonts w:ascii="Arial" w:cs="Arial" w:eastAsia="Arial" w:hAnsi="Arial"/>
                <w:sz w:val="18"/>
                <w:szCs w:val="18"/>
                <w:color w:val="auto"/>
              </w:rPr>
              <w:t>(10 )</w:t>
            </w:r>
          </w:p>
        </w:tc>
        <w:tc>
          <w:tcPr>
            <w:tcW w:w="9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0"/>
                <w:szCs w:val="20"/>
                <w:color w:val="auto"/>
              </w:rPr>
            </w:pPr>
          </w:p>
        </w:tc>
      </w:tr>
    </w:tbl>
    <w:p>
      <w:pPr>
        <w:spacing w:after="0" w:line="160"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During the three months ended March 31, 2022, our primary use of cash was financing activities (including payment of withholding taxes on net share settlements of our equity awards of $8 million), and investing activities (including capital expenditures incurred during the three months ended March 31, 2022 of $14 million). This use of cash was funded with cash and cash equivalents, and operating cash flow.</w:t>
      </w:r>
    </w:p>
    <w:p>
      <w:pPr>
        <w:spacing w:after="0" w:line="182"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During the three months ended March 31, 2021, our primary use of cash was from operations, financing activities (including payment of withholding taxes on net share settlements of our equity awards of $23 million and purchase of the Capped Calls of $35 million), and investing activities (including capital expenditures incurred during the three months ended March 31, 2021 of $10 million). This use of cash was funded primarily with cash and cash equivalents, and financing activities, which includes $340 million of proceeds from the issuance of our 2026 Senior Notes, net of financing costs.</w:t>
      </w:r>
    </w:p>
    <w:p>
      <w:pPr>
        <w:spacing w:after="0" w:line="15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Net cash provided by operating activities for the three months ended March 31, 2022, increased by $105 million when compared to the same period in 2021, primarily due to a decrease in net losses of $46 million and an increase in working capital of $50 million, primarily driven by an increase in deferred merchant payables and deferred revenue reflecting the cash received from travelers due to an increase in experiences bookings which exceeded our payments to traveler suppliers, partially offset by an increase in accounts receivable across the business, all largely reflective of the increasing consumer demand for travel activities during the first quarter of 2022, in addition to timing of vendor payments and collection of receivables, as well as, and to a lesser extent, an increase in non-cash items of $9 million which was primarily due to an increase in deferred income tax benefits, partially offset by a decrease in stock-based compensation expense.</w:t>
      </w:r>
    </w:p>
    <w:p>
      <w:pPr>
        <w:spacing w:after="0" w:line="191"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Net cash used in investing activities for the three months ended March 31, 2022 increased by $4 million when compared to the same period in 2021, due to an increase in capital expenditures in the business.</w:t>
      </w:r>
    </w:p>
    <w:p>
      <w:pPr>
        <w:spacing w:after="0" w:line="171" w:lineRule="exact"/>
        <w:rPr>
          <w:sz w:val="20"/>
          <w:szCs w:val="20"/>
          <w:color w:val="auto"/>
        </w:rPr>
      </w:pPr>
    </w:p>
    <w:p>
      <w:pPr>
        <w:jc w:val="both"/>
        <w:ind w:right="20" w:firstLine="509"/>
        <w:spacing w:after="0" w:line="243" w:lineRule="auto"/>
        <w:rPr>
          <w:sz w:val="20"/>
          <w:szCs w:val="20"/>
          <w:color w:val="auto"/>
        </w:rPr>
      </w:pPr>
      <w:r>
        <w:rPr>
          <w:rFonts w:ascii="Arial" w:cs="Arial" w:eastAsia="Arial" w:hAnsi="Arial"/>
          <w:sz w:val="18"/>
          <w:szCs w:val="18"/>
          <w:color w:val="auto"/>
        </w:rPr>
        <w:t>Net cash provided by financing activities for the three months ended March 31, 2022 decreased by $297 million when compared to the same period in 2021, primarily due to proceeds received from the issuance of our 2026 Senior Notes of $340 million, net of financing costs, partially offset by payments of $35 million for the Capped Calls in connection with our 2026 Senior Notes during three months ended March 31, 2021, both of which did not reoccur in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108" w:lineRule="exact"/>
        <w:rPr>
          <w:sz w:val="20"/>
          <w:szCs w:val="20"/>
          <w:color w:val="auto"/>
        </w:rPr>
      </w:pPr>
    </w:p>
    <w:p>
      <w:pPr>
        <w:ind w:right="220" w:firstLine="509"/>
        <w:spacing w:after="0" w:line="259" w:lineRule="auto"/>
        <w:rPr>
          <w:sz w:val="20"/>
          <w:szCs w:val="20"/>
          <w:color w:val="auto"/>
        </w:rPr>
      </w:pPr>
      <w:r>
        <w:rPr>
          <w:rFonts w:ascii="Arial" w:cs="Arial" w:eastAsia="Arial" w:hAnsi="Arial"/>
          <w:sz w:val="17"/>
          <w:szCs w:val="17"/>
          <w:color w:val="auto"/>
        </w:rPr>
        <w:t>There have been no material changes outside the normal course of business to our contractual obligations and commercial commitments since December 31, 2021. As of March 31, 2022, other than our contractual obligations and commercial commitments, we did not have any off-balance sheet arrangements, as defined in Item 303(a)(4)(ii) of Regulation S-K promulgated by the SEC. Refer to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in Part II, Item 7. —Management’s Discussion and Analysis of Financial Condition and Results of Operations of our Annual Report on Form 10-K for the year ended December 31, 2021 for a discussion of our contractual obligations and commercial commitments.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16" w:lineRule="exact"/>
        <w:rPr>
          <w:sz w:val="20"/>
          <w:szCs w:val="20"/>
          <w:color w:val="auto"/>
        </w:rPr>
      </w:pPr>
    </w:p>
    <w:p>
      <w:pPr>
        <w:ind w:right="140" w:firstLine="509"/>
        <w:spacing w:after="0" w:line="266" w:lineRule="auto"/>
        <w:rPr>
          <w:sz w:val="20"/>
          <w:szCs w:val="20"/>
          <w:color w:val="auto"/>
        </w:rPr>
      </w:pPr>
      <w:r>
        <w:rPr>
          <w:rFonts w:ascii="Arial" w:cs="Arial" w:eastAsia="Arial" w:hAnsi="Arial"/>
          <w:sz w:val="16"/>
          <w:szCs w:val="16"/>
          <w:color w:val="auto"/>
        </w:rPr>
        <w:t>In the ordinary course of business, we are party to legal, regulatory and administrative matters, including threats thereof, arising out of or in connection with our operations. These matters may involve claims involving patent and other intellectual property rights (including privacy, alleged infringement of third-party intellectual property rights), tax matters (including value-added, excise, transient occupancy and accommodation taxes), regulatory compliance (including competition, consumer matters and data privacy), defamation and reputational claims. Periodically, we review the status of all significant outstanding matters to assess any potential financial exposure. When (i) it is probable that an asset has been impaired or a liability has been incurred; and (ii) the amount of the loss can be reasonably estimated and is material,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9" w:name="page40"/>
    <w:bookmarkEnd w:id="39"/>
    <w:p>
      <w:pPr>
        <w:ind w:right="40"/>
        <w:spacing w:after="0" w:line="262" w:lineRule="auto"/>
        <w:rPr>
          <w:sz w:val="20"/>
          <w:szCs w:val="20"/>
          <w:color w:val="auto"/>
        </w:rPr>
      </w:pPr>
      <w:r>
        <w:rPr>
          <w:rFonts w:ascii="Arial" w:cs="Arial" w:eastAsia="Arial" w:hAnsi="Arial"/>
          <w:sz w:val="17"/>
          <w:szCs w:val="17"/>
          <w:color w:val="auto"/>
        </w:rPr>
        <w:t>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72"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9"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By virtue of consolidated income tax returns previously filed with Expedia, we are currently under an IRS audit for the 2009, 2010 and short-period 2011 tax years. We are separately under examination by the IRS for the short-period 2011, 2012 through 2016, and 2018 tax years, and have various ongoing audits for foreign and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March 31, 2022, no material assessments have resulted, except as noted below regarding our 2009, 2010, and 2011 IRS audit with Expedia and our 2012 through 2016 standalone IRS audit.</w:t>
      </w:r>
    </w:p>
    <w:p>
      <w:pPr>
        <w:spacing w:after="0" w:line="175" w:lineRule="exact"/>
        <w:rPr>
          <w:sz w:val="20"/>
          <w:szCs w:val="20"/>
          <w:color w:val="auto"/>
        </w:rPr>
      </w:pPr>
    </w:p>
    <w:p>
      <w:pPr>
        <w:jc w:val="both"/>
        <w:ind w:right="60" w:firstLine="509"/>
        <w:spacing w:after="0" w:line="271"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Subsequently, in September 2019, as part of Tripadvisor’s standalone audit, we received Notices of Proposed Adjustment from the IRS for the 2012 and 2013 tax years, and in August 2020, we received Notices of Proposed Adjustments from the IRS for the 2014, 2015 and 2016 tax years.</w:t>
      </w:r>
    </w:p>
    <w:p>
      <w:pPr>
        <w:spacing w:after="0" w:line="268" w:lineRule="auto"/>
        <w:rPr>
          <w:sz w:val="20"/>
          <w:szCs w:val="20"/>
          <w:color w:val="auto"/>
        </w:rPr>
      </w:pPr>
      <w:r>
        <w:rPr>
          <w:rFonts w:ascii="Arial" w:cs="Arial" w:eastAsia="Arial" w:hAnsi="Arial"/>
          <w:sz w:val="16"/>
          <w:szCs w:val="16"/>
          <w:color w:val="auto"/>
        </w:rPr>
        <w:t>These proposed adjustments are related to certain transfer pricing arrangements with our foreign subsidiaries, and would result in an increase to our worldwide income tax expense in an estimated range of $100 million to $110 million at the close of the audit if the IRS prevails. The estimated range takes into consideration competent authority relief and transition tax regulations, and is exclusive of deferred tax consequences and interest expense,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through 2016 transactions, if the IRS were to seek transfer pricing adjustments of a similar nature for transactions in subsequent years, we would be subject to significant additional tax liabilities. We have requested competent authority assistance under MAP for tax years 2009 through 2016. We expect the competent authorities to present a resolution for the 2009 through 2011 tax years in the near future. Upon receipt, we will assess the resolution provided by the competent authorities as well as its impact on our existing income tax reserves for all subsequent years which remain open.</w:t>
      </w:r>
    </w:p>
    <w:p>
      <w:pPr>
        <w:spacing w:after="0" w:line="170"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In January 2021, we received an issue closure notice relating to adjustments for 2012 through 2016 tax years from HMRC. These proposed adjustments are related to certain transfer pricing arrangements with our foreign subsidiaries and would result in an increase to our worldwide income tax expense in an estimated range of $45 million to $55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w:t>
      </w:r>
    </w:p>
    <w:p>
      <w:pPr>
        <w:spacing w:after="0" w:line="175" w:lineRule="exact"/>
        <w:rPr>
          <w:sz w:val="20"/>
          <w:szCs w:val="20"/>
          <w:color w:val="auto"/>
        </w:rPr>
      </w:pPr>
    </w:p>
    <w:p>
      <w:pPr>
        <w:ind w:right="60" w:firstLine="509"/>
        <w:spacing w:after="0" w:line="266" w:lineRule="auto"/>
        <w:rPr>
          <w:sz w:val="20"/>
          <w:szCs w:val="20"/>
          <w:color w:val="auto"/>
        </w:rPr>
      </w:pPr>
      <w:r>
        <w:rPr>
          <w:rFonts w:ascii="Arial" w:cs="Arial" w:eastAsia="Arial" w:hAnsi="Arial"/>
          <w:sz w:val="16"/>
          <w:szCs w:val="16"/>
          <w:color w:val="auto"/>
        </w:rPr>
        <w:t>Over the last several years, The Organization for Economic Cooperation and Development (“OECD”) has been working on a Base Erosion and Profit Shifting Project to address the tax challenges arising from digitalization. The OECD/G20 Inclusive Framework has issued various guidelines, policy notes, and proposals that if adopted could result in an overhaul of the international taxation system under which our current tax obligations are determined. In October 2021, more than 130 countries tentatively signed on to a framework, expected to be implemented in 2023, which calls for a minimum tax rate on corporations of 15% and a reallocation of profits from the largest and most profitable businesses to countries where they make sales. The proposed framework, once enacted, envisages new international tax rules and the removal of all digital services taxes. As this framework is subject to further negotiation and implementation by each member country, the timing and ultimate impact of any such changes on our tax obligations is uncertain. As the OECD/G20 continues to drive toward a consensus framework, several countries which have previously enacted unilateral digital services tax initiatives, such as France, Italy, Spain, and the U.K., will continue to impose these revenue-based taxes until implementation of the consensus framework. During the three months ended March 31, 2022, we recorded $1 million of digital service tax to general and administrative expense on our unaudited condensed consolidated statement of operations, while this amount was not material during the three months ended March 31, 2021.</w:t>
      </w: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0" w:name="page41"/>
    <w:bookmarkEnd w:id="40"/>
    <w:p>
      <w:pPr>
        <w:ind w:right="60" w:firstLine="509"/>
        <w:spacing w:after="0" w:line="241" w:lineRule="auto"/>
        <w:rPr>
          <w:sz w:val="20"/>
          <w:szCs w:val="20"/>
          <w:color w:val="auto"/>
        </w:rPr>
      </w:pPr>
      <w:r>
        <w:rPr>
          <w:rFonts w:ascii="Arial" w:cs="Arial" w:eastAsia="Arial" w:hAnsi="Arial"/>
          <w:sz w:val="18"/>
          <w:szCs w:val="18"/>
          <w:color w:val="auto"/>
        </w:rPr>
        <w:t>Due to the one-time transition tax on the deemed repatriation of undistributed foreign subsidiary earnings and profits in 2017, as a result of the 2017 Tax Act, the majority of previously unremitted earnings have been subjected to U.S. federal income tax. To the extent future distributions from these subsidiaries will be taxable, a deferred income tax liability has been accrued on our unaudited condensed consolidated balance sheet, which was not material as of March 31, 2022. As of March 31, 2022, $446 million of our cumulative undistributed foreign earnings were no longer considered to be indefinitely reinvested.</w:t>
      </w:r>
    </w:p>
    <w:p>
      <w:pPr>
        <w:spacing w:after="0" w:line="189"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 xml:space="preserve">Refer to “Note 7: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unaudited condensed consolidated financial statements in Item 1 in this Quarterly Report on Form 10-Q for further information on potential tax contingencies, including current audits by the IRS and various other domestic and foreign tax authorities, and other income tax and non-income tax matters.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There has been no material change in our market risk profile during the three months ended March 31, 2022 since December 31, 2021. For a discussion of current market conditions and impacts on the Company’s financials resulting from the COVID-19 pandemic, refer to “Note 1: Business Description and Basis of Presentation” in the notes to our unaudited condensed consolidated financial statements in Item 1 in this Quarterly Report on Form 10-Q, and for further information, Part I, Item 2, "Management's Discussion and Analysis of Financial Condition and Results of Operations,” and to Part II, Item 1A, "Risk Factors”. For additional information about our market risk profile, refer to “Quantitative and Qualitative Disclosures About Market Risk” in Item 7A. in Part II of our Annual Report on Form 10-K for the year ended December 31, 2021.</w:t>
      </w:r>
    </w:p>
    <w:p>
      <w:pPr>
        <w:spacing w:after="0" w:line="175"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which has been heightened during the COVID-19 pandemic. The risk of loss can be assessed from the perspective of adverse changes in our future earnings, cash flows, fair values of our assets, and financial condition. Our exposure to market risk, at any point in time, may include risk, including to any borrowings under our Credit Facility, or outstanding debt related to our 2025 Senior Notes and 2026 Senior Notes, derivative instruments, capped calls, cash and cash equivalents, short-term and long-term marketable securities, if any, accounts receivable, intercompany receivables/payables, accounts payable, deferred merchant payables and other balances and transactions denominated in foreign currencies. We have established policies, procedures and internal processes governing our management of market risks and the use of financial instruments to manage and attempt to mitigate our exposure to such risks.</w:t>
      </w:r>
    </w:p>
    <w:p>
      <w:pPr>
        <w:spacing w:after="0" w:line="18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We expect that we will continue to increase our operations internationally as, or when, COVID-19 restrictions are fully lifted and international markets continue to reopen. Our exposure to potentially volatile movements in foreign currency exchange rates will increase as we increase our operations in these international markets. The economic impact to us of foreign currency exchange rate movements is linked to variability in real growth, inflation, interest rates, governmental actions, and other factors. These changes, if material, could cause us to adjust our foreign currency risk strategies. For example, Brexit (pursuant to which the United Kingdom ceased to be a member of the European Union) has caused volatility in currency exchange rates, including between the U.S. dollar and the British pound. Although, the U.K. and E.U. finalized the terms of the departure on December 24, 2020, certain decisions still need to be made on financial services, among others, and disputes may lead to tariffs being imposed on some goods in the future. Continued uncertainty regarding our international operations and U.K. and E.U. relations may result in future currency exchange rate volatility which may impact our business and results of operations. In addition, the geopolitical tensions resulting from Russia’s invasion of Ukraine, including increased cyberattacks, military conflicts and sanctions may result in additional financial volatility that may adversely affect our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As of March 31, 2022, our management, with the participation of our Chief Executive Officer and President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President and our Chief Financial Officer concluded that, as of March 31, 2022,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March 31, 2022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20" w:firstLine="509"/>
        <w:spacing w:after="0" w:line="269" w:lineRule="auto"/>
        <w:rPr>
          <w:sz w:val="20"/>
          <w:szCs w:val="20"/>
          <w:color w:val="auto"/>
        </w:rPr>
      </w:pPr>
      <w:r>
        <w:rPr>
          <w:rFonts w:ascii="Arial" w:cs="Arial" w:eastAsia="Arial" w:hAnsi="Arial"/>
          <w:sz w:val="16"/>
          <w:szCs w:val="16"/>
          <w:color w:val="auto"/>
        </w:rPr>
        <w:t>In the ordinary course of business, we are party to legal, regulatory and administrative matters, including threats thereof, arising out of, or in connection with our operations. These matters may involve claims involving intellectual property rights (including privacy,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While we attempt to identify, manage and mitigate risks and uncertainties associated with our business to the extent practical under the circumstances, some level of risk and uncertainty will always be present. Refer to Part I, Item 1A, “Risk Factors” in our Annual Report on Form 10-K for the year ended December 31, 2021 for a description of the risks and uncertainties which could materially and adversely affect our business, financial condition, cash flows and results of operations, and the trading price of our common stock. The risks and uncertainties described are not the only ones we face. Additional risks and uncertainties not presently known to us or that we currently believe are immaterial may also impair our business, results of operations or financial condition. During the quarter ended March 31, 2022, there have been no material changes in our risk factors from those disclosed in Part 1, Item 1A., “Risk Factors” in our Annual Report on Form 10-K for the fiscal year ended December 31,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08"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During the quarter ended March 31, 2022,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43" w:lineRule="exact"/>
        <w:rPr>
          <w:sz w:val="20"/>
          <w:szCs w:val="20"/>
          <w:color w:val="auto"/>
        </w:rPr>
      </w:pPr>
    </w:p>
    <w:p>
      <w:pPr>
        <w:jc w:val="both"/>
        <w:ind w:right="140" w:firstLine="450"/>
        <w:spacing w:after="0" w:line="248" w:lineRule="auto"/>
        <w:rPr>
          <w:sz w:val="20"/>
          <w:szCs w:val="20"/>
          <w:color w:val="auto"/>
        </w:rPr>
      </w:pPr>
      <w:r>
        <w:rPr>
          <w:rFonts w:ascii="Arial" w:cs="Arial" w:eastAsia="Arial" w:hAnsi="Arial"/>
          <w:sz w:val="18"/>
          <w:szCs w:val="18"/>
          <w:color w:val="auto"/>
        </w:rPr>
        <w:t>During the quarter ended March 31, 2022, we did not repurchase any shares of our common stock under our existing share repurchase program. As of March 31, 2022, we had $75 million remaining available to repurchase shares of our common stock under our previously authorized share repurchase program.</w:t>
      </w:r>
    </w:p>
    <w:p>
      <w:pPr>
        <w:spacing w:after="0" w:line="182"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 xml:space="preserve">While the Board of Directors has not suspended or terminated the share repurchase program, the terms of our Credit Agreement limit the Company from engaging in share repurchases and the terms of our 2025 Indenture related to our 2025 Senior Notes impose certain limitations and restrictions on share repurchases. Refer to “Note 6: </w:t>
      </w:r>
      <w:r>
        <w:rPr>
          <w:rFonts w:ascii="Arial" w:cs="Arial" w:eastAsia="Arial" w:hAnsi="Arial"/>
          <w:sz w:val="18"/>
          <w:szCs w:val="18"/>
          <w:i w:val="1"/>
          <w:iCs w:val="1"/>
          <w:color w:val="auto"/>
        </w:rPr>
        <w:t>Debt</w:t>
      </w:r>
      <w:r>
        <w:rPr>
          <w:rFonts w:ascii="Arial" w:cs="Arial" w:eastAsia="Arial" w:hAnsi="Arial"/>
          <w:sz w:val="18"/>
          <w:szCs w:val="18"/>
          <w:color w:val="auto"/>
        </w:rPr>
        <w:t>” in the notes to the unaudited condensed consolidated financial statements in Item 1 in this Quarterly Report on Form 10-Q for further information about our Credit Agreement and our 2025 Indenture.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8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69"/>
        </w:trPr>
        <w:tc>
          <w:tcPr>
            <w:tcW w:w="800" w:type="dxa"/>
            <w:vAlign w:val="bottom"/>
          </w:tcPr>
          <w:p>
            <w:pPr>
              <w:ind w:left="20"/>
              <w:spacing w:after="0" w:line="169"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4"/>
                <w:szCs w:val="14"/>
                <w:color w:val="auto"/>
              </w:rPr>
            </w:pPr>
          </w:p>
        </w:tc>
        <w:tc>
          <w:tcPr>
            <w:tcW w:w="6280" w:type="dxa"/>
            <w:vAlign w:val="bottom"/>
            <w:gridSpan w:val="8"/>
          </w:tcPr>
          <w:p>
            <w:pPr>
              <w:spacing w:after="0" w:line="169" w:lineRule="exact"/>
              <w:rPr>
                <w:rFonts w:ascii="Arial" w:cs="Arial" w:eastAsia="Arial" w:hAnsi="Arial"/>
                <w:sz w:val="18"/>
                <w:szCs w:val="18"/>
                <w:color w:val="0000FF"/>
                <w:w w:val="90"/>
              </w:rPr>
            </w:pPr>
            <w:hyperlink w:anchor="page45">
              <w:r>
                <w:rPr>
                  <w:rFonts w:ascii="Arial" w:cs="Arial" w:eastAsia="Arial" w:hAnsi="Arial"/>
                  <w:sz w:val="18"/>
                  <w:szCs w:val="18"/>
                  <w:color w:val="0000FF"/>
                  <w:w w:val="90"/>
                </w:rPr>
                <w:t>RSU Agreement (Time-Based) between Stephen Kaufer and Tripadvisor, Inc. dated as</w:t>
              </w:r>
            </w:hyperlink>
          </w:p>
        </w:tc>
        <w:tc>
          <w:tcPr>
            <w:tcW w:w="0" w:type="dxa"/>
            <w:vAlign w:val="bottom"/>
          </w:tcPr>
          <w:p>
            <w:pPr>
              <w:spacing w:after="0"/>
              <w:rPr>
                <w:sz w:val="1"/>
                <w:szCs w:val="1"/>
                <w:color w:val="auto"/>
              </w:rPr>
            </w:pPr>
          </w:p>
        </w:tc>
      </w:tr>
      <w:tr>
        <w:trPr>
          <w:trHeight w:val="156"/>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3"/>
                <w:szCs w:val="13"/>
                <w:color w:val="auto"/>
              </w:rPr>
            </w:pPr>
          </w:p>
        </w:tc>
        <w:tc>
          <w:tcPr>
            <w:tcW w:w="626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of December 31,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280" w:type="dxa"/>
            <w:vAlign w:val="bottom"/>
            <w:gridSpan w:val="8"/>
          </w:tcPr>
          <w:p>
            <w:pPr>
              <w:spacing w:after="0" w:line="182" w:lineRule="exact"/>
              <w:rPr>
                <w:rFonts w:ascii="Arial" w:cs="Arial" w:eastAsia="Arial" w:hAnsi="Arial"/>
                <w:sz w:val="18"/>
                <w:szCs w:val="18"/>
                <w:color w:val="0000FF"/>
                <w:w w:val="91"/>
              </w:rPr>
            </w:pPr>
            <w:hyperlink w:anchor="page54">
              <w:r>
                <w:rPr>
                  <w:rFonts w:ascii="Arial" w:cs="Arial" w:eastAsia="Arial" w:hAnsi="Arial"/>
                  <w:sz w:val="18"/>
                  <w:szCs w:val="18"/>
                  <w:color w:val="0000FF"/>
                  <w:w w:val="91"/>
                </w:rPr>
                <w:t>Option Agreement (Domestic) between Stephen Kaufer and Tripadvisor, Inc. dated as</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2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54">
              <w:r>
                <w:rPr>
                  <w:rFonts w:ascii="Arial" w:cs="Arial" w:eastAsia="Arial" w:hAnsi="Arial"/>
                  <w:sz w:val="18"/>
                  <w:szCs w:val="18"/>
                  <w:color w:val="0000FF"/>
                </w:rPr>
                <w:t>of December 31, 2021</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ind w:left="20"/>
              <w:spacing w:after="0"/>
              <w:rPr>
                <w:sz w:val="20"/>
                <w:szCs w:val="20"/>
                <w:color w:val="auto"/>
              </w:rPr>
            </w:pPr>
            <w:r>
              <w:rPr>
                <w:rFonts w:ascii="Arial" w:cs="Arial" w:eastAsia="Arial" w:hAnsi="Arial"/>
                <w:sz w:val="18"/>
                <w:szCs w:val="18"/>
                <w:color w:val="auto"/>
              </w:rPr>
              <w:t>31.1</w:t>
            </w:r>
          </w:p>
        </w:tc>
        <w:tc>
          <w:tcPr>
            <w:tcW w:w="120" w:type="dxa"/>
            <w:vAlign w:val="bottom"/>
            <w:tcBorders>
              <w:right w:val="single" w:sz="8" w:color="0000EE"/>
            </w:tcBorders>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80" w:type="dxa"/>
            <w:vAlign w:val="bottom"/>
            <w:gridSpan w:val="8"/>
          </w:tcPr>
          <w:p>
            <w:pPr>
              <w:spacing w:after="0"/>
              <w:rPr>
                <w:rFonts w:ascii="Arial" w:cs="Arial" w:eastAsia="Arial" w:hAnsi="Arial"/>
                <w:sz w:val="18"/>
                <w:szCs w:val="18"/>
                <w:color w:val="0000FF"/>
                <w:w w:val="93"/>
              </w:rPr>
            </w:pPr>
            <w:hyperlink w:anchor="page63">
              <w:r>
                <w:rPr>
                  <w:rFonts w:ascii="Arial" w:cs="Arial" w:eastAsia="Arial" w:hAnsi="Arial"/>
                  <w:sz w:val="18"/>
                  <w:szCs w:val="18"/>
                  <w:color w:val="0000FF"/>
                  <w:w w:val="93"/>
                </w:rPr>
                <w:t>Certification of the Chief Executive Officer pursuant to Section 302 of the Sarbanes-</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w:anchor="page63">
              <w:r>
                <w:rPr>
                  <w:rFonts w:ascii="Arial" w:cs="Arial" w:eastAsia="Arial" w:hAnsi="Arial"/>
                  <w:sz w:val="18"/>
                  <w:szCs w:val="18"/>
                  <w:color w:val="0000FF"/>
                  <w:w w:val="92"/>
                </w:rPr>
                <w:t>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740" w:type="dxa"/>
            <w:vAlign w:val="bottom"/>
            <w:tcBorders>
              <w:top w:val="single" w:sz="8" w:color="0000FF"/>
            </w:tcBorders>
            <w:gridSpan w:val="3"/>
          </w:tcPr>
          <w:p>
            <w:pPr>
              <w:spacing w:after="0"/>
              <w:rPr>
                <w:sz w:val="13"/>
                <w:szCs w:val="13"/>
                <w:color w:val="auto"/>
              </w:rPr>
            </w:pPr>
          </w:p>
        </w:tc>
        <w:tc>
          <w:tcPr>
            <w:tcW w:w="1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80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6280" w:type="dxa"/>
            <w:vAlign w:val="bottom"/>
            <w:gridSpan w:val="8"/>
          </w:tcPr>
          <w:p>
            <w:pPr>
              <w:spacing w:after="0"/>
              <w:rPr>
                <w:rFonts w:ascii="Arial" w:cs="Arial" w:eastAsia="Arial" w:hAnsi="Arial"/>
                <w:sz w:val="18"/>
                <w:szCs w:val="18"/>
                <w:color w:val="0000FF"/>
                <w:w w:val="94"/>
              </w:rPr>
            </w:pPr>
            <w:hyperlink w:anchor="page64">
              <w:r>
                <w:rPr>
                  <w:rFonts w:ascii="Arial" w:cs="Arial" w:eastAsia="Arial" w:hAnsi="Arial"/>
                  <w:sz w:val="18"/>
                  <w:szCs w:val="18"/>
                  <w:color w:val="0000FF"/>
                  <w:w w:val="94"/>
                </w:rPr>
                <w:t>Certification of the Chief Financial Officer pursuant to Section 302 of the Sarbanes-</w:t>
              </w:r>
            </w:hyperlink>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w:anchor="page64">
              <w:r>
                <w:rPr>
                  <w:rFonts w:ascii="Arial" w:cs="Arial" w:eastAsia="Arial" w:hAnsi="Arial"/>
                  <w:sz w:val="18"/>
                  <w:szCs w:val="18"/>
                  <w:color w:val="0000FF"/>
                  <w:w w:val="92"/>
                </w:rPr>
                <w:t>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680" w:type="dxa"/>
            <w:vAlign w:val="bottom"/>
            <w:tcBorders>
              <w:top w:val="single" w:sz="8" w:color="0000FF"/>
            </w:tcBorders>
            <w:gridSpan w:val="2"/>
          </w:tcPr>
          <w:p>
            <w:pPr>
              <w:spacing w:after="0"/>
              <w:rPr>
                <w:sz w:val="13"/>
                <w:szCs w:val="13"/>
                <w:color w:val="auto"/>
              </w:rPr>
            </w:pPr>
          </w:p>
        </w:tc>
        <w:tc>
          <w:tcPr>
            <w:tcW w:w="2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80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6280" w:type="dxa"/>
            <w:vAlign w:val="bottom"/>
            <w:gridSpan w:val="8"/>
          </w:tcPr>
          <w:p>
            <w:pPr>
              <w:spacing w:after="0"/>
              <w:rPr>
                <w:rFonts w:ascii="Arial" w:cs="Arial" w:eastAsia="Arial" w:hAnsi="Arial"/>
                <w:sz w:val="18"/>
                <w:szCs w:val="18"/>
                <w:color w:val="0000FF"/>
                <w:w w:val="93"/>
              </w:rPr>
            </w:pPr>
            <w:hyperlink w:anchor="page65">
              <w:r>
                <w:rPr>
                  <w:rFonts w:ascii="Arial" w:cs="Arial" w:eastAsia="Arial" w:hAnsi="Arial"/>
                  <w:sz w:val="18"/>
                  <w:szCs w:val="18"/>
                  <w:color w:val="0000FF"/>
                  <w:w w:val="93"/>
                </w:rPr>
                <w:t>Certification of the Chief Executive Officer pursuant to Section 906 of the Sarbanes-</w:t>
              </w:r>
            </w:hyperlink>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w:anchor="page65">
              <w:r>
                <w:rPr>
                  <w:rFonts w:ascii="Arial" w:cs="Arial" w:eastAsia="Arial" w:hAnsi="Arial"/>
                  <w:sz w:val="18"/>
                  <w:szCs w:val="18"/>
                  <w:color w:val="0000FF"/>
                  <w:w w:val="92"/>
                </w:rPr>
                <w:t>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740" w:type="dxa"/>
            <w:vAlign w:val="bottom"/>
            <w:tcBorders>
              <w:top w:val="single" w:sz="8" w:color="0000FF"/>
            </w:tcBorders>
            <w:gridSpan w:val="3"/>
          </w:tcPr>
          <w:p>
            <w:pPr>
              <w:spacing w:after="0"/>
              <w:rPr>
                <w:sz w:val="13"/>
                <w:szCs w:val="13"/>
                <w:color w:val="auto"/>
              </w:rPr>
            </w:pPr>
          </w:p>
        </w:tc>
        <w:tc>
          <w:tcPr>
            <w:tcW w:w="1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80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6280" w:type="dxa"/>
            <w:vAlign w:val="bottom"/>
            <w:gridSpan w:val="8"/>
          </w:tcPr>
          <w:p>
            <w:pPr>
              <w:spacing w:after="0"/>
              <w:rPr>
                <w:rFonts w:ascii="Arial" w:cs="Arial" w:eastAsia="Arial" w:hAnsi="Arial"/>
                <w:sz w:val="18"/>
                <w:szCs w:val="18"/>
                <w:color w:val="0000FF"/>
                <w:w w:val="94"/>
              </w:rPr>
            </w:pPr>
            <w:hyperlink w:anchor="page66">
              <w:r>
                <w:rPr>
                  <w:rFonts w:ascii="Arial" w:cs="Arial" w:eastAsia="Arial" w:hAnsi="Arial"/>
                  <w:sz w:val="18"/>
                  <w:szCs w:val="18"/>
                  <w:color w:val="0000FF"/>
                  <w:w w:val="94"/>
                </w:rPr>
                <w:t>Certification of the Chief Financial Officer pursuant to Section 906 of the Sarbanes-</w:t>
              </w:r>
            </w:hyperlink>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w:anchor="page66">
              <w:r>
                <w:rPr>
                  <w:rFonts w:ascii="Arial" w:cs="Arial" w:eastAsia="Arial" w:hAnsi="Arial"/>
                  <w:sz w:val="18"/>
                  <w:szCs w:val="18"/>
                  <w:color w:val="0000FF"/>
                  <w:w w:val="92"/>
                </w:rPr>
                <w:t>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680" w:type="dxa"/>
            <w:vAlign w:val="bottom"/>
            <w:tcBorders>
              <w:top w:val="single" w:sz="8" w:color="0000FF"/>
            </w:tcBorders>
            <w:gridSpan w:val="2"/>
          </w:tcPr>
          <w:p>
            <w:pPr>
              <w:spacing w:after="0"/>
              <w:rPr>
                <w:sz w:val="13"/>
                <w:szCs w:val="13"/>
                <w:color w:val="auto"/>
              </w:rPr>
            </w:pPr>
          </w:p>
        </w:tc>
        <w:tc>
          <w:tcPr>
            <w:tcW w:w="2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80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6280" w:type="dxa"/>
            <w:vAlign w:val="bottom"/>
            <w:gridSpan w:val="8"/>
          </w:tcPr>
          <w:p>
            <w:pPr>
              <w:spacing w:after="0"/>
              <w:rPr>
                <w:sz w:val="20"/>
                <w:szCs w:val="20"/>
                <w:color w:val="auto"/>
              </w:rPr>
            </w:pPr>
            <w:r>
              <w:rPr>
                <w:rFonts w:ascii="Arial" w:cs="Arial" w:eastAsia="Arial" w:hAnsi="Arial"/>
                <w:sz w:val="18"/>
                <w:szCs w:val="18"/>
                <w:color w:val="auto"/>
                <w:w w:val="98"/>
              </w:rPr>
              <w:t>Inline XBRL Instance Document - the instance document does not appear in the</w:t>
            </w: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80" w:type="dxa"/>
            <w:vAlign w:val="bottom"/>
            <w:gridSpan w:val="8"/>
          </w:tcPr>
          <w:p>
            <w:pPr>
              <w:spacing w:after="0" w:line="176" w:lineRule="exact"/>
              <w:rPr>
                <w:sz w:val="20"/>
                <w:szCs w:val="20"/>
                <w:color w:val="auto"/>
              </w:rPr>
            </w:pPr>
            <w:r>
              <w:rPr>
                <w:rFonts w:ascii="Arial" w:cs="Arial" w:eastAsia="Arial" w:hAnsi="Arial"/>
                <w:sz w:val="18"/>
                <w:szCs w:val="18"/>
                <w:color w:val="auto"/>
                <w:w w:val="96"/>
              </w:rPr>
              <w:t>Interactive Data File because its XBRL tags are embedded within the Inline XBRL</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gridSpan w:val="8"/>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310"/>
        </w:trPr>
        <w:tc>
          <w:tcPr>
            <w:tcW w:w="80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628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10"/>
        </w:trPr>
        <w:tc>
          <w:tcPr>
            <w:tcW w:w="80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628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11"/>
        </w:trPr>
        <w:tc>
          <w:tcPr>
            <w:tcW w:w="80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628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10"/>
        </w:trPr>
        <w:tc>
          <w:tcPr>
            <w:tcW w:w="80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628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10"/>
        </w:trPr>
        <w:tc>
          <w:tcPr>
            <w:tcW w:w="80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628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920" w:hanging="899"/>
        <w:spacing w:after="0"/>
        <w:tabs>
          <w:tab w:leader="none" w:pos="920" w:val="left"/>
        </w:tabs>
        <w:numPr>
          <w:ilvl w:val="1"/>
          <w:numId w:val="19"/>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w:t>
      </w:r>
    </w:p>
    <w:p>
      <w:pPr>
        <w:spacing w:after="0" w:line="223" w:lineRule="exact"/>
        <w:rPr>
          <w:rFonts w:ascii="Arial" w:cs="Arial" w:eastAsia="Arial" w:hAnsi="Arial"/>
          <w:sz w:val="17"/>
          <w:szCs w:val="17"/>
          <w:color w:val="auto"/>
        </w:rPr>
      </w:pPr>
    </w:p>
    <w:p>
      <w:pPr>
        <w:ind w:left="180" w:hanging="172"/>
        <w:spacing w:after="0"/>
        <w:tabs>
          <w:tab w:leader="none" w:pos="1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a management contract or a compensatory plan, contract or arrangement.</w:t>
      </w:r>
    </w:p>
    <w:p>
      <w:pPr>
        <w:spacing w:after="0" w:line="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Filed</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93"/>
              </w:rPr>
              <w:t>Incorporated by Reference</w:t>
            </w:r>
          </w:p>
        </w:tc>
      </w:tr>
      <w:tr>
        <w:trPr>
          <w:trHeight w:val="318"/>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0" w:type="dxa"/>
            <w:vAlign w:val="bottom"/>
          </w:tcPr>
          <w:p>
            <w:pPr>
              <w:spacing w:after="0"/>
              <w:rPr>
                <w:sz w:val="24"/>
                <w:szCs w:val="24"/>
                <w:color w:val="auto"/>
              </w:rPr>
            </w:pPr>
          </w:p>
        </w:tc>
        <w:tc>
          <w:tcPr>
            <w:tcW w:w="302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rPr>
              <w:t>Form   SEC File No.   Exhibit   Filing Date</w:t>
            </w:r>
          </w:p>
        </w:tc>
      </w:tr>
      <w:tr>
        <w:trPr>
          <w:trHeight w:val="20"/>
        </w:trPr>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180" w:space="120"/>
            <w:col w:w="3940"/>
          </w:cols>
          <w:pgMar w:left="320" w:top="688"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6780" w:type="dxa"/>
        <w:tblCellMar>
          <w:top w:w="0" w:type="dxa"/>
          <w:left w:w="0" w:type="dxa"/>
          <w:bottom w:w="0" w:type="dxa"/>
          <w:right w:w="0" w:type="dxa"/>
        </w:tblCellMar>
      </w:tblPr>
      <w:tr>
        <w:trPr>
          <w:trHeight w:val="230"/>
        </w:trPr>
        <w:tc>
          <w:tcPr>
            <w:tcW w:w="1320" w:type="dxa"/>
            <w:vAlign w:val="bottom"/>
            <w:gridSpan w:val="2"/>
          </w:tcPr>
          <w:p>
            <w:pPr>
              <w:spacing w:after="0"/>
              <w:rPr>
                <w:sz w:val="20"/>
                <w:szCs w:val="20"/>
                <w:color w:val="auto"/>
              </w:rPr>
            </w:pPr>
            <w:r>
              <w:rPr>
                <w:rFonts w:ascii="Arial" w:cs="Arial" w:eastAsia="Arial" w:hAnsi="Arial"/>
                <w:sz w:val="18"/>
                <w:szCs w:val="18"/>
                <w:color w:val="auto"/>
              </w:rPr>
              <w:t>Tripadvisor, Inc.</w:t>
            </w:r>
          </w:p>
        </w:tc>
        <w:tc>
          <w:tcPr>
            <w:tcW w:w="3140" w:type="dxa"/>
            <w:vAlign w:val="bottom"/>
          </w:tcPr>
          <w:p>
            <w:pPr>
              <w:spacing w:after="0"/>
              <w:rPr>
                <w:sz w:val="20"/>
                <w:szCs w:val="20"/>
                <w:color w:val="auto"/>
              </w:rPr>
            </w:pPr>
          </w:p>
        </w:tc>
      </w:tr>
      <w:tr>
        <w:trPr>
          <w:trHeight w:val="405"/>
        </w:trPr>
        <w:tc>
          <w:tcPr>
            <w:tcW w:w="1320" w:type="dxa"/>
            <w:vAlign w:val="bottom"/>
            <w:gridSpan w:val="2"/>
          </w:tcPr>
          <w:p>
            <w:pPr>
              <w:spacing w:after="0"/>
              <w:rPr>
                <w:sz w:val="20"/>
                <w:szCs w:val="20"/>
                <w:color w:val="auto"/>
              </w:rPr>
            </w:pPr>
            <w:r>
              <w:rPr>
                <w:rFonts w:ascii="Arial" w:cs="Arial" w:eastAsia="Arial" w:hAnsi="Arial"/>
                <w:sz w:val="18"/>
                <w:szCs w:val="18"/>
                <w:color w:val="auto"/>
              </w:rPr>
              <w:t>By</w:t>
            </w:r>
          </w:p>
        </w:tc>
        <w:tc>
          <w:tcPr>
            <w:tcW w:w="3140" w:type="dxa"/>
            <w:vAlign w:val="bottom"/>
          </w:tcPr>
          <w:p>
            <w:pPr>
              <w:jc w:val="center"/>
              <w:ind w:right="850"/>
              <w:spacing w:after="0"/>
              <w:rPr>
                <w:sz w:val="20"/>
                <w:szCs w:val="20"/>
                <w:color w:val="auto"/>
              </w:rPr>
            </w:pPr>
            <w:r>
              <w:rPr>
                <w:rFonts w:ascii="Arial" w:cs="Arial" w:eastAsia="Arial" w:hAnsi="Arial"/>
                <w:sz w:val="18"/>
                <w:szCs w:val="18"/>
                <w:color w:val="auto"/>
                <w:w w:val="88"/>
              </w:rPr>
              <w:t>/s/ Ernst Teunissen</w:t>
            </w:r>
          </w:p>
        </w:tc>
      </w:tr>
      <w:tr>
        <w:trPr>
          <w:trHeight w:val="178"/>
        </w:trPr>
        <w:tc>
          <w:tcPr>
            <w:tcW w:w="2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140" w:type="dxa"/>
            <w:vAlign w:val="bottom"/>
            <w:tcBorders>
              <w:top w:val="single" w:sz="8" w:color="auto"/>
            </w:tcBorders>
          </w:tcPr>
          <w:p>
            <w:pPr>
              <w:jc w:val="center"/>
              <w:ind w:right="850"/>
              <w:spacing w:after="0" w:line="177" w:lineRule="exact"/>
              <w:rPr>
                <w:sz w:val="20"/>
                <w:szCs w:val="20"/>
                <w:color w:val="auto"/>
              </w:rPr>
            </w:pPr>
            <w:r>
              <w:rPr>
                <w:rFonts w:ascii="Arial" w:cs="Arial" w:eastAsia="Arial" w:hAnsi="Arial"/>
                <w:sz w:val="18"/>
                <w:szCs w:val="18"/>
                <w:b w:val="1"/>
                <w:bCs w:val="1"/>
                <w:color w:val="auto"/>
                <w:w w:val="88"/>
              </w:rPr>
              <w:t>Ernst Teunissen</w:t>
            </w:r>
          </w:p>
        </w:tc>
      </w:tr>
      <w:tr>
        <w:trPr>
          <w:trHeight w:val="234"/>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140" w:type="dxa"/>
            <w:vAlign w:val="bottom"/>
          </w:tcPr>
          <w:p>
            <w:pPr>
              <w:jc w:val="center"/>
              <w:ind w:right="830"/>
              <w:spacing w:after="0"/>
              <w:rPr>
                <w:sz w:val="20"/>
                <w:szCs w:val="20"/>
                <w:color w:val="auto"/>
              </w:rPr>
            </w:pPr>
            <w:r>
              <w:rPr>
                <w:rFonts w:ascii="Arial" w:cs="Arial" w:eastAsia="Arial" w:hAnsi="Arial"/>
                <w:sz w:val="18"/>
                <w:szCs w:val="18"/>
                <w:b w:val="1"/>
                <w:bCs w:val="1"/>
                <w:color w:val="auto"/>
                <w:w w:val="93"/>
              </w:rPr>
              <w:t>Chief Financial Officer</w:t>
            </w:r>
          </w:p>
        </w:tc>
      </w:tr>
      <w:tr>
        <w:trPr>
          <w:trHeight w:val="392"/>
        </w:trPr>
        <w:tc>
          <w:tcPr>
            <w:tcW w:w="1320" w:type="dxa"/>
            <w:vAlign w:val="bottom"/>
            <w:gridSpan w:val="2"/>
          </w:tcPr>
          <w:p>
            <w:pPr>
              <w:spacing w:after="0"/>
              <w:rPr>
                <w:sz w:val="20"/>
                <w:szCs w:val="20"/>
                <w:color w:val="auto"/>
              </w:rPr>
            </w:pPr>
            <w:r>
              <w:rPr>
                <w:rFonts w:ascii="Arial" w:cs="Arial" w:eastAsia="Arial" w:hAnsi="Arial"/>
                <w:sz w:val="18"/>
                <w:szCs w:val="18"/>
                <w:color w:val="auto"/>
              </w:rPr>
              <w:t>By</w:t>
            </w:r>
          </w:p>
        </w:tc>
        <w:tc>
          <w:tcPr>
            <w:tcW w:w="3140" w:type="dxa"/>
            <w:vAlign w:val="bottom"/>
          </w:tcPr>
          <w:p>
            <w:pPr>
              <w:jc w:val="center"/>
              <w:ind w:right="850"/>
              <w:spacing w:after="0"/>
              <w:rPr>
                <w:sz w:val="20"/>
                <w:szCs w:val="20"/>
                <w:color w:val="auto"/>
              </w:rPr>
            </w:pPr>
            <w:r>
              <w:rPr>
                <w:rFonts w:ascii="Arial" w:cs="Arial" w:eastAsia="Arial" w:hAnsi="Arial"/>
                <w:sz w:val="18"/>
                <w:szCs w:val="18"/>
                <w:color w:val="auto"/>
                <w:w w:val="91"/>
              </w:rPr>
              <w:t>/s/ Geoffrey Gouvalaris</w:t>
            </w:r>
          </w:p>
        </w:tc>
      </w:tr>
      <w:tr>
        <w:trPr>
          <w:trHeight w:val="178"/>
        </w:trPr>
        <w:tc>
          <w:tcPr>
            <w:tcW w:w="2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140" w:type="dxa"/>
            <w:vAlign w:val="bottom"/>
            <w:tcBorders>
              <w:top w:val="single" w:sz="8" w:color="auto"/>
            </w:tcBorders>
          </w:tcPr>
          <w:p>
            <w:pPr>
              <w:jc w:val="center"/>
              <w:ind w:right="850"/>
              <w:spacing w:after="0" w:line="177" w:lineRule="exact"/>
              <w:rPr>
                <w:sz w:val="20"/>
                <w:szCs w:val="20"/>
                <w:color w:val="auto"/>
              </w:rPr>
            </w:pPr>
            <w:r>
              <w:rPr>
                <w:rFonts w:ascii="Arial" w:cs="Arial" w:eastAsia="Arial" w:hAnsi="Arial"/>
                <w:sz w:val="18"/>
                <w:szCs w:val="18"/>
                <w:b w:val="1"/>
                <w:bCs w:val="1"/>
                <w:color w:val="auto"/>
                <w:w w:val="90"/>
              </w:rPr>
              <w:t>Geoffrey Gouvalaris</w:t>
            </w:r>
          </w:p>
        </w:tc>
      </w:tr>
      <w:tr>
        <w:trPr>
          <w:trHeight w:val="234"/>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14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Chief Accounting Officer</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May 4, 2022</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TRIPADVISOR, INC. RSU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(Time-Based)</w:t>
      </w:r>
    </w:p>
    <w:p>
      <w:pPr>
        <w:spacing w:after="0" w:line="188" w:lineRule="exact"/>
        <w:rPr>
          <w:sz w:val="20"/>
          <w:szCs w:val="20"/>
          <w:color w:val="auto"/>
        </w:rPr>
      </w:pPr>
    </w:p>
    <w:p>
      <w:pPr>
        <w:ind w:right="140" w:firstLine="749"/>
        <w:spacing w:after="0" w:line="257" w:lineRule="auto"/>
        <w:rPr>
          <w:sz w:val="20"/>
          <w:szCs w:val="20"/>
          <w:color w:val="auto"/>
        </w:rPr>
      </w:pPr>
      <w:r>
        <w:rPr>
          <w:rFonts w:ascii="Arial" w:cs="Arial" w:eastAsia="Arial" w:hAnsi="Arial"/>
          <w:sz w:val="21"/>
          <w:szCs w:val="21"/>
          <w:color w:val="auto"/>
        </w:rPr>
        <w:t>THIS RSU AGREEMENT (this “Agreement”), dated as of December 31, 2021 (the “Grant Date”), between TripAdvisor, Inc., a Delaware corporation (the “Company”), and Stephen Kaufer (the “Eligible Individual”), describes the terms of an award (the “Award”) of restricted stock units (“RSUs”) to the Eligible Individual by the Company.</w:t>
      </w:r>
    </w:p>
    <w:p>
      <w:pPr>
        <w:spacing w:after="0" w:line="61" w:lineRule="exact"/>
        <w:rPr>
          <w:sz w:val="20"/>
          <w:szCs w:val="20"/>
          <w:color w:val="auto"/>
        </w:rPr>
      </w:pPr>
    </w:p>
    <w:p>
      <w:pPr>
        <w:ind w:right="420" w:firstLine="749"/>
        <w:spacing w:after="0" w:line="250" w:lineRule="auto"/>
        <w:rPr>
          <w:sz w:val="20"/>
          <w:szCs w:val="20"/>
          <w:color w:val="auto"/>
        </w:rPr>
      </w:pPr>
      <w:r>
        <w:rPr>
          <w:rFonts w:ascii="Arial" w:cs="Arial" w:eastAsia="Arial" w:hAnsi="Arial"/>
          <w:sz w:val="22"/>
          <w:szCs w:val="22"/>
          <w:color w:val="auto"/>
        </w:rPr>
        <w:t>All capitalized terms used herein, to the extent not defined, shall have the meanings set forth in the Company’s 2018 Stock and Annual Incentive Plan (as amended from time to time, the “Plan”).</w:t>
      </w:r>
    </w:p>
    <w:p>
      <w:pPr>
        <w:spacing w:after="0" w:line="169" w:lineRule="exact"/>
        <w:rPr>
          <w:sz w:val="20"/>
          <w:szCs w:val="20"/>
          <w:color w:val="auto"/>
        </w:rPr>
      </w:pPr>
    </w:p>
    <w:p>
      <w:pPr>
        <w:ind w:left="500" w:hanging="438"/>
        <w:spacing w:after="0"/>
        <w:tabs>
          <w:tab w:leader="none" w:pos="500" w:val="left"/>
        </w:tabs>
        <w:numPr>
          <w:ilvl w:val="1"/>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Award and Vesting of RSUs</w:t>
      </w:r>
    </w:p>
    <w:p>
      <w:pPr>
        <w:spacing w:after="0" w:line="212" w:lineRule="exact"/>
        <w:rPr>
          <w:rFonts w:ascii="Arial" w:cs="Arial" w:eastAsia="Arial" w:hAnsi="Arial"/>
          <w:sz w:val="22"/>
          <w:szCs w:val="22"/>
          <w:b w:val="1"/>
          <w:bCs w:val="1"/>
          <w:color w:val="auto"/>
        </w:rPr>
      </w:pPr>
    </w:p>
    <w:p>
      <w:pPr>
        <w:ind w:right="120" w:firstLine="757"/>
        <w:spacing w:after="0" w:line="235" w:lineRule="auto"/>
        <w:tabs>
          <w:tab w:leader="none" w:pos="1181" w:val="left"/>
        </w:tabs>
        <w:numPr>
          <w:ilvl w:val="2"/>
          <w:numId w:val="20"/>
        </w:numPr>
        <w:rPr>
          <w:rFonts w:ascii="Arial" w:cs="Arial" w:eastAsia="Arial" w:hAnsi="Arial"/>
          <w:sz w:val="22"/>
          <w:szCs w:val="22"/>
          <w:color w:val="auto"/>
        </w:rPr>
      </w:pPr>
      <w:r>
        <w:rPr>
          <w:rFonts w:ascii="Arial" w:cs="Arial" w:eastAsia="Arial" w:hAnsi="Arial"/>
          <w:sz w:val="22"/>
          <w:szCs w:val="22"/>
          <w:color w:val="auto"/>
        </w:rPr>
        <w:t>Subject to the terms and conditions of this Agreement, the Plan and the Grant Details (as defined below), the Company hereby grants to the Eligible Individual 106,382 RSUs. Reference is made to the “Grant Details” that can be found on the equity plan website of the current professional selected by the Company to administer the Plan (the “Plan Administrator”), currently located at www.netbenefits.fidelity.com (or any successor equity administration system selected by the Company to manage the Plan from time to time), which is hereby incorporated by reference into, and shall be read as part and parcel of, this Agreement.</w:t>
      </w:r>
    </w:p>
    <w:p>
      <w:pPr>
        <w:spacing w:after="0" w:line="79" w:lineRule="exact"/>
        <w:rPr>
          <w:rFonts w:ascii="Arial" w:cs="Arial" w:eastAsia="Arial" w:hAnsi="Arial"/>
          <w:sz w:val="22"/>
          <w:szCs w:val="22"/>
          <w:color w:val="auto"/>
        </w:rPr>
      </w:pPr>
    </w:p>
    <w:p>
      <w:pPr>
        <w:ind w:right="40" w:firstLine="757"/>
        <w:spacing w:after="0" w:line="238" w:lineRule="auto"/>
        <w:tabs>
          <w:tab w:leader="none" w:pos="1498" w:val="left"/>
        </w:tabs>
        <w:numPr>
          <w:ilvl w:val="2"/>
          <w:numId w:val="20"/>
        </w:numPr>
        <w:rPr>
          <w:rFonts w:ascii="Arial" w:cs="Arial" w:eastAsia="Arial" w:hAnsi="Arial"/>
          <w:sz w:val="22"/>
          <w:szCs w:val="22"/>
          <w:color w:val="auto"/>
        </w:rPr>
      </w:pPr>
      <w:r>
        <w:rPr>
          <w:rFonts w:ascii="Arial" w:cs="Arial" w:eastAsia="Arial" w:hAnsi="Arial"/>
          <w:sz w:val="22"/>
          <w:szCs w:val="22"/>
          <w:color w:val="auto"/>
        </w:rPr>
        <w:t>Subject to the terms and conditions of this Agreement, the Grant Details and the Plan</w:t>
      </w:r>
      <w:r>
        <w:rPr>
          <w:rFonts w:ascii="Arial" w:cs="Arial" w:eastAsia="Arial" w:hAnsi="Arial"/>
          <w:sz w:val="22"/>
          <w:szCs w:val="22"/>
          <w:i w:val="1"/>
          <w:iCs w:val="1"/>
          <w:color w:val="auto"/>
        </w:rPr>
        <w:t>,</w:t>
      </w:r>
      <w:r>
        <w:rPr>
          <w:rFonts w:ascii="Arial" w:cs="Arial" w:eastAsia="Arial" w:hAnsi="Arial"/>
          <w:sz w:val="22"/>
          <w:szCs w:val="22"/>
          <w:color w:val="auto"/>
        </w:rPr>
        <w:t xml:space="preserve"> 26,594 of the RSUs shall vest and no longer be subject to any restriction on August 1, 2022 and the remaining 79,788 of the RSUs shall vest in equal quarterly installments over the following three years and the time during which restrictions apply shall be referred to as the “RSU Restriction Period”.</w:t>
      </w:r>
    </w:p>
    <w:p>
      <w:pPr>
        <w:spacing w:after="0" w:line="178" w:lineRule="exact"/>
        <w:rPr>
          <w:rFonts w:ascii="Arial" w:cs="Arial" w:eastAsia="Arial" w:hAnsi="Arial"/>
          <w:sz w:val="22"/>
          <w:szCs w:val="22"/>
          <w:color w:val="auto"/>
        </w:rPr>
      </w:pPr>
    </w:p>
    <w:p>
      <w:pPr>
        <w:ind w:left="440" w:hanging="432"/>
        <w:spacing w:after="0"/>
        <w:tabs>
          <w:tab w:leader="none" w:pos="440" w:val="left"/>
        </w:tabs>
        <w:numPr>
          <w:ilvl w:val="0"/>
          <w:numId w:val="21"/>
        </w:numPr>
        <w:rPr>
          <w:rFonts w:ascii="Arial" w:cs="Arial" w:eastAsia="Arial" w:hAnsi="Arial"/>
          <w:sz w:val="22"/>
          <w:szCs w:val="22"/>
          <w:color w:val="auto"/>
        </w:rPr>
      </w:pPr>
      <w:r>
        <w:rPr>
          <w:rFonts w:ascii="Arial" w:cs="Arial" w:eastAsia="Arial" w:hAnsi="Arial"/>
          <w:sz w:val="22"/>
          <w:szCs w:val="22"/>
          <w:b w:val="1"/>
          <w:bCs w:val="1"/>
          <w:u w:val="single" w:color="auto"/>
          <w:color w:val="auto"/>
        </w:rPr>
        <w:t>Termination of Employment</w:t>
      </w:r>
    </w:p>
    <w:p>
      <w:pPr>
        <w:spacing w:after="0" w:line="212" w:lineRule="exact"/>
        <w:rPr>
          <w:rFonts w:ascii="Arial" w:cs="Arial" w:eastAsia="Arial" w:hAnsi="Arial"/>
          <w:sz w:val="22"/>
          <w:szCs w:val="22"/>
          <w:color w:val="auto"/>
        </w:rPr>
      </w:pPr>
    </w:p>
    <w:p>
      <w:pPr>
        <w:ind w:right="100" w:firstLine="757"/>
        <w:spacing w:after="0" w:line="236" w:lineRule="auto"/>
        <w:tabs>
          <w:tab w:leader="none" w:pos="1498" w:val="left"/>
        </w:tabs>
        <w:numPr>
          <w:ilvl w:val="2"/>
          <w:numId w:val="21"/>
        </w:numPr>
        <w:rPr>
          <w:rFonts w:ascii="Arial" w:cs="Arial" w:eastAsia="Arial" w:hAnsi="Arial"/>
          <w:sz w:val="22"/>
          <w:szCs w:val="22"/>
          <w:color w:val="auto"/>
        </w:rPr>
      </w:pPr>
      <w:r>
        <w:rPr>
          <w:rFonts w:ascii="Arial" w:cs="Arial" w:eastAsia="Arial" w:hAnsi="Arial"/>
          <w:sz w:val="22"/>
          <w:szCs w:val="22"/>
          <w:color w:val="auto"/>
        </w:rPr>
        <w:t>In the event a Termination of Employment of the Eligible Individual occurs during the RSU Restriction Period for any reason other than for Cause, and except as provided in Section 2(b) or Section 2(c) below, the RSUs will continue to vest through the RSU Restriction Period in accordance with the terms provided for herein, and provided the Eligible Individual continues to comply with any and all restrictive covenants required by the Company, including but not limited to confidentiality, non-competition and non-solicitation provisions.</w:t>
      </w:r>
    </w:p>
    <w:p>
      <w:pPr>
        <w:spacing w:after="0" w:line="187" w:lineRule="exact"/>
        <w:rPr>
          <w:rFonts w:ascii="Arial" w:cs="Arial" w:eastAsia="Arial" w:hAnsi="Arial"/>
          <w:sz w:val="22"/>
          <w:szCs w:val="22"/>
          <w:color w:val="auto"/>
        </w:rPr>
      </w:pPr>
    </w:p>
    <w:p>
      <w:pPr>
        <w:ind w:right="380" w:firstLine="757"/>
        <w:spacing w:after="0" w:line="250" w:lineRule="auto"/>
        <w:tabs>
          <w:tab w:leader="none" w:pos="1498" w:val="left"/>
        </w:tabs>
        <w:numPr>
          <w:ilvl w:val="2"/>
          <w:numId w:val="21"/>
        </w:numPr>
        <w:rPr>
          <w:rFonts w:ascii="Arial" w:cs="Arial" w:eastAsia="Arial" w:hAnsi="Arial"/>
          <w:sz w:val="22"/>
          <w:szCs w:val="22"/>
          <w:color w:val="auto"/>
        </w:rPr>
      </w:pPr>
      <w:r>
        <w:rPr>
          <w:rFonts w:ascii="Arial" w:cs="Arial" w:eastAsia="Arial" w:hAnsi="Arial"/>
          <w:sz w:val="22"/>
          <w:szCs w:val="22"/>
          <w:color w:val="auto"/>
        </w:rPr>
        <w:t>In the event of the Eligible Individual’s death during the RSU Restriction Period, all outstanding RSUs shall become fully vested upon such date and settled in accordance with the terms provided for herein.</w:t>
      </w:r>
    </w:p>
    <w:p>
      <w:pPr>
        <w:spacing w:after="0" w:line="174" w:lineRule="exact"/>
        <w:rPr>
          <w:rFonts w:ascii="Arial" w:cs="Arial" w:eastAsia="Arial" w:hAnsi="Arial"/>
          <w:sz w:val="22"/>
          <w:szCs w:val="22"/>
          <w:color w:val="auto"/>
        </w:rPr>
      </w:pPr>
    </w:p>
    <w:p>
      <w:pPr>
        <w:ind w:right="80" w:firstLine="757"/>
        <w:spacing w:after="0" w:line="252" w:lineRule="auto"/>
        <w:tabs>
          <w:tab w:leader="none" w:pos="1498" w:val="left"/>
        </w:tabs>
        <w:numPr>
          <w:ilvl w:val="2"/>
          <w:numId w:val="21"/>
        </w:numPr>
        <w:rPr>
          <w:rFonts w:ascii="Arial" w:cs="Arial" w:eastAsia="Arial" w:hAnsi="Arial"/>
          <w:sz w:val="21"/>
          <w:szCs w:val="21"/>
          <w:color w:val="auto"/>
        </w:rPr>
      </w:pPr>
      <w:r>
        <w:rPr>
          <w:rFonts w:ascii="Arial" w:cs="Arial" w:eastAsia="Arial" w:hAnsi="Arial"/>
          <w:sz w:val="21"/>
          <w:szCs w:val="21"/>
          <w:color w:val="auto"/>
        </w:rPr>
        <w:t>In the event of a Termination of Employment by the Company for Cause or at a time when grounds for Cause exist or upon the Eligible Individual’s failure to comply with any and all restrictive covenants required by the Company, including but not limited to confidentiality, non-competition and non-solicitation provisions, all outstanding unvested RSUs shall be immediately forfeited and cancelled in their entirety upon the date of such occurrence.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5" w:name="page46"/>
    <w:bookmarkEnd w:id="45"/>
    <w:p>
      <w:pPr>
        <w:ind w:right="60" w:firstLine="757"/>
        <w:spacing w:after="0"/>
        <w:tabs>
          <w:tab w:leader="none" w:pos="1498" w:val="left"/>
        </w:tabs>
        <w:numPr>
          <w:ilvl w:val="1"/>
          <w:numId w:val="22"/>
        </w:numPr>
        <w:rPr>
          <w:rFonts w:ascii="Arial" w:cs="Arial" w:eastAsia="Arial" w:hAnsi="Arial"/>
          <w:sz w:val="22"/>
          <w:szCs w:val="22"/>
          <w:color w:val="auto"/>
        </w:rPr>
      </w:pPr>
      <w:r>
        <w:rPr>
          <w:rFonts w:ascii="Arial" w:cs="Arial" w:eastAsia="Arial" w:hAnsi="Arial"/>
          <w:sz w:val="22"/>
          <w:szCs w:val="22"/>
          <w:color w:val="auto"/>
        </w:rPr>
        <w:t>For purposes of this Agreement, employment with the Company shall include employment with the Company’s Subsidiaries or Affiliates. The Committee shall have the exclusive discretion to determine whether there has been any Termination of Employment and/or whether there existed Cause.</w:t>
      </w:r>
    </w:p>
    <w:p>
      <w:pPr>
        <w:spacing w:after="0" w:line="180" w:lineRule="exact"/>
        <w:rPr>
          <w:rFonts w:ascii="Arial" w:cs="Arial" w:eastAsia="Arial" w:hAnsi="Arial"/>
          <w:sz w:val="22"/>
          <w:szCs w:val="22"/>
          <w:color w:val="auto"/>
        </w:rPr>
      </w:pPr>
    </w:p>
    <w:p>
      <w:pPr>
        <w:ind w:left="500" w:hanging="438"/>
        <w:spacing w:after="0"/>
        <w:tabs>
          <w:tab w:leader="none" w:pos="50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 of Units</w:t>
      </w:r>
    </w:p>
    <w:p>
      <w:pPr>
        <w:spacing w:after="0" w:line="212" w:lineRule="exact"/>
        <w:rPr>
          <w:sz w:val="20"/>
          <w:szCs w:val="20"/>
          <w:color w:val="auto"/>
        </w:rPr>
      </w:pPr>
    </w:p>
    <w:p>
      <w:pPr>
        <w:ind w:right="240" w:firstLine="749"/>
        <w:spacing w:after="0" w:line="282" w:lineRule="auto"/>
        <w:rPr>
          <w:sz w:val="20"/>
          <w:szCs w:val="20"/>
          <w:color w:val="auto"/>
        </w:rPr>
      </w:pPr>
      <w:r>
        <w:rPr>
          <w:rFonts w:ascii="Arial" w:cs="Arial" w:eastAsia="Arial" w:hAnsi="Arial"/>
          <w:sz w:val="19"/>
          <w:szCs w:val="19"/>
          <w:color w:val="auto"/>
        </w:rPr>
        <w:t>As soon as practicable after any RSUs have vested and are no longer subject to the RSU Restriction Period and in no event no later than thirty (30) days following the date the RSUs have vested, such RSUs shall be settled. Subject to Section 7 (pertaining to the withholding of taxes), for each RSU settled pursuant to this Section 3, the Company shall issue one Share for each vested RSU and cause to be delivered to the Eligible Individual one or more unlegended, freely-transferable stock certificates in respect of such Shares issued upon settlement of the vested RSUs.</w:t>
      </w:r>
    </w:p>
    <w:p>
      <w:pPr>
        <w:spacing w:after="0" w:line="141" w:lineRule="exact"/>
        <w:rPr>
          <w:sz w:val="20"/>
          <w:szCs w:val="20"/>
          <w:color w:val="auto"/>
        </w:rPr>
      </w:pPr>
    </w:p>
    <w:p>
      <w:pPr>
        <w:ind w:left="500" w:hanging="438"/>
        <w:spacing w:after="0"/>
        <w:tabs>
          <w:tab w:leader="none" w:pos="50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the RSUs</w:t>
      </w:r>
    </w:p>
    <w:p>
      <w:pPr>
        <w:spacing w:after="0" w:line="212" w:lineRule="exact"/>
        <w:rPr>
          <w:sz w:val="20"/>
          <w:szCs w:val="20"/>
          <w:color w:val="auto"/>
        </w:rPr>
      </w:pPr>
    </w:p>
    <w:p>
      <w:pPr>
        <w:jc w:val="both"/>
        <w:ind w:right="280" w:firstLine="749"/>
        <w:spacing w:after="0"/>
        <w:rPr>
          <w:sz w:val="20"/>
          <w:szCs w:val="20"/>
          <w:color w:val="auto"/>
        </w:rPr>
      </w:pPr>
      <w:r>
        <w:rPr>
          <w:rFonts w:ascii="Arial" w:cs="Arial" w:eastAsia="Arial" w:hAnsi="Arial"/>
          <w:sz w:val="22"/>
          <w:szCs w:val="22"/>
          <w:color w:val="auto"/>
        </w:rPr>
        <w:t>During the RSU Restriction Period and until such time as the RSUs are settled as provided herein or on the website of the Plan Administrator, the RSUs shall not be transferable by the Eligible Individual by means of sale, assignment, exchange, encumbrance, pledge, hedge or otherwise.</w:t>
      </w:r>
    </w:p>
    <w:p>
      <w:pPr>
        <w:spacing w:after="0" w:line="180"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as a Stockholder</w:t>
      </w:r>
    </w:p>
    <w:p>
      <w:pPr>
        <w:spacing w:after="0" w:line="212" w:lineRule="exact"/>
        <w:rPr>
          <w:sz w:val="20"/>
          <w:szCs w:val="20"/>
          <w:color w:val="auto"/>
        </w:rPr>
      </w:pPr>
    </w:p>
    <w:p>
      <w:pPr>
        <w:ind w:firstLine="749"/>
        <w:spacing w:after="0" w:line="245" w:lineRule="auto"/>
        <w:rPr>
          <w:sz w:val="20"/>
          <w:szCs w:val="20"/>
          <w:color w:val="auto"/>
        </w:rPr>
      </w:pPr>
      <w:r>
        <w:rPr>
          <w:rFonts w:ascii="Arial" w:cs="Arial" w:eastAsia="Arial" w:hAnsi="Arial"/>
          <w:sz w:val="21"/>
          <w:szCs w:val="21"/>
          <w:color w:val="auto"/>
        </w:rPr>
        <w:t>Except as otherwise specifically provided in this Agreement, during the RSU Restriction Period the Eligible Individual shall not be entitled to any rights of a stockholder with respect to the RSUs. Notwithstanding the foregoing, if the Company declares and pays dividends on the Common Stock during the RSU Restriction Period, the Eligible Individual will be credited with additional amounts for each RSU equal to the dividend that would have been paid with respect to such RSU if it had been an actual share of Common Stock, which amount shall remain subject to restrictions (and as determined by the Committee may be reinvested in RSUs or may be held in kind as restricted property) and shall vest and be forfeited, as applicable, concurrently with the vesting and/or forfeiting of the RSUs upon which such dividend equivalent amounts were paid. Notwithstanding the foregoing, dividends and distributions other than regular cash dividends, if any, may result in an adjustment pursuant to Section 6 below, rather than under this Section 5.</w:t>
      </w:r>
    </w:p>
    <w:p>
      <w:pPr>
        <w:spacing w:after="0" w:line="178" w:lineRule="exact"/>
        <w:rPr>
          <w:sz w:val="20"/>
          <w:szCs w:val="20"/>
          <w:color w:val="auto"/>
        </w:rPr>
      </w:pPr>
    </w:p>
    <w:p>
      <w:pPr>
        <w:ind w:left="500" w:hanging="438"/>
        <w:spacing w:after="0"/>
        <w:tabs>
          <w:tab w:leader="none" w:pos="50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 in the Event of Change in Stock; Change in Control</w:t>
      </w:r>
    </w:p>
    <w:p>
      <w:pPr>
        <w:spacing w:after="0" w:line="198" w:lineRule="exact"/>
        <w:rPr>
          <w:rFonts w:ascii="Arial" w:cs="Arial" w:eastAsia="Arial" w:hAnsi="Arial"/>
          <w:sz w:val="22"/>
          <w:szCs w:val="22"/>
          <w:b w:val="1"/>
          <w:bCs w:val="1"/>
          <w:color w:val="auto"/>
        </w:rPr>
      </w:pPr>
    </w:p>
    <w:p>
      <w:pPr>
        <w:ind w:right="80" w:firstLine="757"/>
        <w:spacing w:after="0" w:line="279" w:lineRule="auto"/>
        <w:tabs>
          <w:tab w:leader="none" w:pos="1498" w:val="left"/>
        </w:tabs>
        <w:numPr>
          <w:ilvl w:val="1"/>
          <w:numId w:val="26"/>
        </w:numPr>
        <w:rPr>
          <w:rFonts w:ascii="Arial" w:cs="Arial" w:eastAsia="Arial" w:hAnsi="Arial"/>
          <w:sz w:val="19"/>
          <w:szCs w:val="19"/>
          <w:color w:val="auto"/>
        </w:rPr>
      </w:pPr>
      <w:r>
        <w:rPr>
          <w:rFonts w:ascii="Arial" w:cs="Arial" w:eastAsia="Arial" w:hAnsi="Arial"/>
          <w:sz w:val="19"/>
          <w:szCs w:val="19"/>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RSUs and the number and kind of shares of Common Stock underlying the RSUs.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46" w:name="page47"/>
    <w:bookmarkEnd w:id="46"/>
    <w:p>
      <w:pPr>
        <w:ind w:right="40" w:firstLine="757"/>
        <w:spacing w:after="0" w:line="274" w:lineRule="auto"/>
        <w:tabs>
          <w:tab w:leader="none" w:pos="1498" w:val="left"/>
        </w:tabs>
        <w:numPr>
          <w:ilvl w:val="1"/>
          <w:numId w:val="27"/>
        </w:numPr>
        <w:rPr>
          <w:rFonts w:ascii="Arial" w:cs="Arial" w:eastAsia="Arial" w:hAnsi="Arial"/>
          <w:sz w:val="19"/>
          <w:szCs w:val="19"/>
          <w:color w:val="auto"/>
        </w:rPr>
      </w:pPr>
      <w:r>
        <w:rPr>
          <w:rFonts w:ascii="Arial" w:cs="Arial" w:eastAsia="Arial" w:hAnsi="Arial"/>
          <w:sz w:val="19"/>
          <w:szCs w:val="19"/>
          <w:color w:val="auto"/>
        </w:rPr>
        <w:t>In the case of Corporate Transactions, such adjustments may include, without limitation (i) the cancellation of the RSUs in exchange for payments of cash, property or a combination thereof having an aggregate value equal to the value of such RSUs, as determined by the Committee or the Board in its sole discretion, (ii) the substitution of other property (including, without limitation, cash or other securities of the Company and securities of entities other than the Company) for the shares of Common Stock underlying the RSUs and (iii) in connection with any Disaffiliation, arranging for the assumption of the RSUs, or the replacement of the RSUs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RSUs that remain based upon securities of the Company).</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ind w:right="20" w:firstLine="757"/>
        <w:spacing w:after="0" w:line="250" w:lineRule="auto"/>
        <w:tabs>
          <w:tab w:leader="none" w:pos="1498"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determination of the Committee regarding any such adjustment will be final and conclusive and need not be the same for all Eligible Individuals.</w:t>
      </w:r>
    </w:p>
    <w:p>
      <w:pPr>
        <w:spacing w:after="0" w:line="309" w:lineRule="exact"/>
        <w:rPr>
          <w:rFonts w:ascii="Arial" w:cs="Arial" w:eastAsia="Arial" w:hAnsi="Arial"/>
          <w:sz w:val="22"/>
          <w:szCs w:val="22"/>
          <w:color w:val="auto"/>
        </w:rPr>
      </w:pPr>
    </w:p>
    <w:p>
      <w:pPr>
        <w:ind w:firstLine="757"/>
        <w:spacing w:after="0" w:line="282" w:lineRule="auto"/>
        <w:tabs>
          <w:tab w:leader="none" w:pos="1498" w:val="left"/>
        </w:tabs>
        <w:numPr>
          <w:ilvl w:val="1"/>
          <w:numId w:val="27"/>
        </w:numPr>
        <w:rPr>
          <w:rFonts w:ascii="Arial" w:cs="Arial" w:eastAsia="Arial" w:hAnsi="Arial"/>
          <w:sz w:val="19"/>
          <w:szCs w:val="19"/>
          <w:color w:val="auto"/>
        </w:rPr>
      </w:pPr>
      <w:r>
        <w:rPr>
          <w:rFonts w:ascii="Arial" w:cs="Arial" w:eastAsia="Arial" w:hAnsi="Arial"/>
          <w:sz w:val="19"/>
          <w:szCs w:val="19"/>
          <w:color w:val="auto"/>
        </w:rPr>
        <w:t>Notwithstanding the terms of the Plan, the terms of Section 13(b) shall not apply to the RSUs granted hereunder. In the event of a Termination of Employment of the Eligible Individual (x) by the Company other than for Cause, (y) due to Disability or (z) due to a resignation by the Eligible Individual for Good Reason within twelve months following a Change in Control that qualifies as a “change in control” within the meaning of Section 409A of the Code, all outstanding RSUs shall become fully vested upon such Termination of Employment and settled in accordance with the terms provided for herein.</w:t>
      </w:r>
    </w:p>
    <w:p>
      <w:pPr>
        <w:spacing w:after="0" w:line="276" w:lineRule="exact"/>
        <w:rPr>
          <w:rFonts w:ascii="Arial" w:cs="Arial" w:eastAsia="Arial" w:hAnsi="Arial"/>
          <w:sz w:val="19"/>
          <w:szCs w:val="19"/>
          <w:color w:val="auto"/>
        </w:rPr>
      </w:pPr>
    </w:p>
    <w:p>
      <w:pPr>
        <w:ind w:left="440" w:hanging="432"/>
        <w:spacing w:after="0"/>
        <w:tabs>
          <w:tab w:leader="none" w:pos="440" w:val="left"/>
        </w:tabs>
        <w:numPr>
          <w:ilvl w:val="0"/>
          <w:numId w:val="28"/>
        </w:numPr>
        <w:rPr>
          <w:rFonts w:ascii="Arial" w:cs="Arial" w:eastAsia="Arial" w:hAnsi="Arial"/>
          <w:sz w:val="22"/>
          <w:szCs w:val="22"/>
          <w:color w:val="auto"/>
        </w:rPr>
      </w:pPr>
      <w:r>
        <w:rPr>
          <w:rFonts w:ascii="Arial" w:cs="Arial" w:eastAsia="Arial" w:hAnsi="Arial"/>
          <w:sz w:val="22"/>
          <w:szCs w:val="22"/>
          <w:b w:val="1"/>
          <w:bCs w:val="1"/>
          <w:u w:val="single" w:color="auto"/>
          <w:color w:val="auto"/>
        </w:rPr>
        <w:t>Taxes, Fees and Withholding</w:t>
      </w:r>
    </w:p>
    <w:p>
      <w:pPr>
        <w:spacing w:after="0" w:line="212" w:lineRule="exact"/>
        <w:rPr>
          <w:rFonts w:ascii="Arial" w:cs="Arial" w:eastAsia="Arial" w:hAnsi="Arial"/>
          <w:sz w:val="22"/>
          <w:szCs w:val="22"/>
          <w:color w:val="auto"/>
        </w:rPr>
      </w:pPr>
    </w:p>
    <w:p>
      <w:pPr>
        <w:ind w:right="80" w:firstLine="757"/>
        <w:spacing w:after="0"/>
        <w:tabs>
          <w:tab w:leader="none" w:pos="1498"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Company agrees to pay any and all original issue taxes and stock transfer taxes that may be imposed on the issuance of shares received by an Eligible Individual in connection with the RSUs, together with any and all other fees and expenses necessarily incurred by the Company in connection therewith.</w:t>
      </w:r>
    </w:p>
    <w:p>
      <w:pPr>
        <w:spacing w:after="0" w:line="186" w:lineRule="exact"/>
        <w:rPr>
          <w:rFonts w:ascii="Arial" w:cs="Arial" w:eastAsia="Arial" w:hAnsi="Arial"/>
          <w:sz w:val="22"/>
          <w:szCs w:val="22"/>
          <w:color w:val="auto"/>
        </w:rPr>
      </w:pPr>
    </w:p>
    <w:p>
      <w:pPr>
        <w:ind w:right="120" w:firstLine="757"/>
        <w:spacing w:after="0" w:line="277" w:lineRule="auto"/>
        <w:tabs>
          <w:tab w:leader="none" w:pos="1498" w:val="left"/>
        </w:tabs>
        <w:numPr>
          <w:ilvl w:val="1"/>
          <w:numId w:val="28"/>
        </w:numPr>
        <w:rPr>
          <w:rFonts w:ascii="Arial" w:cs="Arial" w:eastAsia="Arial" w:hAnsi="Arial"/>
          <w:sz w:val="19"/>
          <w:szCs w:val="19"/>
          <w:color w:val="auto"/>
        </w:rPr>
      </w:pPr>
      <w:r>
        <w:rPr>
          <w:rFonts w:ascii="Arial" w:cs="Arial" w:eastAsia="Arial" w:hAnsi="Arial"/>
          <w:sz w:val="19"/>
          <w:szCs w:val="19"/>
          <w:color w:val="auto"/>
        </w:rPr>
        <w:t>Regardless of any action the Company, its Affiliate or Subsidiary takes with respect to any or all income tax, social insurance, payroll tax, payment on account or other tax-related withholding (“Tax-Related Items”), the Eligible Individual acknowledges that the ultimate liability for all Tax-Related Items legally due by the Eligible Individual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RSUs, the receipt of cash or any dividends or dividend equivalents; and (ii) do not commit to structure the terms of the Award or any aspect of the RSUs to reduce or eliminate the Eligible Individual’s liability for Tax-Related Items.</w:t>
      </w:r>
    </w:p>
    <w:p>
      <w:pPr>
        <w:spacing w:after="0" w:line="151" w:lineRule="exact"/>
        <w:rPr>
          <w:rFonts w:ascii="Arial" w:cs="Arial" w:eastAsia="Arial" w:hAnsi="Arial"/>
          <w:sz w:val="19"/>
          <w:szCs w:val="19"/>
          <w:color w:val="auto"/>
        </w:rPr>
      </w:pPr>
    </w:p>
    <w:p>
      <w:pPr>
        <w:jc w:val="both"/>
        <w:ind w:right="120" w:firstLine="757"/>
        <w:spacing w:after="0" w:line="276" w:lineRule="auto"/>
        <w:tabs>
          <w:tab w:leader="none" w:pos="1498" w:val="left"/>
        </w:tabs>
        <w:numPr>
          <w:ilvl w:val="1"/>
          <w:numId w:val="28"/>
        </w:numPr>
        <w:rPr>
          <w:rFonts w:ascii="Arial" w:cs="Arial" w:eastAsia="Arial" w:hAnsi="Arial"/>
          <w:sz w:val="19"/>
          <w:szCs w:val="19"/>
          <w:color w:val="auto"/>
        </w:rPr>
      </w:pPr>
      <w:r>
        <w:rPr>
          <w:rFonts w:ascii="Arial" w:cs="Arial" w:eastAsia="Arial" w:hAnsi="Arial"/>
          <w:sz w:val="19"/>
          <w:szCs w:val="19"/>
          <w:color w:val="auto"/>
        </w:rPr>
        <w:t>In the event that the Company, Subsidiary or Affiliate is required to withhold any Tax-Related Items as a result of the award or vesting of the RSUs, or the receipt of cash or any dividends or dividend equivalents, the Eligible Individual shall</w:t>
      </w:r>
    </w:p>
    <w:p>
      <w:pPr>
        <w:spacing w:after="0" w:line="231" w:lineRule="auto"/>
        <w:rPr>
          <w:sz w:val="20"/>
          <w:szCs w:val="20"/>
          <w:color w:val="auto"/>
        </w:rPr>
      </w:pPr>
      <w:r>
        <w:rPr>
          <w:rFonts w:ascii="Arial" w:cs="Arial" w:eastAsia="Arial" w:hAnsi="Arial"/>
          <w:sz w:val="22"/>
          <w:szCs w:val="22"/>
          <w:color w:val="auto"/>
        </w:rPr>
        <w:t>pay or make adequate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7" w:name="page48"/>
    <w:bookmarkEnd w:id="47"/>
    <w:p>
      <w:pPr>
        <w:spacing w:after="0" w:line="270" w:lineRule="auto"/>
        <w:rPr>
          <w:sz w:val="20"/>
          <w:szCs w:val="20"/>
          <w:color w:val="auto"/>
        </w:rPr>
      </w:pPr>
      <w:r>
        <w:rPr>
          <w:rFonts w:ascii="Arial" w:cs="Arial" w:eastAsia="Arial" w:hAnsi="Arial"/>
          <w:sz w:val="19"/>
          <w:szCs w:val="19"/>
          <w:color w:val="auto"/>
        </w:rPr>
        <w:t>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7.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 connection herewith, subject to Section 409A of the Code and applicable law, the Eligible Individual (i) authorizes, empowers and directs the Company and the Plan Administrator (or such brokerage firm as is contracted to manage the Company’s employee equity award program, the “Broker”) to sell, at the market share price and on the settlement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RSU if the Eligible Individual fails to comply with his or her obligations in connection with the Tax-Related Items as described in this Section.</w:t>
      </w:r>
    </w:p>
    <w:p>
      <w:pPr>
        <w:spacing w:after="0" w:line="168" w:lineRule="exact"/>
        <w:rPr>
          <w:sz w:val="20"/>
          <w:szCs w:val="20"/>
          <w:color w:val="auto"/>
        </w:rPr>
      </w:pPr>
    </w:p>
    <w:p>
      <w:pPr>
        <w:ind w:firstLine="757"/>
        <w:spacing w:after="0" w:line="274" w:lineRule="auto"/>
        <w:tabs>
          <w:tab w:leader="none" w:pos="1498" w:val="left"/>
        </w:tabs>
        <w:numPr>
          <w:ilvl w:val="1"/>
          <w:numId w:val="29"/>
        </w:numPr>
        <w:rPr>
          <w:rFonts w:ascii="Arial" w:cs="Arial" w:eastAsia="Arial" w:hAnsi="Arial"/>
          <w:sz w:val="19"/>
          <w:szCs w:val="19"/>
          <w:color w:val="auto"/>
        </w:rPr>
      </w:pPr>
      <w:r>
        <w:rPr>
          <w:rFonts w:ascii="Arial" w:cs="Arial" w:eastAsia="Arial" w:hAnsi="Arial"/>
          <w:sz w:val="19"/>
          <w:szCs w:val="19"/>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w:t>
      </w:r>
    </w:p>
    <w:p>
      <w:pPr>
        <w:spacing w:after="0" w:line="152" w:lineRule="exact"/>
        <w:rPr>
          <w:rFonts w:ascii="Arial" w:cs="Arial" w:eastAsia="Arial" w:hAnsi="Arial"/>
          <w:sz w:val="19"/>
          <w:szCs w:val="19"/>
          <w:color w:val="auto"/>
        </w:rPr>
      </w:pPr>
    </w:p>
    <w:p>
      <w:pPr>
        <w:ind w:left="440" w:hanging="432"/>
        <w:spacing w:after="0"/>
        <w:tabs>
          <w:tab w:leader="none" w:pos="44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Restrictions</w:t>
      </w:r>
    </w:p>
    <w:p>
      <w:pPr>
        <w:spacing w:after="0" w:line="212" w:lineRule="exact"/>
        <w:rPr>
          <w:rFonts w:ascii="Arial" w:cs="Arial" w:eastAsia="Arial" w:hAnsi="Arial"/>
          <w:sz w:val="22"/>
          <w:szCs w:val="22"/>
          <w:b w:val="1"/>
          <w:bCs w:val="1"/>
          <w:color w:val="auto"/>
        </w:rPr>
      </w:pPr>
    </w:p>
    <w:p>
      <w:pPr>
        <w:ind w:right="120" w:firstLine="757"/>
        <w:spacing w:after="0" w:line="245" w:lineRule="auto"/>
        <w:tabs>
          <w:tab w:leader="none" w:pos="1181" w:val="left"/>
        </w:tabs>
        <w:numPr>
          <w:ilvl w:val="1"/>
          <w:numId w:val="30"/>
        </w:numPr>
        <w:rPr>
          <w:rFonts w:ascii="Arial" w:cs="Arial" w:eastAsia="Arial" w:hAnsi="Arial"/>
          <w:sz w:val="21"/>
          <w:szCs w:val="21"/>
          <w:color w:val="auto"/>
        </w:rPr>
      </w:pPr>
      <w:r>
        <w:rPr>
          <w:rFonts w:ascii="Arial" w:cs="Arial" w:eastAsia="Arial" w:hAnsi="Arial"/>
          <w:sz w:val="21"/>
          <w:szCs w:val="21"/>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48" w:name="page49"/>
    <w:bookmarkEnd w:id="48"/>
    <w:p>
      <w:pPr>
        <w:ind w:left="-20" w:firstLine="757"/>
        <w:spacing w:after="0" w:line="246" w:lineRule="auto"/>
        <w:tabs>
          <w:tab w:leader="none" w:pos="1161" w:val="left"/>
        </w:tabs>
        <w:numPr>
          <w:ilvl w:val="1"/>
          <w:numId w:val="31"/>
        </w:numPr>
        <w:rPr>
          <w:rFonts w:ascii="Arial" w:cs="Arial" w:eastAsia="Arial" w:hAnsi="Arial"/>
          <w:sz w:val="21"/>
          <w:szCs w:val="21"/>
          <w:color w:val="auto"/>
        </w:rPr>
      </w:pPr>
      <w:r>
        <w:rPr>
          <w:rFonts w:ascii="Arial" w:cs="Arial" w:eastAsia="Arial" w:hAnsi="Arial"/>
          <w:sz w:val="21"/>
          <w:szCs w:val="21"/>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60" w:lineRule="exact"/>
        <w:rPr>
          <w:rFonts w:ascii="Arial" w:cs="Arial" w:eastAsia="Arial" w:hAnsi="Arial"/>
          <w:sz w:val="21"/>
          <w:szCs w:val="21"/>
          <w:color w:val="auto"/>
        </w:rPr>
      </w:pPr>
    </w:p>
    <w:p>
      <w:pPr>
        <w:ind w:left="480" w:hanging="438"/>
        <w:spacing w:after="0"/>
        <w:tabs>
          <w:tab w:leader="none" w:pos="48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Award</w:t>
      </w:r>
    </w:p>
    <w:p>
      <w:pPr>
        <w:spacing w:after="0" w:line="200" w:lineRule="exact"/>
        <w:rPr>
          <w:sz w:val="20"/>
          <w:szCs w:val="20"/>
          <w:color w:val="auto"/>
        </w:rPr>
      </w:pPr>
    </w:p>
    <w:p>
      <w:pPr>
        <w:spacing w:after="0" w:line="25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In accepting the Award, the Eligible Individual acknowledges that:</w:t>
      </w:r>
    </w:p>
    <w:p>
      <w:pPr>
        <w:spacing w:after="0" w:line="206" w:lineRule="exact"/>
        <w:rPr>
          <w:sz w:val="20"/>
          <w:szCs w:val="20"/>
          <w:color w:val="auto"/>
        </w:rPr>
      </w:pPr>
    </w:p>
    <w:p>
      <w:pPr>
        <w:ind w:left="-20" w:right="580" w:firstLine="757"/>
        <w:spacing w:after="0" w:line="328" w:lineRule="auto"/>
        <w:tabs>
          <w:tab w:leader="none" w:pos="1478"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04" w:lineRule="exact"/>
        <w:rPr>
          <w:rFonts w:ascii="Arial" w:cs="Arial" w:eastAsia="Arial" w:hAnsi="Arial"/>
          <w:sz w:val="19"/>
          <w:szCs w:val="19"/>
          <w:color w:val="auto"/>
        </w:rPr>
      </w:pPr>
    </w:p>
    <w:p>
      <w:pPr>
        <w:ind w:left="-20" w:right="680" w:firstLine="757"/>
        <w:spacing w:after="0" w:line="250" w:lineRule="auto"/>
        <w:tabs>
          <w:tab w:leader="none" w:pos="1478"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Awards, or benefits in lieu of Awards, even if Awards have been made repeatedly in the past;</w:t>
      </w:r>
    </w:p>
    <w:p>
      <w:pPr>
        <w:spacing w:after="0" w:line="174" w:lineRule="exact"/>
        <w:rPr>
          <w:rFonts w:ascii="Arial" w:cs="Arial" w:eastAsia="Arial" w:hAnsi="Arial"/>
          <w:sz w:val="22"/>
          <w:szCs w:val="22"/>
          <w:color w:val="auto"/>
        </w:rPr>
      </w:pPr>
    </w:p>
    <w:p>
      <w:pPr>
        <w:ind w:left="1480" w:hanging="743"/>
        <w:spacing w:after="0"/>
        <w:tabs>
          <w:tab w:leader="none" w:pos="14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Company;</w:t>
      </w:r>
    </w:p>
    <w:p>
      <w:pPr>
        <w:spacing w:after="0" w:line="206" w:lineRule="exact"/>
        <w:rPr>
          <w:rFonts w:ascii="Arial" w:cs="Arial" w:eastAsia="Arial" w:hAnsi="Arial"/>
          <w:sz w:val="22"/>
          <w:szCs w:val="22"/>
          <w:color w:val="auto"/>
        </w:rPr>
      </w:pPr>
    </w:p>
    <w:p>
      <w:pPr>
        <w:ind w:left="-20" w:right="120" w:firstLine="757"/>
        <w:spacing w:after="0"/>
        <w:tabs>
          <w:tab w:leader="none" w:pos="1478"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86" w:lineRule="exact"/>
        <w:rPr>
          <w:rFonts w:ascii="Arial" w:cs="Arial" w:eastAsia="Arial" w:hAnsi="Arial"/>
          <w:sz w:val="22"/>
          <w:szCs w:val="22"/>
          <w:color w:val="auto"/>
        </w:rPr>
      </w:pPr>
    </w:p>
    <w:p>
      <w:pPr>
        <w:ind w:left="1480" w:hanging="743"/>
        <w:spacing w:after="0"/>
        <w:tabs>
          <w:tab w:leader="none" w:pos="14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Eligible Individual is voluntarily participating in the Plan;</w:t>
      </w:r>
    </w:p>
    <w:p>
      <w:pPr>
        <w:spacing w:after="0" w:line="206" w:lineRule="exact"/>
        <w:rPr>
          <w:rFonts w:ascii="Arial" w:cs="Arial" w:eastAsia="Arial" w:hAnsi="Arial"/>
          <w:sz w:val="22"/>
          <w:szCs w:val="22"/>
          <w:color w:val="auto"/>
        </w:rPr>
      </w:pPr>
    </w:p>
    <w:p>
      <w:pPr>
        <w:ind w:left="-20" w:right="80" w:firstLine="757"/>
        <w:spacing w:after="0" w:line="250" w:lineRule="auto"/>
        <w:tabs>
          <w:tab w:leader="none" w:pos="1478"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Award is an extraordinary item that does not constitute regular compensation of any kind for services of any kind rendered to the Company, Subsidiary, or Affiliate;</w:t>
      </w:r>
    </w:p>
    <w:p>
      <w:pPr>
        <w:spacing w:after="0" w:line="174" w:lineRule="exact"/>
        <w:rPr>
          <w:rFonts w:ascii="Arial" w:cs="Arial" w:eastAsia="Arial" w:hAnsi="Arial"/>
          <w:sz w:val="22"/>
          <w:szCs w:val="22"/>
          <w:color w:val="auto"/>
        </w:rPr>
      </w:pPr>
    </w:p>
    <w:p>
      <w:pPr>
        <w:ind w:left="-20" w:right="120" w:firstLine="757"/>
        <w:spacing w:after="0" w:line="238" w:lineRule="auto"/>
        <w:tabs>
          <w:tab w:leader="none" w:pos="1478"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84" w:lineRule="exact"/>
        <w:rPr>
          <w:rFonts w:ascii="Arial" w:cs="Arial" w:eastAsia="Arial" w:hAnsi="Arial"/>
          <w:sz w:val="22"/>
          <w:szCs w:val="22"/>
          <w:color w:val="auto"/>
        </w:rPr>
      </w:pPr>
    </w:p>
    <w:p>
      <w:pPr>
        <w:ind w:left="-20" w:right="420" w:firstLine="757"/>
        <w:spacing w:after="0" w:line="274" w:lineRule="auto"/>
        <w:tabs>
          <w:tab w:leader="none" w:pos="1478" w:val="left"/>
        </w:tabs>
        <w:numPr>
          <w:ilvl w:val="0"/>
          <w:numId w:val="33"/>
        </w:numPr>
        <w:rPr>
          <w:rFonts w:ascii="Arial" w:cs="Arial" w:eastAsia="Arial" w:hAnsi="Arial"/>
          <w:sz w:val="21"/>
          <w:szCs w:val="21"/>
          <w:color w:val="auto"/>
        </w:rPr>
      </w:pPr>
      <w:r>
        <w:rPr>
          <w:rFonts w:ascii="Arial" w:cs="Arial" w:eastAsia="Arial" w:hAnsi="Arial"/>
          <w:sz w:val="21"/>
          <w:szCs w:val="21"/>
          <w:color w:val="auto"/>
        </w:rPr>
        <w:t>in the event that the Eligible Individual is not an employee of the Company, a Subsidiary or an Affiliate, the Award will not be interpreted to form an employment contract or relationship with the Company;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77" w:right="339" w:bottom="1440" w:gutter="0" w:footer="0" w:header="0"/>
        </w:sectPr>
      </w:pPr>
    </w:p>
    <w:bookmarkStart w:id="49" w:name="page50"/>
    <w:bookmarkEnd w:id="49"/>
    <w:p>
      <w:pPr>
        <w:ind w:right="20" w:firstLine="757"/>
        <w:spacing w:after="0" w:line="277" w:lineRule="auto"/>
        <w:tabs>
          <w:tab w:leader="none" w:pos="1498" w:val="left"/>
        </w:tabs>
        <w:numPr>
          <w:ilvl w:val="0"/>
          <w:numId w:val="34"/>
        </w:numPr>
        <w:rPr>
          <w:rFonts w:ascii="Arial" w:cs="Arial" w:eastAsia="Arial" w:hAnsi="Arial"/>
          <w:sz w:val="19"/>
          <w:szCs w:val="19"/>
          <w:color w:val="auto"/>
        </w:rPr>
      </w:pPr>
      <w:r>
        <w:rPr>
          <w:rFonts w:ascii="Arial" w:cs="Arial" w:eastAsia="Arial" w:hAnsi="Arial"/>
          <w:sz w:val="19"/>
          <w:szCs w:val="19"/>
          <w:color w:val="auto"/>
        </w:rPr>
        <w:t>in consideration of the Award, no claim or entitlement to compensation or damages shall arise from termination of the Award or diminution in value of the Award resulting from Termination of Employment of the Eligible Individual by the Company, Subsidiary or Affiliate (for any reason whatsoever and whether or not in breach of local labor laws; provided, however, such termination is consistent with the terms of the Award and any Individual Agreement)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w:t>
      </w:r>
      <w:r>
        <w:rPr>
          <w:rFonts w:ascii="Arial" w:cs="Arial" w:eastAsia="Arial" w:hAnsi="Arial"/>
          <w:sz w:val="22"/>
          <w:szCs w:val="22"/>
          <w:b w:val="1"/>
          <w:bCs w:val="1"/>
          <w:u w:val="single" w:color="auto"/>
          <w:color w:val="auto"/>
        </w:rPr>
        <w:t>No Advice Regarding Grant</w:t>
      </w:r>
      <w:r>
        <w:rPr>
          <w:rFonts w:ascii="Arial" w:cs="Arial" w:eastAsia="Arial" w:hAnsi="Arial"/>
          <w:sz w:val="22"/>
          <w:szCs w:val="22"/>
          <w:b w:val="1"/>
          <w:bCs w:val="1"/>
          <w:color w:val="auto"/>
        </w:rPr>
        <w:t>.</w:t>
      </w:r>
    </w:p>
    <w:p>
      <w:pPr>
        <w:spacing w:after="0" w:line="212" w:lineRule="exact"/>
        <w:rPr>
          <w:sz w:val="20"/>
          <w:szCs w:val="20"/>
          <w:color w:val="auto"/>
        </w:rPr>
      </w:pPr>
    </w:p>
    <w:p>
      <w:pPr>
        <w:ind w:right="440" w:firstLine="749"/>
        <w:spacing w:after="0" w:line="236" w:lineRule="auto"/>
        <w:rPr>
          <w:sz w:val="20"/>
          <w:szCs w:val="20"/>
          <w:color w:val="auto"/>
        </w:rPr>
      </w:pPr>
      <w:r>
        <w:rPr>
          <w:rFonts w:ascii="Arial" w:cs="Arial" w:eastAsia="Arial" w:hAnsi="Arial"/>
          <w:sz w:val="22"/>
          <w:szCs w:val="22"/>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w:t>
      </w:r>
      <w:r>
        <w:rPr>
          <w:rFonts w:ascii="Arial" w:cs="Arial" w:eastAsia="Arial" w:hAnsi="Arial"/>
          <w:sz w:val="22"/>
          <w:szCs w:val="22"/>
          <w:b w:val="1"/>
          <w:bCs w:val="1"/>
          <w:u w:val="single" w:color="auto"/>
          <w:color w:val="auto"/>
        </w:rPr>
        <w:t>Notices</w:t>
      </w:r>
    </w:p>
    <w:p>
      <w:pPr>
        <w:spacing w:after="0" w:line="212" w:lineRule="exact"/>
        <w:rPr>
          <w:sz w:val="20"/>
          <w:szCs w:val="20"/>
          <w:color w:val="auto"/>
        </w:rPr>
      </w:pPr>
    </w:p>
    <w:p>
      <w:pPr>
        <w:jc w:val="both"/>
        <w:ind w:right="100" w:firstLine="749"/>
        <w:spacing w:after="0"/>
        <w:rPr>
          <w:sz w:val="20"/>
          <w:szCs w:val="20"/>
          <w:color w:val="auto"/>
        </w:rPr>
      </w:pPr>
      <w:r>
        <w:rPr>
          <w:rFonts w:ascii="Arial" w:cs="Arial" w:eastAsia="Arial" w:hAnsi="Arial"/>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w:t>
      </w:r>
      <w:r>
        <w:rPr>
          <w:rFonts w:ascii="Arial" w:cs="Arial" w:eastAsia="Arial" w:hAnsi="Arial"/>
          <w:sz w:val="22"/>
          <w:szCs w:val="22"/>
          <w:b w:val="1"/>
          <w:bCs w:val="1"/>
          <w:u w:val="single" w:color="auto"/>
          <w:color w:val="auto"/>
        </w:rPr>
        <w:t>Effect of Agreement; Severability</w:t>
      </w:r>
    </w:p>
    <w:p>
      <w:pPr>
        <w:spacing w:after="0" w:line="212" w:lineRule="exact"/>
        <w:rPr>
          <w:sz w:val="20"/>
          <w:szCs w:val="20"/>
          <w:color w:val="auto"/>
        </w:rPr>
      </w:pPr>
    </w:p>
    <w:p>
      <w:pPr>
        <w:ind w:right="120" w:firstLine="749"/>
        <w:spacing w:after="0"/>
        <w:rPr>
          <w:sz w:val="20"/>
          <w:szCs w:val="20"/>
          <w:color w:val="auto"/>
        </w:rPr>
      </w:pPr>
      <w:r>
        <w:rPr>
          <w:rFonts w:ascii="Arial" w:cs="Arial" w:eastAsia="Arial" w:hAnsi="Arial"/>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w:t>
      </w:r>
      <w:r>
        <w:rPr>
          <w:rFonts w:ascii="Arial" w:cs="Arial" w:eastAsia="Arial" w:hAnsi="Arial"/>
          <w:sz w:val="22"/>
          <w:szCs w:val="22"/>
          <w:b w:val="1"/>
          <w:bCs w:val="1"/>
          <w:u w:val="single" w:color="auto"/>
          <w:color w:val="auto"/>
        </w:rPr>
        <w:t>Laws Applicable to Construction; Consent to Jurisdiction</w:t>
      </w:r>
    </w:p>
    <w:p>
      <w:pPr>
        <w:spacing w:after="0" w:line="212" w:lineRule="exact"/>
        <w:rPr>
          <w:sz w:val="20"/>
          <w:szCs w:val="20"/>
          <w:color w:val="auto"/>
        </w:rPr>
      </w:pPr>
    </w:p>
    <w:p>
      <w:pPr>
        <w:jc w:val="both"/>
        <w:ind w:right="80" w:firstLine="757"/>
        <w:spacing w:after="0" w:line="238" w:lineRule="auto"/>
        <w:tabs>
          <w:tab w:leader="none" w:pos="1498"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RSUs are subject to the terms and conditions of the Plan, which are hereby incorporated by reference.</w:t>
      </w:r>
    </w:p>
    <w:p>
      <w:pPr>
        <w:spacing w:after="0" w:line="184" w:lineRule="exact"/>
        <w:rPr>
          <w:rFonts w:ascii="Arial" w:cs="Arial" w:eastAsia="Arial" w:hAnsi="Arial"/>
          <w:sz w:val="22"/>
          <w:szCs w:val="22"/>
          <w:color w:val="auto"/>
        </w:rPr>
      </w:pPr>
    </w:p>
    <w:p>
      <w:pPr>
        <w:ind w:firstLine="757"/>
        <w:spacing w:after="0" w:line="249" w:lineRule="auto"/>
        <w:tabs>
          <w:tab w:leader="none" w:pos="1181" w:val="left"/>
        </w:tabs>
        <w:numPr>
          <w:ilvl w:val="0"/>
          <w:numId w:val="35"/>
        </w:numPr>
        <w:rPr>
          <w:rFonts w:ascii="Arial" w:cs="Arial" w:eastAsia="Arial" w:hAnsi="Arial"/>
          <w:sz w:val="21"/>
          <w:szCs w:val="21"/>
          <w:color w:val="auto"/>
        </w:rPr>
      </w:pPr>
      <w:r>
        <w:rPr>
          <w:rFonts w:ascii="Arial" w:cs="Arial" w:eastAsia="Arial" w:hAnsi="Arial"/>
          <w:sz w:val="21"/>
          <w:szCs w:val="21"/>
          <w:color w:val="auto"/>
        </w:rPr>
        <w:t>Any and all disputes arising under or out of this Agreement, including without limitation any issues involving the enforcement or interpretation of any of the provisions of this Agreement, shall be resolved by the commencement of an appropriate action in the state or federal courts located within the State of Delaware, which shall be the exclusive jurisdiction for the resolution of any such disputes. The Eligible Individual hereby agrees and consents to the personal jurisdiction of said courts over the Eligible Individual for purposes of the resolution of any and all such disputes.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auto"/>
        </w:rPr>
        <w:t>14.</w:t>
      </w:r>
      <w:r>
        <w:rPr>
          <w:rFonts w:ascii="Arial" w:cs="Arial" w:eastAsia="Arial" w:hAnsi="Arial"/>
          <w:sz w:val="22"/>
          <w:szCs w:val="22"/>
          <w:b w:val="1"/>
          <w:bCs w:val="1"/>
          <w:u w:val="single" w:color="auto"/>
          <w:color w:val="auto"/>
        </w:rPr>
        <w:t>Conflicts and Interpretation</w:t>
      </w:r>
    </w:p>
    <w:p>
      <w:pPr>
        <w:spacing w:after="0" w:line="212" w:lineRule="exact"/>
        <w:rPr>
          <w:sz w:val="20"/>
          <w:szCs w:val="20"/>
          <w:color w:val="auto"/>
        </w:rPr>
      </w:pPr>
    </w:p>
    <w:p>
      <w:pPr>
        <w:ind w:right="40" w:firstLine="757"/>
        <w:spacing w:after="0" w:line="238" w:lineRule="auto"/>
        <w:tabs>
          <w:tab w:leader="none" w:pos="1498" w:val="left"/>
        </w:tabs>
        <w:numPr>
          <w:ilvl w:val="0"/>
          <w:numId w:val="36"/>
        </w:numPr>
        <w:rPr>
          <w:rFonts w:ascii="Arial" w:cs="Arial" w:eastAsia="Arial" w:hAnsi="Arial"/>
          <w:sz w:val="22"/>
          <w:szCs w:val="22"/>
          <w:color w:val="auto"/>
        </w:rPr>
      </w:pPr>
      <w:r>
        <w:rPr>
          <w:rFonts w:ascii="Arial" w:cs="Arial" w:eastAsia="Arial" w:hAnsi="Arial"/>
          <w:sz w:val="22"/>
          <w:szCs w:val="22"/>
          <w:color w:val="auto"/>
        </w:rPr>
        <w:t>Except as expressly provided otherwise herein, 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4" w:lineRule="exact"/>
        <w:rPr>
          <w:rFonts w:ascii="Arial" w:cs="Arial" w:eastAsia="Arial" w:hAnsi="Arial"/>
          <w:sz w:val="22"/>
          <w:szCs w:val="22"/>
          <w:color w:val="auto"/>
        </w:rPr>
      </w:pPr>
    </w:p>
    <w:p>
      <w:pPr>
        <w:ind w:right="40" w:firstLine="757"/>
        <w:spacing w:after="0" w:line="246" w:lineRule="auto"/>
        <w:tabs>
          <w:tab w:leader="none" w:pos="1498"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w:t>
      </w:r>
      <w:r>
        <w:rPr>
          <w:rFonts w:ascii="Arial" w:cs="Arial" w:eastAsia="Arial" w:hAnsi="Arial"/>
          <w:sz w:val="22"/>
          <w:szCs w:val="22"/>
          <w:b w:val="1"/>
          <w:bCs w:val="1"/>
          <w:u w:val="single" w:color="auto"/>
          <w:color w:val="auto"/>
        </w:rPr>
        <w:t>Data Privacy</w:t>
      </w:r>
    </w:p>
    <w:p>
      <w:pPr>
        <w:spacing w:after="0" w:line="212" w:lineRule="exact"/>
        <w:rPr>
          <w:sz w:val="20"/>
          <w:szCs w:val="20"/>
          <w:color w:val="auto"/>
        </w:rPr>
      </w:pPr>
    </w:p>
    <w:p>
      <w:pPr>
        <w:ind w:firstLine="757"/>
        <w:spacing w:after="0" w:line="245" w:lineRule="auto"/>
        <w:tabs>
          <w:tab w:leader="none" w:pos="1498"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Eligible Individual understands that the Company, Subsidiary, Affiliate and/or Plan Administrator may hold certain personal information about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4" w:lineRule="exact"/>
        <w:rPr>
          <w:rFonts w:ascii="Arial" w:cs="Arial" w:eastAsia="Arial" w:hAnsi="Arial"/>
          <w:sz w:val="21"/>
          <w:szCs w:val="21"/>
          <w:color w:val="auto"/>
        </w:rPr>
      </w:pPr>
    </w:p>
    <w:p>
      <w:pPr>
        <w:ind w:firstLine="757"/>
        <w:spacing w:after="0" w:line="275" w:lineRule="auto"/>
        <w:tabs>
          <w:tab w:leader="none" w:pos="1498"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51" w:name="page52"/>
    <w:bookmarkEnd w:id="51"/>
    <w:p>
      <w:pPr>
        <w:ind w:firstLine="757"/>
        <w:spacing w:after="0" w:line="279" w:lineRule="auto"/>
        <w:tabs>
          <w:tab w:leader="none" w:pos="1498"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w:t>
      </w:r>
      <w:r>
        <w:rPr>
          <w:rFonts w:ascii="Arial" w:cs="Arial" w:eastAsia="Arial" w:hAnsi="Arial"/>
          <w:sz w:val="22"/>
          <w:szCs w:val="22"/>
          <w:b w:val="1"/>
          <w:bCs w:val="1"/>
          <w:u w:val="single" w:color="auto"/>
          <w:color w:val="auto"/>
        </w:rPr>
        <w:t>Amendment</w:t>
      </w:r>
    </w:p>
    <w:p>
      <w:pPr>
        <w:spacing w:after="0" w:line="212" w:lineRule="exact"/>
        <w:rPr>
          <w:sz w:val="20"/>
          <w:szCs w:val="20"/>
          <w:color w:val="auto"/>
        </w:rPr>
      </w:pPr>
    </w:p>
    <w:p>
      <w:pPr>
        <w:ind w:right="160" w:firstLine="757"/>
        <w:spacing w:after="0" w:line="249" w:lineRule="auto"/>
        <w:tabs>
          <w:tab w:leader="none" w:pos="1498"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Company may modify, amend or waive the terms of the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8" w:lineRule="exact"/>
        <w:rPr>
          <w:rFonts w:ascii="Arial" w:cs="Arial" w:eastAsia="Arial" w:hAnsi="Arial"/>
          <w:sz w:val="21"/>
          <w:szCs w:val="21"/>
          <w:color w:val="auto"/>
        </w:rPr>
      </w:pPr>
    </w:p>
    <w:p>
      <w:pPr>
        <w:ind w:right="20" w:firstLine="757"/>
        <w:spacing w:after="0" w:line="271" w:lineRule="auto"/>
        <w:tabs>
          <w:tab w:leader="none" w:pos="1498"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This Award and payments made pursuant to this Agreement and the Plan are intended to comply with or be exempt from Section 409A of the Code, and, accordingly, to the maximum extent permitted, this Agreement and the Plan shall be interpreted to be in compliance therewith or exempt therefrom.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 In no event whatsoever shall the Company or any of its Affiliates be liable for any additional tax, interest or penalty that may be imposed on the Eligible Individual by Section 409A of the Code or damages for failing to comply with Code Section 409A. Notwithstanding any other provision of this Agreement to the contrary, in no event shall any payment or benefit under this Agreement that constitutes “nonqualified deferred compensation” for purposes of Section 409A of the Code be subject to offset by any other amount unless otherwise permitted by Section 409A of the Code. For the avoidance of doubt, Section 16(k) of the Plan shall apply to the RSUs granted hereunder.</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w:t>
      </w:r>
      <w:r>
        <w:rPr>
          <w:rFonts w:ascii="Arial" w:cs="Arial" w:eastAsia="Arial" w:hAnsi="Arial"/>
          <w:sz w:val="22"/>
          <w:szCs w:val="22"/>
          <w:b w:val="1"/>
          <w:bCs w:val="1"/>
          <w:u w:val="single" w:color="auto"/>
          <w:color w:val="auto"/>
        </w:rPr>
        <w:t>Choice of Language</w:t>
      </w:r>
    </w:p>
    <w:p>
      <w:pPr>
        <w:spacing w:after="0" w:line="212" w:lineRule="exact"/>
        <w:rPr>
          <w:sz w:val="20"/>
          <w:szCs w:val="20"/>
          <w:color w:val="auto"/>
        </w:rPr>
      </w:pPr>
    </w:p>
    <w:p>
      <w:pPr>
        <w:ind w:right="320" w:firstLine="749"/>
        <w:spacing w:after="0" w:line="238" w:lineRule="auto"/>
        <w:rPr>
          <w:sz w:val="20"/>
          <w:szCs w:val="20"/>
          <w:color w:val="auto"/>
        </w:rPr>
      </w:pPr>
      <w:r>
        <w:rPr>
          <w:rFonts w:ascii="Arial" w:cs="Arial" w:eastAsia="Arial" w:hAnsi="Arial"/>
          <w:sz w:val="22"/>
          <w:szCs w:val="22"/>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2" w:name="page53"/>
    <w:bookmarkEnd w:id="52"/>
    <w:p>
      <w:pPr>
        <w:spacing w:after="0"/>
        <w:rPr>
          <w:sz w:val="20"/>
          <w:szCs w:val="20"/>
          <w:color w:val="auto"/>
        </w:rPr>
      </w:pPr>
      <w:r>
        <w:rPr>
          <w:rFonts w:ascii="Arial" w:cs="Arial" w:eastAsia="Arial" w:hAnsi="Arial"/>
          <w:sz w:val="22"/>
          <w:szCs w:val="22"/>
          <w:b w:val="1"/>
          <w:bCs w:val="1"/>
          <w:color w:val="auto"/>
        </w:rPr>
        <w:t>18.</w:t>
      </w:r>
      <w:r>
        <w:rPr>
          <w:rFonts w:ascii="Arial" w:cs="Arial" w:eastAsia="Arial" w:hAnsi="Arial"/>
          <w:sz w:val="22"/>
          <w:szCs w:val="22"/>
          <w:b w:val="1"/>
          <w:bCs w:val="1"/>
          <w:u w:val="single" w:color="auto"/>
          <w:color w:val="auto"/>
        </w:rPr>
        <w:t>Electronic Delivery</w:t>
      </w:r>
    </w:p>
    <w:p>
      <w:pPr>
        <w:spacing w:after="0" w:line="212" w:lineRule="exact"/>
        <w:rPr>
          <w:sz w:val="20"/>
          <w:szCs w:val="20"/>
          <w:color w:val="auto"/>
        </w:rPr>
      </w:pPr>
    </w:p>
    <w:p>
      <w:pPr>
        <w:ind w:right="160" w:firstLine="749"/>
        <w:spacing w:after="0" w:line="249" w:lineRule="auto"/>
        <w:rPr>
          <w:sz w:val="20"/>
          <w:szCs w:val="20"/>
          <w:color w:val="auto"/>
        </w:rPr>
      </w:pPr>
      <w:r>
        <w:rPr>
          <w:rFonts w:ascii="Arial" w:cs="Arial" w:eastAsia="Arial" w:hAnsi="Arial"/>
          <w:sz w:val="21"/>
          <w:szCs w:val="21"/>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8" w:lineRule="exact"/>
        <w:rPr>
          <w:sz w:val="20"/>
          <w:szCs w:val="20"/>
          <w:color w:val="auto"/>
        </w:rPr>
      </w:pPr>
    </w:p>
    <w:p>
      <w:pPr>
        <w:ind w:firstLine="749"/>
        <w:spacing w:after="0" w:line="236" w:lineRule="auto"/>
        <w:rPr>
          <w:sz w:val="20"/>
          <w:szCs w:val="20"/>
          <w:color w:val="auto"/>
        </w:rPr>
      </w:pPr>
      <w:r>
        <w:rPr>
          <w:rFonts w:ascii="Arial" w:cs="Arial" w:eastAsia="Arial" w:hAnsi="Arial"/>
          <w:sz w:val="22"/>
          <w:szCs w:val="22"/>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 10.2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TRIPADVISOR, INC. OPTION AGREEMENT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(Domestic)</w:t>
      </w:r>
    </w:p>
    <w:p>
      <w:pPr>
        <w:spacing w:after="0" w:line="18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THIS OPTION AGREEMENT (this “Agreement”), dated as of December 31, 2021 (the “Grant Date”), between TripAdvisor, Inc., a Delaware corporation (the “Company”), and the employee, director or consultant of the Company or one of its Affiliates or Subsidiaries designated on the Grant Details (as defined below) (the “Eligible Individual”), describes the terms of an award of an Option to the Eligible Individual by the Company (the “Award”).</w:t>
      </w:r>
    </w:p>
    <w:p>
      <w:pPr>
        <w:spacing w:after="0" w:line="18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color w:val="auto"/>
        </w:rPr>
        <w:t>All capitalized terms used herein, to the extent not defined, shall have the meanings set forth in the Company’s 2018 Stock and Annual Incentive Plan or any subsequent plan adopted by the Company, (in either case, the “Plan”).</w:t>
      </w:r>
    </w:p>
    <w:p>
      <w:pPr>
        <w:spacing w:after="0" w:line="145" w:lineRule="exact"/>
        <w:rPr>
          <w:sz w:val="20"/>
          <w:szCs w:val="20"/>
          <w:color w:val="auto"/>
        </w:rPr>
      </w:pPr>
    </w:p>
    <w:p>
      <w:pPr>
        <w:ind w:left="700" w:hanging="692"/>
        <w:spacing w:after="0"/>
        <w:tabs>
          <w:tab w:leader="none" w:pos="700" w:val="left"/>
        </w:tabs>
        <w:numPr>
          <w:ilvl w:val="0"/>
          <w:numId w:val="40"/>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Award of Option</w:t>
      </w:r>
    </w:p>
    <w:p>
      <w:pPr>
        <w:spacing w:after="0" w:line="212" w:lineRule="exact"/>
        <w:rPr>
          <w:rFonts w:ascii="Arial" w:cs="Arial" w:eastAsia="Arial" w:hAnsi="Arial"/>
          <w:sz w:val="22"/>
          <w:szCs w:val="22"/>
          <w:b w:val="1"/>
          <w:bCs w:val="1"/>
          <w:u w:val="single" w:color="auto"/>
          <w:color w:val="auto"/>
        </w:rPr>
      </w:pPr>
    </w:p>
    <w:p>
      <w:pPr>
        <w:jc w:val="both"/>
        <w:ind w:firstLine="757"/>
        <w:spacing w:after="0" w:line="277" w:lineRule="auto"/>
        <w:tabs>
          <w:tab w:leader="none" w:pos="1498"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of this Agreement, the Plan and the Grant Details, the Company hereby grants the Option to the Eligible Individual. Reference is made to the “Grant Details” that can be found on the equity plan website of the current professional selected by the Company to administer the Plan (the “Plan Administrator”), currently located at </w:t>
      </w:r>
      <w:r>
        <w:rPr>
          <w:rFonts w:ascii="Arial" w:cs="Arial" w:eastAsia="Arial" w:hAnsi="Arial"/>
          <w:sz w:val="19"/>
          <w:szCs w:val="19"/>
          <w:u w:val="single" w:color="auto"/>
          <w:color w:val="0000FF"/>
        </w:rPr>
        <w:t>www.netbenefits.fidelity.com</w:t>
      </w:r>
      <w:r>
        <w:rPr>
          <w:rFonts w:ascii="Arial" w:cs="Arial" w:eastAsia="Arial" w:hAnsi="Arial"/>
          <w:sz w:val="19"/>
          <w:szCs w:val="19"/>
          <w:color w:val="auto"/>
        </w:rPr>
        <w:t xml:space="preserve"> (or any successor equity administration system selected by the Company to manage the Plan from time to time). The Grant Details, which set forth the number of Shares underlying the Option, the grant price which is the per Share exercise price of the Option, the Grant Date of the Option, and the vesting period of the Option (among other information), are hereby incorporated by reference into, and shall be read as part and parcel of, this Agreement.</w:t>
      </w:r>
    </w:p>
    <w:p>
      <w:pPr>
        <w:spacing w:after="0" w:line="151" w:lineRule="exact"/>
        <w:rPr>
          <w:rFonts w:ascii="Arial" w:cs="Arial" w:eastAsia="Arial" w:hAnsi="Arial"/>
          <w:sz w:val="19"/>
          <w:szCs w:val="19"/>
          <w:color w:val="auto"/>
        </w:rPr>
      </w:pPr>
    </w:p>
    <w:p>
      <w:pPr>
        <w:ind w:firstLine="757"/>
        <w:spacing w:after="0" w:line="250" w:lineRule="auto"/>
        <w:tabs>
          <w:tab w:leader="none" w:pos="1498"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Option shall be a Nonqualified Option. Unless earlier terminated pursuant to the terms of this Agreement or the Plan, the Option shall expire on the ten-year anniversary of the Grant Date.</w:t>
      </w:r>
    </w:p>
    <w:p>
      <w:pPr>
        <w:spacing w:after="0" w:line="168" w:lineRule="exact"/>
        <w:rPr>
          <w:rFonts w:ascii="Arial" w:cs="Arial" w:eastAsia="Arial" w:hAnsi="Arial"/>
          <w:sz w:val="22"/>
          <w:szCs w:val="22"/>
          <w:color w:val="auto"/>
        </w:rPr>
      </w:pPr>
    </w:p>
    <w:p>
      <w:pPr>
        <w:ind w:left="700" w:hanging="692"/>
        <w:spacing w:after="0"/>
        <w:tabs>
          <w:tab w:leader="none" w:pos="700" w:val="left"/>
        </w:tabs>
        <w:numPr>
          <w:ilvl w:val="0"/>
          <w:numId w:val="40"/>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Vesting</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Subject to the terms and conditions of this Agreement, the Grant Details and the Plan</w:t>
      </w:r>
      <w:r>
        <w:rPr>
          <w:rFonts w:ascii="Arial" w:cs="Arial" w:eastAsia="Arial" w:hAnsi="Arial"/>
          <w:sz w:val="22"/>
          <w:szCs w:val="22"/>
          <w:i w:val="1"/>
          <w:iCs w:val="1"/>
          <w:color w:val="auto"/>
        </w:rPr>
        <w:t>,</w:t>
      </w:r>
      <w:r>
        <w:rPr>
          <w:rFonts w:ascii="Arial" w:cs="Arial" w:eastAsia="Arial" w:hAnsi="Arial"/>
          <w:sz w:val="22"/>
          <w:szCs w:val="22"/>
          <w:color w:val="auto"/>
        </w:rPr>
        <w:t xml:space="preserve"> the Option shall vest and become exercisable on each of the vesting dates detailed in the Grant Details (such period between the date of issuance and each vesting date shall be referred to as the “Vesting Period”).</w:t>
      </w:r>
    </w:p>
    <w:p>
      <w:pPr>
        <w:spacing w:after="0" w:line="180" w:lineRule="exact"/>
        <w:rPr>
          <w:sz w:val="20"/>
          <w:szCs w:val="20"/>
          <w:color w:val="auto"/>
        </w:rPr>
      </w:pPr>
    </w:p>
    <w:p>
      <w:pPr>
        <w:ind w:left="700" w:hanging="692"/>
        <w:spacing w:after="0"/>
        <w:tabs>
          <w:tab w:leader="none" w:pos="700" w:val="left"/>
        </w:tabs>
        <w:numPr>
          <w:ilvl w:val="0"/>
          <w:numId w:val="41"/>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Manner of Exercise</w:t>
      </w:r>
    </w:p>
    <w:p>
      <w:pPr>
        <w:spacing w:after="0" w:line="212" w:lineRule="exact"/>
        <w:rPr>
          <w:rFonts w:ascii="Arial" w:cs="Arial" w:eastAsia="Arial" w:hAnsi="Arial"/>
          <w:sz w:val="22"/>
          <w:szCs w:val="22"/>
          <w:b w:val="1"/>
          <w:bCs w:val="1"/>
          <w:u w:val="single" w:color="auto"/>
          <w:color w:val="auto"/>
        </w:rPr>
      </w:pPr>
    </w:p>
    <w:p>
      <w:pPr>
        <w:jc w:val="both"/>
        <w:ind w:firstLine="757"/>
        <w:spacing w:after="0" w:line="238" w:lineRule="auto"/>
        <w:tabs>
          <w:tab w:leader="none" w:pos="1498"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This Option is exercisable by delivery of an exercise notice which shall state the election to exercise the Option, the number of Shares in respect of which the Option is being exercised and such other representations and agreements as may be required by the Company or the Plan Administrator (the “Exercise Notice”). The Exercise Notice shall be in the form and delivered in the manner prescribed by the Plan Administrator.</w:t>
      </w:r>
    </w:p>
    <w:p>
      <w:pPr>
        <w:spacing w:after="0" w:line="184" w:lineRule="exact"/>
        <w:rPr>
          <w:rFonts w:ascii="Arial" w:cs="Arial" w:eastAsia="Arial" w:hAnsi="Arial"/>
          <w:sz w:val="22"/>
          <w:szCs w:val="22"/>
          <w:color w:val="auto"/>
        </w:rPr>
      </w:pPr>
    </w:p>
    <w:p>
      <w:pPr>
        <w:ind w:firstLine="757"/>
        <w:spacing w:after="0" w:line="250" w:lineRule="auto"/>
        <w:tabs>
          <w:tab w:leader="none" w:pos="1498"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Exercise Notice shall be accompanied by payment of the aggregate exercise price as to all Shares in respect of which the Option is being exercised. Payment of the aggregate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U.S. Employee – Version March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 w:name="page55"/>
    <w:bookmarkEnd w:id="54"/>
    <w:p>
      <w:pPr>
        <w:ind w:right="20"/>
        <w:spacing w:after="0" w:line="250" w:lineRule="auto"/>
        <w:rPr>
          <w:sz w:val="20"/>
          <w:szCs w:val="20"/>
          <w:color w:val="auto"/>
        </w:rPr>
      </w:pPr>
      <w:r>
        <w:rPr>
          <w:rFonts w:ascii="Arial" w:cs="Arial" w:eastAsia="Arial" w:hAnsi="Arial"/>
          <w:sz w:val="22"/>
          <w:szCs w:val="22"/>
          <w:color w:val="auto"/>
        </w:rPr>
        <w:t>exercise price may be by any of the following, or a combination thereof: (i) cash, (ii) check, (iii) a “broker-assisted” or “same-day sale”; or (iv) another method authorized by the Company and/or the Plan Administrator.</w:t>
      </w:r>
    </w:p>
    <w:p>
      <w:pPr>
        <w:spacing w:after="0" w:line="175" w:lineRule="exact"/>
        <w:rPr>
          <w:sz w:val="20"/>
          <w:szCs w:val="20"/>
          <w:color w:val="auto"/>
        </w:rPr>
      </w:pPr>
    </w:p>
    <w:p>
      <w:pPr>
        <w:jc w:val="both"/>
        <w:ind w:firstLine="757"/>
        <w:spacing w:after="0"/>
        <w:tabs>
          <w:tab w:leader="none" w:pos="1498" w:val="left"/>
        </w:tabs>
        <w:numPr>
          <w:ilvl w:val="1"/>
          <w:numId w:val="42"/>
        </w:numPr>
        <w:rPr>
          <w:rFonts w:ascii="Arial" w:cs="Arial" w:eastAsia="Arial" w:hAnsi="Arial"/>
          <w:sz w:val="22"/>
          <w:szCs w:val="22"/>
          <w:color w:val="auto"/>
        </w:rPr>
      </w:pPr>
      <w:r>
        <w:rPr>
          <w:rFonts w:ascii="Arial" w:cs="Arial" w:eastAsia="Arial" w:hAnsi="Arial"/>
          <w:sz w:val="22"/>
          <w:szCs w:val="22"/>
          <w:color w:val="auto"/>
        </w:rPr>
        <w:t>No Shares shall be issued pursuant to the exercise of the Option unless such issuance and exercise complies with all relevant provisions of law and the requirements of any stock exchange or quotation service upon which the Shares are then listed.</w:t>
      </w:r>
    </w:p>
    <w:p>
      <w:pPr>
        <w:spacing w:after="0" w:line="180" w:lineRule="exact"/>
        <w:rPr>
          <w:rFonts w:ascii="Arial" w:cs="Arial" w:eastAsia="Arial" w:hAnsi="Arial"/>
          <w:sz w:val="22"/>
          <w:szCs w:val="22"/>
          <w:color w:val="auto"/>
        </w:rPr>
      </w:pPr>
    </w:p>
    <w:p>
      <w:pPr>
        <w:ind w:left="760" w:hanging="752"/>
        <w:spacing w:after="0"/>
        <w:tabs>
          <w:tab w:leader="none" w:pos="760" w:val="left"/>
        </w:tabs>
        <w:numPr>
          <w:ilvl w:val="0"/>
          <w:numId w:val="43"/>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Termination of Employment</w:t>
      </w:r>
    </w:p>
    <w:p>
      <w:pPr>
        <w:spacing w:after="0" w:line="212" w:lineRule="exact"/>
        <w:rPr>
          <w:rFonts w:ascii="Arial" w:cs="Arial" w:eastAsia="Arial" w:hAnsi="Arial"/>
          <w:sz w:val="22"/>
          <w:szCs w:val="22"/>
          <w:b w:val="1"/>
          <w:bCs w:val="1"/>
          <w:u w:val="single" w:color="auto"/>
          <w:color w:val="auto"/>
        </w:rPr>
      </w:pPr>
    </w:p>
    <w:p>
      <w:pPr>
        <w:jc w:val="both"/>
        <w:ind w:firstLine="757"/>
        <w:spacing w:after="0" w:line="236" w:lineRule="auto"/>
        <w:tabs>
          <w:tab w:leader="none" w:pos="1498" w:val="left"/>
        </w:tabs>
        <w:numPr>
          <w:ilvl w:val="1"/>
          <w:numId w:val="43"/>
        </w:numPr>
        <w:rPr>
          <w:rFonts w:ascii="Arial" w:cs="Arial" w:eastAsia="Arial" w:hAnsi="Arial"/>
          <w:sz w:val="22"/>
          <w:szCs w:val="22"/>
          <w:color w:val="auto"/>
        </w:rPr>
      </w:pPr>
      <w:r>
        <w:rPr>
          <w:rFonts w:ascii="Arial" w:cs="Arial" w:eastAsia="Arial" w:hAnsi="Arial"/>
          <w:sz w:val="22"/>
          <w:szCs w:val="22"/>
          <w:color w:val="auto"/>
        </w:rPr>
        <w:t>In the event a Termination of Employment of the Eligible Individual occurs during the Vesting Period for any reason (other than for Cause), and except as provided in Section 4(b) of Section 4(c) below, the Options will continue to vest through the Vesting Period in accordance with the terms provided for herein, and provided the Eligible Individual continues to comply with any and all restrictive covenants required by the Company, including but not limited to confidentiality, non-competition and non-solicitation provisions.</w:t>
      </w:r>
    </w:p>
    <w:p>
      <w:pPr>
        <w:spacing w:after="0" w:line="187" w:lineRule="exact"/>
        <w:rPr>
          <w:rFonts w:ascii="Arial" w:cs="Arial" w:eastAsia="Arial" w:hAnsi="Arial"/>
          <w:sz w:val="22"/>
          <w:szCs w:val="22"/>
          <w:color w:val="auto"/>
        </w:rPr>
      </w:pPr>
    </w:p>
    <w:p>
      <w:pPr>
        <w:ind w:firstLine="757"/>
        <w:spacing w:after="0" w:line="250" w:lineRule="auto"/>
        <w:tabs>
          <w:tab w:leader="none" w:pos="1498" w:val="left"/>
        </w:tabs>
        <w:numPr>
          <w:ilvl w:val="1"/>
          <w:numId w:val="43"/>
        </w:numPr>
        <w:rPr>
          <w:rFonts w:ascii="Arial" w:cs="Arial" w:eastAsia="Arial" w:hAnsi="Arial"/>
          <w:sz w:val="22"/>
          <w:szCs w:val="22"/>
          <w:color w:val="auto"/>
        </w:rPr>
      </w:pPr>
      <w:r>
        <w:rPr>
          <w:rFonts w:ascii="Arial" w:cs="Arial" w:eastAsia="Arial" w:hAnsi="Arial"/>
          <w:sz w:val="22"/>
          <w:szCs w:val="22"/>
          <w:color w:val="auto"/>
        </w:rPr>
        <w:t>In the event of the Eligible Individual’s death during the Vesting Period, all outstanding Options shall become fully vested upon such date and settled in accordance with the terms provided for herein.</w:t>
      </w:r>
    </w:p>
    <w:p>
      <w:pPr>
        <w:spacing w:after="0" w:line="174" w:lineRule="exact"/>
        <w:rPr>
          <w:rFonts w:ascii="Arial" w:cs="Arial" w:eastAsia="Arial" w:hAnsi="Arial"/>
          <w:sz w:val="22"/>
          <w:szCs w:val="22"/>
          <w:color w:val="auto"/>
        </w:rPr>
      </w:pPr>
    </w:p>
    <w:p>
      <w:pPr>
        <w:jc w:val="both"/>
        <w:ind w:firstLine="757"/>
        <w:spacing w:after="0" w:line="252" w:lineRule="auto"/>
        <w:tabs>
          <w:tab w:leader="none" w:pos="1498" w:val="left"/>
        </w:tabs>
        <w:numPr>
          <w:ilvl w:val="1"/>
          <w:numId w:val="43"/>
        </w:numPr>
        <w:rPr>
          <w:rFonts w:ascii="Arial" w:cs="Arial" w:eastAsia="Arial" w:hAnsi="Arial"/>
          <w:sz w:val="21"/>
          <w:szCs w:val="21"/>
          <w:color w:val="auto"/>
        </w:rPr>
      </w:pPr>
      <w:r>
        <w:rPr>
          <w:rFonts w:ascii="Arial" w:cs="Arial" w:eastAsia="Arial" w:hAnsi="Arial"/>
          <w:sz w:val="21"/>
          <w:szCs w:val="21"/>
          <w:color w:val="auto"/>
        </w:rPr>
        <w:t>In the event of a Termination of Employment by the Company for Cause or at a time when grounds for Cause exist or upon the Eligible Individual’s failure to comply with any and all restrictive covenants required by the Company, including but not limited to confidentiality, non-competition and non-solicitation provisions, all outstanding unvested Options shall be immediately forfeited and cancelled in their entirety upon the date of such occurrence.</w:t>
      </w:r>
    </w:p>
    <w:p>
      <w:pPr>
        <w:spacing w:after="0" w:line="173" w:lineRule="exact"/>
        <w:rPr>
          <w:rFonts w:ascii="Arial" w:cs="Arial" w:eastAsia="Arial" w:hAnsi="Arial"/>
          <w:sz w:val="21"/>
          <w:szCs w:val="21"/>
          <w:color w:val="auto"/>
        </w:rPr>
      </w:pPr>
    </w:p>
    <w:p>
      <w:pPr>
        <w:jc w:val="both"/>
        <w:ind w:firstLine="757"/>
        <w:spacing w:after="0"/>
        <w:tabs>
          <w:tab w:leader="none" w:pos="1498" w:val="left"/>
        </w:tabs>
        <w:numPr>
          <w:ilvl w:val="1"/>
          <w:numId w:val="43"/>
        </w:numPr>
        <w:rPr>
          <w:rFonts w:ascii="Arial" w:cs="Arial" w:eastAsia="Arial" w:hAnsi="Arial"/>
          <w:sz w:val="22"/>
          <w:szCs w:val="22"/>
          <w:color w:val="auto"/>
        </w:rPr>
      </w:pPr>
      <w:r>
        <w:rPr>
          <w:rFonts w:ascii="Arial" w:cs="Arial" w:eastAsia="Arial" w:hAnsi="Arial"/>
          <w:sz w:val="22"/>
          <w:szCs w:val="22"/>
          <w:color w:val="auto"/>
        </w:rPr>
        <w:t>For purposes of this Agreement, employment with the Company shall include employment with the Company’s Subsidiaries or Affiliates. The Committee shall have the exclusive discretion to determine whether there has been any Termination of Employment and/or whether there existed Cause.</w:t>
      </w:r>
    </w:p>
    <w:p>
      <w:pPr>
        <w:spacing w:after="0" w:line="180" w:lineRule="exact"/>
        <w:rPr>
          <w:rFonts w:ascii="Arial" w:cs="Arial" w:eastAsia="Arial" w:hAnsi="Arial"/>
          <w:sz w:val="22"/>
          <w:szCs w:val="22"/>
          <w:color w:val="auto"/>
        </w:rPr>
      </w:pPr>
    </w:p>
    <w:p>
      <w:pPr>
        <w:ind w:left="700" w:hanging="692"/>
        <w:spacing w:after="0"/>
        <w:tabs>
          <w:tab w:leader="none" w:pos="700" w:val="left"/>
        </w:tabs>
        <w:numPr>
          <w:ilvl w:val="0"/>
          <w:numId w:val="43"/>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Non-Transferability of the Option</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During the Vesting Period and until the Option is ultimately exercised as provided herein or on the website of the Plan Administrator, the Option shall not be transferable by the Eligible Individual by means of sale, assignment, exchange, encumbrance, pledge, hedge or otherwise.</w:t>
      </w:r>
    </w:p>
    <w:p>
      <w:pPr>
        <w:spacing w:after="0" w:line="180" w:lineRule="exact"/>
        <w:rPr>
          <w:sz w:val="20"/>
          <w:szCs w:val="20"/>
          <w:color w:val="auto"/>
        </w:rPr>
      </w:pPr>
    </w:p>
    <w:p>
      <w:pPr>
        <w:ind w:left="760" w:hanging="752"/>
        <w:spacing w:after="0"/>
        <w:tabs>
          <w:tab w:leader="none" w:pos="760" w:val="left"/>
        </w:tabs>
        <w:numPr>
          <w:ilvl w:val="0"/>
          <w:numId w:val="44"/>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Rights as a Stockholder</w:t>
      </w:r>
    </w:p>
    <w:p>
      <w:pPr>
        <w:spacing w:after="0" w:line="21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Except as otherwise specifically provided in this Agreement, until such time as the Option is exercised, the Eligible Individual shall not be entitled to any rights of a stockholder with respect to the Option. Notwithstanding the foregoing, if the Company declares and pays ordinary cash dividends on the Common Stock during the Vesting Period, the Eligible Individual will be entitled to such adjustments or dividend equivalents as the Company shall deem appropriate and equitable, including but not limited to adjustment to the aggregate number and kind of Shares or other securities subject to outstanding Awards and/or the exercise price of outstanding Options, which Options shall remain subject to restrictions and shall vest and be forfeited,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5" w:name="page56"/>
    <w:bookmarkEnd w:id="55"/>
    <w:p>
      <w:pPr>
        <w:jc w:val="both"/>
        <w:spacing w:after="0"/>
        <w:rPr>
          <w:sz w:val="20"/>
          <w:szCs w:val="20"/>
          <w:color w:val="auto"/>
        </w:rPr>
      </w:pPr>
      <w:r>
        <w:rPr>
          <w:rFonts w:ascii="Arial" w:cs="Arial" w:eastAsia="Arial" w:hAnsi="Arial"/>
          <w:sz w:val="22"/>
          <w:szCs w:val="22"/>
          <w:color w:val="auto"/>
        </w:rPr>
        <w:t>concurrently with the vesting and/or forfeiting of the Options upon which such dividend equivalent amounts were paid. Notwithstanding the foregoing, dividends and distributions other than regular cash dividends, if any, may result in an adjustment pursuant to Section 7 below, rather than under this Section 6.</w:t>
      </w:r>
    </w:p>
    <w:p>
      <w:pPr>
        <w:spacing w:after="0" w:line="180" w:lineRule="exact"/>
        <w:rPr>
          <w:sz w:val="20"/>
          <w:szCs w:val="20"/>
          <w:color w:val="auto"/>
        </w:rPr>
      </w:pPr>
    </w:p>
    <w:p>
      <w:pPr>
        <w:ind w:left="700" w:hanging="692"/>
        <w:spacing w:after="0"/>
        <w:tabs>
          <w:tab w:leader="none" w:pos="700" w:val="left"/>
        </w:tabs>
        <w:numPr>
          <w:ilvl w:val="0"/>
          <w:numId w:val="45"/>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Adjustment in the Event of Change in Stock; Change in Control</w:t>
      </w:r>
    </w:p>
    <w:p>
      <w:pPr>
        <w:spacing w:after="0" w:line="212" w:lineRule="exact"/>
        <w:rPr>
          <w:rFonts w:ascii="Arial" w:cs="Arial" w:eastAsia="Arial" w:hAnsi="Arial"/>
          <w:sz w:val="22"/>
          <w:szCs w:val="22"/>
          <w:b w:val="1"/>
          <w:bCs w:val="1"/>
          <w:u w:val="single" w:color="auto"/>
          <w:color w:val="auto"/>
        </w:rPr>
      </w:pPr>
    </w:p>
    <w:p>
      <w:pPr>
        <w:jc w:val="both"/>
        <w:ind w:firstLine="757"/>
        <w:spacing w:after="0" w:line="279" w:lineRule="auto"/>
        <w:tabs>
          <w:tab w:leader="none" w:pos="1498" w:val="left"/>
        </w:tabs>
        <w:numPr>
          <w:ilvl w:val="1"/>
          <w:numId w:val="45"/>
        </w:numPr>
        <w:rPr>
          <w:rFonts w:ascii="Arial" w:cs="Arial" w:eastAsia="Arial" w:hAnsi="Arial"/>
          <w:sz w:val="19"/>
          <w:szCs w:val="19"/>
          <w:color w:val="auto"/>
        </w:rPr>
      </w:pPr>
      <w:r>
        <w:rPr>
          <w:rFonts w:ascii="Arial" w:cs="Arial" w:eastAsia="Arial" w:hAnsi="Arial"/>
          <w:sz w:val="19"/>
          <w:szCs w:val="19"/>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dividends other than an ordinary dividends or similar event affecting the Company or any of its Subsidiaries (each, a “Corporate Transaction”), the Committee or the Board may in its discretion make such substitutions or adjustments as it deems appropriate and equitable to the number and kind of shares of Common Stock underlying the Option.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jc w:val="both"/>
        <w:ind w:firstLine="757"/>
        <w:spacing w:after="0" w:line="274" w:lineRule="auto"/>
        <w:tabs>
          <w:tab w:leader="none" w:pos="1498" w:val="left"/>
        </w:tabs>
        <w:numPr>
          <w:ilvl w:val="1"/>
          <w:numId w:val="45"/>
        </w:numPr>
        <w:rPr>
          <w:rFonts w:ascii="Arial" w:cs="Arial" w:eastAsia="Arial" w:hAnsi="Arial"/>
          <w:sz w:val="19"/>
          <w:szCs w:val="19"/>
          <w:color w:val="auto"/>
        </w:rPr>
      </w:pPr>
      <w:r>
        <w:rPr>
          <w:rFonts w:ascii="Arial" w:cs="Arial" w:eastAsia="Arial" w:hAnsi="Arial"/>
          <w:sz w:val="19"/>
          <w:szCs w:val="19"/>
          <w:color w:val="auto"/>
        </w:rPr>
        <w:t>In the case of Corporate Transactions, such adjustments may include, without limitation (i) the cancellation of the Option in exchange for payments of cash, dividend equivalents, property or a combination thereof having an aggregate value equal to the value of such Option, as determined by the Committee or the Board in its sole discretion, (ii) the substitution of other property (including, without limitation, cash or other securities of the Company and securities of entities other than the Company) for the shares of Common Stock underlying the Option and (iii) in connection with any Disaffiliation, arranging for the assumption of the Option, or the replacement of the Option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Option that remains based upon securities of the Company).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ind w:firstLine="757"/>
        <w:spacing w:after="0" w:line="250" w:lineRule="auto"/>
        <w:tabs>
          <w:tab w:leader="none" w:pos="1498" w:val="left"/>
        </w:tabs>
        <w:numPr>
          <w:ilvl w:val="1"/>
          <w:numId w:val="45"/>
        </w:numPr>
        <w:rPr>
          <w:rFonts w:ascii="Arial" w:cs="Arial" w:eastAsia="Arial" w:hAnsi="Arial"/>
          <w:sz w:val="22"/>
          <w:szCs w:val="22"/>
          <w:color w:val="auto"/>
        </w:rPr>
      </w:pPr>
      <w:r>
        <w:rPr>
          <w:rFonts w:ascii="Arial" w:cs="Arial" w:eastAsia="Arial" w:hAnsi="Arial"/>
          <w:sz w:val="22"/>
          <w:szCs w:val="22"/>
          <w:color w:val="auto"/>
        </w:rPr>
        <w:t>The determination of the Committee regarding any such adjustment will be final and conclusive and need not be the same for all Participants.</w:t>
      </w:r>
    </w:p>
    <w:p>
      <w:pPr>
        <w:spacing w:after="0" w:line="200" w:lineRule="exact"/>
        <w:rPr>
          <w:rFonts w:ascii="Arial" w:cs="Arial" w:eastAsia="Arial" w:hAnsi="Arial"/>
          <w:sz w:val="22"/>
          <w:szCs w:val="22"/>
          <w:color w:val="auto"/>
        </w:rPr>
      </w:pPr>
    </w:p>
    <w:p>
      <w:pPr>
        <w:spacing w:after="0" w:line="217" w:lineRule="exact"/>
        <w:rPr>
          <w:rFonts w:ascii="Arial" w:cs="Arial" w:eastAsia="Arial" w:hAnsi="Arial"/>
          <w:sz w:val="22"/>
          <w:szCs w:val="22"/>
          <w:color w:val="auto"/>
        </w:rPr>
      </w:pPr>
    </w:p>
    <w:p>
      <w:pPr>
        <w:ind w:right="40" w:firstLine="757"/>
        <w:spacing w:after="0" w:line="282" w:lineRule="auto"/>
        <w:tabs>
          <w:tab w:leader="none" w:pos="1498" w:val="left"/>
        </w:tabs>
        <w:numPr>
          <w:ilvl w:val="1"/>
          <w:numId w:val="45"/>
        </w:numPr>
        <w:rPr>
          <w:rFonts w:ascii="Arial" w:cs="Arial" w:eastAsia="Arial" w:hAnsi="Arial"/>
          <w:sz w:val="19"/>
          <w:szCs w:val="19"/>
          <w:color w:val="auto"/>
        </w:rPr>
      </w:pPr>
      <w:r>
        <w:rPr>
          <w:rFonts w:ascii="Arial" w:cs="Arial" w:eastAsia="Arial" w:hAnsi="Arial"/>
          <w:sz w:val="19"/>
          <w:szCs w:val="19"/>
          <w:color w:val="auto"/>
        </w:rPr>
        <w:t>Notwithstanding the terms of the Plan, the terms of Section 15(b) shall not apply to the Options granted hereunder. In the event of a Termination of Employment of the Eligible Individual (x) by the Company other than for Cause, (y) due to Disability or (z) due to a resignation by the Eligible Individual for Good Reason within twelve months following a Change in Control that qualifies as a “change in control” within the meaning of Section 409A of the Code, all outstanding Options shall become fully vested upon such Termination of Employment and settled in accordance with the terms provided for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u w:val="single" w:color="auto"/>
          <w:color w:val="auto"/>
        </w:rPr>
        <w:t>8.Taxes, Fees and Withholding</w:t>
      </w:r>
    </w:p>
    <w:p>
      <w:pPr>
        <w:spacing w:after="0" w:line="212" w:lineRule="exact"/>
        <w:rPr>
          <w:sz w:val="20"/>
          <w:szCs w:val="20"/>
          <w:color w:val="auto"/>
        </w:rPr>
      </w:pPr>
    </w:p>
    <w:p>
      <w:pPr>
        <w:jc w:val="both"/>
        <w:ind w:firstLine="757"/>
        <w:spacing w:after="0"/>
        <w:tabs>
          <w:tab w:leader="none" w:pos="1498"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Company agrees to pay any and all original issue taxes and stock transfer taxes that may be imposed on the issuance of shares received by an Eligible Individual in connection with the Option, together with any and all other fees and expenses necessarily incurred by the Company in connection therewith.</w:t>
      </w:r>
    </w:p>
    <w:p>
      <w:pPr>
        <w:spacing w:after="0" w:line="186" w:lineRule="exact"/>
        <w:rPr>
          <w:rFonts w:ascii="Arial" w:cs="Arial" w:eastAsia="Arial" w:hAnsi="Arial"/>
          <w:sz w:val="22"/>
          <w:szCs w:val="22"/>
          <w:color w:val="auto"/>
        </w:rPr>
      </w:pPr>
    </w:p>
    <w:p>
      <w:pPr>
        <w:jc w:val="both"/>
        <w:ind w:firstLine="757"/>
        <w:spacing w:after="0" w:line="234" w:lineRule="auto"/>
        <w:tabs>
          <w:tab w:leader="none" w:pos="1498" w:val="left"/>
        </w:tabs>
        <w:numPr>
          <w:ilvl w:val="0"/>
          <w:numId w:val="46"/>
        </w:numPr>
        <w:rPr>
          <w:rFonts w:ascii="Arial" w:cs="Arial" w:eastAsia="Arial" w:hAnsi="Arial"/>
          <w:sz w:val="22"/>
          <w:szCs w:val="22"/>
          <w:color w:val="auto"/>
        </w:rPr>
      </w:pPr>
      <w:r>
        <w:rPr>
          <w:rFonts w:ascii="Arial" w:cs="Arial" w:eastAsia="Arial" w:hAnsi="Arial"/>
          <w:sz w:val="22"/>
          <w:szCs w:val="22"/>
          <w:color w:val="auto"/>
        </w:rPr>
        <w:t>Regardless of any action taken by the Company, its Affiliate or Subsidiary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(1) make no representations or undertakings regarding the treatment of any Tax-Related Items in connection with any aspect of the Award, including the exercise of the Option and issuance of the Shares in connection therewith, the receipt of cash or any dividends or dividend equivalents; and (2) do not commit to structure the terms of the Award or any aspect of the Option to reduce or eliminate the Eligible Individual’s liability for Tax-Related Items.</w:t>
      </w:r>
    </w:p>
    <w:p>
      <w:pPr>
        <w:spacing w:after="0" w:line="186" w:lineRule="exact"/>
        <w:rPr>
          <w:rFonts w:ascii="Arial" w:cs="Arial" w:eastAsia="Arial" w:hAnsi="Arial"/>
          <w:sz w:val="22"/>
          <w:szCs w:val="22"/>
          <w:color w:val="auto"/>
        </w:rPr>
      </w:pPr>
    </w:p>
    <w:p>
      <w:pPr>
        <w:jc w:val="both"/>
        <w:ind w:firstLine="757"/>
        <w:spacing w:after="0" w:line="244" w:lineRule="auto"/>
        <w:tabs>
          <w:tab w:leader="none" w:pos="1498" w:val="left"/>
        </w:tabs>
        <w:numPr>
          <w:ilvl w:val="0"/>
          <w:numId w:val="46"/>
        </w:numPr>
        <w:rPr>
          <w:rFonts w:ascii="Arial" w:cs="Arial" w:eastAsia="Arial" w:hAnsi="Arial"/>
          <w:sz w:val="21"/>
          <w:szCs w:val="21"/>
          <w:color w:val="auto"/>
        </w:rPr>
      </w:pPr>
      <w:r>
        <w:rPr>
          <w:rFonts w:ascii="Arial" w:cs="Arial" w:eastAsia="Arial" w:hAnsi="Arial"/>
          <w:sz w:val="21"/>
          <w:szCs w:val="21"/>
          <w:color w:val="auto"/>
        </w:rPr>
        <w:t>In the event that the Company, Subsidiary or Affiliate is required to withhold any Tax-Related Items as a result of the Award, vesting or exercise of the Option,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8.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Alternatively, or in addition, if permissible under local law, the Company may withhold in Shares, provided that the Company only withholds the amount of Shares necessary to satisfy the minimum withholding amount. Finally, the Eligible Individual will pay to the Company any amount of Tax-Related Items that the Company may be required to withhold as a result of the Eligible Individual’s participation in the Plan or the Award that cannot be satisfied by the means previously described. The Company may refuse to deliver the Shares issuable upon exercise of the Award if the Eligible Individual fails to comply with his or her obligations in connection with the Tax-Related Items as described in this Section.</w:t>
      </w:r>
    </w:p>
    <w:p>
      <w:pPr>
        <w:spacing w:after="0" w:line="180" w:lineRule="exact"/>
        <w:rPr>
          <w:rFonts w:ascii="Arial" w:cs="Arial" w:eastAsia="Arial" w:hAnsi="Arial"/>
          <w:sz w:val="21"/>
          <w:szCs w:val="21"/>
          <w:color w:val="auto"/>
        </w:rPr>
      </w:pPr>
    </w:p>
    <w:p>
      <w:pPr>
        <w:jc w:val="both"/>
        <w:ind w:firstLine="757"/>
        <w:spacing w:after="0" w:line="275" w:lineRule="auto"/>
        <w:tabs>
          <w:tab w:leader="none" w:pos="1498" w:val="left"/>
        </w:tabs>
        <w:numPr>
          <w:ilvl w:val="0"/>
          <w:numId w:val="46"/>
        </w:numPr>
        <w:rPr>
          <w:rFonts w:ascii="Arial" w:cs="Arial" w:eastAsia="Arial" w:hAnsi="Arial"/>
          <w:sz w:val="19"/>
          <w:szCs w:val="19"/>
          <w:color w:val="auto"/>
        </w:rPr>
      </w:pPr>
      <w:r>
        <w:rPr>
          <w:rFonts w:ascii="Arial" w:cs="Arial" w:eastAsia="Arial" w:hAnsi="Arial"/>
          <w:sz w:val="19"/>
          <w:szCs w:val="19"/>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7" w:name="page58"/>
    <w:bookmarkEnd w:id="57"/>
    <w:p>
      <w:pPr>
        <w:spacing w:after="0" w:line="250" w:lineRule="auto"/>
        <w:rPr>
          <w:sz w:val="20"/>
          <w:szCs w:val="20"/>
          <w:color w:val="auto"/>
        </w:rPr>
      </w:pPr>
      <w:r>
        <w:rPr>
          <w:rFonts w:ascii="Arial" w:cs="Arial" w:eastAsia="Arial" w:hAnsi="Arial"/>
          <w:sz w:val="22"/>
          <w:szCs w:val="22"/>
          <w:color w:val="auto"/>
        </w:rPr>
        <w:t>which may arise as a result of his or her failure to pay any and all taxes associated with any income derived pursuant to the Award.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9.Other Restrictions</w:t>
      </w:r>
    </w:p>
    <w:p>
      <w:pPr>
        <w:spacing w:after="0" w:line="212" w:lineRule="exact"/>
        <w:rPr>
          <w:sz w:val="20"/>
          <w:szCs w:val="20"/>
          <w:color w:val="auto"/>
        </w:rPr>
      </w:pPr>
    </w:p>
    <w:p>
      <w:pPr>
        <w:jc w:val="both"/>
        <w:ind w:firstLine="757"/>
        <w:spacing w:after="0" w:line="249" w:lineRule="auto"/>
        <w:tabs>
          <w:tab w:leader="none" w:pos="1498" w:val="left"/>
        </w:tabs>
        <w:numPr>
          <w:ilvl w:val="1"/>
          <w:numId w:val="47"/>
        </w:numPr>
        <w:rPr>
          <w:rFonts w:ascii="Arial" w:cs="Arial" w:eastAsia="Arial" w:hAnsi="Arial"/>
          <w:sz w:val="21"/>
          <w:szCs w:val="21"/>
          <w:color w:val="auto"/>
        </w:rPr>
      </w:pPr>
      <w:r>
        <w:rPr>
          <w:rFonts w:ascii="Arial" w:cs="Arial" w:eastAsia="Arial" w:hAnsi="Arial"/>
          <w:sz w:val="21"/>
          <w:szCs w:val="21"/>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78" w:lineRule="exact"/>
        <w:rPr>
          <w:rFonts w:ascii="Arial" w:cs="Arial" w:eastAsia="Arial" w:hAnsi="Arial"/>
          <w:sz w:val="21"/>
          <w:szCs w:val="21"/>
          <w:color w:val="auto"/>
        </w:rPr>
      </w:pPr>
    </w:p>
    <w:p>
      <w:pPr>
        <w:jc w:val="both"/>
        <w:ind w:firstLine="757"/>
        <w:spacing w:after="0" w:line="246" w:lineRule="auto"/>
        <w:tabs>
          <w:tab w:leader="none" w:pos="1498" w:val="left"/>
        </w:tabs>
        <w:numPr>
          <w:ilvl w:val="1"/>
          <w:numId w:val="47"/>
        </w:numPr>
        <w:rPr>
          <w:rFonts w:ascii="Arial" w:cs="Arial" w:eastAsia="Arial" w:hAnsi="Arial"/>
          <w:sz w:val="21"/>
          <w:szCs w:val="21"/>
          <w:color w:val="auto"/>
        </w:rPr>
      </w:pPr>
      <w:r>
        <w:rPr>
          <w:rFonts w:ascii="Arial" w:cs="Arial" w:eastAsia="Arial" w:hAnsi="Arial"/>
          <w:sz w:val="21"/>
          <w:szCs w:val="21"/>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in connection with the “cashless” exercise of an Option),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73" w:lineRule="exact"/>
        <w:rPr>
          <w:rFonts w:ascii="Arial" w:cs="Arial" w:eastAsia="Arial" w:hAnsi="Arial"/>
          <w:sz w:val="21"/>
          <w:szCs w:val="21"/>
          <w:color w:val="auto"/>
        </w:rPr>
      </w:pPr>
    </w:p>
    <w:p>
      <w:pPr>
        <w:ind w:left="760" w:hanging="752"/>
        <w:spacing w:after="0"/>
        <w:tabs>
          <w:tab w:leader="none" w:pos="760" w:val="left"/>
        </w:tabs>
        <w:numPr>
          <w:ilvl w:val="0"/>
          <w:numId w:val="48"/>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Nature of Award</w:t>
      </w:r>
    </w:p>
    <w:p>
      <w:pPr>
        <w:spacing w:after="0" w:line="212" w:lineRule="exact"/>
        <w:rPr>
          <w:rFonts w:ascii="Arial" w:cs="Arial" w:eastAsia="Arial" w:hAnsi="Arial"/>
          <w:sz w:val="22"/>
          <w:szCs w:val="22"/>
          <w:b w:val="1"/>
          <w:bCs w:val="1"/>
          <w:u w:val="single" w:color="auto"/>
          <w:color w:val="auto"/>
        </w:rPr>
      </w:pPr>
    </w:p>
    <w:p>
      <w:pPr>
        <w:ind w:left="760"/>
        <w:spacing w:after="0"/>
        <w:rPr>
          <w:rFonts w:ascii="Arial" w:cs="Arial" w:eastAsia="Arial" w:hAnsi="Arial"/>
          <w:sz w:val="22"/>
          <w:szCs w:val="22"/>
          <w:b w:val="1"/>
          <w:bCs w:val="1"/>
          <w:u w:val="single" w:color="auto"/>
          <w:color w:val="auto"/>
        </w:rPr>
      </w:pPr>
      <w:r>
        <w:rPr>
          <w:rFonts w:ascii="Arial" w:cs="Arial" w:eastAsia="Arial" w:hAnsi="Arial"/>
          <w:sz w:val="22"/>
          <w:szCs w:val="22"/>
          <w:color w:val="auto"/>
        </w:rPr>
        <w:t>In accepting the Award, the Eligible Individual acknowledges that:</w:t>
      </w:r>
    </w:p>
    <w:p>
      <w:pPr>
        <w:spacing w:after="0" w:line="206" w:lineRule="exact"/>
        <w:rPr>
          <w:rFonts w:ascii="Arial" w:cs="Arial" w:eastAsia="Arial" w:hAnsi="Arial"/>
          <w:sz w:val="22"/>
          <w:szCs w:val="22"/>
          <w:b w:val="1"/>
          <w:bCs w:val="1"/>
          <w:u w:val="single" w:color="auto"/>
          <w:color w:val="auto"/>
        </w:rPr>
      </w:pPr>
    </w:p>
    <w:p>
      <w:pPr>
        <w:ind w:firstLine="757"/>
        <w:spacing w:after="0" w:line="328" w:lineRule="auto"/>
        <w:tabs>
          <w:tab w:leader="none" w:pos="1498" w:val="left"/>
        </w:tabs>
        <w:numPr>
          <w:ilvl w:val="1"/>
          <w:numId w:val="48"/>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05" w:lineRule="exact"/>
        <w:rPr>
          <w:sz w:val="20"/>
          <w:szCs w:val="20"/>
          <w:color w:val="auto"/>
        </w:rPr>
      </w:pPr>
    </w:p>
    <w:p>
      <w:pPr>
        <w:ind w:firstLine="757"/>
        <w:spacing w:after="0" w:line="250" w:lineRule="auto"/>
        <w:tabs>
          <w:tab w:leader="none" w:pos="1498"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Award is voluntary and occasional and does not create any contractual or other right to receive future Awards, or benefits in lieu of Awards, even if Awards have been granted repeatedly in the past;</w:t>
      </w:r>
    </w:p>
    <w:p>
      <w:pPr>
        <w:spacing w:after="0" w:line="174" w:lineRule="exact"/>
        <w:rPr>
          <w:rFonts w:ascii="Arial" w:cs="Arial" w:eastAsia="Arial" w:hAnsi="Arial"/>
          <w:sz w:val="22"/>
          <w:szCs w:val="22"/>
          <w:color w:val="auto"/>
        </w:rPr>
      </w:pPr>
    </w:p>
    <w:p>
      <w:pPr>
        <w:ind w:left="1500" w:hanging="743"/>
        <w:spacing w:after="0"/>
        <w:tabs>
          <w:tab w:leader="none" w:pos="1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Company;</w:t>
      </w:r>
    </w:p>
    <w:p>
      <w:pPr>
        <w:spacing w:after="0" w:line="206" w:lineRule="exact"/>
        <w:rPr>
          <w:rFonts w:ascii="Arial" w:cs="Arial" w:eastAsia="Arial" w:hAnsi="Arial"/>
          <w:sz w:val="22"/>
          <w:szCs w:val="22"/>
          <w:color w:val="auto"/>
        </w:rPr>
      </w:pPr>
    </w:p>
    <w:p>
      <w:pPr>
        <w:jc w:val="both"/>
        <w:ind w:firstLine="757"/>
        <w:spacing w:after="0"/>
        <w:tabs>
          <w:tab w:leader="none" w:pos="1498"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Eligible Individual’s participation in the Plan will not create a right to further employment with the Company, its Subsidiary or Affiliate and shall not interfere with the ability of the Company to terminate the Eligible Individual’s employment relationship at any time with or without Cause;</w:t>
      </w:r>
    </w:p>
    <w:p>
      <w:pPr>
        <w:spacing w:after="0" w:line="186" w:lineRule="exact"/>
        <w:rPr>
          <w:rFonts w:ascii="Arial" w:cs="Arial" w:eastAsia="Arial" w:hAnsi="Arial"/>
          <w:sz w:val="22"/>
          <w:szCs w:val="22"/>
          <w:color w:val="auto"/>
        </w:rPr>
      </w:pPr>
    </w:p>
    <w:p>
      <w:pPr>
        <w:ind w:left="1500" w:hanging="743"/>
        <w:spacing w:after="0"/>
        <w:tabs>
          <w:tab w:leader="none" w:pos="150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Eligible Individual is voluntarily participating in the Plan;</w:t>
      </w:r>
    </w:p>
    <w:p>
      <w:pPr>
        <w:spacing w:after="0" w:line="206" w:lineRule="exact"/>
        <w:rPr>
          <w:rFonts w:ascii="Arial" w:cs="Arial" w:eastAsia="Arial" w:hAnsi="Arial"/>
          <w:sz w:val="22"/>
          <w:szCs w:val="22"/>
          <w:color w:val="auto"/>
        </w:rPr>
      </w:pPr>
    </w:p>
    <w:p>
      <w:pPr>
        <w:jc w:val="both"/>
        <w:ind w:firstLine="757"/>
        <w:spacing w:after="0"/>
        <w:tabs>
          <w:tab w:leader="none" w:pos="1498"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8" w:name="page59"/>
    <w:bookmarkEnd w:id="58"/>
    <w:p>
      <w:pPr>
        <w:jc w:val="both"/>
        <w:ind w:firstLine="757"/>
        <w:spacing w:after="0" w:line="238" w:lineRule="auto"/>
        <w:tabs>
          <w:tab w:leader="none" w:pos="1498" w:val="left"/>
        </w:tabs>
        <w:numPr>
          <w:ilvl w:val="1"/>
          <w:numId w:val="50"/>
        </w:numPr>
        <w:rPr>
          <w:rFonts w:ascii="Arial" w:cs="Arial" w:eastAsia="Arial" w:hAnsi="Arial"/>
          <w:sz w:val="22"/>
          <w:szCs w:val="22"/>
          <w:color w:val="auto"/>
        </w:rPr>
      </w:pPr>
      <w:r>
        <w:rPr>
          <w:rFonts w:ascii="Arial" w:cs="Arial" w:eastAsia="Arial" w:hAnsi="Arial"/>
          <w:sz w:val="22"/>
          <w:szCs w:val="22"/>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84" w:lineRule="exact"/>
        <w:rPr>
          <w:rFonts w:ascii="Arial" w:cs="Arial" w:eastAsia="Arial" w:hAnsi="Arial"/>
          <w:sz w:val="22"/>
          <w:szCs w:val="22"/>
          <w:color w:val="auto"/>
        </w:rPr>
      </w:pPr>
    </w:p>
    <w:p>
      <w:pPr>
        <w:ind w:firstLine="757"/>
        <w:spacing w:after="0" w:line="328" w:lineRule="auto"/>
        <w:tabs>
          <w:tab w:leader="none" w:pos="1498" w:val="left"/>
        </w:tabs>
        <w:numPr>
          <w:ilvl w:val="1"/>
          <w:numId w:val="50"/>
        </w:numPr>
        <w:rPr>
          <w:rFonts w:ascii="Arial" w:cs="Arial" w:eastAsia="Arial" w:hAnsi="Arial"/>
          <w:sz w:val="19"/>
          <w:szCs w:val="19"/>
          <w:color w:val="auto"/>
        </w:rPr>
      </w:pPr>
      <w:r>
        <w:rPr>
          <w:rFonts w:ascii="Arial" w:cs="Arial" w:eastAsia="Arial" w:hAnsi="Arial"/>
          <w:sz w:val="19"/>
          <w:szCs w:val="19"/>
          <w:color w:val="auto"/>
        </w:rPr>
        <w:t>in the event that the Eligible Individual is not an employee of the Company, a Subsidiary or an Affiliate, the Award will not be interpreted to form an employment contract or relationship with the Company, a Subsidiary or Affiliate; and</w:t>
      </w:r>
    </w:p>
    <w:p>
      <w:pPr>
        <w:spacing w:after="0" w:line="104" w:lineRule="exact"/>
        <w:rPr>
          <w:rFonts w:ascii="Arial" w:cs="Arial" w:eastAsia="Arial" w:hAnsi="Arial"/>
          <w:sz w:val="19"/>
          <w:szCs w:val="19"/>
          <w:color w:val="auto"/>
        </w:rPr>
      </w:pPr>
    </w:p>
    <w:p>
      <w:pPr>
        <w:jc w:val="both"/>
        <w:ind w:firstLine="757"/>
        <w:spacing w:after="0" w:line="279" w:lineRule="auto"/>
        <w:tabs>
          <w:tab w:leader="none" w:pos="1498" w:val="left"/>
        </w:tabs>
        <w:numPr>
          <w:ilvl w:val="1"/>
          <w:numId w:val="50"/>
        </w:numPr>
        <w:rPr>
          <w:rFonts w:ascii="Arial" w:cs="Arial" w:eastAsia="Arial" w:hAnsi="Arial"/>
          <w:sz w:val="19"/>
          <w:szCs w:val="19"/>
          <w:color w:val="auto"/>
        </w:rPr>
      </w:pPr>
      <w:r>
        <w:rPr>
          <w:rFonts w:ascii="Arial" w:cs="Arial" w:eastAsia="Arial" w:hAnsi="Arial"/>
          <w:sz w:val="19"/>
          <w:szCs w:val="19"/>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44" w:lineRule="exact"/>
        <w:rPr>
          <w:rFonts w:ascii="Arial" w:cs="Arial" w:eastAsia="Arial" w:hAnsi="Arial"/>
          <w:sz w:val="19"/>
          <w:szCs w:val="19"/>
          <w:color w:val="auto"/>
        </w:rPr>
      </w:pPr>
    </w:p>
    <w:p>
      <w:pPr>
        <w:ind w:left="760" w:hanging="752"/>
        <w:spacing w:after="0"/>
        <w:tabs>
          <w:tab w:leader="none" w:pos="760" w:val="left"/>
        </w:tabs>
        <w:numPr>
          <w:ilvl w:val="0"/>
          <w:numId w:val="51"/>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No Advice Regarding Grant</w:t>
      </w:r>
    </w:p>
    <w:p>
      <w:pPr>
        <w:spacing w:after="0" w:line="21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81" w:lineRule="exact"/>
        <w:rPr>
          <w:sz w:val="20"/>
          <w:szCs w:val="20"/>
          <w:color w:val="auto"/>
        </w:rPr>
      </w:pPr>
    </w:p>
    <w:p>
      <w:pPr>
        <w:ind w:left="760" w:hanging="752"/>
        <w:spacing w:after="0"/>
        <w:tabs>
          <w:tab w:leader="none" w:pos="760" w:val="left"/>
        </w:tabs>
        <w:numPr>
          <w:ilvl w:val="0"/>
          <w:numId w:val="52"/>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Notices</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80" w:lineRule="exact"/>
        <w:rPr>
          <w:sz w:val="20"/>
          <w:szCs w:val="20"/>
          <w:color w:val="auto"/>
        </w:rPr>
      </w:pPr>
    </w:p>
    <w:p>
      <w:pPr>
        <w:ind w:left="760" w:hanging="752"/>
        <w:spacing w:after="0"/>
        <w:tabs>
          <w:tab w:leader="none" w:pos="760" w:val="left"/>
        </w:tabs>
        <w:numPr>
          <w:ilvl w:val="0"/>
          <w:numId w:val="53"/>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Effect of Agreement; Severability</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80" w:lineRule="exact"/>
        <w:rPr>
          <w:sz w:val="20"/>
          <w:szCs w:val="20"/>
          <w:color w:val="auto"/>
        </w:rPr>
      </w:pPr>
    </w:p>
    <w:p>
      <w:pPr>
        <w:ind w:left="760" w:hanging="752"/>
        <w:spacing w:after="0"/>
        <w:tabs>
          <w:tab w:leader="none" w:pos="760" w:val="left"/>
        </w:tabs>
        <w:numPr>
          <w:ilvl w:val="0"/>
          <w:numId w:val="54"/>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Laws Applicable to Construction; Consent to Jurisdiction</w:t>
      </w:r>
    </w:p>
    <w:p>
      <w:pPr>
        <w:spacing w:after="0" w:line="212" w:lineRule="exact"/>
        <w:rPr>
          <w:rFonts w:ascii="Arial" w:cs="Arial" w:eastAsia="Arial" w:hAnsi="Arial"/>
          <w:sz w:val="22"/>
          <w:szCs w:val="22"/>
          <w:b w:val="1"/>
          <w:bCs w:val="1"/>
          <w:u w:val="single" w:color="auto"/>
          <w:color w:val="auto"/>
        </w:rPr>
      </w:pPr>
    </w:p>
    <w:p>
      <w:pPr>
        <w:jc w:val="both"/>
        <w:ind w:firstLine="757"/>
        <w:spacing w:after="0"/>
        <w:tabs>
          <w:tab w:leader="none" w:pos="1498"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9" w:name="page60"/>
    <w:bookmarkEnd w:id="59"/>
    <w:p>
      <w:pPr>
        <w:ind w:right="20"/>
        <w:spacing w:after="0" w:line="250" w:lineRule="auto"/>
        <w:rPr>
          <w:sz w:val="20"/>
          <w:szCs w:val="20"/>
          <w:color w:val="auto"/>
        </w:rPr>
      </w:pPr>
      <w:r>
        <w:rPr>
          <w:rFonts w:ascii="Arial" w:cs="Arial" w:eastAsia="Arial" w:hAnsi="Arial"/>
          <w:sz w:val="22"/>
          <w:szCs w:val="22"/>
          <w:color w:val="auto"/>
        </w:rPr>
        <w:t>to the terms and conditions set forth in this Agreement, the Option is subject to the terms and conditions of the Plan, which are hereby incorporated by reference.</w:t>
      </w:r>
    </w:p>
    <w:p>
      <w:pPr>
        <w:spacing w:after="0" w:line="175" w:lineRule="exact"/>
        <w:rPr>
          <w:sz w:val="20"/>
          <w:szCs w:val="20"/>
          <w:color w:val="auto"/>
        </w:rPr>
      </w:pPr>
    </w:p>
    <w:p>
      <w:pPr>
        <w:jc w:val="both"/>
        <w:ind w:firstLine="757"/>
        <w:spacing w:after="0" w:line="252" w:lineRule="auto"/>
        <w:tabs>
          <w:tab w:leader="none" w:pos="1498" w:val="left"/>
        </w:tabs>
        <w:numPr>
          <w:ilvl w:val="1"/>
          <w:numId w:val="55"/>
        </w:numPr>
        <w:rPr>
          <w:rFonts w:ascii="Arial" w:cs="Arial" w:eastAsia="Arial" w:hAnsi="Arial"/>
          <w:sz w:val="21"/>
          <w:szCs w:val="21"/>
          <w:color w:val="auto"/>
        </w:rPr>
      </w:pPr>
      <w:r>
        <w:rPr>
          <w:rFonts w:ascii="Arial" w:cs="Arial" w:eastAsia="Arial" w:hAnsi="Arial"/>
          <w:sz w:val="21"/>
          <w:szCs w:val="21"/>
          <w:color w:val="auto"/>
        </w:rPr>
        <w:t>Any and all disputes arising under, as a result of or out of this Agreement, including without 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w:t>
      </w:r>
    </w:p>
    <w:p>
      <w:pPr>
        <w:spacing w:after="0" w:line="167" w:lineRule="exact"/>
        <w:rPr>
          <w:rFonts w:ascii="Arial" w:cs="Arial" w:eastAsia="Arial" w:hAnsi="Arial"/>
          <w:sz w:val="21"/>
          <w:szCs w:val="21"/>
          <w:color w:val="auto"/>
        </w:rPr>
      </w:pPr>
    </w:p>
    <w:p>
      <w:pPr>
        <w:ind w:left="760" w:hanging="752"/>
        <w:spacing w:after="0"/>
        <w:tabs>
          <w:tab w:leader="none" w:pos="760" w:val="left"/>
        </w:tabs>
        <w:numPr>
          <w:ilvl w:val="0"/>
          <w:numId w:val="56"/>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Conflicts; Interpretation and Correction of Errors</w:t>
      </w:r>
    </w:p>
    <w:p>
      <w:pPr>
        <w:spacing w:after="0" w:line="212" w:lineRule="exact"/>
        <w:rPr>
          <w:rFonts w:ascii="Arial" w:cs="Arial" w:eastAsia="Arial" w:hAnsi="Arial"/>
          <w:sz w:val="22"/>
          <w:szCs w:val="22"/>
          <w:b w:val="1"/>
          <w:bCs w:val="1"/>
          <w:u w:val="single" w:color="auto"/>
          <w:color w:val="auto"/>
        </w:rPr>
      </w:pPr>
    </w:p>
    <w:p>
      <w:pPr>
        <w:jc w:val="both"/>
        <w:ind w:firstLine="757"/>
        <w:spacing w:after="0" w:line="238" w:lineRule="auto"/>
        <w:tabs>
          <w:tab w:leader="none" w:pos="1498" w:val="left"/>
        </w:tabs>
        <w:numPr>
          <w:ilvl w:val="1"/>
          <w:numId w:val="56"/>
        </w:numPr>
        <w:rPr>
          <w:rFonts w:ascii="Arial" w:cs="Arial" w:eastAsia="Arial" w:hAnsi="Arial"/>
          <w:sz w:val="22"/>
          <w:szCs w:val="22"/>
          <w:color w:val="auto"/>
        </w:rPr>
      </w:pPr>
      <w:r>
        <w:rPr>
          <w:rFonts w:ascii="Arial" w:cs="Arial" w:eastAsia="Arial" w:hAnsi="Arial"/>
          <w:sz w:val="22"/>
          <w:szCs w:val="22"/>
          <w:color w:val="auto"/>
        </w:rPr>
        <w:t>Except as expressly otherwise provided herein, 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4" w:lineRule="exact"/>
        <w:rPr>
          <w:rFonts w:ascii="Arial" w:cs="Arial" w:eastAsia="Arial" w:hAnsi="Arial"/>
          <w:sz w:val="22"/>
          <w:szCs w:val="22"/>
          <w:color w:val="auto"/>
        </w:rPr>
      </w:pPr>
    </w:p>
    <w:p>
      <w:pPr>
        <w:jc w:val="both"/>
        <w:ind w:firstLine="757"/>
        <w:spacing w:after="0" w:line="246" w:lineRule="auto"/>
        <w:tabs>
          <w:tab w:leader="none" w:pos="1498" w:val="left"/>
        </w:tabs>
        <w:numPr>
          <w:ilvl w:val="1"/>
          <w:numId w:val="56"/>
        </w:numPr>
        <w:rPr>
          <w:rFonts w:ascii="Arial" w:cs="Arial" w:eastAsia="Arial" w:hAnsi="Arial"/>
          <w:sz w:val="21"/>
          <w:szCs w:val="21"/>
          <w:color w:val="auto"/>
        </w:rPr>
      </w:pPr>
      <w:r>
        <w:rPr>
          <w:rFonts w:ascii="Arial" w:cs="Arial" w:eastAsia="Arial" w:hAnsi="Arial"/>
          <w:sz w:val="21"/>
          <w:szCs w:val="21"/>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Option has vested). All actions taken and all interpretations and determinations made by the Committee in good faith shall be final and binding upon the Participant,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79" w:lineRule="exact"/>
        <w:rPr>
          <w:rFonts w:ascii="Arial" w:cs="Arial" w:eastAsia="Arial" w:hAnsi="Arial"/>
          <w:sz w:val="21"/>
          <w:szCs w:val="21"/>
          <w:color w:val="auto"/>
        </w:rPr>
      </w:pPr>
    </w:p>
    <w:p>
      <w:pPr>
        <w:jc w:val="both"/>
        <w:ind w:firstLine="757"/>
        <w:spacing w:after="0" w:line="238" w:lineRule="auto"/>
        <w:tabs>
          <w:tab w:leader="none" w:pos="1498" w:val="left"/>
        </w:tabs>
        <w:numPr>
          <w:ilvl w:val="1"/>
          <w:numId w:val="56"/>
        </w:numPr>
        <w:rPr>
          <w:rFonts w:ascii="Arial" w:cs="Arial" w:eastAsia="Arial" w:hAnsi="Arial"/>
          <w:sz w:val="22"/>
          <w:szCs w:val="22"/>
          <w:color w:val="auto"/>
        </w:rPr>
      </w:pPr>
      <w:r>
        <w:rPr>
          <w:rFonts w:ascii="Arial" w:cs="Arial" w:eastAsia="Arial" w:hAnsi="Arial"/>
          <w:sz w:val="22"/>
          <w:szCs w:val="22"/>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78" w:lineRule="exact"/>
        <w:rPr>
          <w:rFonts w:ascii="Arial" w:cs="Arial" w:eastAsia="Arial" w:hAnsi="Arial"/>
          <w:sz w:val="22"/>
          <w:szCs w:val="22"/>
          <w:color w:val="auto"/>
        </w:rPr>
      </w:pPr>
    </w:p>
    <w:p>
      <w:pPr>
        <w:ind w:left="760" w:hanging="752"/>
        <w:spacing w:after="0"/>
        <w:tabs>
          <w:tab w:leader="none" w:pos="760" w:val="left"/>
        </w:tabs>
        <w:numPr>
          <w:ilvl w:val="0"/>
          <w:numId w:val="56"/>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Data Privacy</w:t>
      </w:r>
    </w:p>
    <w:p>
      <w:pPr>
        <w:spacing w:after="0" w:line="212" w:lineRule="exact"/>
        <w:rPr>
          <w:rFonts w:ascii="Arial" w:cs="Arial" w:eastAsia="Arial" w:hAnsi="Arial"/>
          <w:sz w:val="22"/>
          <w:szCs w:val="22"/>
          <w:b w:val="1"/>
          <w:bCs w:val="1"/>
          <w:u w:val="single" w:color="auto"/>
          <w:color w:val="auto"/>
        </w:rPr>
      </w:pPr>
    </w:p>
    <w:p>
      <w:pPr>
        <w:jc w:val="both"/>
        <w:ind w:firstLine="757"/>
        <w:spacing w:after="0" w:line="245" w:lineRule="auto"/>
        <w:tabs>
          <w:tab w:leader="none" w:pos="1498" w:val="left"/>
        </w:tabs>
        <w:numPr>
          <w:ilvl w:val="1"/>
          <w:numId w:val="56"/>
        </w:numPr>
        <w:rPr>
          <w:rFonts w:ascii="Arial" w:cs="Arial" w:eastAsia="Arial" w:hAnsi="Arial"/>
          <w:sz w:val="21"/>
          <w:szCs w:val="21"/>
          <w:color w:val="auto"/>
        </w:rPr>
      </w:pPr>
      <w:r>
        <w:rPr>
          <w:rFonts w:ascii="Arial" w:cs="Arial" w:eastAsia="Arial" w:hAnsi="Arial"/>
          <w:sz w:val="21"/>
          <w:szCs w:val="21"/>
          <w:color w:val="auto"/>
        </w:rPr>
        <w:t>The Eligible Individual understands that the Company, Subsidiary, Affiliate and/or Plan Administrator may hold certain personal information about him or her,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0" w:name="page61"/>
    <w:bookmarkEnd w:id="60"/>
    <w:p>
      <w:pPr>
        <w:jc w:val="both"/>
        <w:ind w:firstLine="757"/>
        <w:spacing w:after="0" w:line="275" w:lineRule="auto"/>
        <w:tabs>
          <w:tab w:leader="none" w:pos="1498"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57" w:lineRule="exact"/>
        <w:rPr>
          <w:rFonts w:ascii="Arial" w:cs="Arial" w:eastAsia="Arial" w:hAnsi="Arial"/>
          <w:sz w:val="19"/>
          <w:szCs w:val="19"/>
          <w:color w:val="auto"/>
        </w:rPr>
      </w:pPr>
    </w:p>
    <w:p>
      <w:pPr>
        <w:jc w:val="both"/>
        <w:ind w:firstLine="757"/>
        <w:spacing w:after="0" w:line="279" w:lineRule="auto"/>
        <w:tabs>
          <w:tab w:leader="none" w:pos="1498"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44" w:lineRule="exact"/>
        <w:rPr>
          <w:sz w:val="20"/>
          <w:szCs w:val="20"/>
          <w:color w:val="auto"/>
        </w:rPr>
      </w:pPr>
    </w:p>
    <w:p>
      <w:pPr>
        <w:ind w:left="760" w:hanging="752"/>
        <w:spacing w:after="0"/>
        <w:tabs>
          <w:tab w:leader="none" w:pos="760" w:val="left"/>
        </w:tabs>
        <w:numPr>
          <w:ilvl w:val="0"/>
          <w:numId w:val="58"/>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Amendment</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The Company may modify, amend or waive the terms of this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 (b) This Award and payments made pursuant to this Agreement and the Plan are intended to comply with or be exempt from Section 409A of the Code and, accordingly, to the maximum extent permitted, this Agreement and the Plan shall be interpreted to be in compliance therewith or exempt therefrom.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 In no event whatsoever shall the Company or any of its Affiliates be liable for any additional tax, interest or penalty that may be imposed on the Eligible Individual by Section 409A of the Code or damages for failing to comply with Code Section 409A. Notwithstanding any other provision of this Agreement to the contrary, in no event shall any payment or benefit under this Agreement that constitutes “nonqualified deferred compensation” for purposes of Section 409A of the Code be subject to offset by any other amount unless otherwise permitted by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639445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1" w:name="page62"/>
    <w:bookmarkEnd w:id="61"/>
    <w:p>
      <w:pPr>
        <w:spacing w:after="0"/>
        <w:rPr>
          <w:sz w:val="20"/>
          <w:szCs w:val="20"/>
          <w:color w:val="auto"/>
        </w:rPr>
      </w:pPr>
      <w:r>
        <w:rPr>
          <w:rFonts w:ascii="Arial" w:cs="Arial" w:eastAsia="Arial" w:hAnsi="Arial"/>
          <w:sz w:val="22"/>
          <w:szCs w:val="22"/>
          <w:color w:val="auto"/>
        </w:rPr>
        <w:t>of the Code. For the avoidance of doubt, Section 16(k) of the Plan shall apply to the Options granted hereunder.</w:t>
      </w:r>
    </w:p>
    <w:p>
      <w:pPr>
        <w:spacing w:after="0" w:line="200" w:lineRule="exact"/>
        <w:rPr>
          <w:sz w:val="20"/>
          <w:szCs w:val="20"/>
          <w:color w:val="auto"/>
        </w:rPr>
      </w:pPr>
    </w:p>
    <w:p>
      <w:pPr>
        <w:ind w:left="760" w:hanging="752"/>
        <w:spacing w:after="0"/>
        <w:tabs>
          <w:tab w:leader="none" w:pos="760" w:val="left"/>
        </w:tabs>
        <w:numPr>
          <w:ilvl w:val="0"/>
          <w:numId w:val="59"/>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Choice of Language</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79" w:lineRule="exact"/>
        <w:rPr>
          <w:sz w:val="20"/>
          <w:szCs w:val="20"/>
          <w:color w:val="auto"/>
        </w:rPr>
      </w:pPr>
    </w:p>
    <w:p>
      <w:pPr>
        <w:ind w:left="760" w:hanging="752"/>
        <w:spacing w:after="0"/>
        <w:tabs>
          <w:tab w:leader="none" w:pos="760" w:val="left"/>
        </w:tabs>
        <w:numPr>
          <w:ilvl w:val="0"/>
          <w:numId w:val="60"/>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Electronic Delivery</w:t>
      </w:r>
    </w:p>
    <w:p>
      <w:pPr>
        <w:spacing w:after="0" w:line="21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2" w:name="page63"/>
    <w:bookmarkEnd w:id="62"/>
    <w:p>
      <w:pPr>
        <w:ind w:left="10260"/>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104" w:lineRule="exact"/>
        <w:rPr>
          <w:sz w:val="20"/>
          <w:szCs w:val="20"/>
          <w:color w:val="auto"/>
        </w:rPr>
      </w:pPr>
    </w:p>
    <w:p>
      <w:pPr>
        <w:ind w:left="520" w:hanging="512"/>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2022 of TripAdvisor,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6"/>
          <w:szCs w:val="16"/>
          <w:color w:val="auto"/>
        </w:rPr>
        <w:t>/s/ STEPHEN KAUFER</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-130175</wp:posOffset>
            </wp:positionV>
            <wp:extent cx="28460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27"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ind w:left="10260"/>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104" w:lineRule="exact"/>
        <w:rPr>
          <w:sz w:val="20"/>
          <w:szCs w:val="20"/>
          <w:color w:val="auto"/>
        </w:rPr>
      </w:pPr>
    </w:p>
    <w:p>
      <w:pPr>
        <w:ind w:left="520" w:hanging="512"/>
        <w:spacing w:after="0"/>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2022 of TripAdvisor,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6"/>
          <w:szCs w:val="16"/>
          <w:color w:val="auto"/>
        </w:rPr>
        <w:t>/s/ ERNST TEUNISSEN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Ernst Teunissen</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left="10260"/>
        <w:spacing w:after="0"/>
        <w:rPr>
          <w:sz w:val="20"/>
          <w:szCs w:val="20"/>
          <w:color w:val="auto"/>
        </w:rPr>
      </w:pPr>
      <w:r>
        <w:rPr>
          <w:rFonts w:ascii="Arial" w:cs="Arial" w:eastAsia="Arial" w:hAnsi="Arial"/>
          <w:sz w:val="17"/>
          <w:szCs w:val="17"/>
          <w:b w:val="1"/>
          <w:bCs w:val="1"/>
          <w:color w:val="auto"/>
        </w:rPr>
        <w:t>Exhibit 32.1</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jc w:val="center"/>
        <w:ind w:right="20"/>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2022, as filed with the Securities and Exchange Commission on the date hereof (the “Report”), I, Stephen Kaufer, Chief Executive Officer of the Company, certify, pursuant to Section 906 of the Sarbanes-Oxley Act of 2002, 18 U.S.C. Section 1350, that:</w:t>
      </w:r>
    </w:p>
    <w:p>
      <w:pPr>
        <w:spacing w:after="0" w:line="74" w:lineRule="exact"/>
        <w:rPr>
          <w:sz w:val="20"/>
          <w:szCs w:val="20"/>
          <w:color w:val="auto"/>
        </w:rPr>
      </w:pPr>
    </w:p>
    <w:p>
      <w:pPr>
        <w:ind w:left="520" w:hanging="512"/>
        <w:spacing w:after="0" w:line="261" w:lineRule="auto"/>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6"/>
          <w:szCs w:val="16"/>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Stephen Kaufer</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ind w:left="10260"/>
        <w:spacing w:after="0"/>
        <w:rPr>
          <w:sz w:val="20"/>
          <w:szCs w:val="20"/>
          <w:color w:val="auto"/>
        </w:rPr>
      </w:pPr>
      <w:r>
        <w:rPr>
          <w:rFonts w:ascii="Arial" w:cs="Arial" w:eastAsia="Arial" w:hAnsi="Arial"/>
          <w:sz w:val="17"/>
          <w:szCs w:val="17"/>
          <w:b w:val="1"/>
          <w:bCs w:val="1"/>
          <w:color w:val="auto"/>
        </w:rPr>
        <w:t>Exhibit 32.2</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jc w:val="center"/>
        <w:ind w:right="20"/>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2022, as filed with the Securities and Exchange Commission on the date hereof (the “Report”), I, Ernst Teunissen, Chief Financial Officer of the Company, certify, pursuant to Section 906 of the Sarbanes-Oxley Act of 2002, 18 U.S.C. Section 1350, that:</w:t>
      </w:r>
    </w:p>
    <w:p>
      <w:pPr>
        <w:spacing w:after="0" w:line="74" w:lineRule="exact"/>
        <w:rPr>
          <w:sz w:val="20"/>
          <w:szCs w:val="20"/>
          <w:color w:val="auto"/>
        </w:rPr>
      </w:pPr>
    </w:p>
    <w:p>
      <w:pPr>
        <w:ind w:left="520" w:hanging="512"/>
        <w:spacing w:after="0" w:line="261"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6"/>
          <w:szCs w:val="16"/>
          <w:color w:val="auto"/>
        </w:rPr>
        <w:t>/s/ ERNST TEUNISSEN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Ernst Teunissen</w:t>
      </w:r>
    </w:p>
    <w:p>
      <w:pPr>
        <w:spacing w:after="0" w:line="171"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1)"/>
      <w:numFmt w:val="decimal"/>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lvl w:ilvl="1">
      <w:lvlJc w:val="left"/>
      <w:lvlText w:val="%2"/>
      <w:numFmt w:val="decimal"/>
      <w:start w:val="104"/>
    </w:lvl>
  </w:abstractNum>
  <w:abstractNum w:abstractNumId="19">
    <w:nsid w:val="70A64E2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0">
    <w:nsid w:val="6A2342EC"/>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21">
    <w:nsid w:val="2A487CB0"/>
    <w:multiLevelType w:val="hybridMultilevel"/>
    <w:lvl w:ilvl="0">
      <w:lvlJc w:val="left"/>
      <w:lvlText w:val="%1"/>
      <w:numFmt w:val="decimal"/>
      <w:start w:val="1"/>
    </w:lvl>
    <w:lvl w:ilvl="1">
      <w:lvlJc w:val="left"/>
      <w:lvlText w:val="(%2)"/>
      <w:numFmt w:val="lowerLetter"/>
      <w:start w:val="4"/>
    </w:lvl>
  </w:abstractNum>
  <w:abstractNum w:abstractNumId="22">
    <w:nsid w:val="1D4ED43B"/>
    <w:multiLevelType w:val="hybridMultilevel"/>
    <w:lvl w:ilvl="0">
      <w:lvlJc w:val="left"/>
      <w:lvlText w:val="%1."/>
      <w:numFmt w:val="decimal"/>
      <w:start w:val="3"/>
    </w:lvl>
    <w:lvl w:ilvl="1">
      <w:lvlJc w:val="left"/>
      <w:lvlText w:val="%2"/>
      <w:numFmt w:val="lowerLetter"/>
      <w:start w:val="1"/>
    </w:lvl>
  </w:abstractNum>
  <w:abstractNum w:abstractNumId="23">
    <w:nsid w:val="725A06FB"/>
    <w:multiLevelType w:val="hybridMultilevel"/>
    <w:lvl w:ilvl="0">
      <w:lvlJc w:val="left"/>
      <w:lvlText w:val="%1."/>
      <w:numFmt w:val="decimal"/>
      <w:start w:val="4"/>
    </w:lvl>
  </w:abstractNum>
  <w:abstractNum w:abstractNumId="24">
    <w:nsid w:val="2CD89A32"/>
    <w:multiLevelType w:val="hybridMultilevel"/>
    <w:lvl w:ilvl="0">
      <w:lvlJc w:val="left"/>
      <w:lvlText w:val="%1."/>
      <w:numFmt w:val="decimal"/>
      <w:start w:val="5"/>
    </w:lvl>
  </w:abstractNum>
  <w:abstractNum w:abstractNumId="25">
    <w:nsid w:val="57E4CCAF"/>
    <w:multiLevelType w:val="hybridMultilevel"/>
    <w:lvl w:ilvl="0">
      <w:lvlJc w:val="left"/>
      <w:lvlText w:val="%1."/>
      <w:numFmt w:val="decimal"/>
      <w:start w:val="6"/>
    </w:lvl>
    <w:lvl w:ilvl="1">
      <w:lvlJc w:val="left"/>
      <w:lvlText w:val="(%2)"/>
      <w:numFmt w:val="lowerLetter"/>
      <w:start w:val="1"/>
    </w:lvl>
  </w:abstractNum>
  <w:abstractNum w:abstractNumId="26">
    <w:nsid w:val="7A6D8D3C"/>
    <w:multiLevelType w:val="hybridMultilevel"/>
    <w:lvl w:ilvl="0">
      <w:lvlJc w:val="left"/>
      <w:lvlText w:val="%1"/>
      <w:numFmt w:val="decimal"/>
      <w:start w:val="1"/>
    </w:lvl>
    <w:lvl w:ilvl="1">
      <w:lvlJc w:val="left"/>
      <w:lvlText w:val="(%2)"/>
      <w:numFmt w:val="lowerLetter"/>
      <w:start w:val="2"/>
    </w:lvl>
  </w:abstractNum>
  <w:abstractNum w:abstractNumId="27">
    <w:nsid w:val="4B588F54"/>
    <w:multiLevelType w:val="hybridMultilevel"/>
    <w:lvl w:ilvl="0">
      <w:lvlJc w:val="left"/>
      <w:lvlText w:val="%1."/>
      <w:numFmt w:val="decimal"/>
      <w:start w:val="7"/>
    </w:lvl>
    <w:lvl w:ilvl="1">
      <w:lvlJc w:val="left"/>
      <w:lvlText w:val="(%2)"/>
      <w:numFmt w:val="lowerLetter"/>
      <w:start w:val="1"/>
    </w:lvl>
  </w:abstractNum>
  <w:abstractNum w:abstractNumId="28">
    <w:nsid w:val="542289EC"/>
    <w:multiLevelType w:val="hybridMultilevel"/>
    <w:lvl w:ilvl="0">
      <w:lvlJc w:val="left"/>
      <w:lvlText w:val="%1"/>
      <w:numFmt w:val="decimal"/>
      <w:start w:val="1"/>
    </w:lvl>
    <w:lvl w:ilvl="1">
      <w:lvlJc w:val="left"/>
      <w:lvlText w:val="(%2)"/>
      <w:numFmt w:val="lowerLetter"/>
      <w:start w:val="4"/>
    </w:lvl>
  </w:abstractNum>
  <w:abstractNum w:abstractNumId="29">
    <w:nsid w:val="6DE91B18"/>
    <w:multiLevelType w:val="hybridMultilevel"/>
    <w:lvl w:ilvl="0">
      <w:lvlJc w:val="left"/>
      <w:lvlText w:val="%1."/>
      <w:numFmt w:val="decimal"/>
      <w:start w:val="8"/>
    </w:lvl>
    <w:lvl w:ilvl="1">
      <w:lvlJc w:val="left"/>
      <w:lvlText w:val="(%2)"/>
      <w:numFmt w:val="lowerLetter"/>
      <w:start w:val="1"/>
    </w:lvl>
  </w:abstractNum>
  <w:abstractNum w:abstractNumId="30">
    <w:nsid w:val="38437FDB"/>
    <w:multiLevelType w:val="hybridMultilevel"/>
    <w:lvl w:ilvl="0">
      <w:lvlJc w:val="left"/>
      <w:lvlText w:val="%1"/>
      <w:numFmt w:val="decimal"/>
      <w:start w:val="1"/>
    </w:lvl>
    <w:lvl w:ilvl="1">
      <w:lvlJc w:val="left"/>
      <w:lvlText w:val="(%2)"/>
      <w:numFmt w:val="lowerLetter"/>
      <w:start w:val="2"/>
    </w:lvl>
  </w:abstractNum>
  <w:abstractNum w:abstractNumId="31">
    <w:nsid w:val="7644A45C"/>
    <w:multiLevelType w:val="hybridMultilevel"/>
    <w:lvl w:ilvl="0">
      <w:lvlJc w:val="left"/>
      <w:lvlText w:val="%1."/>
      <w:numFmt w:val="decimal"/>
      <w:start w:val="9"/>
    </w:lvl>
    <w:lvl w:ilvl="1">
      <w:lvlJc w:val="left"/>
      <w:lvlText w:val="%2"/>
      <w:numFmt w:val="lowerLetter"/>
      <w:start w:val="1"/>
    </w:lvl>
  </w:abstractNum>
  <w:abstractNum w:abstractNumId="32">
    <w:nsid w:val="32FFF902"/>
    <w:multiLevelType w:val="hybridMultilevel"/>
    <w:lvl w:ilvl="0">
      <w:lvlJc w:val="left"/>
      <w:lvlText w:val="(%1)"/>
      <w:numFmt w:val="lowerLetter"/>
      <w:start w:val="1"/>
    </w:lvl>
  </w:abstractNum>
  <w:abstractNum w:abstractNumId="33">
    <w:nsid w:val="684A481A"/>
    <w:multiLevelType w:val="hybridMultilevel"/>
    <w:lvl w:ilvl="0">
      <w:lvlJc w:val="left"/>
      <w:lvlText w:val="(%1)"/>
      <w:numFmt w:val="lowerRoman"/>
      <w:start w:val="1"/>
    </w:lvl>
  </w:abstractNum>
  <w:abstractNum w:abstractNumId="34">
    <w:nsid w:val="579478FE"/>
    <w:multiLevelType w:val="hybridMultilevel"/>
    <w:lvl w:ilvl="0">
      <w:lvlJc w:val="left"/>
      <w:lvlText w:val="(%1)"/>
      <w:numFmt w:val="lowerLetter"/>
      <w:start w:val="1"/>
    </w:lvl>
  </w:abstractNum>
  <w:abstractNum w:abstractNumId="35">
    <w:nsid w:val="749ABB43"/>
    <w:multiLevelType w:val="hybridMultilevel"/>
    <w:lvl w:ilvl="0">
      <w:lvlJc w:val="left"/>
      <w:lvlText w:val="(%1)"/>
      <w:numFmt w:val="lowerLetter"/>
      <w:start w:val="1"/>
    </w:lvl>
  </w:abstractNum>
  <w:abstractNum w:abstractNumId="36">
    <w:nsid w:val="3DC240FB"/>
    <w:multiLevelType w:val="hybridMultilevel"/>
    <w:lvl w:ilvl="0">
      <w:lvlJc w:val="left"/>
      <w:lvlText w:val="(%1)"/>
      <w:numFmt w:val="lowerLetter"/>
      <w:start w:val="1"/>
    </w:lvl>
  </w:abstractNum>
  <w:abstractNum w:abstractNumId="37">
    <w:nsid w:val="1BA026FA"/>
    <w:multiLevelType w:val="hybridMultilevel"/>
    <w:lvl w:ilvl="0">
      <w:lvlJc w:val="left"/>
      <w:lvlText w:val="(%1)"/>
      <w:numFmt w:val="lowerLetter"/>
      <w:start w:val="3"/>
    </w:lvl>
  </w:abstractNum>
  <w:abstractNum w:abstractNumId="38">
    <w:nsid w:val="79A1DEAA"/>
    <w:multiLevelType w:val="hybridMultilevel"/>
    <w:lvl w:ilvl="0">
      <w:lvlJc w:val="left"/>
      <w:lvlText w:val="(%1)"/>
      <w:numFmt w:val="lowerLetter"/>
      <w:start w:val="1"/>
    </w:lvl>
  </w:abstractNum>
  <w:abstractNum w:abstractNumId="39">
    <w:nsid w:val="75C6C33A"/>
    <w:multiLevelType w:val="hybridMultilevel"/>
    <w:lvl w:ilvl="0">
      <w:lvlJc w:val="left"/>
      <w:lvlText w:val="%1."/>
      <w:numFmt w:val="decimal"/>
      <w:start w:val="1"/>
    </w:lvl>
    <w:lvl w:ilvl="1">
      <w:lvlJc w:val="left"/>
      <w:lvlText w:val="(%2)"/>
      <w:numFmt w:val="lowerLetter"/>
      <w:start w:val="1"/>
    </w:lvl>
  </w:abstractNum>
  <w:abstractNum w:abstractNumId="40">
    <w:nsid w:val="12E685FB"/>
    <w:multiLevelType w:val="hybridMultilevel"/>
    <w:lvl w:ilvl="0">
      <w:lvlJc w:val="left"/>
      <w:lvlText w:val="%1."/>
      <w:numFmt w:val="decimal"/>
      <w:start w:val="3"/>
    </w:lvl>
    <w:lvl w:ilvl="1">
      <w:lvlJc w:val="left"/>
      <w:lvlText w:val="(%2)"/>
      <w:numFmt w:val="lowerLetter"/>
      <w:start w:val="1"/>
    </w:lvl>
  </w:abstractNum>
  <w:abstractNum w:abstractNumId="41">
    <w:nsid w:val="70C6A529"/>
    <w:multiLevelType w:val="hybridMultilevel"/>
    <w:lvl w:ilvl="0">
      <w:lvlJc w:val="left"/>
      <w:lvlText w:val="%1"/>
      <w:numFmt w:val="decimal"/>
      <w:start w:val="1"/>
    </w:lvl>
    <w:lvl w:ilvl="1">
      <w:lvlJc w:val="left"/>
      <w:lvlText w:val="(%2)"/>
      <w:numFmt w:val="lowerLetter"/>
      <w:start w:val="3"/>
    </w:lvl>
  </w:abstractNum>
  <w:abstractNum w:abstractNumId="42">
    <w:nsid w:val="520EEDD1"/>
    <w:multiLevelType w:val="hybridMultilevel"/>
    <w:lvl w:ilvl="0">
      <w:lvlJc w:val="left"/>
      <w:lvlText w:val="%1."/>
      <w:numFmt w:val="decimal"/>
      <w:start w:val="4"/>
    </w:lvl>
    <w:lvl w:ilvl="1">
      <w:lvlJc w:val="left"/>
      <w:lvlText w:val="(%2)"/>
      <w:numFmt w:val="lowerLetter"/>
      <w:start w:val="1"/>
    </w:lvl>
  </w:abstractNum>
  <w:abstractNum w:abstractNumId="43">
    <w:nsid w:val="374A3FE6"/>
    <w:multiLevelType w:val="hybridMultilevel"/>
    <w:lvl w:ilvl="0">
      <w:lvlJc w:val="left"/>
      <w:lvlText w:val="%1."/>
      <w:numFmt w:val="decimal"/>
      <w:start w:val="6"/>
    </w:lvl>
  </w:abstractNum>
  <w:abstractNum w:abstractNumId="44">
    <w:nsid w:val="4F4EF005"/>
    <w:multiLevelType w:val="hybridMultilevel"/>
    <w:lvl w:ilvl="0">
      <w:lvlJc w:val="left"/>
      <w:lvlText w:val="%1."/>
      <w:numFmt w:val="decimal"/>
      <w:start w:val="7"/>
    </w:lvl>
    <w:lvl w:ilvl="1">
      <w:lvlJc w:val="left"/>
      <w:lvlText w:val="(%2)"/>
      <w:numFmt w:val="lowerLetter"/>
      <w:start w:val="1"/>
    </w:lvl>
  </w:abstractNum>
  <w:abstractNum w:abstractNumId="45">
    <w:nsid w:val="23F9C13C"/>
    <w:multiLevelType w:val="hybridMultilevel"/>
    <w:lvl w:ilvl="0">
      <w:lvlJc w:val="left"/>
      <w:lvlText w:val="(%1)"/>
      <w:numFmt w:val="lowerLetter"/>
      <w:start w:val="1"/>
    </w:lvl>
  </w:abstractNum>
  <w:abstractNum w:abstractNumId="46">
    <w:nsid w:val="649BB77C"/>
    <w:multiLevelType w:val="hybridMultilevel"/>
    <w:lvl w:ilvl="0">
      <w:lvlJc w:val="left"/>
      <w:lvlText w:val="%1"/>
      <w:numFmt w:val="decimal"/>
      <w:start w:val="1"/>
    </w:lvl>
    <w:lvl w:ilvl="1">
      <w:lvlJc w:val="left"/>
      <w:lvlText w:val="(%2)"/>
      <w:numFmt w:val="lowerLetter"/>
      <w:start w:val="1"/>
    </w:lvl>
  </w:abstractNum>
  <w:abstractNum w:abstractNumId="47">
    <w:nsid w:val="275AC794"/>
    <w:multiLevelType w:val="hybridMultilevel"/>
    <w:lvl w:ilvl="0">
      <w:lvlJc w:val="left"/>
      <w:lvlText w:val="%1."/>
      <w:numFmt w:val="decimal"/>
      <w:start w:val="10"/>
    </w:lvl>
    <w:lvl w:ilvl="1">
      <w:lvlJc w:val="left"/>
      <w:lvlText w:val="(%2)"/>
      <w:numFmt w:val="lowerLetter"/>
      <w:start w:val="1"/>
    </w:lvl>
  </w:abstractNum>
  <w:abstractNum w:abstractNumId="48">
    <w:nsid w:val="39386575"/>
    <w:multiLevelType w:val="hybridMultilevel"/>
    <w:lvl w:ilvl="0">
      <w:lvlJc w:val="left"/>
      <w:lvlText w:val="(%1)"/>
      <w:numFmt w:val="lowerLetter"/>
      <w:start w:val="1"/>
    </w:lvl>
  </w:abstractNum>
  <w:abstractNum w:abstractNumId="49">
    <w:nsid w:val="1CF10FD8"/>
    <w:multiLevelType w:val="hybridMultilevel"/>
    <w:lvl w:ilvl="0">
      <w:lvlJc w:val="left"/>
      <w:lvlText w:val="%1"/>
      <w:numFmt w:val="decimal"/>
      <w:start w:val="1"/>
    </w:lvl>
    <w:lvl w:ilvl="1">
      <w:lvlJc w:val="left"/>
      <w:lvlText w:val="(%2)"/>
      <w:numFmt w:val="lowerLetter"/>
      <w:start w:val="6"/>
    </w:lvl>
  </w:abstractNum>
  <w:abstractNum w:abstractNumId="50">
    <w:nsid w:val="180115BE"/>
    <w:multiLevelType w:val="hybridMultilevel"/>
    <w:lvl w:ilvl="0">
      <w:lvlJc w:val="left"/>
      <w:lvlText w:val="%1."/>
      <w:numFmt w:val="decimal"/>
      <w:start w:val="11"/>
    </w:lvl>
    <w:lvl w:ilvl="1">
      <w:lvlJc w:val="left"/>
      <w:lvlText w:val="%2"/>
      <w:numFmt w:val="lowerLetter"/>
      <w:start w:val="1"/>
    </w:lvl>
  </w:abstractNum>
  <w:abstractNum w:abstractNumId="51">
    <w:nsid w:val="235BA861"/>
    <w:multiLevelType w:val="hybridMultilevel"/>
    <w:lvl w:ilvl="0">
      <w:lvlJc w:val="left"/>
      <w:lvlText w:val="%1."/>
      <w:numFmt w:val="decimal"/>
      <w:start w:val="12"/>
    </w:lvl>
  </w:abstractNum>
  <w:abstractNum w:abstractNumId="52">
    <w:nsid w:val="47398C89"/>
    <w:multiLevelType w:val="hybridMultilevel"/>
    <w:lvl w:ilvl="0">
      <w:lvlJc w:val="left"/>
      <w:lvlText w:val="%1."/>
      <w:numFmt w:val="decimal"/>
      <w:start w:val="13"/>
    </w:lvl>
  </w:abstractNum>
  <w:abstractNum w:abstractNumId="53">
    <w:nsid w:val="354FE9F9"/>
    <w:multiLevelType w:val="hybridMultilevel"/>
    <w:lvl w:ilvl="0">
      <w:lvlJc w:val="left"/>
      <w:lvlText w:val="%1."/>
      <w:numFmt w:val="decimal"/>
      <w:start w:val="14"/>
    </w:lvl>
    <w:lvl w:ilvl="1">
      <w:lvlJc w:val="left"/>
      <w:lvlText w:val="(%2)"/>
      <w:numFmt w:val="lowerLetter"/>
      <w:start w:val="1"/>
    </w:lvl>
  </w:abstractNum>
  <w:abstractNum w:abstractNumId="54">
    <w:nsid w:val="15B5AF5C"/>
    <w:multiLevelType w:val="hybridMultilevel"/>
    <w:lvl w:ilvl="0">
      <w:lvlJc w:val="left"/>
      <w:lvlText w:val="%1"/>
      <w:numFmt w:val="decimal"/>
      <w:start w:val="1"/>
    </w:lvl>
    <w:lvl w:ilvl="1">
      <w:lvlJc w:val="left"/>
      <w:lvlText w:val="(%2)"/>
      <w:numFmt w:val="lowerLetter"/>
      <w:start w:val="2"/>
    </w:lvl>
  </w:abstractNum>
  <w:abstractNum w:abstractNumId="55">
    <w:nsid w:val="741226BB"/>
    <w:multiLevelType w:val="hybridMultilevel"/>
    <w:lvl w:ilvl="0">
      <w:lvlJc w:val="left"/>
      <w:lvlText w:val="%1."/>
      <w:numFmt w:val="decimal"/>
      <w:start w:val="15"/>
    </w:lvl>
    <w:lvl w:ilvl="1">
      <w:lvlJc w:val="left"/>
      <w:lvlText w:val="(%2)"/>
      <w:numFmt w:val="lowerLetter"/>
      <w:start w:val="1"/>
    </w:lvl>
  </w:abstractNum>
  <w:abstractNum w:abstractNumId="56">
    <w:nsid w:val="D34B6A8"/>
    <w:multiLevelType w:val="hybridMultilevel"/>
    <w:lvl w:ilvl="0">
      <w:lvlJc w:val="left"/>
      <w:lvlText w:val="(%1)"/>
      <w:numFmt w:val="lowerLetter"/>
      <w:start w:val="1"/>
    </w:lvl>
  </w:abstractNum>
  <w:abstractNum w:abstractNumId="57">
    <w:nsid w:val="10233C99"/>
    <w:multiLevelType w:val="hybridMultilevel"/>
    <w:lvl w:ilvl="0">
      <w:lvlJc w:val="left"/>
      <w:lvlText w:val="%1."/>
      <w:numFmt w:val="decimal"/>
      <w:start w:val="17"/>
    </w:lvl>
  </w:abstractNum>
  <w:abstractNum w:abstractNumId="58">
    <w:nsid w:val="3F6AB60F"/>
    <w:multiLevelType w:val="hybridMultilevel"/>
    <w:lvl w:ilvl="0">
      <w:lvlJc w:val="left"/>
      <w:lvlText w:val="%1."/>
      <w:numFmt w:val="decimal"/>
      <w:start w:val="18"/>
    </w:lvl>
  </w:abstractNum>
  <w:abstractNum w:abstractNumId="59">
    <w:nsid w:val="61574095"/>
    <w:multiLevelType w:val="hybridMultilevel"/>
    <w:lvl w:ilvl="0">
      <w:lvlJc w:val="left"/>
      <w:lvlText w:val="%1."/>
      <w:numFmt w:val="decimal"/>
      <w:start w:val="19"/>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2022-05-04T15:28:10Z</dcterms:created>
  <dcterms:modified xsi:type="dcterms:W3CDTF">2022-05-04T15:28:10Z</dcterms:modified>
</cp:coreProperties>
</file>