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60" w:space="720"/>
            <w:col w:w="2560"/>
          </w:cols>
          <w:pgMar w:left="240" w:top="341" w:right="21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8020" w:space="720"/>
            <w:col w:w="2700"/>
          </w:cols>
          <w:pgMar w:left="240" w:top="341"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p>
      <w:pPr>
        <w:spacing w:after="0" w:line="391"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0"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Arial" w:cs="Arial" w:eastAsia="Arial" w:hAnsi="Arial"/>
                <w:sz w:val="18"/>
                <w:szCs w:val="18"/>
                <w:color w:val="auto"/>
                <w:w w:val="94"/>
              </w:rPr>
              <w:t>Large accelerated filer</w:t>
            </w:r>
          </w:p>
        </w:tc>
        <w:tc>
          <w:tcPr>
            <w:tcW w:w="6260" w:type="dxa"/>
            <w:vAlign w:val="bottom"/>
            <w:gridSpan w:val="3"/>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6260" w:type="dxa"/>
            <w:vAlign w:val="bottom"/>
            <w:gridSpan w:val="3"/>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6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8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Borders>
              <w:bottom w:val="single" w:sz="8" w:color="auto"/>
            </w:tcBorders>
          </w:tcPr>
          <w:p>
            <w:pPr>
              <w:spacing w:after="0"/>
              <w:rPr>
                <w:sz w:val="22"/>
                <w:szCs w:val="22"/>
                <w:color w:val="auto"/>
              </w:rPr>
            </w:pPr>
          </w:p>
        </w:tc>
        <w:tc>
          <w:tcPr>
            <w:tcW w:w="5540" w:type="dxa"/>
            <w:vAlign w:val="bottom"/>
            <w:tcBorders>
              <w:bottom w:val="single" w:sz="8" w:color="auto"/>
            </w:tcBorders>
          </w:tcPr>
          <w:p>
            <w:pPr>
              <w:jc w:val="center"/>
              <w:ind w:right="1614"/>
              <w:spacing w:after="0"/>
              <w:rPr>
                <w:sz w:val="20"/>
                <w:szCs w:val="20"/>
                <w:color w:val="auto"/>
              </w:rPr>
            </w:pPr>
            <w:r>
              <w:rPr>
                <w:rFonts w:ascii="Arial" w:cs="Arial" w:eastAsia="Arial" w:hAnsi="Arial"/>
                <w:sz w:val="14"/>
                <w:szCs w:val="14"/>
                <w:color w:val="auto"/>
                <w:w w:val="91"/>
              </w:rPr>
              <w:t>Class</w:t>
            </w:r>
          </w:p>
        </w:tc>
        <w:tc>
          <w:tcPr>
            <w:tcW w:w="720" w:type="dxa"/>
            <w:vAlign w:val="bottom"/>
            <w:gridSpan w:val="2"/>
          </w:tcPr>
          <w:p>
            <w:pPr>
              <w:spacing w:after="0"/>
              <w:rPr>
                <w:sz w:val="22"/>
                <w:szCs w:val="22"/>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1"/>
              </w:rPr>
              <w:t>Outstanding Shares at May 3, 2016</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40" w:type="dxa"/>
            <w:vAlign w:val="bottom"/>
            <w:gridSpan w:val="2"/>
            <w:vMerge w:val="restart"/>
          </w:tcPr>
          <w:p>
            <w:pPr>
              <w:jc w:val="center"/>
              <w:ind w:right="1800"/>
              <w:spacing w:after="0"/>
              <w:rPr>
                <w:sz w:val="20"/>
                <w:szCs w:val="20"/>
                <w:color w:val="auto"/>
              </w:rPr>
            </w:pPr>
            <w:r>
              <w:rPr>
                <w:rFonts w:ascii="Arial" w:cs="Arial" w:eastAsia="Arial" w:hAnsi="Arial"/>
                <w:sz w:val="18"/>
                <w:szCs w:val="18"/>
                <w:color w:val="auto"/>
                <w:w w:val="89"/>
              </w:rPr>
              <w:t>Common Stock, $0.001 par value per share</w:t>
            </w:r>
          </w:p>
        </w:tc>
        <w:tc>
          <w:tcPr>
            <w:tcW w:w="6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00" w:type="dxa"/>
            <w:vAlign w:val="bottom"/>
          </w:tcPr>
          <w:p>
            <w:pPr>
              <w:spacing w:after="0"/>
              <w:rPr>
                <w:sz w:val="15"/>
                <w:szCs w:val="15"/>
                <w:color w:val="auto"/>
              </w:rPr>
            </w:pPr>
          </w:p>
        </w:tc>
        <w:tc>
          <w:tcPr>
            <w:tcW w:w="56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2820" w:type="dxa"/>
            <w:vAlign w:val="bottom"/>
          </w:tcPr>
          <w:p>
            <w:pPr>
              <w:jc w:val="center"/>
              <w:spacing w:after="0" w:line="182" w:lineRule="exact"/>
              <w:rPr>
                <w:sz w:val="20"/>
                <w:szCs w:val="20"/>
                <w:color w:val="auto"/>
              </w:rPr>
            </w:pPr>
            <w:r>
              <w:rPr>
                <w:rFonts w:ascii="Arial" w:cs="Arial" w:eastAsia="Arial" w:hAnsi="Arial"/>
                <w:sz w:val="18"/>
                <w:szCs w:val="18"/>
                <w:color w:val="auto"/>
                <w:w w:val="87"/>
              </w:rPr>
              <w:t>132,906,172 shares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6260" w:type="dxa"/>
            <w:vAlign w:val="bottom"/>
            <w:gridSpan w:val="3"/>
          </w:tcPr>
          <w:p>
            <w:pPr>
              <w:jc w:val="center"/>
              <w:ind w:right="2420"/>
              <w:spacing w:after="0"/>
              <w:rPr>
                <w:sz w:val="20"/>
                <w:szCs w:val="20"/>
                <w:color w:val="auto"/>
              </w:rPr>
            </w:pPr>
            <w:r>
              <w:rPr>
                <w:rFonts w:ascii="Arial" w:cs="Arial" w:eastAsia="Arial" w:hAnsi="Arial"/>
                <w:sz w:val="18"/>
                <w:szCs w:val="18"/>
                <w:color w:val="auto"/>
                <w:w w:val="89"/>
              </w:rPr>
              <w:t>Class B common stock, $0.001 par value per share</w:t>
            </w: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12,799,999 shares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auto"/>
            </w:tcBorders>
          </w:tcPr>
          <w:p>
            <w:pPr>
              <w:spacing w:after="0"/>
              <w:rPr>
                <w:sz w:val="9"/>
                <w:szCs w:val="9"/>
                <w:color w:val="auto"/>
              </w:rPr>
            </w:pPr>
          </w:p>
        </w:tc>
        <w:tc>
          <w:tcPr>
            <w:tcW w:w="5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17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40" w:type="dxa"/>
            <w:vAlign w:val="bottom"/>
            <w:gridSpan w:val="19"/>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40" w:type="dxa"/>
            <w:vAlign w:val="bottom"/>
            <w:gridSpan w:val="19"/>
          </w:tcPr>
          <w:p>
            <w:pPr>
              <w:spacing w:after="0"/>
              <w:rPr>
                <w:sz w:val="20"/>
                <w:szCs w:val="20"/>
                <w:color w:val="auto"/>
              </w:rPr>
            </w:pPr>
            <w:r>
              <w:rPr>
                <w:rFonts w:ascii="Arial" w:cs="Arial" w:eastAsia="Arial" w:hAnsi="Arial"/>
                <w:sz w:val="18"/>
                <w:szCs w:val="18"/>
                <w:color w:val="auto"/>
              </w:rPr>
              <w:t>Item 1. Unaudited Condensed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 Months Ended March 31, 2016 and 2015</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3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Comprehensive Income for the Three Months Ended March 31, 2016 and 2015</w:t>
              </w:r>
            </w:hyperlink>
          </w:p>
        </w:tc>
        <w:tc>
          <w:tcPr>
            <w:tcW w:w="1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March 31, 2016 and December 31, 2015</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2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 of Changes in Stockholders’ Equity for the Three Months Ended March 31, 2016</w:t>
              </w:r>
            </w:hyperlink>
          </w:p>
        </w:tc>
        <w:tc>
          <w:tcPr>
            <w:tcW w:w="13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Three Months Ended March 31, 2016 and 2015</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3700" w:type="dxa"/>
            <w:vAlign w:val="bottom"/>
            <w:tcBorders>
              <w:top w:val="single" w:sz="8" w:color="0000EE"/>
            </w:tcBorders>
            <w:gridSpan w:val="4"/>
          </w:tcPr>
          <w:p>
            <w:pPr>
              <w:spacing w:after="0"/>
              <w:rPr>
                <w:sz w:val="17"/>
                <w:szCs w:val="17"/>
                <w:color w:val="auto"/>
              </w:rPr>
            </w:pPr>
          </w:p>
        </w:tc>
        <w:tc>
          <w:tcPr>
            <w:tcW w:w="21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4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4. Controls and Procedures</w:t>
              </w:r>
            </w:hyperlink>
          </w:p>
        </w:tc>
        <w:tc>
          <w:tcPr>
            <w:tcW w:w="8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Part II—Other Information</w:t>
              </w:r>
            </w:hyperlink>
          </w:p>
        </w:tc>
        <w:tc>
          <w:tcPr>
            <w:tcW w:w="88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91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94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2. Unregistered Sales of Equity Securities and Use of Proceeds</w:t>
              </w:r>
            </w:hyperlink>
          </w:p>
        </w:tc>
        <w:tc>
          <w:tcPr>
            <w:tcW w:w="61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Item 5. Other Information</w:t>
              </w:r>
            </w:hyperlink>
          </w:p>
        </w:tc>
        <w:tc>
          <w:tcPr>
            <w:tcW w:w="91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98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6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000" w:type="dxa"/>
            <w:vAlign w:val="bottom"/>
          </w:tcPr>
          <w:p>
            <w:pPr>
              <w:spacing w:after="0"/>
              <w:rPr>
                <w:sz w:val="4"/>
                <w:szCs w:val="4"/>
                <w:color w:val="auto"/>
              </w:rPr>
            </w:pPr>
          </w:p>
        </w:tc>
        <w:tc>
          <w:tcPr>
            <w:tcW w:w="192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(1)</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Selling and marketing (2)</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 (2)</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General and administrative (2)</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8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Total other expense, net</w:t>
            </w: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common stockholders (Note 11):</w:t>
            </w: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FF0FC"/>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2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9"/>
                <w:szCs w:val="19"/>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11):</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00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technology included in amortization of intangible assets</w:t>
            </w:r>
          </w:p>
        </w:tc>
        <w:tc>
          <w:tcPr>
            <w:tcW w:w="1920" w:type="dxa"/>
            <w:vAlign w:val="bottom"/>
            <w:gridSpan w:val="2"/>
            <w:shd w:val="clear" w:color="auto" w:fill="CFF0FC"/>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8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192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w:t>
            </w:r>
          </w:p>
        </w:tc>
        <w:tc>
          <w:tcPr>
            <w:tcW w:w="1920" w:type="dxa"/>
            <w:vAlign w:val="bottom"/>
            <w:gridSpan w:val="2"/>
            <w:shd w:val="clear" w:color="auto" w:fill="CFF0FC"/>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8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4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r>
      <w:tr>
        <w:trPr>
          <w:trHeight w:val="223"/>
        </w:trPr>
        <w:tc>
          <w:tcPr>
            <w:tcW w:w="8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5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practice and intention to indefinitely reinvest the earnings of our foreign subsidiaries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16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4)</w:t>
            </w:r>
          </w:p>
        </w:tc>
        <w:tc>
          <w:tcPr>
            <w:tcW w:w="2160" w:type="dxa"/>
            <w:vAlign w:val="bottom"/>
            <w:gridSpan w:val="2"/>
            <w:shd w:val="clear" w:color="auto" w:fill="CFF0FC"/>
          </w:tcPr>
          <w:p>
            <w:pPr>
              <w:jc w:val="right"/>
              <w:ind w:right="885"/>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Short-term marketable securities (Note 4)</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for doubtful accounts of $6 and $6, respectively</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Long-term marketable securities (Note 4)</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$104 and $88, respectively</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$61 and $52, respectively</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Other long-term assets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12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2,214</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2,128</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2160" w:type="dxa"/>
            <w:vAlign w:val="bottom"/>
            <w:gridSpan w:val="2"/>
            <w:shd w:val="clear" w:color="auto" w:fill="CFF0FC"/>
          </w:tcPr>
          <w:p>
            <w:pPr>
              <w:jc w:val="right"/>
              <w:ind w:right="885"/>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Deferred merchant payables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Current portion of debt (Note 5)</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Taxes payable</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 (Note 8)</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Long-term debt (Note 5)</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9)</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color w:val="auto"/>
              </w:rPr>
              <w:t>Stockholders’ equity:</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Shares issued: 134,295,396 and 133,836,242, respectively</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132,878,188 and 132,443,111, respectively</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853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Treasury stock-common stock, at cost, 1,417,208 and 1,393,131 shares, respectively</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1,464</w:t>
            </w: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1,412</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120" w:type="dxa"/>
            <w:vAlign w:val="bottom"/>
          </w:tcPr>
          <w:p>
            <w:pPr>
              <w:spacing w:after="0"/>
              <w:rPr>
                <w:sz w:val="17"/>
                <w:szCs w:val="17"/>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2,214</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ind w:lef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Class B</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3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comprehensive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Treasury Stock</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133,836,242</w:t>
            </w:r>
          </w:p>
        </w:tc>
        <w:tc>
          <w:tcPr>
            <w:tcW w:w="5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741</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826</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9"/>
              </w:rPr>
              <w:t>(1,393,131)</w:t>
            </w:r>
          </w:p>
        </w:tc>
        <w:tc>
          <w:tcPr>
            <w:tcW w:w="3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income</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stock related to</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w w:val="95"/>
              </w:rPr>
              <w:t>exercises of options and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vesting of RSUs</w:t>
            </w:r>
          </w:p>
        </w:tc>
        <w:tc>
          <w:tcPr>
            <w:tcW w:w="1020" w:type="dxa"/>
            <w:vAlign w:val="bottom"/>
          </w:tcPr>
          <w:p>
            <w:pPr>
              <w:jc w:val="right"/>
              <w:spacing w:after="0"/>
              <w:rPr>
                <w:sz w:val="20"/>
                <w:szCs w:val="20"/>
                <w:color w:val="auto"/>
              </w:rPr>
            </w:pPr>
            <w:r>
              <w:rPr>
                <w:rFonts w:ascii="Arial" w:cs="Arial" w:eastAsia="Arial" w:hAnsi="Arial"/>
                <w:sz w:val="18"/>
                <w:szCs w:val="18"/>
                <w:color w:val="auto"/>
              </w:rPr>
              <w:t>459,154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w w:val="96"/>
              </w:rPr>
              <w:t>Repurchase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(24,077)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Tax benefits on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awards, net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Minimum withholding</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taxes on net share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settlements of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Balance as of March</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31, 2016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134,295,396</w:t>
            </w:r>
          </w:p>
        </w:tc>
        <w:tc>
          <w:tcPr>
            <w:tcW w:w="5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180" w:type="dxa"/>
            <w:vAlign w:val="bottom"/>
          </w:tcPr>
          <w:p>
            <w:pPr>
              <w:spacing w:after="0"/>
              <w:rPr>
                <w:sz w:val="20"/>
                <w:szCs w:val="20"/>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(1,417,208)</w:t>
            </w:r>
          </w:p>
        </w:tc>
        <w:tc>
          <w:tcPr>
            <w:tcW w:w="38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6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expense</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9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w:t>
            </w: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merchant payables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Income taxes, net</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Acquisitions, net of cash acquired</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Sales of marketable securities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 common stock</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term loan</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Payments to revolving credit facility</w:t>
            </w:r>
          </w:p>
        </w:tc>
        <w:tc>
          <w:tcPr>
            <w:tcW w:w="9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9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financing activities, net</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Capitalization of construction in-process related to build to suit lease obligation</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incurred but not yet paid primarily related to build to suit lease</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40" w:firstLine="552"/>
        <w:spacing w:after="0" w:line="257" w:lineRule="auto"/>
        <w:rPr>
          <w:sz w:val="20"/>
          <w:szCs w:val="20"/>
          <w:color w:val="auto"/>
        </w:rPr>
      </w:pPr>
      <w:r>
        <w:rPr>
          <w:rFonts w:ascii="Arial" w:cs="Arial" w:eastAsia="Arial" w:hAnsi="Arial"/>
          <w:sz w:val="18"/>
          <w:szCs w:val="18"/>
          <w:color w:val="auto"/>
        </w:rPr>
        <w:t>TripAdvisor is an online travel company, empowering users to plan and book the perfect trip. TripAdvisor’s travel research platform aggregates reviews and opinions of members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flights, cruises, vacation rentals, activities and attractions, and restaurant reservations.</w:t>
      </w:r>
    </w:p>
    <w:p>
      <w:pPr>
        <w:spacing w:after="0" w:line="188" w:lineRule="exact"/>
        <w:rPr>
          <w:sz w:val="20"/>
          <w:szCs w:val="20"/>
          <w:color w:val="auto"/>
        </w:rPr>
      </w:pPr>
    </w:p>
    <w:p>
      <w:pPr>
        <w:ind w:right="20" w:firstLine="548"/>
        <w:spacing w:after="0" w:line="254" w:lineRule="auto"/>
        <w:rPr>
          <w:sz w:val="20"/>
          <w:szCs w:val="20"/>
          <w:color w:val="auto"/>
        </w:rPr>
      </w:pPr>
      <w:r>
        <w:rPr>
          <w:rFonts w:ascii="Arial" w:cs="Arial" w:eastAsia="Arial" w:hAnsi="Arial"/>
          <w:sz w:val="18"/>
          <w:szCs w:val="18"/>
          <w:color w:val="auto"/>
        </w:rPr>
        <w:t>Our flagship brand is TripAdvisor. TripAdvisor-branded websites include tripadvisor.com in the United States and localized versions of the website in 47 markets worldwide. In addition to the flagship TripAdvisor brand, we manage and operate 23 other media brands, connected by the common goal of providing comprehensive travel planning resources across the travel sector, which include: www.airfarewatchdog.com, www.bookingbuddy.com, www.cruisecritic.com, www.everytrail.com, www.familyvacationcritic.com, www.flipkey.com, www.gateguru.com, www.holidaylettings.co.uk, www.holidaywatchdog.com, www.independenttraveler.com, www.jetsetter.com, www.thefork.com (including www.lafourchette.com, www.eltenedor.com, www.iens.nl, www.besttables.com, and www.dimmi.com.au), www.niumba.com, www.onetime.com, www.oyster.com, www.seatguru.com, www.smartertravel.com, www.tingo.com, www.travelpod.com, www.tripbod.com, www.vacationhomerentals.com, www.viator.com, and www.virtualtourist.com.</w:t>
      </w:r>
    </w:p>
    <w:p>
      <w:pPr>
        <w:spacing w:after="0" w:line="192" w:lineRule="exact"/>
        <w:rPr>
          <w:sz w:val="20"/>
          <w:szCs w:val="20"/>
          <w:color w:val="auto"/>
        </w:rPr>
      </w:pPr>
    </w:p>
    <w:p>
      <w:pPr>
        <w:ind w:right="100" w:firstLine="548"/>
        <w:spacing w:after="0" w:line="297" w:lineRule="auto"/>
        <w:rPr>
          <w:sz w:val="20"/>
          <w:szCs w:val="20"/>
          <w:color w:val="auto"/>
        </w:rPr>
      </w:pPr>
      <w:r>
        <w:rPr>
          <w:rFonts w:ascii="Arial" w:cs="Arial" w:eastAsia="Arial" w:hAnsi="Arial"/>
          <w:sz w:val="16"/>
          <w:szCs w:val="16"/>
          <w:color w:val="auto"/>
        </w:rPr>
        <w:t xml:space="preserve">We have two reportable segments: Hotel and Non-Hotel. In the first quarter of 2016, we renamed our “Other” reportable segment “Non-Hotel.” This change had no effect on our consolidated financial statements or to previously reported segment information, as there was no change in the composition of our operating or reportable segments. Our operating segments are determined based on how our chief operating decision maker manages our business, regularly assesses information and evaluates performance for operating decision-making purposes, including allocation of resources. For further information on our reportable segments see “Note 10 </w:t>
      </w:r>
      <w:r>
        <w:rPr>
          <w:rFonts w:ascii="Arial" w:cs="Arial" w:eastAsia="Arial" w:hAnsi="Arial"/>
          <w:sz w:val="16"/>
          <w:szCs w:val="16"/>
          <w:i w:val="1"/>
          <w:iCs w:val="1"/>
          <w:color w:val="auto"/>
        </w:rPr>
        <w:t>— Segment Information</w:t>
      </w:r>
      <w:r>
        <w:rPr>
          <w:rFonts w:ascii="Arial" w:cs="Arial" w:eastAsia="Arial" w:hAnsi="Arial"/>
          <w:sz w:val="16"/>
          <w:szCs w:val="16"/>
          <w:color w:val="auto"/>
        </w:rPr>
        <w:t>,” in these notes to our unaudited condensed consolidated financial statements.</w:t>
      </w:r>
    </w:p>
    <w:p>
      <w:pPr>
        <w:spacing w:after="0" w:line="158" w:lineRule="exact"/>
        <w:rPr>
          <w:sz w:val="20"/>
          <w:szCs w:val="20"/>
          <w:color w:val="auto"/>
        </w:rPr>
      </w:pPr>
    </w:p>
    <w:p>
      <w:pPr>
        <w:ind w:right="280" w:firstLine="548"/>
        <w:spacing w:after="0" w:line="297" w:lineRule="auto"/>
        <w:rPr>
          <w:sz w:val="20"/>
          <w:szCs w:val="20"/>
          <w:color w:val="auto"/>
        </w:rPr>
      </w:pPr>
      <w:r>
        <w:rPr>
          <w:rFonts w:ascii="Arial" w:cs="Arial" w:eastAsia="Arial" w:hAnsi="Arial"/>
          <w:sz w:val="16"/>
          <w:szCs w:val="16"/>
          <w:color w:val="auto"/>
        </w:rPr>
        <w:t>We derive the substantial portion of our revenue from our Hotel segment, through the sale of advertising, primarily through click-based advertising and commission-based transactions via our instant booking feature and, to a lesser extent, display-based advertising, subscription-based hotel advertising, room reservations sold through our websites, and from content licensing. Our Non-Hotel segment consists of our Vacation Rentals, Restaurants and Attractions businesses. We derive revenue from our Non-Hotel segment from subscription and commission-based transaction offerings from our Vacation Rental business; destination activities primarily sold through Viator; and online restaurant reservations booked primarily through thefork.com.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present our results of operations, financial position and cash flows on a consolidated basis. The accompanying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accounting principles generally accepted in the United States (“GAAP”). In the opinion of management, all adjustments necessary for a fair presentation of the results of the interim period have been included. These adjustments consist of normal recurring items. We prepared the unaudited condensed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condensed consolidated financial statements are not necessarily indicative of results that may be expected for any other interim period or for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full year. These interim unaudited condensed consolidated financial statements should be read in conjunction with the audited consolidated financial statements and related notes included in our Annual Report on Form 10-K for the year ended December 31, 2015, previously filed with the SEC. The condensed consolidated balance sheet as of December 31, 2015 included herein was derived from the audited consolidated financial statements as of that date, but does not include all disclosures including notes required by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intangible and other long-lived assets; (ii) accounting for income taxes; and (iii) stock-based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March 2016, the Financial Accounting Standards Board (“FASB”) issued new accounting guidance on stock compensation which changes how companies account for certain aspects of share-based payment awards to employees, including the accounting for income taxes, forfeitures, and statutory tax withholding requirements, as well as classification in the statement of cash flows. This guidance is effective for fiscal years, and interim periods within those fiscal years, beginning after December 15, 2016, with early adoption permitted. We are currently evaluating the effect that the updated standard will have on our consolidated financial statements and related disclosures.</w:t>
      </w:r>
    </w:p>
    <w:p>
      <w:pPr>
        <w:spacing w:after="0" w:line="8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The new guidance will continue to classify leases as either finance or operating, with classification affecting the pattern of expense recognition in the statement of operations. This guidance is effective for fiscal years, and interim periods within those fiscal years, beginning after December 15, 2018, with early adoption permitted. We are currently evaluating the effect that the updated standard will have on our consolidated financial statements and related disclosures.</w:t>
      </w:r>
    </w:p>
    <w:p>
      <w:pPr>
        <w:spacing w:after="0" w:line="64"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This new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are currently evaluating the effect that the updated standard will have on our consolidated financial statements and related disclosures.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right="260"/>
        <w:spacing w:after="0" w:line="308" w:lineRule="auto"/>
        <w:rPr>
          <w:sz w:val="20"/>
          <w:szCs w:val="20"/>
          <w:color w:val="auto"/>
        </w:rPr>
      </w:pPr>
      <w:r>
        <w:rPr>
          <w:rFonts w:ascii="Arial" w:cs="Arial" w:eastAsia="Arial" w:hAnsi="Arial"/>
          <w:sz w:val="17"/>
          <w:szCs w:val="17"/>
          <w:color w:val="auto"/>
        </w:rPr>
        <w:t>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since December 31, 2015. For additional information about our critical accounting policies and estimates, refer to “Note 2— Significant Accounting Policies”, in the notes to our consolidated financial statements in Item 8 of our Annual Report on Form 10-K for the year ended December 31, 2015.</w:t>
      </w:r>
    </w:p>
    <w:p>
      <w:pPr>
        <w:spacing w:after="0" w:line="285" w:lineRule="exact"/>
        <w:rPr>
          <w:sz w:val="20"/>
          <w:szCs w:val="20"/>
          <w:color w:val="auto"/>
        </w:rPr>
      </w:pPr>
    </w:p>
    <w:p>
      <w:pPr>
        <w:ind w:right="5240"/>
        <w:spacing w:after="0" w:line="378" w:lineRule="auto"/>
        <w:rPr>
          <w:sz w:val="20"/>
          <w:szCs w:val="20"/>
          <w:color w:val="auto"/>
        </w:rPr>
      </w:pPr>
      <w:r>
        <w:rPr>
          <w:rFonts w:ascii="Arial" w:cs="Arial" w:eastAsia="Arial" w:hAnsi="Arial"/>
          <w:sz w:val="18"/>
          <w:szCs w:val="18"/>
          <w:b w:val="1"/>
          <w:bCs w:val="1"/>
          <w:color w:val="auto"/>
        </w:rPr>
        <w:t>NOTE 3: STOCK BASED AWARDS AND OTHER EQUITY INSTRUMENTS Stock-Based Compensation Expense</w:t>
      </w:r>
    </w:p>
    <w:p>
      <w:pPr>
        <w:ind w:right="180" w:firstLine="518"/>
        <w:spacing w:after="0" w:line="308" w:lineRule="auto"/>
        <w:rPr>
          <w:sz w:val="20"/>
          <w:szCs w:val="20"/>
          <w:color w:val="auto"/>
        </w:rPr>
      </w:pPr>
      <w:r>
        <w:rPr>
          <w:rFonts w:ascii="Arial" w:cs="Arial" w:eastAsia="Arial" w:hAnsi="Arial"/>
          <w:sz w:val="17"/>
          <w:szCs w:val="17"/>
          <w:color w:val="auto"/>
        </w:rPr>
        <w:t>The following table presents the amount of stock-based compensation expense related to stock-based awards, primarily stock options and restricted stock units (“RSUs”), on our unaudited condensed consolidated statements of operations during the periods presented:</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Option Activity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three months ended March 31, 2016, we have issued 629,896 service-based non-qualified stock options under the Company’s 2011 Stock and Annual Incentive Plan, as amended (the “2011 Plan”). These stock options have a term of ten years from the date of grant and vest equitably over a four-year requisite service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three months ended March 31, 2016,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63.33</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60.62</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March 31, 2016</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41.91</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March 31, 2016</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80" w:hanging="319"/>
        <w:spacing w:after="0" w:line="25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118,491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10" w:name="page11"/>
    <w:bookmarkEnd w:id="10"/>
    <w:p>
      <w:pPr>
        <w:ind w:right="140" w:firstLine="518"/>
        <w:spacing w:after="0" w:line="286"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The NASDAQ Global Select Market as of March 31, 2016 was $66.50. The total intrinsic value of stock options exercised for the three months ended March 31, 2016 and 2015 was $12 million and $31 million, respectively.</w:t>
      </w:r>
    </w:p>
    <w:p>
      <w:pPr>
        <w:spacing w:after="0" w:line="1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stock option grants under the 2011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08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41.64%</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41.86%</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weighted-average grant date fair value of options granted was $24.41 and $33.79 for the three months ended March 31, 2016 and 2015, respectively. The total fair value of stock options vested for the three months ended March 31, 2016 and 2015 was $23 million and $25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RSU Activity</w:t>
      </w:r>
    </w:p>
    <w:p>
      <w:pPr>
        <w:spacing w:after="0" w:line="117"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During the three months ended March 31, 2016, we issued 1,503,603 RSUs under the 2011 Plan for which the fair value was measured based on the quoted price of our common stock on the date of grant. These RSUs generally vest over a four-year requisite service period.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our RSU activity during the three months ended March 31,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Grant-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Date Fair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Value Per Share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5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January 1, 2016</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1,504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Cancelled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March 31, 2016</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71.95</w:t>
            </w:r>
          </w:p>
        </w:tc>
        <w:tc>
          <w:tcPr>
            <w:tcW w:w="58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 after March 31, 2016</w:t>
            </w: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72.21</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40" w:right="120" w:hanging="319"/>
        <w:spacing w:after="0" w:line="279"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Inclusive of 113,117 RSUs withheld to satisfy employee minimum tax withholding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A summary of our remaining unrecognized stock-based compensation expense, net of estimated forfeitures, and the weighted average remaining amortization period at March 31, 2016 related to our non-vested stock options and RSU awards is presented below (in millions, except per year information):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RSUs</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 (net of forfeitures)</w:t>
            </w:r>
          </w:p>
        </w:tc>
        <w:tc>
          <w:tcPr>
            <w:tcW w:w="102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53"/>
        </w:trPr>
        <w:tc>
          <w:tcPr>
            <w:tcW w:w="6660" w:type="dxa"/>
            <w:vAlign w:val="bottom"/>
            <w:gridSpan w:val="2"/>
          </w:tcPr>
          <w:p>
            <w:pPr>
              <w:jc w:val="right"/>
              <w:ind w:right="77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21"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March 31,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623</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709</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68"/>
              <w:spacing w:after="0"/>
              <w:rPr>
                <w:sz w:val="20"/>
                <w:szCs w:val="20"/>
                <w:color w:val="auto"/>
              </w:rPr>
            </w:pPr>
            <w:r>
              <w:rPr>
                <w:rFonts w:ascii="Arial" w:cs="Arial" w:eastAsia="Arial" w:hAnsi="Arial"/>
                <w:sz w:val="14"/>
                <w:szCs w:val="14"/>
                <w:b w:val="1"/>
                <w:bCs w:val="1"/>
                <w:color w:val="auto"/>
                <w:w w:val="91"/>
              </w:rPr>
              <w:t>December 31, 2015</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22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598</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698</w:t>
            </w:r>
          </w:p>
        </w:tc>
        <w:tc>
          <w:tcPr>
            <w:tcW w:w="24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March 31, 2016 and December 31, 2015, respectively.</w:t>
      </w:r>
    </w:p>
    <w:p>
      <w:pPr>
        <w:spacing w:after="0" w:line="187"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right="60"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months ended March 31, 2016 and 2015, respectively. Realized gains and losses on the sale of securities are determined by specific identification of each security’s cost basis. We consider any individual investments in an unrealized loss position to be temporary in nature and do not consider any of our investments other-than-temporarily impaired as of March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40" w:firstLine="552"/>
        <w:spacing w:after="0" w:line="308" w:lineRule="auto"/>
        <w:rPr>
          <w:sz w:val="20"/>
          <w:szCs w:val="20"/>
          <w:color w:val="auto"/>
        </w:rPr>
      </w:pPr>
      <w:r>
        <w:rPr>
          <w:rFonts w:ascii="Arial" w:cs="Arial" w:eastAsia="Arial" w:hAnsi="Arial"/>
          <w:sz w:val="17"/>
          <w:szCs w:val="17"/>
          <w:color w:val="auto"/>
        </w:rPr>
        <w:t>In certain circumstances, we enter into foreign currency forward exchange contracts (“forward contracts”) to reduce the effects of fluctuating foreign currency exchange rates on our cash flows denominated in foreign currencies. We do not use derivatives for trading or speculative purposes.</w:t>
      </w:r>
    </w:p>
    <w:p>
      <w:pPr>
        <w:spacing w:after="0" w:line="38" w:lineRule="exact"/>
        <w:rPr>
          <w:sz w:val="20"/>
          <w:szCs w:val="20"/>
          <w:color w:val="auto"/>
        </w:rPr>
      </w:pPr>
    </w:p>
    <w:p>
      <w:pPr>
        <w:ind w:right="20" w:firstLine="552"/>
        <w:spacing w:after="0" w:line="257" w:lineRule="auto"/>
        <w:rPr>
          <w:sz w:val="20"/>
          <w:szCs w:val="20"/>
          <w:color w:val="auto"/>
        </w:rPr>
      </w:pPr>
      <w:r>
        <w:rPr>
          <w:rFonts w:ascii="Arial" w:cs="Arial" w:eastAsia="Arial" w:hAnsi="Arial"/>
          <w:sz w:val="18"/>
          <w:szCs w:val="18"/>
          <w:color w:val="auto"/>
        </w:rPr>
        <w:t>Our current forward contracts are not designated as hedges and have current maturities of less than 90 days. We account for our derivative instruments as either assets or liabilities and carry them at fair value. Consequently, any gain or loss resulting from the change in fair value was recognized in our unaudited condensed consolidated statements of operations. We recorded a net loss of $1 million and a net gain of $3 million for the three months ended March 31, 2016 and 2015, respectively, related to our settled and outstanding forward contracts in our unaudited condensed consolidated statements of operations in “Interest income and other, net.”</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table shows the fair value and notional principal amounts of our outstanding derivative instruments that are not designated as hedging instruments for the periods presented:</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80" w:type="dxa"/>
            <w:vAlign w:val="bottom"/>
            <w:gridSpan w:val="3"/>
            <w:vMerge w:val="restart"/>
          </w:tcPr>
          <w:p>
            <w:pPr>
              <w:jc w:val="right"/>
              <w:ind w:right="304"/>
              <w:spacing w:after="0"/>
              <w:rPr>
                <w:sz w:val="20"/>
                <w:szCs w:val="20"/>
                <w:color w:val="auto"/>
              </w:rPr>
            </w:pPr>
            <w:r>
              <w:rPr>
                <w:rFonts w:ascii="Arial" w:cs="Arial" w:eastAsia="Arial" w:hAnsi="Arial"/>
                <w:sz w:val="14"/>
                <w:szCs w:val="14"/>
                <w:b w:val="1"/>
                <w:bCs w:val="1"/>
                <w:color w:val="auto"/>
              </w:rPr>
              <w:t>Fair Value of Derivative (2)</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5"/>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Asset</w:t>
            </w: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Accrued expenses and other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exchange-forward contracts (1)</w:t>
            </w:r>
          </w:p>
        </w:tc>
        <w:tc>
          <w:tcPr>
            <w:tcW w:w="360" w:type="dxa"/>
            <w:vAlign w:val="bottom"/>
            <w:shd w:val="clear" w:color="auto" w:fill="CFF0FC"/>
          </w:tcPr>
          <w:p>
            <w:pPr>
              <w:spacing w:after="0"/>
              <w:rPr>
                <w:sz w:val="20"/>
                <w:szCs w:val="20"/>
                <w:color w:val="auto"/>
              </w:rPr>
            </w:pPr>
          </w:p>
        </w:tc>
        <w:tc>
          <w:tcPr>
            <w:tcW w:w="2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current liabilities</w:t>
            </w:r>
          </w:p>
        </w:tc>
        <w:tc>
          <w:tcPr>
            <w:tcW w:w="11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0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80" w:type="dxa"/>
            <w:vAlign w:val="bottom"/>
            <w:gridSpan w:val="3"/>
            <w:vMerge w:val="restart"/>
          </w:tcPr>
          <w:p>
            <w:pPr>
              <w:jc w:val="right"/>
              <w:ind w:right="304"/>
              <w:spacing w:after="0"/>
              <w:rPr>
                <w:sz w:val="20"/>
                <w:szCs w:val="20"/>
                <w:color w:val="auto"/>
              </w:rPr>
            </w:pPr>
            <w:r>
              <w:rPr>
                <w:rFonts w:ascii="Arial" w:cs="Arial" w:eastAsia="Arial" w:hAnsi="Arial"/>
                <w:sz w:val="14"/>
                <w:szCs w:val="14"/>
                <w:b w:val="1"/>
                <w:bCs w:val="1"/>
                <w:color w:val="auto"/>
              </w:rPr>
              <w:t>Fair Value of Derivative (2)</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5"/>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Asset</w:t>
            </w: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FF0FC"/>
          </w:tcPr>
          <w:p>
            <w:pPr>
              <w:spacing w:after="0"/>
              <w:rPr>
                <w:sz w:val="18"/>
                <w:szCs w:val="18"/>
                <w:color w:val="auto"/>
              </w:rPr>
            </w:pPr>
          </w:p>
        </w:tc>
        <w:tc>
          <w:tcPr>
            <w:tcW w:w="2900" w:type="dxa"/>
            <w:vAlign w:val="bottom"/>
            <w:gridSpan w:val="2"/>
            <w:shd w:val="clear" w:color="auto" w:fill="CFF0FC"/>
          </w:tcPr>
          <w:p>
            <w:pPr>
              <w:jc w:val="center"/>
              <w:ind w:left="250"/>
              <w:spacing w:after="0"/>
              <w:rPr>
                <w:sz w:val="20"/>
                <w:szCs w:val="20"/>
                <w:color w:val="auto"/>
              </w:rPr>
            </w:pPr>
            <w:r>
              <w:rPr>
                <w:rFonts w:ascii="Arial" w:cs="Arial" w:eastAsia="Arial" w:hAnsi="Arial"/>
                <w:sz w:val="18"/>
                <w:szCs w:val="18"/>
                <w:color w:val="auto"/>
                <w:w w:val="88"/>
              </w:rPr>
              <w:t>Prepaid expenses and other current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exchange-forward contracts (1)</w:t>
            </w:r>
          </w:p>
        </w:tc>
        <w:tc>
          <w:tcPr>
            <w:tcW w:w="360" w:type="dxa"/>
            <w:vAlign w:val="bottom"/>
            <w:shd w:val="clear" w:color="auto" w:fill="CFF0FC"/>
          </w:tcPr>
          <w:p>
            <w:pPr>
              <w:spacing w:after="0"/>
              <w:rPr>
                <w:sz w:val="20"/>
                <w:szCs w:val="20"/>
                <w:color w:val="auto"/>
              </w:rPr>
            </w:pPr>
          </w:p>
        </w:tc>
        <w:tc>
          <w:tcPr>
            <w:tcW w:w="2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11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0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40" w:hanging="319"/>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ind w:left="840" w:right="360" w:hanging="319"/>
        <w:spacing w:after="0" w:line="261"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measure the fair value of our outstanding or unsettled derivatives using Level 2 fair value inputs, as we use a pricing model that takes into account the contract terms as well as current foreign currency exchange rates in active markets.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condensed consolidated balance sheets as of March 31, 2016 and December 31, 2015, respectively. The carrying value of the long-term debt from our 2015 Credit Facility bears interest at a variable rate and therefore is also considered to approximate fair value.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at March 31, 2016 and 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960" w:type="dxa"/>
            <w:vAlign w:val="bottom"/>
            <w:gridSpan w:val="2"/>
          </w:tcPr>
          <w:p>
            <w:pPr>
              <w:jc w:val="right"/>
              <w:ind w:right="266"/>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right"/>
              <w:ind w:right="77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ind w:right="45"/>
              <w:spacing w:after="0" w:line="155" w:lineRule="exact"/>
              <w:rPr>
                <w:sz w:val="20"/>
                <w:szCs w:val="20"/>
                <w:color w:val="auto"/>
              </w:rPr>
            </w:pPr>
            <w:r>
              <w:rPr>
                <w:rFonts w:ascii="Arial" w:cs="Arial" w:eastAsia="Arial" w:hAnsi="Arial"/>
                <w:sz w:val="14"/>
                <w:szCs w:val="14"/>
                <w:b w:val="1"/>
                <w:bCs w:val="1"/>
                <w:color w:val="auto"/>
              </w:rPr>
              <w:t>(in millions)</w:t>
            </w: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2960" w:type="dxa"/>
            <w:vAlign w:val="bottom"/>
            <w:gridSpan w:val="2"/>
          </w:tcPr>
          <w:p>
            <w:pPr>
              <w:jc w:val="right"/>
              <w:ind w:right="130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Debt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ind w:right="13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2015 Credit Facility</w:t>
            </w:r>
          </w:p>
        </w:tc>
        <w:tc>
          <w:tcPr>
            <w:tcW w:w="2960" w:type="dxa"/>
            <w:vAlign w:val="bottom"/>
            <w:gridSpan w:val="2"/>
          </w:tcPr>
          <w:p>
            <w:pPr>
              <w:jc w:val="right"/>
              <w:ind w:right="130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ind w:right="13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Credit Facility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20, 2011, we entered into a credit agreement (the “2011 Credit Facility”), which provided $600 million of borrowing including:</w:t>
      </w:r>
    </w:p>
    <w:p>
      <w:pPr>
        <w:spacing w:after="0" w:line="230" w:lineRule="exact"/>
        <w:rPr>
          <w:sz w:val="20"/>
          <w:szCs w:val="20"/>
          <w:color w:val="auto"/>
        </w:rPr>
      </w:pPr>
    </w:p>
    <w:p>
      <w:pPr>
        <w:ind w:left="820" w:right="2340" w:hanging="25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term loan facility in an aggregate principal amount of $400 million with a term of five years due December 2016</w:t>
      </w:r>
      <w:r>
        <w:rPr>
          <w:rFonts w:ascii="Arial" w:cs="Arial" w:eastAsia="Arial" w:hAnsi="Arial"/>
          <w:sz w:val="22"/>
          <w:szCs w:val="22"/>
          <w:color w:val="auto"/>
        </w:rPr>
        <w:t xml:space="preserve"> </w:t>
      </w:r>
      <w:r>
        <w:rPr>
          <w:rFonts w:ascii="Arial" w:cs="Arial" w:eastAsia="Arial" w:hAnsi="Arial"/>
          <w:sz w:val="18"/>
          <w:szCs w:val="18"/>
          <w:color w:val="auto"/>
        </w:rPr>
        <w:t>(“Term Loan”); and</w:t>
      </w:r>
    </w:p>
    <w:p>
      <w:pPr>
        <w:ind w:left="820" w:right="2580" w:hanging="257"/>
        <w:spacing w:after="0" w:line="20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revolving credit facility in an aggregate principal amount of $200 million available in U.S. dollars, Euros and</w:t>
      </w:r>
      <w:r>
        <w:rPr>
          <w:rFonts w:ascii="Arial" w:cs="Arial" w:eastAsia="Arial" w:hAnsi="Arial"/>
          <w:sz w:val="22"/>
          <w:szCs w:val="22"/>
          <w:color w:val="auto"/>
        </w:rPr>
        <w:t xml:space="preserve"> </w:t>
      </w:r>
      <w:r>
        <w:rPr>
          <w:rFonts w:ascii="Arial" w:cs="Arial" w:eastAsia="Arial" w:hAnsi="Arial"/>
          <w:sz w:val="18"/>
          <w:szCs w:val="18"/>
          <w:color w:val="auto"/>
        </w:rPr>
        <w:t>British pound sterling with a term of five years expiring December 2016.</w:t>
      </w:r>
    </w:p>
    <w:p>
      <w:pPr>
        <w:spacing w:after="0" w:line="310" w:lineRule="exact"/>
        <w:rPr>
          <w:sz w:val="20"/>
          <w:szCs w:val="20"/>
          <w:color w:val="auto"/>
        </w:rPr>
      </w:pPr>
    </w:p>
    <w:p>
      <w:pPr>
        <w:jc w:val="both"/>
        <w:ind w:right="60" w:firstLine="552"/>
        <w:spacing w:after="0" w:line="279" w:lineRule="auto"/>
        <w:rPr>
          <w:sz w:val="20"/>
          <w:szCs w:val="20"/>
          <w:color w:val="auto"/>
        </w:rPr>
      </w:pPr>
      <w:r>
        <w:rPr>
          <w:rFonts w:ascii="Arial" w:cs="Arial" w:eastAsia="Arial" w:hAnsi="Arial"/>
          <w:sz w:val="17"/>
          <w:szCs w:val="17"/>
          <w:color w:val="auto"/>
        </w:rPr>
        <w:t>On June 26, 2015, the entire outstanding principal on our Term Loan in the amount of $290 million was repaid with borrowings from our 2015 Credit Facility (described below) and the 2011 Credit Facility was subsequently terminated. Principal payments aggregating $10 million were made during the three months ended March 31, 2015. During the three months ended March 31, 2015, we recorded total interest and commitment fees on our 2011 Credit Facility of $1 million to interest expense on our unaudited condensed consolidated statements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jc w:val="both"/>
        <w:ind w:right="380" w:firstLine="548"/>
        <w:spacing w:after="0" w:line="259" w:lineRule="auto"/>
        <w:rPr>
          <w:sz w:val="20"/>
          <w:szCs w:val="20"/>
          <w:color w:val="auto"/>
        </w:rPr>
      </w:pPr>
      <w:r>
        <w:rPr>
          <w:rFonts w:ascii="Arial" w:cs="Arial" w:eastAsia="Arial" w:hAnsi="Arial"/>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7" w:lineRule="exact"/>
        <w:rPr>
          <w:sz w:val="20"/>
          <w:szCs w:val="20"/>
          <w:color w:val="auto"/>
        </w:rPr>
      </w:pPr>
    </w:p>
    <w:p>
      <w:pPr>
        <w:jc w:val="both"/>
        <w:ind w:right="200" w:firstLine="552"/>
        <w:spacing w:after="0" w:line="272" w:lineRule="auto"/>
        <w:rPr>
          <w:sz w:val="20"/>
          <w:szCs w:val="20"/>
          <w:color w:val="auto"/>
        </w:rPr>
      </w:pPr>
      <w:r>
        <w:rPr>
          <w:rFonts w:ascii="Arial" w:cs="Arial" w:eastAsia="Arial" w:hAnsi="Arial"/>
          <w:sz w:val="17"/>
          <w:szCs w:val="17"/>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 2.00% per annum plus the Alternate Base Rate plus the interest rate spread applicable to ABR loans. The Company may borrow from the 2015 Credit Facility in U.S dollars, Euros and British pound sterling with a term of five years expiring June 26, 2020.</w:t>
      </w:r>
    </w:p>
    <w:p>
      <w:pPr>
        <w:spacing w:after="0" w:line="17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is no specific repayment date prior to the five-year maturity date for our outstanding borrowings under the 2015 Credit Facility. During the three months ended March 31, 2016, the Company repaid $90 million of our outstanding borrowings on the 2015 Credit Facility. Based on the Company’s current leverage ratio, our borrowings bear interest at LIBOR plus 125 basis points, or the Eurocurrency Spread. The Company is currently borrowing under a one-month interest period of 1.7% per annum, using a one-month interest period Eurocurrency Spread, which will reset periodically. Interest will be payable on a monthly basis while the Company is borrowing under the one-month interest rate period.</w:t>
      </w:r>
    </w:p>
    <w:p>
      <w:pPr>
        <w:spacing w:after="0" w:line="173" w:lineRule="exact"/>
        <w:rPr>
          <w:sz w:val="20"/>
          <w:szCs w:val="20"/>
          <w:color w:val="auto"/>
        </w:rPr>
      </w:pPr>
    </w:p>
    <w:p>
      <w:pPr>
        <w:ind w:right="40" w:firstLine="552"/>
        <w:spacing w:after="0" w:line="279" w:lineRule="auto"/>
        <w:rPr>
          <w:sz w:val="20"/>
          <w:szCs w:val="20"/>
          <w:color w:val="auto"/>
        </w:rPr>
      </w:pPr>
      <w:r>
        <w:rPr>
          <w:rFonts w:ascii="Arial" w:cs="Arial" w:eastAsia="Arial" w:hAnsi="Arial"/>
          <w:sz w:val="17"/>
          <w:szCs w:val="17"/>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March 31, 2016, we had issued $2 million of outstanding letters of credit under the 2015 Credit Facility.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4" w:name="page15"/>
    <w:bookmarkEnd w:id="14"/>
    <w:p>
      <w:pPr>
        <w:ind w:right="160" w:firstLine="552"/>
        <w:spacing w:after="0" w:line="342" w:lineRule="auto"/>
        <w:rPr>
          <w:sz w:val="20"/>
          <w:szCs w:val="20"/>
          <w:color w:val="auto"/>
        </w:rPr>
      </w:pPr>
      <w:r>
        <w:rPr>
          <w:rFonts w:ascii="Arial" w:cs="Arial" w:eastAsia="Arial" w:hAnsi="Arial"/>
          <w:sz w:val="16"/>
          <w:szCs w:val="16"/>
          <w:color w:val="auto"/>
        </w:rPr>
        <w:t>During the three months ended March 31, 2016, we recorded total interest and commitment fees on our 2015 Credit Facility of $2 million to interest expense on our unaudited condensed consolidated statements of operations. Unpaid interest and commitment fees as of March 31, 2016 were not material.</w:t>
      </w:r>
    </w:p>
    <w:p>
      <w:pPr>
        <w:spacing w:after="0" w:line="124"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81" w:lineRule="exact"/>
        <w:rPr>
          <w:sz w:val="20"/>
          <w:szCs w:val="20"/>
          <w:color w:val="auto"/>
        </w:rPr>
      </w:pPr>
    </w:p>
    <w:p>
      <w:pPr>
        <w:ind w:right="60" w:firstLine="548"/>
        <w:spacing w:after="0" w:line="277" w:lineRule="auto"/>
        <w:rPr>
          <w:sz w:val="20"/>
          <w:szCs w:val="20"/>
          <w:color w:val="auto"/>
        </w:rPr>
      </w:pPr>
      <w:r>
        <w:rPr>
          <w:rFonts w:ascii="Arial" w:cs="Arial" w:eastAsia="Arial" w:hAnsi="Arial"/>
          <w:sz w:val="17"/>
          <w:szCs w:val="17"/>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March 31, 2016, we are in compliance with all of our debt covenants.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400" w:firstLine="552"/>
        <w:spacing w:after="0" w:line="277" w:lineRule="auto"/>
        <w:rPr>
          <w:sz w:val="20"/>
          <w:szCs w:val="20"/>
          <w:color w:val="auto"/>
        </w:rPr>
      </w:pPr>
      <w:r>
        <w:rPr>
          <w:rFonts w:ascii="Arial" w:cs="Arial" w:eastAsia="Arial" w:hAnsi="Arial"/>
          <w:sz w:val="18"/>
          <w:szCs w:val="18"/>
          <w:color w:val="auto"/>
        </w:rPr>
        <w:t>In addition to our borrowings under the 2015 Credit Facility, we maintain our Chinese Credit Facilities. As of March 31, 2016 and December 31, 2015, we had short-term borrowings outstanding of $1 million.</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 Our Chinese Credit Facility—BOA currently bears interest at a rate based on 100% of the People’s Bank of China’s base rate, which was 4.35% as of March 31, 2016. As of March 31, 2016, we had $1 million of outstanding borrowings from the Chinese Credit Facility—BOA.</w:t>
      </w:r>
    </w:p>
    <w:p>
      <w:pPr>
        <w:spacing w:after="0" w:line="187" w:lineRule="exact"/>
        <w:rPr>
          <w:sz w:val="20"/>
          <w:szCs w:val="20"/>
          <w:color w:val="auto"/>
        </w:rPr>
      </w:pPr>
    </w:p>
    <w:p>
      <w:pPr>
        <w:ind w:right="100" w:firstLine="552"/>
        <w:spacing w:after="0" w:line="312" w:lineRule="auto"/>
        <w:rPr>
          <w:sz w:val="20"/>
          <w:szCs w:val="20"/>
          <w:color w:val="auto"/>
        </w:rPr>
      </w:pPr>
      <w:r>
        <w:rPr>
          <w:rFonts w:ascii="Arial" w:cs="Arial" w:eastAsia="Arial" w:hAnsi="Arial"/>
          <w:sz w:val="16"/>
          <w:szCs w:val="16"/>
          <w:color w:val="auto"/>
        </w:rPr>
        <w:t>We are also parties to a RMB 125,000,000 (approximately $20 million), one-year revolving credit facility with J.P. Morgan Chase Bank (“Chinese Credit Facility—JPM”). Our Chinese Credit Facility—JPM currently bears interest at a rate based on 100% of the People’s Bank of China’s base rate, which was 4.35% as of March 31, 2016. As of March 31, 2016, there are no outstanding borrowings under our Chinese Credit Facility – JPM.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Our effective tax rate for the three months ended March 31, 2016 and 2015 was 28.9% and 26.7%, respectively. For the three months ended March 31, 2016,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change in the effective tax rate for 2016 compared to the 2015 rate was primarily due to a change in jurisdictional earnings.</w:t>
      </w:r>
    </w:p>
    <w:p>
      <w:pPr>
        <w:spacing w:after="0" w:line="17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March 31, 2016, accrued interest is $4 million, net of federal benefit, and no penalties have been accrued. We do not anticipate any material releases in the next twelve months.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By virtue of previously filed consolidated income tax returns filed with Expedia, we are currently under an Internal Revenue Service (“IRS”) audit for the 2009 and 2010 tax years, and have various ongoing state income tax audits. We are separately under examination by the IRS for the 2012 and 2013 tax years and have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2007. As of March 31, 2016, no material assessments have resulted.</w:t>
      </w:r>
    </w:p>
    <w:p>
      <w:pPr>
        <w:spacing w:after="0" w:line="19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During the year ended December 31, 2015, we received notification of a draft proposed adjustment from the IRS for the 2009 and 2010 tax years and we anticipate receiving additional notices of proposed adjustments for the same years. These proposed adjustments are related to transfer pricing with our foreign subsidiaries, and would result in an increase to U.S. taxable income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ind w:right="180"/>
        <w:spacing w:after="0" w:line="259" w:lineRule="auto"/>
        <w:rPr>
          <w:sz w:val="20"/>
          <w:szCs w:val="20"/>
          <w:color w:val="auto"/>
        </w:rPr>
      </w:pPr>
      <w:r>
        <w:rPr>
          <w:rFonts w:ascii="Arial" w:cs="Arial" w:eastAsia="Arial" w:hAnsi="Arial"/>
          <w:sz w:val="18"/>
          <w:szCs w:val="18"/>
          <w:color w:val="auto"/>
        </w:rPr>
        <w:t>federal tax expense for 2009 and 2010, subject to interest. Our policy is to review and update tax reserves as facts and circumstances change. Based on our interpretation of the regulations and available case law, we believe the position we have taken with regard to transfer pricing with our foreign subsidiaries is sustainable. We intend to defend our position through IRS administrative and, if necessary, by judicial remedies. As of March 31, 2016, no additional adjustments have been proposed.</w:t>
      </w:r>
    </w:p>
    <w:p>
      <w:pPr>
        <w:spacing w:after="0" w:line="18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$13 million in its consolidated statement of operations for the year ended December 31, 2015 and an additional $1 million during the three months ended March 31, 2016. The Company will continue to monitor this matter and related potential impacts to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The repurchase program has no expiration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34"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During the three months ended March 31, 2016, we repurchased 24,077 shares of outstanding common stock under the share repurchase program at an aggregate cost of $1 million, or an average share price of $59.85. As of March 31, 2016, we have repurchased 2,144,786 shares of outstanding common stock under the share repurchase program at an aggregate cost of $147 million. As of March 31, 2016, we have a remaining amount from the authorized share repurchase program granted by the Board of Directors of $103 million to repurchase shares of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 2016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4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3000" w:type="dxa"/>
            <w:vAlign w:val="bottom"/>
            <w:gridSpan w:val="2"/>
            <w:shd w:val="clear" w:color="auto" w:fill="CFF0FC"/>
          </w:tcPr>
          <w:p>
            <w:pPr>
              <w:jc w:val="right"/>
              <w:ind w:right="13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460" w:type="dxa"/>
            <w:vAlign w:val="bottom"/>
            <w:tcBorders>
              <w:bottom w:val="single" w:sz="8" w:color="auto"/>
            </w:tcBorders>
          </w:tcPr>
          <w:p>
            <w:pPr>
              <w:jc w:val="right"/>
              <w:ind w:right="13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There have been no material changes to our commitments and contingencies since December 31, 2015. Refer to “Note 12— Commitments and Contingencies,” in the notes to our consolidated financial statements in Item 8 of our Annual Report on Form 10-K for the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6— </w:t>
      </w:r>
      <w:r>
        <w:rPr>
          <w:rFonts w:ascii="Arial" w:cs="Arial" w:eastAsia="Arial" w:hAnsi="Arial"/>
          <w:sz w:val="16"/>
          <w:szCs w:val="16"/>
          <w:i w:val="1"/>
          <w:iCs w:val="1"/>
          <w:color w:val="auto"/>
        </w:rPr>
        <w:t>Income Taxes</w:t>
      </w:r>
      <w:r>
        <w:rPr>
          <w:rFonts w:ascii="Arial" w:cs="Arial" w:eastAsia="Arial" w:hAnsi="Arial"/>
          <w:sz w:val="16"/>
          <w:szCs w:val="16"/>
          <w:color w:val="auto"/>
        </w:rPr>
        <w:t>” above for further information on potential contingencies surrounding income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reporting structure includes two reportable segments: Hotel and Non-Hotel.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right="60" w:firstLine="552"/>
        <w:spacing w:after="0" w:line="257" w:lineRule="auto"/>
        <w:rPr>
          <w:sz w:val="20"/>
          <w:szCs w:val="20"/>
          <w:color w:val="auto"/>
        </w:rPr>
      </w:pPr>
      <w:r>
        <w:rPr>
          <w:rFonts w:ascii="Arial" w:cs="Arial" w:eastAsia="Arial" w:hAnsi="Arial"/>
          <w:sz w:val="18"/>
          <w:szCs w:val="18"/>
          <w:color w:val="auto"/>
        </w:rPr>
        <w:t>Our Hotel segment includes revenue generated from services related to hotels, including click-based advertising revenue from making hotel room night reservations available for price comparison and commission-based transactions via our instant booking feature, as well as display-based advertising, subscription-based hotel advertising (or Business Listings), room reservations sold through our websites, and from content licensing. Our Hotel segment also includes click-based advertising revenue from making airline reservations and cruise reservations available for price comparison and booking. Our chief operating decision maker is also the Hotel segment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Non-Hotel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14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 xml:space="preserve">Attractions. </w:t>
      </w:r>
      <w:r>
        <w:rPr>
          <w:rFonts w:ascii="Arial" w:cs="Arial" w:eastAsia="Arial" w:hAnsi="Arial"/>
          <w:sz w:val="18"/>
          <w:szCs w:val="18"/>
          <w:color w:val="auto"/>
        </w:rPr>
        <w:t>We provide, primarily through Viator, information and services for researching and booking destination activities around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i w:val="1"/>
          <w:iCs w:val="1"/>
          <w:color w:val="auto"/>
        </w:rPr>
        <w:t xml:space="preserve">Restaurants. </w:t>
      </w:r>
      <w:r>
        <w:rPr>
          <w:rFonts w:ascii="Arial" w:cs="Arial" w:eastAsia="Arial" w:hAnsi="Arial"/>
          <w:sz w:val="16"/>
          <w:szCs w:val="16"/>
          <w:color w:val="auto"/>
        </w:rPr>
        <w:t>We have several websites that provide online and mobile reservation services that connect restaurants with diners. These websites are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focused currently on the European and Australian markets, primarily through thefork.com (including www.lafourchette.com, www.eltenedor.com, www.iens.nl, www.besttables.com, and www.dimmi.com.au). Thefork.com is an online restaurant booking platform with a network of restaurant partners primarily across Europe and Australia. Thefork.com also helps restaurants to maximize business by providing a flexible online booking, discount and data tool. We generate revenue primarily by charging a fee for each restaurant guest seated through the online reservation systems.</w:t>
      </w:r>
    </w:p>
    <w:p>
      <w:pPr>
        <w:spacing w:after="0" w:line="15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i w:val="1"/>
          <w:iCs w:val="1"/>
          <w:color w:val="auto"/>
        </w:rPr>
        <w:t>Vacation Rentals</w:t>
      </w:r>
      <w:r>
        <w:rPr>
          <w:rFonts w:ascii="Arial" w:cs="Arial" w:eastAsia="Arial" w:hAnsi="Arial"/>
          <w:sz w:val="17"/>
          <w:szCs w:val="17"/>
          <w:color w:val="auto"/>
        </w:rPr>
        <w:t>. We offer individual property owners and property managers the ability to list their properties available for rental and connect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travelers using a subscription-based fee structure or a free-to-list, commission per booking based option. Our vacation rental inventory currently includes full home rentals, condos, villas, beach rentals, cabins and cottages. These properties are listed across a number of platforms, including TripAdvisor Vacation Rentals, U.S.-based FlipKey and Vacation Home Rentals, and European-based Holiday Lettings and Niumba businesses.</w:t>
      </w:r>
    </w:p>
    <w:p>
      <w:pPr>
        <w:spacing w:after="0" w:line="171" w:lineRule="exact"/>
        <w:rPr>
          <w:sz w:val="20"/>
          <w:szCs w:val="20"/>
          <w:color w:val="auto"/>
        </w:rPr>
      </w:pPr>
    </w:p>
    <w:p>
      <w:pPr>
        <w:ind w:right="20" w:firstLine="552"/>
        <w:spacing w:after="0" w:line="277" w:lineRule="auto"/>
        <w:rPr>
          <w:sz w:val="20"/>
          <w:szCs w:val="20"/>
          <w:color w:val="auto"/>
        </w:rPr>
      </w:pPr>
      <w:r>
        <w:rPr>
          <w:rFonts w:ascii="Arial" w:cs="Arial" w:eastAsia="Arial" w:hAnsi="Arial"/>
          <w:sz w:val="18"/>
          <w:szCs w:val="18"/>
          <w:color w:val="auto"/>
        </w:rPr>
        <w:t>Each operating segment in our Non-Hotel segment has a segment manager who is directly accountable to and maintains regular contact with our chief operating decision maker to discuss operating activities, financial results, forecasts, and plans for the segment.</w:t>
      </w:r>
    </w:p>
    <w:p>
      <w:pPr>
        <w:spacing w:after="0" w:line="170" w:lineRule="exact"/>
        <w:rPr>
          <w:sz w:val="20"/>
          <w:szCs w:val="20"/>
          <w:color w:val="auto"/>
        </w:rPr>
      </w:pPr>
    </w:p>
    <w:p>
      <w:pPr>
        <w:ind w:firstLine="552"/>
        <w:spacing w:after="0" w:line="293"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by excluding certain non-cash expenses, such as stock-based compensation, stock-settled obligations, asset impairments, and non-recurring expenses, Adjusted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ind w:right="40"/>
        <w:spacing w:after="0" w:line="308" w:lineRule="auto"/>
        <w:rPr>
          <w:sz w:val="20"/>
          <w:szCs w:val="20"/>
          <w:color w:val="auto"/>
        </w:rPr>
      </w:pPr>
      <w:r>
        <w:rPr>
          <w:rFonts w:ascii="Arial" w:cs="Arial" w:eastAsia="Arial" w:hAnsi="Arial"/>
          <w:sz w:val="17"/>
          <w:szCs w:val="17"/>
          <w:color w:val="auto"/>
        </w:rPr>
        <w:t>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47" w:lineRule="exact"/>
        <w:rPr>
          <w:sz w:val="20"/>
          <w:szCs w:val="20"/>
          <w:color w:val="auto"/>
        </w:rPr>
      </w:pPr>
    </w:p>
    <w:p>
      <w:pPr>
        <w:ind w:right="40" w:firstLine="548"/>
        <w:spacing w:after="0" w:line="291" w:lineRule="auto"/>
        <w:rPr>
          <w:sz w:val="20"/>
          <w:szCs w:val="20"/>
          <w:color w:val="auto"/>
        </w:rPr>
      </w:pPr>
      <w:r>
        <w:rPr>
          <w:rFonts w:ascii="Arial" w:cs="Arial" w:eastAsia="Arial" w:hAnsi="Arial"/>
          <w:sz w:val="16"/>
          <w:szCs w:val="16"/>
          <w:color w:val="auto"/>
        </w:rPr>
        <w:t>The following tables present our segment information for the three months ended March 31, 2016 and 2015. We record depreciation of property and equipment, including amortization of internal-use software and website development, amortization of intangible assets, stock-based compensation and other stock-settled obligations, other income (expense), net, other non-recurring expenses, net, and income taxes, which are excluded from segment operating performance, in Corporate and unallocated. In addition, we do not report our assets, capital expenditures and related depreciation expense by segment as our chief operating decision maker does not evaluate operating segments using this information. We also do not regularly provide such information by segment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jc w:val="center"/>
              <w:ind w:left="222"/>
              <w:spacing w:after="0"/>
              <w:rPr>
                <w:sz w:val="20"/>
                <w:szCs w:val="20"/>
                <w:color w:val="auto"/>
              </w:rPr>
            </w:pPr>
            <w:r>
              <w:rPr>
                <w:rFonts w:ascii="Arial" w:cs="Arial" w:eastAsia="Arial" w:hAnsi="Arial"/>
                <w:sz w:val="14"/>
                <w:szCs w:val="14"/>
                <w:b w:val="1"/>
                <w:bCs w:val="1"/>
                <w:color w:val="auto"/>
                <w:w w:val="93"/>
              </w:rPr>
              <w:t>Three months ended March 31, 2016</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12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Hotel</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left="222"/>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left="202"/>
              <w:spacing w:after="0"/>
              <w:rPr>
                <w:sz w:val="20"/>
                <w:szCs w:val="20"/>
                <w:color w:val="auto"/>
              </w:rPr>
            </w:pPr>
            <w:r>
              <w:rPr>
                <w:rFonts w:ascii="Arial" w:cs="Arial" w:eastAsia="Arial" w:hAnsi="Arial"/>
                <w:sz w:val="14"/>
                <w:szCs w:val="14"/>
                <w:b w:val="1"/>
                <w:bCs w:val="1"/>
                <w:color w:val="auto"/>
                <w:w w:val="93"/>
              </w:rPr>
              <w:t>Unallocated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center"/>
              <w:ind w:right="84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540" w:type="dxa"/>
            <w:vAlign w:val="bottom"/>
            <w:gridSpan w:val="2"/>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1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Adjusted EBITDA (1)</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FF0FC"/>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2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w:t>
            </w:r>
          </w:p>
        </w:tc>
        <w:tc>
          <w:tcPr>
            <w:tcW w:w="3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CFF0FC"/>
            </w:tcBorders>
          </w:tcPr>
          <w:p>
            <w:pPr>
              <w:spacing w:after="0"/>
              <w:rPr>
                <w:sz w:val="22"/>
                <w:szCs w:val="22"/>
                <w:color w:val="auto"/>
              </w:rPr>
            </w:pPr>
          </w:p>
        </w:tc>
        <w:tc>
          <w:tcPr>
            <w:tcW w:w="12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5"/>
            <w:vMerge w:val="restart"/>
          </w:tcPr>
          <w:p>
            <w:pPr>
              <w:jc w:val="center"/>
              <w:ind w:left="222"/>
              <w:spacing w:after="0"/>
              <w:rPr>
                <w:sz w:val="20"/>
                <w:szCs w:val="20"/>
                <w:color w:val="auto"/>
              </w:rPr>
            </w:pPr>
            <w:r>
              <w:rPr>
                <w:rFonts w:ascii="Arial" w:cs="Arial" w:eastAsia="Arial" w:hAnsi="Arial"/>
                <w:sz w:val="14"/>
                <w:szCs w:val="14"/>
                <w:b w:val="1"/>
                <w:bCs w:val="1"/>
                <w:color w:val="auto"/>
                <w:w w:val="93"/>
              </w:rPr>
              <w:t>Three months ended March 31, 2015</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12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Hotel</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left="222"/>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left="202"/>
              <w:spacing w:after="0"/>
              <w:rPr>
                <w:sz w:val="20"/>
                <w:szCs w:val="20"/>
                <w:color w:val="auto"/>
              </w:rPr>
            </w:pPr>
            <w:r>
              <w:rPr>
                <w:rFonts w:ascii="Arial" w:cs="Arial" w:eastAsia="Arial" w:hAnsi="Arial"/>
                <w:sz w:val="14"/>
                <w:szCs w:val="14"/>
                <w:b w:val="1"/>
                <w:bCs w:val="1"/>
                <w:color w:val="auto"/>
                <w:w w:val="93"/>
              </w:rPr>
              <w:t>Unallocated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center"/>
              <w:ind w:right="84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540" w:type="dxa"/>
            <w:vAlign w:val="bottom"/>
            <w:gridSpan w:val="2"/>
            <w:shd w:val="clear" w:color="auto" w:fill="CFF0FC"/>
          </w:tcPr>
          <w:p>
            <w:pPr>
              <w:jc w:val="right"/>
              <w:ind w:right="104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1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Adjusted EBITDA (1)</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80" w:type="dxa"/>
            <w:vAlign w:val="bottom"/>
            <w:vMerge w:val="continue"/>
          </w:tcPr>
          <w:p>
            <w:pPr>
              <w:spacing w:after="0"/>
              <w:rPr>
                <w:sz w:val="22"/>
                <w:szCs w:val="22"/>
                <w:color w:val="auto"/>
              </w:rPr>
            </w:pP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vMerge w:val="continue"/>
          </w:tcPr>
          <w:p>
            <w:pPr>
              <w:spacing w:after="0"/>
              <w:rPr>
                <w:sz w:val="22"/>
                <w:szCs w:val="22"/>
                <w:color w:val="auto"/>
              </w:rPr>
            </w:pPr>
          </w:p>
        </w:tc>
        <w:tc>
          <w:tcPr>
            <w:tcW w:w="1220" w:type="dxa"/>
            <w:vAlign w:val="bottom"/>
          </w:tcPr>
          <w:p>
            <w:pPr>
              <w:jc w:val="right"/>
              <w:ind w:right="104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vMerge w:val="continue"/>
          </w:tcPr>
          <w:p>
            <w:pPr>
              <w:spacing w:after="0"/>
              <w:rPr>
                <w:sz w:val="22"/>
                <w:szCs w:val="22"/>
                <w:color w:val="auto"/>
              </w:rPr>
            </w:pPr>
          </w:p>
        </w:tc>
        <w:tc>
          <w:tcPr>
            <w:tcW w:w="1300" w:type="dxa"/>
            <w:vAlign w:val="bottom"/>
          </w:tcPr>
          <w:p>
            <w:pPr>
              <w:jc w:val="right"/>
              <w:ind w:right="1122"/>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(37)</w:t>
            </w:r>
          </w:p>
        </w:tc>
        <w:tc>
          <w:tcPr>
            <w:tcW w:w="3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52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allocated general and administrative expenses in our Hotel segment of $22 million and $20 million; and in our Non-Hotel segment of $9 million and $6 million for the three months ended March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firstLine="552"/>
        <w:spacing w:after="0" w:line="255" w:lineRule="auto"/>
        <w:rPr>
          <w:sz w:val="20"/>
          <w:szCs w:val="20"/>
          <w:color w:val="auto"/>
        </w:rPr>
      </w:pPr>
      <w:r>
        <w:rPr>
          <w:rFonts w:ascii="Arial" w:cs="Arial" w:eastAsia="Arial" w:hAnsi="Arial"/>
          <w:sz w:val="18"/>
          <w:szCs w:val="18"/>
          <w:color w:val="auto"/>
        </w:rPr>
        <w:t>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ind w:right="40" w:firstLine="552"/>
        <w:spacing w:after="0" w:line="255"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9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3"/>
        </w:trPr>
        <w:tc>
          <w:tcPr>
            <w:tcW w:w="53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18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3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r>
      <w:tr>
        <w:trPr>
          <w:trHeight w:val="189"/>
        </w:trPr>
        <w:tc>
          <w:tcPr>
            <w:tcW w:w="53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36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145,445</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143,145</w:t>
            </w:r>
          </w:p>
        </w:tc>
        <w:tc>
          <w:tcPr>
            <w:tcW w:w="120" w:type="dxa"/>
            <w:vAlign w:val="bottom"/>
          </w:tcPr>
          <w:p>
            <w:pPr>
              <w:spacing w:after="0"/>
              <w:rPr>
                <w:sz w:val="19"/>
                <w:szCs w:val="19"/>
                <w:color w:val="auto"/>
              </w:rPr>
            </w:pPr>
          </w:p>
        </w:tc>
      </w:tr>
      <w:tr>
        <w:trPr>
          <w:trHeight w:val="230"/>
        </w:trPr>
        <w:tc>
          <w:tcPr>
            <w:tcW w:w="5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1,185</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r>
      <w:tr>
        <w:trPr>
          <w:trHeight w:val="230"/>
        </w:trPr>
        <w:tc>
          <w:tcPr>
            <w:tcW w:w="53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w:t>
            </w:r>
          </w:p>
        </w:tc>
        <w:tc>
          <w:tcPr>
            <w:tcW w:w="1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r>
      <w:tr>
        <w:trPr>
          <w:trHeight w:val="263"/>
        </w:trPr>
        <w:tc>
          <w:tcPr>
            <w:tcW w:w="53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11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146,903</w:t>
            </w:r>
          </w:p>
        </w:tc>
        <w:tc>
          <w:tcPr>
            <w:tcW w:w="32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145,872</w:t>
            </w:r>
          </w:p>
        </w:tc>
        <w:tc>
          <w:tcPr>
            <w:tcW w:w="120" w:type="dxa"/>
            <w:vAlign w:val="bottom"/>
            <w:tcBorders>
              <w:bottom w:val="single" w:sz="8" w:color="CFF0FC"/>
            </w:tcBorders>
          </w:tcPr>
          <w:p>
            <w:pPr>
              <w:spacing w:after="0"/>
              <w:rPr>
                <w:sz w:val="22"/>
                <w:szCs w:val="22"/>
                <w:color w:val="auto"/>
              </w:rPr>
            </w:pPr>
          </w:p>
        </w:tc>
      </w:tr>
      <w:tr>
        <w:trPr>
          <w:trHeight w:val="210"/>
        </w:trPr>
        <w:tc>
          <w:tcPr>
            <w:tcW w:w="5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FF0FC"/>
          </w:tcPr>
          <w:p>
            <w:pPr>
              <w:spacing w:after="0"/>
              <w:rPr>
                <w:sz w:val="18"/>
                <w:szCs w:val="18"/>
                <w:color w:val="auto"/>
              </w:rPr>
            </w:pP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13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(in thousands) because their effect would have been anti-dilutive for the periods presented:</w:t>
      </w:r>
    </w:p>
    <w:p>
      <w:pPr>
        <w:spacing w:after="0" w:line="135"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6350</wp:posOffset>
            </wp:positionV>
            <wp:extent cx="22898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2016(1)</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2015(1)</w:t>
            </w:r>
          </w:p>
        </w:tc>
        <w:tc>
          <w:tcPr>
            <w:tcW w:w="120" w:type="dxa"/>
            <w:vAlign w:val="bottom"/>
          </w:tcPr>
          <w:p>
            <w:pPr>
              <w:spacing w:after="0"/>
              <w:rPr>
                <w:sz w:val="14"/>
                <w:szCs w:val="14"/>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3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RSUs</w:t>
            </w:r>
          </w:p>
        </w:tc>
        <w:tc>
          <w:tcPr>
            <w:tcW w:w="520" w:type="dxa"/>
            <w:vAlign w:val="bottom"/>
          </w:tcPr>
          <w:p>
            <w:pPr>
              <w:jc w:val="right"/>
              <w:spacing w:after="0"/>
              <w:rPr>
                <w:sz w:val="20"/>
                <w:szCs w:val="20"/>
                <w:color w:val="auto"/>
              </w:rPr>
            </w:pPr>
            <w:r>
              <w:rPr>
                <w:rFonts w:ascii="Arial" w:cs="Arial" w:eastAsia="Arial" w:hAnsi="Arial"/>
                <w:sz w:val="18"/>
                <w:szCs w:val="18"/>
                <w:color w:val="auto"/>
              </w:rPr>
              <w:t>887</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80" w:hanging="319"/>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totals do not include 12,799 performance based RSUs and 66,666 performance based options for the three months ended March 31, 2016 and 2015, respectively, representing the right to acquire the equivalent number of shares of common stock for which all targets required to trigger vesting have not been achieved; therefore, such awards were excluded from the calculation of weighted average shares used to compute Diluted EPS for those reporting periods.</w:t>
      </w:r>
    </w:p>
    <w:p>
      <w:pPr>
        <w:spacing w:after="0" w:line="18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consider Liberty TripAdvisor Holdings, Inc. (“LTRIP”) a related party. As of March 31, 2016, LTRIP beneficially owned 18,159,752 shares of our common stock and 12,799,999 shares of our Class B common stock, which shares constitute 13.7% of the outstanding shares of common stock and 100% of the outstanding shares of Class B common stock. Assuming the conversion of all of LTRIP’s shares of Class B common stock into common stock, LTRIP would beneficially own 21.3% of the outstanding common stock. Because each share of Class B common stock generally is entitled to ten votes per share and each share of common stock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entitled to one vote per share, LTRIP may be deemed to beneficially own equity securities representing approximately 56.0% of our voting power.</w:t>
      </w:r>
    </w:p>
    <w:p>
      <w:pPr>
        <w:sectPr>
          <w:pgSz w:w="11900" w:h="16838" w:orient="portrait"/>
          <w:cols w:equalWidth="0" w:num="1">
            <w:col w:w="10540"/>
          </w:cols>
          <w:pgMar w:left="240" w:top="476" w:right="1119" w:bottom="1440" w:gutter="0" w:footer="0" w:header="0"/>
        </w:sect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had no related party transactions with LTRIP during the three months ended March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240" w:top="476" w:right="11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2015.</w:t>
      </w:r>
    </w:p>
    <w:p>
      <w:pPr>
        <w:spacing w:after="0" w:line="6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Quarterly Report on Form 10-Q for the three months ended March 31, 2016, Part II, Item 1A, “Risk Factors.”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flights, cruises, vacation rentals, activities and attractions, and restaurant reservations.</w:t>
      </w:r>
    </w:p>
    <w:p>
      <w:pPr>
        <w:spacing w:after="0" w:line="193"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Our TripAdvisor-branded websites include tripadvisor.com in the United States and localized versions of the TripAdvisor website in 47 markets worldwide. Our TripAdvisor-branded websites reached 340 million average monthly unique visitors during the quarter ended March 31, 2016, according to our internal log files. We currently feature 350 million reviews and opinions on 6.5 million places to stay, places to eat and things to do – including 1,020,000 hotels and accommodations and 775,000 vacation rentals, 4.0 million restaurants and 655,000 attractions around the world. In addition to user-generated content, our websites feature price comparison tools and links to partner websites, including travel advertisers, on which users can book their travel arrangements. Users may now also complete hotel bookings directly without our partners through tripadvisor.com and also through the TripAdvisor mobile application where coverage is available. In addition to the flagship TripAdvisor brand, we now manage and operate 23 other travel media brands, connected by the common goal of providing users the most comprehensive travel-planning and trip-taking resources in the travel industry.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and Trends</w:t>
      </w:r>
    </w:p>
    <w:p>
      <w:pPr>
        <w:spacing w:after="0" w:line="12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the first quarter of 2016, we have made the following changes to our internal reporting: (1) we will provide additional disclosure on our revenue sources within our Hotel segment, which will replace our previously reported revenue disclosures of click-based advertising revenue, display based advertising revenue, and subscription, transaction and other revenues; and (2) we have changed the name of our “Other” reportable segment to “Non-Hotel.” These changes had no effect on our consolidated financial statements or to previously reported segment information, as there was no change in the composition of our operating or reportable segments. These reporting changes are described more fully in the following discussion.</w:t>
      </w:r>
    </w:p>
    <w:p>
      <w:pPr>
        <w:spacing w:after="0" w:line="64" w:lineRule="exact"/>
        <w:rPr>
          <w:sz w:val="20"/>
          <w:szCs w:val="20"/>
          <w:color w:val="auto"/>
        </w:rPr>
      </w:pPr>
    </w:p>
    <w:p>
      <w:pPr>
        <w:ind w:firstLine="552"/>
        <w:spacing w:after="0" w:line="297" w:lineRule="auto"/>
        <w:rPr>
          <w:sz w:val="20"/>
          <w:szCs w:val="20"/>
          <w:color w:val="auto"/>
        </w:rPr>
      </w:pPr>
      <w:r>
        <w:rPr>
          <w:rFonts w:ascii="Arial" w:cs="Arial" w:eastAsia="Arial" w:hAnsi="Arial"/>
          <w:sz w:val="16"/>
          <w:szCs w:val="16"/>
          <w:color w:val="auto"/>
        </w:rPr>
        <w:t>Our long-term financial results are highly dependent on our ability to grow our Hotel segment. We are investing in areas of potential growth, including enabling users to transact directly on our site through our instant booking feature, international expansion and innovations in the mobile user experience. We are also investing in our Non-Hotel segment, which includes our Attractions, Restaurants and Vacation Rental businesses. As the largest online travel website, we believe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base. The key drivers of our financial results are described below, including a summary of our key growth areas and current trends impacting our business, including our reportable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Growth Areas</w:t>
      </w:r>
    </w:p>
    <w:p>
      <w:pPr>
        <w:spacing w:after="0" w:line="121" w:lineRule="exact"/>
        <w:rPr>
          <w:sz w:val="20"/>
          <w:szCs w:val="20"/>
          <w:color w:val="auto"/>
        </w:rPr>
      </w:pPr>
    </w:p>
    <w:p>
      <w:pPr>
        <w:jc w:val="both"/>
        <w:ind w:firstLine="552"/>
        <w:spacing w:after="0" w:line="277" w:lineRule="auto"/>
        <w:rPr>
          <w:sz w:val="20"/>
          <w:szCs w:val="20"/>
          <w:color w:val="auto"/>
        </w:rPr>
      </w:pPr>
      <w:r>
        <w:rPr>
          <w:rFonts w:ascii="Arial" w:cs="Arial" w:eastAsia="Arial" w:hAnsi="Arial"/>
          <w:sz w:val="18"/>
          <w:szCs w:val="18"/>
          <w:color w:val="auto"/>
        </w:rPr>
        <w:t>We continue to invest in areas of potential growth, including our content and community, product innovation, and expansion into international markets and adjacent businesses.</w:t>
      </w:r>
    </w:p>
    <w:p>
      <w:pPr>
        <w:spacing w:after="0" w:line="170" w:lineRule="exact"/>
        <w:rPr>
          <w:sz w:val="20"/>
          <w:szCs w:val="20"/>
          <w:color w:val="auto"/>
        </w:rPr>
      </w:pPr>
    </w:p>
    <w:p>
      <w:pPr>
        <w:jc w:val="both"/>
        <w:ind w:firstLine="552"/>
        <w:spacing w:after="0" w:line="312" w:lineRule="auto"/>
        <w:rPr>
          <w:sz w:val="20"/>
          <w:szCs w:val="20"/>
          <w:color w:val="auto"/>
        </w:rPr>
      </w:pPr>
      <w:r>
        <w:rPr>
          <w:rFonts w:ascii="Arial" w:cs="Arial" w:eastAsia="Arial" w:hAnsi="Arial"/>
          <w:sz w:val="16"/>
          <w:szCs w:val="16"/>
          <w:i w:val="1"/>
          <w:iCs w:val="1"/>
          <w:color w:val="auto"/>
        </w:rPr>
        <w:t>Content &amp; Community</w:t>
      </w:r>
      <w:r>
        <w:rPr>
          <w:rFonts w:ascii="Arial" w:cs="Arial" w:eastAsia="Arial" w:hAnsi="Arial"/>
          <w:sz w:val="16"/>
          <w:szCs w:val="16"/>
          <w:color w:val="auto"/>
        </w:rPr>
        <w:t>. TripAdvisor is a website on which travelers can research content and share their travel experiences with the rest of the world.</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Establishing and nurturing a sense of community among users and brand loyalty is a key priority and a competitive advantage for TripAdvisor. As a result, we continue to look for ways to make it easier for users to plan, compare and book their perfect trip on TripAdvisor as well as to share their experiences.</w:t>
      </w:r>
    </w:p>
    <w:p>
      <w:pPr>
        <w:spacing w:after="0" w:line="147" w:lineRule="exact"/>
        <w:rPr>
          <w:sz w:val="20"/>
          <w:szCs w:val="20"/>
          <w:color w:val="auto"/>
        </w:rPr>
      </w:pPr>
    </w:p>
    <w:p>
      <w:pPr>
        <w:ind w:right="80" w:firstLine="552"/>
        <w:spacing w:after="0" w:line="257" w:lineRule="auto"/>
        <w:rPr>
          <w:sz w:val="20"/>
          <w:szCs w:val="20"/>
          <w:color w:val="auto"/>
        </w:rPr>
      </w:pPr>
      <w:r>
        <w:rPr>
          <w:rFonts w:ascii="Arial" w:cs="Arial" w:eastAsia="Arial" w:hAnsi="Arial"/>
          <w:sz w:val="18"/>
          <w:szCs w:val="18"/>
          <w:i w:val="1"/>
          <w:iCs w:val="1"/>
          <w:color w:val="auto"/>
        </w:rPr>
        <w:t>Mobile</w:t>
      </w:r>
      <w:r>
        <w:rPr>
          <w:rFonts w:ascii="Arial" w:cs="Arial" w:eastAsia="Arial" w:hAnsi="Arial"/>
          <w:sz w:val="18"/>
          <w:szCs w:val="18"/>
          <w:color w:val="auto"/>
        </w:rPr>
        <w:t>. Innovating and improving our mobile products is a key priority. As of March 31, 2016, we reached 315 million downloads of our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apps and average monthly unique visitors via smartphone and tablet devices grew 29% year-over-year, according to our internal log files. We anticipate that the rate of growth in mobile visitors will continue to exceed the growth rate of our overall unique monthly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8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i w:val="1"/>
          <w:iCs w:val="1"/>
          <w:color w:val="auto"/>
        </w:rPr>
        <w:t xml:space="preserve">Instant Booking. </w:t>
      </w:r>
      <w:r>
        <w:rPr>
          <w:rFonts w:ascii="Arial" w:cs="Arial" w:eastAsia="Arial" w:hAnsi="Arial"/>
          <w:sz w:val="16"/>
          <w:szCs w:val="16"/>
          <w:color w:val="auto"/>
        </w:rPr>
        <w:t>Instant booking is a feature that enables users to book a hotel reservation directly with a hotel or OTA partner while remaining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TripAdvisor website. We believe that allowing users to book directly online without leaving our TripAdvisor websites will result in a better user experience as well as, ultimately, generate additional revenue to the Company. As a result, we have been gradually rolling this feature out in the U.S. since June 2014 and, in 2015, accelerated the rollout for hotels across our U.S. and U.K. platforms to all users on all devices. In 2016, we have continued to roll out instant booking to additional countries and, as of March 31, 2016, have substantially completed our global rollout on all devices. Our business success depends in large part on our ability to maintain and expand relationships with our partners in the travel industry. These partners power the instant booking feature on our website and we believe that these partners will also benefit from this feature, through increased reservations and more direct relationships with travelers.</w:t>
      </w:r>
    </w:p>
    <w:p>
      <w:pPr>
        <w:spacing w:after="0" w:line="16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are focused on strengthening our broad global footprint as we believe that penetrating international markets represents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opportunity for us. We continue to improve localization and grow our user base in Europe, Asia and South America, especially in emerging markets, such as Brazil, Russia and China, including a lead product offering in the Chinese market—Mao Tu Ying (or TripAdvisor China) — headquartered in Beijing. During the three months ended March 31, 2016 and 2015, international revenue accounted for 46% and 50%, respectively, of our worldwide revenue.</w:t>
      </w:r>
    </w:p>
    <w:p>
      <w:pPr>
        <w:spacing w:after="0" w:line="18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i w:val="1"/>
          <w:iCs w:val="1"/>
          <w:color w:val="auto"/>
        </w:rPr>
        <w:t xml:space="preserve">Attractions, Restaurants and Vacation Rentals. </w:t>
      </w:r>
      <w:r>
        <w:rPr>
          <w:rFonts w:ascii="Arial" w:cs="Arial" w:eastAsia="Arial" w:hAnsi="Arial"/>
          <w:sz w:val="18"/>
          <w:szCs w:val="18"/>
          <w:color w:val="auto"/>
        </w:rPr>
        <w:t>TripAdvisor has information and user-generated content on 4.0 million restaurants and 655,000</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attractions around the world. As a significant percentage of our users are not hotel shoppers, we believe TripAdvisor has a unique opportunity to monetize its community of these non-hotel shoppers looking for places to eat and things to do. With the acquisitions of our online restaurant reservation businesses, and Viator for online bookable tours and attractions, we are attempting to match more users with more businesses. In addition, we provide access to vacation rentals to our users. We offer individual property owners and property managers the ability to list their properties using a free-to-list, commission-based structure or a subscription-based fee option and we believe our highly-engaged and motivated user community creates a competitive advantage for us in this market. In the three months ended March 31, 2016, Vacation Rental property listings grew 11% to 775,000 properties, driven by strong listings growth in our free-to-list model.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a number of trends that affect our business.  Following are some examples: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Continued Shift to Online Travel and Social Media to Access Travel Information. </w:t>
      </w:r>
      <w:r>
        <w:rPr>
          <w:rFonts w:ascii="Arial" w:cs="Arial" w:eastAsia="Arial" w:hAnsi="Arial"/>
          <w:sz w:val="17"/>
          <w:szCs w:val="17"/>
          <w:color w:val="auto"/>
        </w:rPr>
        <w:t>According to Phocuswright, global travel spending is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greater than $1.3 trillion in 2016. Travel related commerce, information and advertising continue to migrate to the Internet and away from traditional media outlets. For example, consumers are increasingly using online social media channels, such as Facebook and Twitter, as a means to communicate and exchange information, including travel information and opinions. We believe this trend will continue to create strategic growth opportunities, allowing us to attract new consumers and develop unique and effective advertising solutions. Over the years, we have made significant progress using social networking to leverage the expanding use of these channels and enhance traffic diversification and user engagement.</w:t>
      </w:r>
    </w:p>
    <w:p>
      <w:pPr>
        <w:spacing w:after="0" w:line="70" w:lineRule="exact"/>
        <w:rPr>
          <w:sz w:val="20"/>
          <w:szCs w:val="20"/>
          <w:color w:val="auto"/>
        </w:rPr>
      </w:pPr>
    </w:p>
    <w:p>
      <w:pPr>
        <w:ind w:right="20" w:firstLine="552"/>
        <w:spacing w:after="0" w:line="277" w:lineRule="auto"/>
        <w:rPr>
          <w:sz w:val="20"/>
          <w:szCs w:val="20"/>
          <w:color w:val="auto"/>
        </w:rPr>
      </w:pPr>
      <w:r>
        <w:rPr>
          <w:rFonts w:ascii="Arial" w:cs="Arial" w:eastAsia="Arial" w:hAnsi="Arial"/>
          <w:sz w:val="18"/>
          <w:szCs w:val="18"/>
          <w:color w:val="auto"/>
        </w:rPr>
        <w:t>We believe that the Internet will continue to become even more integral to the travel-planning process due to increasing worldwide online penetration, particularly given the capabilities that the Internet provides travelers, including the ability to refine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2" w:name="page23"/>
    <w:bookmarkEnd w:id="22"/>
    <w:p>
      <w:pPr>
        <w:ind w:right="220"/>
        <w:spacing w:after="0" w:line="277" w:lineRule="auto"/>
        <w:rPr>
          <w:sz w:val="20"/>
          <w:szCs w:val="20"/>
          <w:color w:val="auto"/>
        </w:rPr>
      </w:pPr>
      <w:r>
        <w:rPr>
          <w:rFonts w:ascii="Arial" w:cs="Arial" w:eastAsia="Arial" w:hAnsi="Arial"/>
          <w:sz w:val="18"/>
          <w:szCs w:val="18"/>
          <w:color w:val="auto"/>
        </w:rPr>
        <w:t>searches, compare destinations, view real-time pricing, complete bookings, and access information while in-destination. We will continue to adapt our user experience in response to a changing Internet environment and usage trends.</w:t>
      </w:r>
    </w:p>
    <w:p>
      <w:pPr>
        <w:spacing w:after="0" w:line="170"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planning industry and, more generally, the business of collecting and aggregating travel-related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as well as enabling consumers to purchase travel-related products, continues to be increasingly competitive. There are an increasing number of companies who collect and aggregate travel information and resources and enable consumers to plan and book travel. These include search companies, such as Google, Inc. and Baidu.com, Inc.; large and increasingly consolidating online travel agencies, or OTAs (such as Expedia and Priceline and their respective subsidiaries); as well as new global entrants such as Airbnb, Inc. and Alibaba. We plan to continue to invest in order to remain the leading source of travel reviews as well as to continue to enhance our user experience. For further description of our competition see Item 1 “Business”, in our Annual Report on Form 10-K for the year ended December 31, 2015.</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i w:val="1"/>
          <w:iCs w:val="1"/>
          <w:color w:val="auto"/>
        </w:rPr>
        <w:t xml:space="preserve">Accelerated Rollout of Instant Booking. </w:t>
      </w:r>
      <w:r>
        <w:rPr>
          <w:rFonts w:ascii="Arial" w:cs="Arial" w:eastAsia="Arial" w:hAnsi="Arial"/>
          <w:sz w:val="16"/>
          <w:szCs w:val="16"/>
          <w:color w:val="auto"/>
        </w:rPr>
        <w:t>Hotel revenue from our instant booking feature is included in our TripAdvisor-branded click-based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transaction revenue in our Hotel segment. Currently our instant booking feature is monetizing at a lower revenue per hotel shopper rate than our metasearch feature, or click-based advertising revenue. While we expect to close this monetization gap, primarily by continuing to streamline our booking path to optimize user experience, persistently promoting the TripAdvisor brand as the place to “plan, compare and book” and continuing to seek partners with strong branding and supply channels in order to try and achieve higher conversion rates and repeat hotel bookings, there is no guarantee that these initiatives will ultimately be successful and, if not, our TripAdvisor-branded click-based and transaction revenue may be materially adversely affected. In addition, our instant booking revenue recorded under the consumption model is recognized at the time the traveler consumes the stay. Comparatively, instant booking revenue under the transaction model is recorded at the time the user books the stay and our metasearch feature, or click-based advertising revenue, is recorded when a traveler makes the click-through to the travel partners’ websites, even if the traveler does not book during that search. Based on our internal data, we currently estimate the average time between a user booking a stay to consuming a stay is approximately three to five weeks, subject to seasonal variations. In future periods, greater contribution from our instant booking consumption model to TripAdvisor-branded click-based and transaction revenue could result in additional revenue recognized at the time of a consumed stay and therefore a shift in the timing of our revenue recognition.</w:t>
      </w:r>
    </w:p>
    <w:p>
      <w:pPr>
        <w:spacing w:after="0" w:line="169"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i w:val="1"/>
          <w:iCs w:val="1"/>
          <w:color w:val="auto"/>
        </w:rPr>
        <w:t xml:space="preserve">Evolution of the 360 Degree Travel Experience. </w:t>
      </w:r>
      <w:r>
        <w:rPr>
          <w:rFonts w:ascii="Arial" w:cs="Arial" w:eastAsia="Arial" w:hAnsi="Arial"/>
          <w:sz w:val="16"/>
          <w:szCs w:val="16"/>
          <w:color w:val="auto"/>
        </w:rPr>
        <w:t>We believe our role in the overall travel experience continues to grow in importance in the travel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as we emphasize to travelers that we are the place to come “plan, compare and book” their trip. Our websites globally reached 340 million average monthly unique visitors during the three months ended March 31, 2016, according to our internal log files. With 350 million reviews and opinions on</w:t>
      </w:r>
    </w:p>
    <w:p>
      <w:pPr>
        <w:ind w:right="40"/>
        <w:spacing w:after="0" w:line="253" w:lineRule="auto"/>
        <w:rPr>
          <w:sz w:val="20"/>
          <w:szCs w:val="20"/>
          <w:color w:val="auto"/>
        </w:rPr>
      </w:pPr>
      <w:r>
        <w:rPr>
          <w:rFonts w:ascii="Arial" w:cs="Arial" w:eastAsia="Arial" w:hAnsi="Arial"/>
          <w:sz w:val="18"/>
          <w:szCs w:val="18"/>
          <w:color w:val="auto"/>
        </w:rPr>
        <w:t>6.5 million places to stay, places to eat and things to do – including 1,020,000 hotels and accommodations and 775,000 vacation rentals, 4.0 million restaurants and 655,000 attractions in 135,000 destinations throughout the world - we believe we have the best content in the travel industry for research and travel planning decision-making. When combined with our hotel metasearch capabilities to compare and find the best prices; our instant booking feature, allowing users to book their hotels on all devices directly on our website; and, subsequent to their trip, the ability to submit a traveler review, TripAdvisor has become a 360 degree or end to end travel experience.</w:t>
      </w:r>
    </w:p>
    <w:p>
      <w:pPr>
        <w:spacing w:after="0" w:line="191"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i w:val="1"/>
          <w:iCs w:val="1"/>
          <w:color w:val="auto"/>
        </w:rPr>
        <w:t xml:space="preserve">Growth in Mobile Phone and Other Handheld Devices. </w:t>
      </w:r>
      <w:r>
        <w:rPr>
          <w:rFonts w:ascii="Arial" w:cs="Arial" w:eastAsia="Arial" w:hAnsi="Arial"/>
          <w:sz w:val="18"/>
          <w:szCs w:val="18"/>
          <w:color w:val="auto"/>
        </w:rPr>
        <w:t>To access the internet, users are increasingly using devices other than desktop computers,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mobile phones and handheld computers such as notebooks and tablets.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display advertising, our users could decide to access our products primarily through mobile phone devices. We do display graphic advertising on mobile phones; however, our mobile phone monetization strategies are still developing, as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 The chief operating decision maker for the Company is our Chief Executive Officer.</w:t>
      </w:r>
    </w:p>
    <w:p>
      <w:pPr>
        <w:spacing w:after="0" w:line="79"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color w:val="auto"/>
        </w:rPr>
        <w:t>As discussed above, in the first quarter of 2016 we renamed our “Other” reportable segment “Non-Hotel.” This change had no effect on our consolidated financial statements or to previously reported segment information, as there was no change in the composition of our operating or reportable segments. For further description of our segments see Item 1 “Business”, in our Annual Report on Form 10-K for the year ended December 31, 2015 and “Note 10— Segment Information” in the notes to the unaudited condensed consolidated financial statements in this Quarterly Report on Form 10-Q.</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As of March 31, 2016, we had 3,108 employees. Of these employees, approximately 51%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40" w:firstLine="552"/>
        <w:spacing w:after="0" w:line="279" w:lineRule="auto"/>
        <w:rPr>
          <w:sz w:val="20"/>
          <w:szCs w:val="20"/>
          <w:color w:val="auto"/>
        </w:rPr>
      </w:pPr>
      <w:r>
        <w:rPr>
          <w:rFonts w:ascii="Arial" w:cs="Arial" w:eastAsia="Arial" w:hAnsi="Arial"/>
          <w:sz w:val="17"/>
          <w:szCs w:val="17"/>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820" w:hanging="299"/>
        <w:spacing w:after="0" w:line="232" w:lineRule="auto"/>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95" w:lineRule="exact"/>
        <w:rPr>
          <w:rFonts w:ascii="Arial" w:cs="Arial" w:eastAsia="Arial" w:hAnsi="Arial"/>
          <w:sz w:val="22"/>
          <w:szCs w:val="22"/>
          <w:color w:val="auto"/>
        </w:rPr>
      </w:pPr>
    </w:p>
    <w:p>
      <w:pPr>
        <w:ind w:left="820" w:right="100" w:hanging="299"/>
        <w:spacing w:after="0" w:line="232" w:lineRule="auto"/>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20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Pronouncements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March 2016, the Financial Accounting Standards Board (“FASB”) issued new accounting guidance on stock compensation which changes how companies account for certain aspects of share-based payment awards to employees, including the accounting for income taxes, forfeitures, and statutory tax withholding requirements, as well as classification in the statement of cash flows. This guidance is effective for fiscal years, and interim periods within those fiscal years, beginning after December 15, 2016, with early adoption permitted. We are currently evaluating the effect that the updated standard will have on our consolidated financial statements and related disclosures.</w:t>
      </w:r>
    </w:p>
    <w:p>
      <w:pPr>
        <w:spacing w:after="0" w:line="8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The new guidance will continue to classify leases as either finance or operating, with classification affecting the pattern of expense recognition in the statement of operations. This guidance is effective for fiscal years, and interim periods within those fiscal years, beginning after December 15, 2018, with early adoption permitted. We are currently evaluating the effect that the updated standard will have on our consolidated financial statements and related disclosures.</w:t>
      </w:r>
    </w:p>
    <w:p>
      <w:pPr>
        <w:spacing w:after="0" w:line="6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This new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4" w:name="page25"/>
    <w:bookmarkEnd w:id="24"/>
    <w:p>
      <w:pPr>
        <w:spacing w:after="0" w:line="297" w:lineRule="auto"/>
        <w:rPr>
          <w:sz w:val="20"/>
          <w:szCs w:val="20"/>
          <w:color w:val="auto"/>
        </w:rPr>
      </w:pPr>
      <w:r>
        <w:rPr>
          <w:rFonts w:ascii="Arial" w:cs="Arial" w:eastAsia="Arial" w:hAnsi="Arial"/>
          <w:sz w:val="16"/>
          <w:szCs w:val="16"/>
          <w:color w:val="auto"/>
        </w:rPr>
        <w:t>and the implementation guidance for licensing.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are currently evaluating the effect that the updated standard will have on our consolidated financial statements and related disclosures.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76" w:right="31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percentages)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40" w:type="dxa"/>
            <w:vAlign w:val="bottom"/>
            <w:tcBorders>
              <w:top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2016 vs. 2015</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363</w:t>
            </w: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273</w:t>
            </w:r>
          </w:p>
        </w:tc>
        <w:tc>
          <w:tcPr>
            <w:tcW w:w="280" w:type="dxa"/>
            <w:vAlign w:val="bottom"/>
          </w:tcPr>
          <w:p>
            <w:pPr>
              <w:spacing w:after="0"/>
              <w:rPr>
                <w:sz w:val="19"/>
                <w:szCs w:val="19"/>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Financial Data:</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54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2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See “Adjusted EBITDA” discussion below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Adjusted EBITDA is the primary metric by which management evaluates the performance of its business and on which internal budgets and forecasts are based. In particular, the exclusion of certain expenses in calculating Adjusted EBITDA facilitates operating performance comparisons on a period-to-period basis. We believe that by excluding certain non-cash expenses, such as stock-based compensation,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7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62"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6" w:name="page27"/>
    <w:bookmarkEnd w:id="26"/>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70" w:lineRule="exact"/>
        <w:rPr>
          <w:sz w:val="20"/>
          <w:szCs w:val="20"/>
          <w:color w:val="auto"/>
        </w:rPr>
      </w:pPr>
    </w:p>
    <w:p>
      <w:pPr>
        <w:jc w:val="both"/>
        <w:ind w:right="80" w:firstLine="518"/>
        <w:spacing w:after="0" w:line="342" w:lineRule="auto"/>
        <w:rPr>
          <w:sz w:val="20"/>
          <w:szCs w:val="20"/>
          <w:color w:val="auto"/>
        </w:rPr>
      </w:pPr>
      <w:r>
        <w:rPr>
          <w:rFonts w:ascii="Arial" w:cs="Arial" w:eastAsia="Arial" w:hAnsi="Arial"/>
          <w:sz w:val="16"/>
          <w:szCs w:val="16"/>
          <w:color w:val="auto"/>
        </w:rPr>
        <w:t>Refer to “Note 10— Segment Information” in the notes to our unaudited condensed consolidated financial statements for a reconciliation of Adjusted EBITDA to net income, the most directly comparable financial measure calculated and presented in accordance with GAAP, for the periods presented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the first quarter of 2016 we began providing additional disclosure on our revenue sources within our Hotel segment, which are TripAdvisor-branded click-based and transaction revenue, TripAdvisor-branded display-based advertising and subscription revenue; and other hotel revenue. The purpose of this additional disclosure is to provide further understanding of our hotel revenue sources and allow for additional insight into the calculation of one of our key operating performance metrics, revenue per hotel shopper. In conjunction with providing these additional revenue disclosures, we will no longer provide our historically reported revenue disclosure of click-based advertising, display-based advertising, and subscription, transaction and other revenues. This change had no effect on our consolidated financial statements in any period or with the composition of our operating or reportable segments.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gridSpan w:val="5"/>
          </w:tcPr>
          <w:p>
            <w:pPr>
              <w:jc w:val="right"/>
              <w:ind w:right="385"/>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370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27"/>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6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240" w:type="dxa"/>
            <w:vAlign w:val="bottom"/>
            <w:tcBorders>
              <w:bottom w:val="single" w:sz="8" w:color="CFF0FC"/>
            </w:tcBorders>
          </w:tcPr>
          <w:p>
            <w:pPr>
              <w:spacing w:after="0"/>
              <w:rPr>
                <w:sz w:val="13"/>
                <w:szCs w:val="13"/>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Segment:</w:t>
            </w: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140" w:type="dxa"/>
            <w:vAlign w:val="bottom"/>
            <w:gridSpan w:val="4"/>
            <w:shd w:val="clear" w:color="auto" w:fill="CFF0FC"/>
          </w:tcPr>
          <w:p>
            <w:pPr>
              <w:jc w:val="right"/>
              <w:ind w:right="965"/>
              <w:spacing w:after="0"/>
              <w:rPr>
                <w:sz w:val="20"/>
                <w:szCs w:val="20"/>
                <w:color w:val="auto"/>
              </w:rPr>
            </w:pPr>
            <w:r>
              <w:rPr>
                <w:rFonts w:ascii="Arial" w:cs="Arial" w:eastAsia="Arial" w:hAnsi="Arial"/>
                <w:sz w:val="14"/>
                <w:szCs w:val="14"/>
                <w:b w:val="1"/>
                <w:bCs w:val="1"/>
                <w:color w:val="auto"/>
              </w:rPr>
              <w:t>(in millions)</w:t>
            </w: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Hotel</w:t>
            </w:r>
          </w:p>
        </w:tc>
        <w:tc>
          <w:tcPr>
            <w:tcW w:w="156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9"/>
                <w:szCs w:val="19"/>
                <w:color w:val="auto"/>
              </w:rPr>
            </w:pPr>
          </w:p>
        </w:tc>
        <w:tc>
          <w:tcPr>
            <w:tcW w:w="130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46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4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r>
      <w:tr>
        <w:trPr>
          <w:trHeight w:val="263"/>
        </w:trPr>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FF0FC"/>
            </w:tcBorders>
          </w:tcPr>
          <w:p>
            <w:pPr>
              <w:spacing w:after="0"/>
              <w:rPr>
                <w:sz w:val="22"/>
                <w:szCs w:val="22"/>
                <w:color w:val="auto"/>
              </w:rPr>
            </w:pPr>
          </w:p>
        </w:tc>
        <w:tc>
          <w:tcPr>
            <w:tcW w:w="1160" w:type="dxa"/>
            <w:vAlign w:val="bottom"/>
            <w:tcBorders>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160" w:type="dxa"/>
            <w:vAlign w:val="bottom"/>
            <w:tcBorders>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460" w:type="dxa"/>
            <w:vAlign w:val="bottom"/>
            <w:tcBorders>
              <w:bottom w:val="single" w:sz="8" w:color="CFF0FC"/>
            </w:tcBorders>
          </w:tcPr>
          <w:p>
            <w:pPr>
              <w:spacing w:after="0"/>
              <w:rPr>
                <w:sz w:val="22"/>
                <w:szCs w:val="22"/>
                <w:color w:val="auto"/>
              </w:rPr>
            </w:pPr>
          </w:p>
        </w:tc>
        <w:tc>
          <w:tcPr>
            <w:tcW w:w="19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 by Segment (1):</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Hotel</w:t>
            </w:r>
          </w:p>
        </w:tc>
        <w:tc>
          <w:tcPr>
            <w:tcW w:w="156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9"/>
                <w:szCs w:val="19"/>
                <w:color w:val="auto"/>
              </w:rPr>
            </w:pPr>
          </w:p>
        </w:tc>
        <w:tc>
          <w:tcPr>
            <w:tcW w:w="130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(5)</w:t>
            </w: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r>
      <w:tr>
        <w:trPr>
          <w:trHeight w:val="263"/>
        </w:trPr>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Adjusted EBITDA</w:t>
            </w:r>
          </w:p>
        </w:tc>
        <w:tc>
          <w:tcPr>
            <w:tcW w:w="40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Borders>
              <w:bottom w:val="single" w:sz="8" w:color="CFF0FC"/>
            </w:tcBorders>
          </w:tcPr>
          <w:p>
            <w:pPr>
              <w:spacing w:after="0"/>
              <w:rPr>
                <w:sz w:val="22"/>
                <w:szCs w:val="22"/>
                <w:color w:val="auto"/>
              </w:rPr>
            </w:pPr>
          </w:p>
        </w:tc>
        <w:tc>
          <w:tcPr>
            <w:tcW w:w="19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 Margin by Segment (2):</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Hotel</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left="1120" w:right="2620" w:hanging="301"/>
        <w:spacing w:after="0" w:line="227" w:lineRule="auto"/>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Adjusted EBITDA is a general and administrative expense allocation for each segment, which is based on the segment’s percentage of our total personnel costs. See “Note 10 </w:t>
      </w:r>
      <w:r>
        <w:rPr>
          <w:rFonts w:ascii="Arial" w:cs="Arial" w:eastAsia="Arial" w:hAnsi="Arial"/>
          <w:sz w:val="14"/>
          <w:szCs w:val="14"/>
          <w:i w:val="1"/>
          <w:iCs w:val="1"/>
          <w:color w:val="auto"/>
        </w:rPr>
        <w:t>—</w:t>
      </w:r>
      <w:r>
        <w:rPr>
          <w:rFonts w:ascii="Arial" w:cs="Arial" w:eastAsia="Arial" w:hAnsi="Arial"/>
          <w:sz w:val="14"/>
          <w:szCs w:val="14"/>
          <w:color w:val="auto"/>
        </w:rPr>
        <w:t xml:space="preserve"> Segment Information,” in the notes to our unaudited condensed consolidated financial statements for more information.</w:t>
      </w:r>
    </w:p>
    <w:p>
      <w:pPr>
        <w:ind w:left="1120" w:hanging="301"/>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“Adjusted EBITDA margin”, a non-GAAP measure, as Adjusted EBITDA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-388620</wp:posOffset>
            </wp:positionV>
            <wp:extent cx="5351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Our Hotel segment revenue decreased by $17 million during the three months ended March 31, 2016 when compared to the same period in 2015, primarily due to a $29 million decrease in TripAdvisor-branded click-based and transaction revenue, primarily due to a decline in revenue per hotel shopper of 24%, largely due to the global rollout of our instant booking feature, partially offset by growth of $7 million in TripAdvisor-branded display-based advertising and subscription revenue, and $5 million in other hotel revenue, all of which are discussed below.</w:t>
      </w:r>
    </w:p>
    <w:p>
      <w:pPr>
        <w:spacing w:after="0" w:line="63"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Adjusted EBITDA in our Hotel segment decreased $26 million during three months ended March 31, 2016 when compared to the same period in 2015, primarily due to a decrease in revenue and increased personnel and overhead costs and online traffic acquisition costs offset by lower television advertising costs due to the cessation of our television advertising campaign. Our Hotel segment adjusted EBITDA margin decelerated during the three months ended March 31, 2016 when compared to the same period in 2015, primarily due to an overall decrease in Hotel revenue and to a lesser extent increased investment levels to support growth.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4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47"/>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50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2016 vs. 2015</w:t>
            </w:r>
          </w:p>
        </w:tc>
      </w:tr>
      <w:tr>
        <w:trPr>
          <w:trHeight w:val="156"/>
        </w:trPr>
        <w:tc>
          <w:tcPr>
            <w:tcW w:w="4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3"/>
          </w:tcPr>
          <w:p>
            <w:pPr>
              <w:jc w:val="right"/>
              <w:ind w:right="910"/>
              <w:spacing w:after="0" w:line="155"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TripAdvisor-branded click-based and transaction</w:t>
            </w:r>
          </w:p>
        </w:tc>
        <w:tc>
          <w:tcPr>
            <w:tcW w:w="1540" w:type="dxa"/>
            <w:vAlign w:val="bottom"/>
            <w:gridSpan w:val="2"/>
          </w:tcPr>
          <w:p>
            <w:pPr>
              <w:jc w:val="right"/>
              <w:ind w:right="104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150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w w:val="98"/>
              </w:rPr>
              <w:t>TripAdvisor-branded display-based advertising and</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3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12%</w:t>
            </w:r>
          </w:p>
        </w:tc>
      </w:tr>
      <w:tr>
        <w:trPr>
          <w:trHeight w:val="223"/>
        </w:trPr>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Hotel segment revenue</w:t>
            </w:r>
          </w:p>
        </w:tc>
        <w:tc>
          <w:tcPr>
            <w:tcW w:w="3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2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4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TripAdvisor-branded click-based and transaction revenue includes click-based advertising revenue (our meta-auction) from our TripAdvisor-branded websites and revenue from our instant booking feature. For the three months ended March 31, 2016 and 2015, 62% and 68%, respectively, of our total Hotel segment revenue came from our TripAdvisor-branded click-based and transaction revenue. TripAdvisor-branded click-based and transaction revenue decreased $29 million during the three months ended March 31, 2016 when compared to the same period in 2015, primarily due to a decline of 24% in revenue per hotel shopper, which is explained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Click-based Revenue (meta-auction revenue)</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largest source of Hotel segment revenue is click-based advertising revenue from our TripAdvisor-branded websites, which includes links to our partners’ booking sites and contextually-relevant branded and related text links. Our click-based advertising partners are predominantly online travel agencies, or OTAs, and direct suppliers in the hotel, airline and cruise product categories. Click-based advertising is generally priced on a cost-per-click, or CPC, basis, with payments from advertisers based on the number of users who click on each type of link, or in other words a conversion of hotel shopper to a paid click. Cost per click is the effective price that partners are willing to pay for a hotel shopper lead, and is determined in a competitive bidding process (our “meta-auction”) that allows our partners to use our proprietary system to submit CPC bids to have their rates and availability listed on our site. When a partner submits a CPC bid, they agree to pay the amount of that bid each time a user subsequently clicks on the URL link to the partner’s website. Bids are submitted periodically – sometimes as often as daily or weekly – on a property-by property basis and the size of the bid relative to other bids received determines the partner’s placement in all metasearch placements on our site with one or more offers shown, including hotel comparison search results and the property detail page. The system is automated and the size of the partner’s bid is the primary factor impacting the partner’s placement on that page. CPCs are generally lower in international markets than in the U.S. market, and, in addition, hotel shoppers visiting via mobile phones generally monetize at a significantly lower rate than hotel shoppers visiting via desktop and tablet.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Transaction Revenue</w:t>
      </w:r>
    </w:p>
    <w:p>
      <w:pPr>
        <w:spacing w:after="0" w:line="117" w:lineRule="exact"/>
        <w:rPr>
          <w:sz w:val="20"/>
          <w:szCs w:val="20"/>
          <w:color w:val="auto"/>
        </w:rPr>
      </w:pPr>
    </w:p>
    <w:p>
      <w:pPr>
        <w:ind w:right="220" w:firstLine="518"/>
        <w:spacing w:after="0" w:line="289" w:lineRule="auto"/>
        <w:rPr>
          <w:sz w:val="20"/>
          <w:szCs w:val="20"/>
          <w:color w:val="auto"/>
        </w:rPr>
      </w:pPr>
      <w:r>
        <w:rPr>
          <w:rFonts w:ascii="Arial" w:cs="Arial" w:eastAsia="Arial" w:hAnsi="Arial"/>
          <w:sz w:val="16"/>
          <w:szCs w:val="16"/>
          <w:color w:val="auto"/>
        </w:rPr>
        <w:t>Our transaction revenue is comprised of revenue from our instant booking feature, which enables the merchant of record, generally an OTA or hotel partner, to pay a commission to us for a user that completes a hotel reservation on our website. Instant booking revenue is currently recognized under two different models: the transaction model and the consumption model. Our transaction model commission revenue is recorded at the time a traveler books a hotel reservation on our site with one of our transaction partners. Our transaction partners are liable for commission payments to us upon booking and the partner assumes the cancelation risk. When a traveler makes a hotel reservation on our site with one of our consumption partners, revenue is not recorded until the travelers’ stay. Our consumption partners are liable for commission payment upon the completion of stay by the traveler. OTA and hotel partner placement and comparative hotel prices available to the traveler in the booking process under both models are determined in a bidding process in our proprietary system, based on a number of variables including commission rates, depending on the specific hotel selected. Instant booking commissions are primarily a function of average gross booking value generated from hotel reservations and commission rates negotiated with each of our partners.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Performance Metrics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the growth in unique monthly hotel shoppers and particularly revenue per hotel shopper, which measures how effectively we monetize or convert our hotel shoppers into revenue. We measure performance by calculating revenue per hotel shopper on an aggregate basis, which factors in total unique monthly hotel shoppers on TripAdvisor-branded websites and total TripAdvisor-branded click-based and transaction revenue for the periods presented.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ind w:firstLine="518"/>
        <w:spacing w:after="0" w:line="255" w:lineRule="auto"/>
        <w:rPr>
          <w:sz w:val="20"/>
          <w:szCs w:val="20"/>
          <w:color w:val="auto"/>
        </w:rPr>
      </w:pPr>
      <w:r>
        <w:rPr>
          <w:rFonts w:ascii="Arial" w:cs="Arial" w:eastAsia="Arial" w:hAnsi="Arial"/>
          <w:sz w:val="18"/>
          <w:szCs w:val="18"/>
          <w:color w:val="auto"/>
        </w:rPr>
        <w:t>While we believe total traffic growth, or growth in monthly visits from unique visitors, is reflective of our overall brand growth, we also track and analyze sub-segments of our traffic and their correlation to revenue generation and utilize data regarding hotel shoppers as a key indicator of revenue growth. We use the term “hotel shoppers” to refer to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phones (for which usage trends continue to evolve) and international growth, quarterly and annual hotel shopper growth is difficult to forecast.</w:t>
      </w:r>
    </w:p>
    <w:p>
      <w:pPr>
        <w:spacing w:after="0" w:line="85"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Our aggregate average monthly unique hotel shoppers on TripAdvisor-branded websites increased 13% during the three months ended March 31, 2016 when compared to the same period in 2015, according to our log files. The increase in hotel shoppers for the three months ended March 31, 2016 is primarily due to the success in our online marketing strategy for desktop and tablet devices and the general trend of an increasing number of hotel shoppers visiting our websites on mobile phones. Increasing the number of hotel shoppers on our sites remains a top strategic priority.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2016 vs. 2015</w:t>
            </w: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right"/>
              <w:ind w:right="72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TripAdvisor-branded click-based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transaction revenue</w:t>
            </w:r>
          </w:p>
        </w:tc>
        <w:tc>
          <w:tcPr>
            <w:tcW w:w="130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20"/>
                <w:szCs w:val="20"/>
                <w:color w:val="auto"/>
              </w:rPr>
            </w:pPr>
          </w:p>
        </w:tc>
        <w:tc>
          <w:tcPr>
            <w:tcW w:w="1040" w:type="dxa"/>
            <w:vAlign w:val="bottom"/>
            <w:gridSpan w:val="2"/>
          </w:tcPr>
          <w:p>
            <w:pPr>
              <w:jc w:val="right"/>
              <w:ind w:right="86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Divided by: Total average unique monthly</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hotel shoppers for the quarter</w:t>
            </w:r>
          </w:p>
        </w:tc>
        <w:tc>
          <w:tcPr>
            <w:tcW w:w="28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overall revenue per hotel shopper decreased 24% during the three months ended March 31, 2016 when compared to the same period in 2015, according to our log files. The primary driver of this decrease was due to the impact from (i) the decision to accelerate the rollout of our instant booking feature, which currently monetizes at a lower rate than click-based advertising revenue, into our US and UK markets on all devices in the third quarter of 2015 and into substantially all of our remaining international markets in the first quarter of 2016, (ii) the timing of our revenue recognition, as an increasing portion of our Hotel revenue is being recognized at stay under our instant booking consumption model as opposed to at the time the traveler makes the click-through to the travel partners’ websites under our click-based advertising model or at the time of booking under the instant booking transaction model, (iii) a growing number of hotel shoppers visiting our websites on mobile phones which exhibit a lower rate of conversion and therefore monetize at a significantly lower rate than hotel shoppers visiting via desktop or tablet, and (iv) to a lesser extent fluctuations in foreign exchange rates.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three months ended March 31, 2016 and 2015, 22% and 19%, respectively, of our Hotel segment revenue came from our TripAdvisor-branded display based advertising and subscription revenue, which consists of revenue from display-based advertising, subscription-based hotel advertising revenue (or Business Listings), as well as content licensing with third party websites.</w:t>
      </w:r>
    </w:p>
    <w:p>
      <w:pPr>
        <w:spacing w:after="0" w:line="73" w:lineRule="exact"/>
        <w:rPr>
          <w:sz w:val="20"/>
          <w:szCs w:val="20"/>
          <w:color w:val="auto"/>
        </w:rPr>
      </w:pPr>
    </w:p>
    <w:p>
      <w:pPr>
        <w:jc w:val="both"/>
        <w:ind w:right="200" w:firstLine="518"/>
        <w:spacing w:after="0" w:line="302" w:lineRule="auto"/>
        <w:rPr>
          <w:sz w:val="20"/>
          <w:szCs w:val="20"/>
          <w:color w:val="auto"/>
        </w:rPr>
      </w:pPr>
      <w:r>
        <w:rPr>
          <w:rFonts w:ascii="Arial" w:cs="Arial" w:eastAsia="Arial" w:hAnsi="Arial"/>
          <w:sz w:val="16"/>
          <w:szCs w:val="16"/>
          <w:color w:val="auto"/>
        </w:rPr>
        <w:t>Our TripAdvisor-branded display-based advertising and subscription revenue increased by $7 million or 11%, during the three months ended March 31, 2016 when compared to the same period in 2015. Display-based advertising revenue and subscription revenue both grew at comparable rates during the three months ended March 31, 2016. The increase in display-based advertising revenue was primarily due to an increase in impressions sold and to a lesser extent pricing, while the increase in subscription revenue was a result of both increased pricing and sales productivity.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the three months ended March 31, 2016 and 2015, 15% and 13%, respectively, of our Hotel segment revenue came from other hotel revenues. Our other hotel revenue primarily includes revenue from non-TripAdvisor branded websites, including click-based advertising revenue, display-based advertising revenue and room reservations sold through these websites. Our other hotel revenue increased by $5 million during the three months ended March 31, 2016 when compared to the same period in 2015.</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Non-Hotel segment revenue increased by $6 million or 14% during the three months ended March 31, 2016 when compared to the same period in 2015, primarily driven by increased bookings across all businesses, partially offset by the continued shift to our free-to-list model in our Vacation Rentals business, where commission revenues are not recognized until time of stay.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Attractions business saw an increase in supply of destination activities and continued growth in our user base globally. 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ind w:right="560"/>
        <w:spacing w:after="0" w:line="277" w:lineRule="auto"/>
        <w:rPr>
          <w:sz w:val="20"/>
          <w:szCs w:val="20"/>
          <w:color w:val="auto"/>
        </w:rPr>
      </w:pPr>
      <w:r>
        <w:rPr>
          <w:rFonts w:ascii="Arial" w:cs="Arial" w:eastAsia="Arial" w:hAnsi="Arial"/>
          <w:sz w:val="18"/>
          <w:szCs w:val="18"/>
          <w:color w:val="auto"/>
        </w:rPr>
        <w:t>our Restaurants business, we saw growth in our more established markets, and additionally from expansion into new markets. In our Vacation Rentals business we continued to see an increase in property listings and number of transactions on our websites.</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Adjusted EBITDA in our Non-Hotel segment decreased $16 million during the three months ended March 31, 2016 when compared to the same period in 2015. This decrease was primarily due to increased personnel and overhead costs and online traffic acquisition costs of $11 million and $5 million, respectively. The Attractions, Restaurant and Vacation Rental businesses are all at the earlier stages of their growth and business life cycle which require early investment to fund growth initiatives, and a contributing factor to this reportable segment operating at a loss.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our revenue by geographic region. Revenue by geography is based on the geographic location of our websites.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3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jc w:val="right"/>
              <w:ind w:right="147"/>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2016 vs. 2015</w:t>
            </w:r>
          </w:p>
        </w:tc>
      </w:tr>
      <w:tr>
        <w:trPr>
          <w:trHeight w:val="156"/>
        </w:trPr>
        <w:tc>
          <w:tcPr>
            <w:tcW w:w="3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right"/>
              <w:ind w:right="905"/>
              <w:spacing w:after="0" w:line="155"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 region:</w:t>
            </w:r>
          </w:p>
        </w:tc>
        <w:tc>
          <w:tcPr>
            <w:tcW w:w="9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North America (1)</w:t>
            </w:r>
          </w:p>
        </w:tc>
        <w:tc>
          <w:tcPr>
            <w:tcW w:w="2180" w:type="dxa"/>
            <w:vAlign w:val="bottom"/>
            <w:gridSpan w:val="2"/>
          </w:tcPr>
          <w:p>
            <w:pPr>
              <w:jc w:val="right"/>
              <w:ind w:right="10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9"/>
                <w:szCs w:val="19"/>
                <w:color w:val="auto"/>
              </w:rPr>
            </w:pPr>
          </w:p>
        </w:tc>
        <w:tc>
          <w:tcPr>
            <w:tcW w:w="1200" w:type="dxa"/>
            <w:vAlign w:val="bottom"/>
            <w:gridSpan w:val="2"/>
          </w:tcPr>
          <w:p>
            <w:pPr>
              <w:jc w:val="right"/>
              <w:ind w:right="102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22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30"/>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(2)</w:t>
            </w:r>
          </w:p>
        </w:tc>
        <w:tc>
          <w:tcPr>
            <w:tcW w:w="9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APAC (3)</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LATAM (4)</w:t>
            </w:r>
          </w:p>
        </w:tc>
        <w:tc>
          <w:tcPr>
            <w:tcW w:w="9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23"/>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1200" w:type="dxa"/>
            <w:vAlign w:val="bottom"/>
            <w:tcBorders>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21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Revenue outside of North America, or International revenue, decreased $20 million, or 11%, during the three months ended March 31, 2016, when compared to the same period in 2015. International revenue represented 46% and 50%, of total revenue during the three months ended March 31, 2016 and 2015, respectively. Our international revenue growth rate decelerated and international revenue, as a percentage of total revenue, declined during the three months ended March 31, 2016 when compared to the same period in 2015, primarily due to our accelerated rollout of instant booking in the U.K. during the third quarter of 2015 and to additional international markets during the three months ended March 31, 2016, which generally monetize at a lower revenue per hotel shopper, currently than the U.S. market, and to a lesser extent the impact of fluctuations in foreign exchange rates.</w:t>
      </w:r>
    </w:p>
    <w:p>
      <w:pPr>
        <w:spacing w:after="0" w:line="269"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color w:val="auto"/>
        </w:rPr>
        <w:t>Consolidated Expenses</w:t>
      </w:r>
    </w:p>
    <w:p>
      <w:pPr>
        <w:spacing w:after="0" w:line="156" w:lineRule="exact"/>
        <w:rPr>
          <w:sz w:val="20"/>
          <w:szCs w:val="20"/>
          <w:color w:val="auto"/>
        </w:rPr>
      </w:pPr>
    </w:p>
    <w:p>
      <w:pPr>
        <w:jc w:val="right"/>
        <w:ind w:right="96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107"/>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825"/>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06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0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10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518"/>
        <w:spacing w:after="0" w:line="381" w:lineRule="auto"/>
        <w:rPr>
          <w:sz w:val="20"/>
          <w:szCs w:val="20"/>
          <w:color w:val="auto"/>
        </w:rPr>
      </w:pPr>
      <w:r>
        <w:rPr>
          <w:rFonts w:ascii="Arial" w:cs="Arial" w:eastAsia="Arial" w:hAnsi="Arial"/>
          <w:sz w:val="15"/>
          <w:szCs w:val="15"/>
          <w:color w:val="auto"/>
        </w:rPr>
        <w:t>Cost of revenue increased $3 million during the three months ended March 31, 2016 when compared to the same period in 2015, primarily due to increased merchant credit card and transaction fees and personnel costs from increased headcount needed to support business growth and customer support.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76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78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7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selling and marketing</w:t>
            </w:r>
          </w:p>
        </w:tc>
        <w:tc>
          <w:tcPr>
            <w:tcW w:w="7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552"/>
        <w:spacing w:after="0" w:line="297" w:lineRule="auto"/>
        <w:rPr>
          <w:sz w:val="20"/>
          <w:szCs w:val="20"/>
          <w:color w:val="auto"/>
        </w:rPr>
      </w:pPr>
      <w:r>
        <w:rPr>
          <w:rFonts w:ascii="Arial" w:cs="Arial" w:eastAsia="Arial" w:hAnsi="Arial"/>
          <w:sz w:val="16"/>
          <w:szCs w:val="16"/>
          <w:color w:val="auto"/>
        </w:rPr>
        <w:t>Direct selling and marketing costs increased $10 million during the three months ended March 31, 2016 when compared to the same period in 2015, primarily due to increased online traffic acquisition costs, offset by a decrease in costs related to the cessation of our television advertising campaign. We spent $10 million on our television advertising campaign during the three months ended March 31, 2015, which we did not incur in the three months ended March 31, 2016. Personnel and overhead costs increased $5 million during the three months ended March 31, 2016 when compared to the same period in 2015, primarily due to an increase in headcount needed to support business growth, including international expansion.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right"/>
              <w:ind w:right="76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74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technology and content</w:t>
            </w:r>
          </w:p>
        </w:tc>
        <w:tc>
          <w:tcPr>
            <w:tcW w:w="7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Technology and content costs increased $12 million during the three months ended March 31, 2016 when compared to the same period in 2015, primarily due to increased personnel costs, including a $3 million increase in stock-based compensation, from increased headcount needed to support business growth, including international expansion and enhanced site features.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General and administrative expense consists primarily of personnel and related overhead costs, for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right"/>
              <w:ind w:right="825"/>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2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 administrative</w:t>
            </w:r>
          </w:p>
        </w:tc>
        <w:tc>
          <w:tcPr>
            <w:tcW w:w="6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52"/>
        <w:spacing w:after="0" w:line="286" w:lineRule="auto"/>
        <w:rPr>
          <w:sz w:val="20"/>
          <w:szCs w:val="20"/>
          <w:color w:val="auto"/>
        </w:rPr>
      </w:pPr>
      <w:r>
        <w:rPr>
          <w:rFonts w:ascii="Arial" w:cs="Arial" w:eastAsia="Arial" w:hAnsi="Arial"/>
          <w:sz w:val="17"/>
          <w:szCs w:val="17"/>
          <w:color w:val="auto"/>
        </w:rPr>
        <w:t>General and administrative costs increased $4 million during the three months ended March 31, 2016 when compared to the same period in 2015, primarily due to personnel costs and overhead costs related to an increase in headcount needed to support our business operations and increased professional service fees and non-income taxes, partially offset by a decrease of $2 million in charitable contributions.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w w:val="94"/>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20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40" w:type="dxa"/>
            <w:vAlign w:val="bottom"/>
            <w:gridSpan w:val="2"/>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16</w:t>
            </w:r>
          </w:p>
        </w:tc>
        <w:tc>
          <w:tcPr>
            <w:tcW w:w="13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200" w:type="dxa"/>
            <w:vAlign w:val="bottom"/>
          </w:tcPr>
          <w:p>
            <w:pPr>
              <w:spacing w:after="0"/>
              <w:rPr>
                <w:sz w:val="20"/>
                <w:szCs w:val="20"/>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13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Depreciation expense increased $2 million during the three months ended March 31, 2016 when compared to the same period in 2015 primarily due to increased amortization related to capitalized software and website development costs and $1 million of depreciation on our corporate headquarters building, which we did not incur in the three months ended March 31,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w w:val="94"/>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20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40" w:type="dxa"/>
            <w:vAlign w:val="bottom"/>
            <w:gridSpan w:val="2"/>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200" w:type="dxa"/>
            <w:vAlign w:val="bottom"/>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8</w:t>
            </w:r>
          </w:p>
        </w:tc>
        <w:tc>
          <w:tcPr>
            <w:tcW w:w="13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200" w:type="dxa"/>
            <w:vAlign w:val="bottom"/>
          </w:tcPr>
          <w:p>
            <w:pPr>
              <w:spacing w:after="0"/>
              <w:rPr>
                <w:sz w:val="20"/>
                <w:szCs w:val="20"/>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3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16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Amortization of intangible assets increased $1 million during the three months ended March 31, 2016 when compared to the same period in 2015, primarily due to incremental amortization of purchased definite lived intangibles related to our 2015 business acquisitions.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Interest expense primarily consists of interest incurred, commitment fees and debt issuance cost amortization related to our 2011 Credit Facility, 2015 Credit Facility, and Chinese Credit Facilities, as well as interest on our financing obligation related to our corporate headquarters.</w:t>
      </w:r>
    </w:p>
    <w:p>
      <w:pPr>
        <w:spacing w:after="0" w:line="260"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6350</wp:posOffset>
            </wp:positionV>
            <wp:extent cx="23412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 w:lineRule="exact"/>
        <w:rPr>
          <w:sz w:val="20"/>
          <w:szCs w:val="20"/>
          <w:color w:val="auto"/>
        </w:rPr>
      </w:pPr>
    </w:p>
    <w:p>
      <w:pPr>
        <w:ind w:left="6640"/>
        <w:spacing w:after="0"/>
        <w:tabs>
          <w:tab w:leader="none" w:pos="86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0</wp:posOffset>
            </wp:positionV>
            <wp:extent cx="23412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tabs>
          <w:tab w:leader="none" w:pos="5920" w:val="left"/>
          <w:tab w:leader="none" w:pos="7460" w:val="left"/>
          <w:tab w:leader="none" w:pos="7900" w:val="left"/>
          <w:tab w:leader="none" w:pos="94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w:t>
        <w:tab/>
        <w:t>$</w:t>
      </w:r>
      <w:r>
        <w:rPr>
          <w:sz w:val="20"/>
          <w:szCs w:val="20"/>
          <w:color w:val="auto"/>
        </w:rPr>
        <w:tab/>
      </w:r>
      <w:r>
        <w:rPr>
          <w:rFonts w:ascii="Arial" w:cs="Arial" w:eastAsia="Arial" w:hAnsi="Arial"/>
          <w:sz w:val="18"/>
          <w:szCs w:val="18"/>
          <w:color w:val="auto"/>
        </w:rPr>
        <w:t>(2)</w:t>
      </w:r>
    </w:p>
    <w:p>
      <w:pPr>
        <w:spacing w:after="0" w:line="209" w:lineRule="exact"/>
        <w:rPr>
          <w:sz w:val="20"/>
          <w:szCs w:val="20"/>
          <w:color w:val="auto"/>
        </w:rPr>
      </w:pPr>
    </w:p>
    <w:p>
      <w:pPr>
        <w:ind w:right="320" w:firstLine="552"/>
        <w:spacing w:after="0" w:line="277" w:lineRule="auto"/>
        <w:rPr>
          <w:sz w:val="20"/>
          <w:szCs w:val="20"/>
          <w:color w:val="auto"/>
        </w:rPr>
      </w:pPr>
      <w:r>
        <w:rPr>
          <w:rFonts w:ascii="Arial" w:cs="Arial" w:eastAsia="Arial" w:hAnsi="Arial"/>
          <w:sz w:val="18"/>
          <w:szCs w:val="18"/>
          <w:color w:val="auto"/>
        </w:rPr>
        <w:t>Interest expense increased $2 million during the three months ended March 31, 2016 when compared to the same period in 2015, primarily due to interest imputed on our financing obligation related to our corporate headquarters lease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Other, Net</w:t>
      </w:r>
    </w:p>
    <w:p>
      <w:pPr>
        <w:spacing w:after="0" w:line="12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70"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23323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5" w:lineRule="exact"/>
        <w:rPr>
          <w:sz w:val="20"/>
          <w:szCs w:val="20"/>
          <w:color w:val="auto"/>
        </w:rPr>
      </w:pPr>
    </w:p>
    <w:p>
      <w:pPr>
        <w:ind w:left="6660"/>
        <w:spacing w:after="0"/>
        <w:tabs>
          <w:tab w:leader="none" w:pos="86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0</wp:posOffset>
            </wp:positionV>
            <wp:extent cx="2332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tabs>
          <w:tab w:leader="none" w:pos="5940" w:val="left"/>
          <w:tab w:leader="none" w:pos="7560" w:val="left"/>
          <w:tab w:leader="none" w:pos="7900" w:val="left"/>
          <w:tab w:leader="none" w:pos="9440" w:val="left"/>
        </w:tabs>
        <w:rPr>
          <w:sz w:val="20"/>
          <w:szCs w:val="20"/>
          <w:color w:val="auto"/>
        </w:rPr>
      </w:pPr>
      <w:r>
        <w:rPr>
          <w:rFonts w:ascii="Arial" w:cs="Arial" w:eastAsia="Arial" w:hAnsi="Arial"/>
          <w:sz w:val="18"/>
          <w:szCs w:val="18"/>
          <w:color w:val="auto"/>
        </w:rPr>
        <w:t>Interest income and 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w:t>
      </w:r>
    </w:p>
    <w:p>
      <w:pPr>
        <w:spacing w:after="0" w:line="20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Interest income and other, net increased during the three months ended March 31, 2016 when compared to the same period in 2015, primarily due to the fluctuation of foreign exchange rates and settlement of our forward contracts.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Provision for Income Taxes</w:t>
      </w:r>
    </w:p>
    <w:p>
      <w:pPr>
        <w:spacing w:after="0" w:line="200" w:lineRule="exact"/>
        <w:rPr>
          <w:sz w:val="20"/>
          <w:szCs w:val="20"/>
          <w:color w:val="auto"/>
        </w:rPr>
      </w:pP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0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16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gridSpan w:val="2"/>
          </w:tcPr>
          <w:p>
            <w:pPr>
              <w:jc w:val="center"/>
              <w:ind w:right="5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FF0FC"/>
          </w:tcPr>
          <w:p>
            <w:pPr>
              <w:jc w:val="right"/>
              <w:ind w:right="98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28.9%</w:t>
            </w:r>
          </w:p>
        </w:tc>
        <w:tc>
          <w:tcPr>
            <w:tcW w:w="1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r>
    </w:tbl>
    <w:p>
      <w:pPr>
        <w:spacing w:after="0" w:line="201" w:lineRule="exact"/>
        <w:rPr>
          <w:sz w:val="20"/>
          <w:szCs w:val="20"/>
          <w:color w:val="auto"/>
        </w:rPr>
      </w:pPr>
    </w:p>
    <w:p>
      <w:pPr>
        <w:ind w:right="960" w:firstLine="518"/>
        <w:spacing w:after="0" w:line="277" w:lineRule="auto"/>
        <w:rPr>
          <w:sz w:val="20"/>
          <w:szCs w:val="20"/>
          <w:color w:val="auto"/>
        </w:rPr>
      </w:pPr>
      <w:r>
        <w:rPr>
          <w:rFonts w:ascii="Arial" w:cs="Arial" w:eastAsia="Arial" w:hAnsi="Arial"/>
          <w:sz w:val="18"/>
          <w:szCs w:val="18"/>
          <w:color w:val="auto"/>
        </w:rPr>
        <w:t>Our effective tax rate increased during the three months ended March 31, 2016 over the same period in 2015, primarily due to a change in jurisdictional earnings.</w:t>
      </w:r>
    </w:p>
    <w:p>
      <w:pPr>
        <w:spacing w:after="0" w:line="170"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For the three months ended March 31, 2016, the effective tax rate is less than the federal statutory tax rate primarily due to earnings in jurisdictions outside the United States, where our effective tax rate is lower, which was partially offset by state income taxes, non-deductible stock-based compensation and accruals on uncertain tax positions.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information on our relationship with Liberty TripAdvisor Holdings, Inc., refer to “Note 12— Related Party Transactions” in the notes to our unaudited condensed consolidated financial statements in this Quarterly Report on Form 10-Q. We had no related party transactions with LTRIP during the three months ended March 31,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Refer to “Note 3— Stock Based Awards and Other Equity Instruments” in the notes to our unaudited condensed consolidated financial statements in this Quarterly Report on Form 10-Q for further information on current year equity award activity, including the issuance of 629,896 service-based stock options with a weighted average grant-date fair value per option of $24.41 and 1,503,603 service-based RSUs with a weighted average grant-date fair value of $63.73 during the three months ended March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financial commitments.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200" w:lineRule="exact"/>
        <w:rPr>
          <w:sz w:val="20"/>
          <w:szCs w:val="20"/>
          <w:color w:val="auto"/>
        </w:rPr>
      </w:pP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3"/>
              </w:rPr>
              <w:t>Three months ended March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0" w:type="dxa"/>
            <w:vAlign w:val="bottom"/>
            <w:gridSpan w:val="2"/>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1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120</w:t>
            </w:r>
          </w:p>
        </w:tc>
        <w:tc>
          <w:tcPr>
            <w:tcW w:w="1320" w:type="dxa"/>
            <w:vAlign w:val="bottom"/>
          </w:tcPr>
          <w:p>
            <w:pPr>
              <w:jc w:val="right"/>
              <w:ind w:right="103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r>
      <w:tr>
        <w:trPr>
          <w:trHeight w:val="230"/>
        </w:trPr>
        <w:tc>
          <w:tcPr>
            <w:tcW w:w="3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11</w:t>
            </w:r>
          </w:p>
        </w:tc>
        <w:tc>
          <w:tcPr>
            <w:tcW w:w="13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3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2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 2015 Credit Facility and Chinese Credit Facilities. As of March 31, 2016 and December 31, 2015, we had $709 million and $698 million, respectively, of cash, cash equivalents and short and long-term available-for-sale marketable securities. As of March 31, 2016, approximately $562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$787 million as of March 31, 2016.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ind w:right="120" w:firstLine="589"/>
        <w:spacing w:after="0" w:line="255" w:lineRule="auto"/>
        <w:rPr>
          <w:sz w:val="20"/>
          <w:szCs w:val="20"/>
          <w:color w:val="auto"/>
        </w:rPr>
      </w:pPr>
      <w:r>
        <w:rPr>
          <w:rFonts w:ascii="Arial" w:cs="Arial" w:eastAsia="Arial" w:hAnsi="Arial"/>
          <w:sz w:val="18"/>
          <w:szCs w:val="18"/>
          <w:color w:val="auto"/>
        </w:rPr>
        <w:t>As of March 31, 2016, we had outstanding borrowings of $110 million in long-term debt and approximately $888 million of borrowing capacity available under our 2015 Credit Facility, which we are currently borrowing under a one-month interest period at 1.7% per annum, which will reset periodically. In addition, we had current borrowings of $1 million and approximately $49 million of available borrowing capacity under our Chinese Credit Facilities, which currently bear interest at a rate based on 100% of the People’s Bank of China’s base rate, or 4.35% as of March 31, 2016. For further discussion on our credit facilities refer to “Note 5 – Debt” in the notes to our unaudited condensed consolidated financial statements in this Quarterly Report on Form 10-Q.</w:t>
      </w:r>
    </w:p>
    <w:p>
      <w:pPr>
        <w:spacing w:after="0" w:line="193"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and other financial commitments; and fund our new corporate lease obligations, share repurchases and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For the three months ended March 31, 2016, net cash provided by operating activities increased by $21 million or 21% when compared to the same period in 2015, primarily due to a net increase in working capital movements of $51 million and non-cash items affecting cash flow of $6 million, which is primarily due to an increase in stock-based compensation and a decrease in excess tax benefits from stock-based awards, offset by a decrease in net income of $36 million. The increase in working capital movements of $51 million was primarily related to an increase in operating cash flow from deferred merchant payables and deferred revenue due to growth in our Attractions business and our Vacation Rentals business free-to-list model, in addition to the timing of customer receipts, income tax payments and vendor payments, offset by a lower income tax provision.</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For the three months ended March 31, 2016, net cash provided in investing activities increased by $45 million when compared to the same period in 2015, primarily due to a net decrease in cash used for the purchases, sales and maturities of our marketable securities of $26 million, a decrease in capital expenditures of $14 million, primarily related to the completion of our corporate headquarters building in 2015, and cash paid for 2015 business acquisitions of $5 million, net of cash acquired, which we did not incur in the three months ended March 31, 2016.</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For the three months ended March 31, 2016, net cash used in financing activities increased by $91 million when compared to the same period in 2015, primarily due to partial repayment of our outstanding borrowings under our 2015 Credit Facility of $90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There have been no material changes outside the normal course of business to our contractual obligations and commercial commitments since December 31, 2015. Refer to “Liquidity and Capital Resources” in Part II, Item 7. —Management’s Discussion and Analysis of Financial Condition and Results of Operations of our Annual Report on Form 10-K for the year ended December 31, 2015.</w:t>
      </w:r>
    </w:p>
    <w:p>
      <w:pPr>
        <w:spacing w:after="0" w:line="181" w:lineRule="exact"/>
        <w:rPr>
          <w:sz w:val="20"/>
          <w:szCs w:val="20"/>
          <w:color w:val="auto"/>
        </w:rPr>
      </w:pPr>
    </w:p>
    <w:p>
      <w:pPr>
        <w:jc w:val="both"/>
        <w:ind w:right="120" w:firstLine="518"/>
        <w:spacing w:after="0" w:line="342" w:lineRule="auto"/>
        <w:rPr>
          <w:sz w:val="20"/>
          <w:szCs w:val="20"/>
          <w:color w:val="auto"/>
        </w:rPr>
      </w:pPr>
      <w:r>
        <w:rPr>
          <w:rFonts w:ascii="Arial" w:cs="Arial" w:eastAsia="Arial" w:hAnsi="Arial"/>
          <w:sz w:val="16"/>
          <w:szCs w:val="16"/>
          <w:color w:val="auto"/>
        </w:rPr>
        <w:t>As of March 31, 2016,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There may be claims or actions pending or threatened against us of which we are currently not aware and the ultimate disposition of which would have a material adverse effect on us.</w:t>
      </w:r>
    </w:p>
    <w:p>
      <w:pPr>
        <w:spacing w:after="0" w:line="18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6—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unaudited condensed consolidated financial statements in this Quarterly Report on Form 10-Q for additional information on potential contingencies surrounding income taxes.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March 31, 2016. For additional information, see “Quantitative and Qualitative Disclosures About Market Risk” in Item 7A. in Part II of our Annual Report on Form 10-K for the year ended December 31, 2015.</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March 31, 2016,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2016,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2016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ordinary course of business, we are parties to legal proceedings and claims involving alleged infringement of third-party intellectual property rights,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to cost-effectively convert these visitors into repeat users, contributors and/or shoppers, our revenue could decline.</w:t>
      </w:r>
    </w:p>
    <w:p>
      <w:pPr>
        <w:spacing w:after="0" w:line="6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The primary asset that we use to attract visitors to our websites and convert these visitors into repeat users, contributors and/or shoppers is our ability to collect, create, organize and distribute high-quality, commercially valuable content that meets users’ specific interests and enables them to use the content and interact with the supporting communities. There can be no assurances that we will continue to obtain content in a cost-effective manner or in a manner that meets rapidly changing consumer demand. Any failure to obtain and manage such content in a manner that will engage users, or a failure to provide content and products that are perceived as useful, reliable and trustworthy, could adversely affect user experiences and reduce traffic to our websites, which would make our websites less attractive to advertisers. Any change in the cost structure pursuant to which we obtain our content, in travelers’ relative appreciation of user-based versus expert content, in the quality of our content versus other sites’ content or any other changes that could reduce traffic to our websites would negatively impact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derive a substantial portion of our revenue from advertising and any significant reduction in spending by advertisers could harm our business.</w:t>
      </w:r>
    </w:p>
    <w:p>
      <w:pPr>
        <w:spacing w:after="0" w:line="14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derive a substantial portion of our revenue from the sale of advertising. We enter into master advertising contracts with our advertising partners, however, these agreements are generally limited to matters such as privacy and compliance, payment terms and conditions, termination and indemnities and most can be terminated by our partners at will or on short notice. Our ability to grow advertising revenue with our existing or new advertising partners is dependent in large part on our ability to generate revenue for them. Advertisers will not continue to do business with us if their investment in such advertising does not generate sales leads, customers, bookings, or revenue and profit on a cost-effective basis. If we are unable to provide value to our advertising partners, they will likely stop placing ads on our websites, which would harm our revenues and business. We cannot guarantee that our current advertisers will fulfill their obligations under existing contracts, continue to advertise beyond the terms of existing contracts or enter into any additional contracts with us.</w:t>
      </w:r>
    </w:p>
    <w:p>
      <w:pPr>
        <w:spacing w:after="0" w:line="16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Click-based advertising accounts for the majority of our advertising revenue. Any changes we make to our business model may impact our advertising revenue in ways that we do not expect. In addition, if new, more effective advertising models were to emerge, there can be no assurance that we will have the ability to offer these models, or offer them in an effective manner.</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18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We rely on a relatively small number of significant partners and any reduction in spending by or loss of these partners could seriously harm our business.</w:t>
      </w:r>
    </w:p>
    <w:p>
      <w:pPr>
        <w:spacing w:after="0" w:line="15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derive a substantial portion of our revenue from a relatively small number of partners and rely significantly on our relationships. For example, for the year ended December 31, 2015, our two most significant advertising partners, Expedia and Priceline (and their subsidiaries), accounted for a combined 46% of total revenue. While we enter into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partners were to cease or significantly curtail their business with us, we could experience a rapid decline in our revenue over a relatively short period of time which would have a material impact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could be negatively affected by changes in Internet search engine algorithms and dynamics, or search engine disintermediation.</w:t>
      </w:r>
    </w:p>
    <w:p>
      <w:pPr>
        <w:spacing w:after="0" w:line="14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rely heavily on Internet search engines, such as Google, to generate traffic to our websites, principally through the purchase of travel-related keywords. Search engines, including Google,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7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to the extent that Google or other leading search or metasearch engines that have a significant presence in our key markets, disintermediate OTA’s or travel content providers by offering comprehensive travel planning or shopping capabilities, or refer those leads to suppliers directly, or to other favored partners, there could be a material adverse impact on our business and financial performance. To the extent these actions have a negative effect on our search traffic, whether on desktop, tablet or mobile phones, our business and financial performance could be adversely affected.</w:t>
      </w:r>
    </w:p>
    <w:p>
      <w:pPr>
        <w:spacing w:after="0" w:line="2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continue to work aggressively on the roll out of our “instant booking” feature despite anticipated and potential unanticipated challenges and risks which could have a negative impact on our business and financial performance.</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Instant booking is a feature that enables users to book a hotel reservation directly with a hotel or online travel agency partner while remaining on the TripAdvisor website. We have been gradually rolling this feature out in the U.S. since June 2014, and, in 2015, accelerated the rollout of instant booking for hotels across our U.S. and U.K. platforms to all users on all devices. As of March 31, 2016, we have substantially completed our global rollout of our instant booking feature and focus on optimizing the results of this feature. We believe that allowing users to book directly online without leaving the TripAdvisor site will result in a better user experience as well as, ultimately, additional revenue to the Company. However, there are additional risks associated with this feature.</w:t>
      </w:r>
    </w:p>
    <w:p>
      <w:pPr>
        <w:spacing w:after="0" w:line="193"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success depends in large part on our ability to maintain and expand relationships with partners in the travel industry, including hotel chains, online travel agencies and travel suppliers and other online travel partners. We are working with some of these partners to “power” the instant booking function on our website and believe that these partners will also benefit from this feature, through increased reservations and more direct relationships with</w:t>
      </w:r>
    </w:p>
    <w:p>
      <w:pPr>
        <w:ind w:right="200"/>
        <w:spacing w:after="0" w:line="254" w:lineRule="auto"/>
        <w:rPr>
          <w:sz w:val="20"/>
          <w:szCs w:val="20"/>
          <w:color w:val="auto"/>
        </w:rPr>
      </w:pPr>
      <w:r>
        <w:rPr>
          <w:rFonts w:ascii="Arial" w:cs="Arial" w:eastAsia="Arial" w:hAnsi="Arial"/>
          <w:sz w:val="18"/>
          <w:szCs w:val="18"/>
          <w:color w:val="auto"/>
        </w:rPr>
        <w:t>travelers. Some partners, however, may view this new functionality as directly competitive and take action that could adversely affect our business and financial performance. They could reduce or eliminate advertising revenue paid to us, charge for or otherwise restrict access to content, further reduce their average daily rates, decide not to make their travel inventory available to us, or decide not to provide accurate booking information. Any of these actions could have an adverse impact on our business.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“instant booking” feature may not meet our expectations and may subject us to additional and ongoing operational risks.</w:t>
      </w:r>
    </w:p>
    <w:p>
      <w:pPr>
        <w:spacing w:after="0" w:line="185"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Currently our instant booking feature is monetizing at a lower revenue per hotel shopper rate compared to our metasearch feature, or click-based revenue. While we expect to close this monetization gap, primarily by continuing to streamline our booking path to enhance user experience, persistently promoting the TripAdvisor brand as a booking channel and continuing to seek partners with strong branding and supply channels, there is no guarantee that these initiatives will ultimately be successful. If these initiatives are not successful, our revenue may be materially adversely affected.</w:t>
      </w:r>
    </w:p>
    <w:p>
      <w:pPr>
        <w:spacing w:after="0" w:line="154"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Our instant booking revenue recorded under the consumption model is recognized at the time the traveler completes his or her stay. Comparatively, revenue under the transaction model is recorded at the time the user books the stay and revenue from our metasearch feature, or click-based revenue, is recorded when a traveler makes the click-through to the travel partners’ websites.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right="260"/>
        <w:spacing w:after="0" w:line="264" w:lineRule="auto"/>
        <w:rPr>
          <w:sz w:val="20"/>
          <w:szCs w:val="20"/>
          <w:color w:val="auto"/>
        </w:rPr>
      </w:pPr>
      <w:r>
        <w:rPr>
          <w:rFonts w:ascii="Arial" w:cs="Arial" w:eastAsia="Arial" w:hAnsi="Arial"/>
          <w:sz w:val="18"/>
          <w:szCs w:val="18"/>
          <w:color w:val="auto"/>
        </w:rPr>
        <w:t>Based on our internal data, we currently estimate the average time between a user booking a stay to consuming a stay is approximately three to five weeks, subject to seasonal variations. In future periods, greater contribution of revenue from our instant booking consumption model would result in additional revenue recognized at the time of a consumed stay and thus a shift in the timing of our revenue recognition.</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expect the instant booking functionality to significantly increase the number of transactions that will occur on our website. Even though the transaction and customer care associated with these transactions are provided by our partners, each reservation is completed on TripAdvisor’s instant booking platform. Failure to effectively manage the process for instantly booking on our website and the safeguard data that is obtained during the course of arranging for such bookings could negatively impact our reputation and, consequently,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use of devices other than desktop computers may negatively affect our revenue and financial results.</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content was originally designed for users accessing the Internet on a desktop computer. The number of people who access the Internet through devices other than desktops computers, including mobile phones and handheld computers such as notebooks and tablets, has increased substantially in the last few years. We anticipate that the rate of use of these computing devices will continue to grow. To address these growing user demands, we continue to extend our platform to develop mobile phone and tablet applications. However, currently, we monetize users of these devices at a lower rate compared to users who access our websites through desktop computers. In addition, given the device sizes and technical limitations of these devices, mobile consumers may not be willing to download multiple apps from multiple companies providing similar service and instead prefer to use one or a limited number of apps for their hotel, restaurant and attractions activity. The consumer experience with mobile apps as well as brand recognition and loyalty are likely to become increasingly important.</w:t>
      </w:r>
    </w:p>
    <w:p>
      <w:pPr>
        <w:spacing w:after="0" w:line="8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As a result, we continue to develop and improve upon our mobile app and websites and mobile monetization strategies. If we are unable to continue to rapidly innovate and create new, user-friendly and differentiated mobile offerings and efficiently and effectively advertise and distribute on these platforms, or if our mobile offerings are not used by consumers, our future growth and results of operations could be negatively impacted.</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14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inflation, have reduced access to credit or experience other concerns that reduce their ability or willingness to travel. The global economy may be adversely impacted by unforeseen events beyond our control including acts of terrorism, unusual weather patterns, natural disasters, political instability and health concerns (including epidemics or pandemics such as Zika virus, Ebola, H1N1 and SARS),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thereby causing a reduction in revenue.</w:t>
      </w:r>
    </w:p>
    <w:p>
      <w:pPr>
        <w:spacing w:after="0" w:line="192" w:lineRule="exact"/>
        <w:rPr>
          <w:sz w:val="20"/>
          <w:szCs w:val="20"/>
          <w:color w:val="auto"/>
        </w:rPr>
      </w:pPr>
    </w:p>
    <w:p>
      <w:pPr>
        <w:ind w:right="20" w:firstLine="471"/>
        <w:spacing w:after="0" w:line="264"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the value of our brand and consumer trust in our brand. If we are not able to maintain and enhance our brand, or if events occur that damage our reputation and brand, our business may be harmed.</w:t>
      </w:r>
    </w:p>
    <w:p>
      <w:pPr>
        <w:spacing w:after="0" w:line="62"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We believe that the TripAdvisor brand has contributed significantly to our success and that maintaining and enhancing our brand is critical to expanding our base of users, to creating content and to attracting advertisers. As a result, we invest significantly in brand marketing. We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9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receive significant media coverage in our various geographic markets. Unfavorable publicity regarding, for example, our practices relating to privacy and data protection, product changes, competitive pressures, the accuracy of user-generated content,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ind w:right="240"/>
        <w:spacing w:after="0" w:line="264" w:lineRule="auto"/>
        <w:rPr>
          <w:sz w:val="20"/>
          <w:szCs w:val="20"/>
          <w:color w:val="auto"/>
        </w:rPr>
      </w:pPr>
      <w:r>
        <w:rPr>
          <w:rFonts w:ascii="Arial" w:cs="Arial" w:eastAsia="Arial" w:hAnsi="Arial"/>
          <w:sz w:val="18"/>
          <w:szCs w:val="18"/>
          <w:color w:val="auto"/>
        </w:rPr>
        <w:t>product quality,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face competition for content, users, advertisers, online travel search and price comparison services (or hotel metasearch) and online reservations. We also face competition from large companies that also offer comprehensive on-line resources for destinations, lodging, attractions and restaurants. Many of our competitors have significantly greater and more diversified resources than we do and may be able to leverage other aspects of their business to enable them to compete more effectively against us.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 specifically:</w:t>
      </w:r>
    </w:p>
    <w:p>
      <w:pPr>
        <w:spacing w:after="0" w:line="117" w:lineRule="exact"/>
        <w:rPr>
          <w:sz w:val="20"/>
          <w:szCs w:val="20"/>
          <w:color w:val="auto"/>
        </w:rPr>
      </w:pPr>
    </w:p>
    <w:p>
      <w:pPr>
        <w:ind w:left="1040" w:right="60" w:hanging="384"/>
        <w:spacing w:after="0" w:line="255"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content, we face competition from large online portals, social networking sites and search engines, such as Google, Facebook, Yahoo and Baidu, which competition will only increase should they choose to compete more directly with us in the travel review space, and create commercially valuable online content at significant scale. For example, Google + Local, with its aggregated reviews and local recommendations, competes with us and Google’s access to more comprehensive data regarding user search queries through its search algorithms gives it a significant competitive advantage over other companies in the industry, including us. In addition, if significant numbers of users adopt Facebook’s newly released Graph Search to get travel recommendations, it could have the effect of reducing traffic and user engagement on TripAdvisor.</w:t>
      </w:r>
    </w:p>
    <w:p>
      <w:pPr>
        <w:spacing w:after="0" w:line="81" w:lineRule="exact"/>
        <w:rPr>
          <w:rFonts w:ascii="Arial" w:cs="Arial" w:eastAsia="Arial" w:hAnsi="Arial"/>
          <w:sz w:val="18"/>
          <w:szCs w:val="18"/>
          <w:color w:val="auto"/>
        </w:rPr>
      </w:pPr>
    </w:p>
    <w:p>
      <w:pPr>
        <w:ind w:left="1040" w:right="120" w:hanging="384"/>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face competition from online travel agents, such as Expedia and Priceline (and their subsidiaries), and this competition may increase to the extent that these online travel agents accumulate and develop a comprehensive offering of travel-related reviews and resources.</w:t>
      </w:r>
    </w:p>
    <w:p>
      <w:pPr>
        <w:spacing w:after="0" w:line="38" w:lineRule="exact"/>
        <w:rPr>
          <w:rFonts w:ascii="Arial" w:cs="Arial" w:eastAsia="Arial" w:hAnsi="Arial"/>
          <w:sz w:val="17"/>
          <w:szCs w:val="17"/>
          <w:color w:val="auto"/>
        </w:rPr>
      </w:pPr>
    </w:p>
    <w:p>
      <w:pPr>
        <w:jc w:val="both"/>
        <w:ind w:left="1040" w:right="120" w:hanging="384"/>
        <w:spacing w:after="0" w:line="286"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face competition from travel service providers such as major hotel companies, many of which have their own websites to which they drive business. Major hotel companies may also attempt to improve their competitive position by offering lower room rates, better room availability or additional features or amenities through their reservation service than are available through services like ours.</w:t>
      </w:r>
    </w:p>
    <w:p>
      <w:pPr>
        <w:spacing w:after="0" w:line="57" w:lineRule="exact"/>
        <w:rPr>
          <w:rFonts w:ascii="Arial" w:cs="Arial" w:eastAsia="Arial" w:hAnsi="Arial"/>
          <w:sz w:val="17"/>
          <w:szCs w:val="17"/>
          <w:color w:val="auto"/>
        </w:rPr>
      </w:pPr>
    </w:p>
    <w:p>
      <w:pPr>
        <w:ind w:left="1040" w:right="560" w:hanging="384"/>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face competition from wholesalers, tour operators, traditional offline travel agencies and operators of travel industry reservation databases such as Galileo, Travelport, Amadeus and Sabre.</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we compete with newspapers, magazines and other traditional media companies that provide offline and online advertising opportunities.</w:t>
      </w:r>
    </w:p>
    <w:p>
      <w:pPr>
        <w:spacing w:after="0" w:line="62"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vacation rental business, we face competition from several companies, including HomeAway (a subsidiary of Expedia) and Airbnb, Inc., both of whom have a larger inventory of rooms available.</w:t>
      </w:r>
    </w:p>
    <w:p>
      <w:pPr>
        <w:spacing w:after="0" w:line="62" w:lineRule="exact"/>
        <w:rPr>
          <w:rFonts w:ascii="Arial" w:cs="Arial" w:eastAsia="Arial" w:hAnsi="Arial"/>
          <w:sz w:val="18"/>
          <w:szCs w:val="18"/>
          <w:color w:val="auto"/>
        </w:rPr>
      </w:pPr>
    </w:p>
    <w:p>
      <w:pPr>
        <w:ind w:left="1040" w:right="120" w:hanging="384"/>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restaurant reservation and attractions business, we face competition from certain companies like OpenTable (a subsidiary of Priceline), SeatMe (which is owned by Yelp) and Table8 (which was recently launched by Amazon) as well as other regional players operating in various parts of the world.</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We expect to face additional competition as other established and emerging companies enter the travel advertising market.</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Certain of the companies we do business with, including some of our partners, are also our competitors. The consolidation of our competitors and partners, including Expedia (through its acquisitions of Trivago,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has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are regularly subject to claims, suits, government investigations and other proceedings involving competition, intellectual property, privacy and data protection, consumer protection, tax, labor and employment, commercial disputes, content generated by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right="160"/>
        <w:spacing w:after="0" w:line="342" w:lineRule="auto"/>
        <w:rPr>
          <w:sz w:val="20"/>
          <w:szCs w:val="20"/>
          <w:color w:val="auto"/>
        </w:rPr>
      </w:pPr>
      <w:r>
        <w:rPr>
          <w:rFonts w:ascii="Arial" w:cs="Arial" w:eastAsia="Arial" w:hAnsi="Arial"/>
          <w:sz w:val="16"/>
          <w:szCs w:val="16"/>
          <w:color w:val="auto"/>
        </w:rPr>
        <w:t>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2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Such claims, suits, and government investigations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6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use technology and processes to monitor the quality of, and to identify metrics associated with, the Internet traffic that we deliver to online advertisers.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rely on assumptions, estimates and data to calculate certain of our key metrics, and real or perceived inaccuracies in such metrics may harm our reputation and negatively affect our business.</w:t>
      </w:r>
    </w:p>
    <w:p>
      <w:pPr>
        <w:spacing w:after="0" w:line="62"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6"/>
          <w:szCs w:val="16"/>
          <w:color w:val="auto"/>
        </w:rPr>
        <w:t>We believe that certain metrics are key to our business, including unique visitors, hotel shoppers, revenue per hotel shopper, downloads of our mobile apps, and number of reviews and opinions. As the industry in which we operate continues to evolve and as our business continues to evolve, so too might the metrics by which we evaluate our business. While these numbers are based on what we believe to be reasonable estimates, our internal tools have a number of limitations and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11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More recently, we started to calculate metrics, primarily using internal tools, which are not independently verified by a third party.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0" w:name="page41"/>
    <w:bookmarkEnd w:id="40"/>
    <w:p>
      <w:pPr>
        <w:ind w:right="6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6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Our success depends in part on continued innovation to provide features and services that make our websites and smartphone and tablet computing applications useful for travelers. Our competitors are continually developing innovations in online travel-related services and features. As a result, we are continually working to improve our business model and user experience in order to drive user traffic and conversion dates.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emphasizes rapid innovation and prioritizes user engagement over short-term financial results.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operate in a culture that encourages rapid development and release of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conversion rates and/or pricing, thereby ultimately improving our financial performance over the long-term.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86" w:lineRule="exact"/>
        <w:rPr>
          <w:sz w:val="20"/>
          <w:szCs w:val="20"/>
          <w:color w:val="auto"/>
        </w:rPr>
      </w:pPr>
    </w:p>
    <w:p>
      <w:pPr>
        <w:ind w:right="120" w:firstLine="45"/>
        <w:spacing w:after="0" w:line="277"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offer vacation rental services on our TripAdvisor-branded sites as well as through our U.S.-based FlipKey and Vacation Home Rentals and European-based Holiday Lettings and Niumba businesses. The online vacation rental market is rapidly evolving in many respects, including acceptance of the business model by travelers, property owners and property managers; from a business and marketing perspective as well as the regulatory environment. We operate in various disparate jurisdictions and markets and have limited insight into trends that may develop in those markets and may affect our business. Since we began offering such services, there have been and continue to be significant business, marketing and regulatory developments. Operating in new and untested jurisdictions requires significant management attention and financial resources. We cannot assure that our expansion efforts will be successful, and the investment and additional resources required to establish operations and manage growth may not produce the desired levels of revenue or profitability.</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attract and maintain a critical mass of vacation rental listings and travelers, our vacation rental marketplaces will become less valuable and this may have a negative impact on our business.</w:t>
      </w:r>
    </w:p>
    <w:p>
      <w:pPr>
        <w:spacing w:after="0" w:line="6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our vacation rental business, revenue is generated when owners and/or travelers pay us fees upon booking a transaction, owners or managers pay us fees to list and market vacation rental properties to users who visit the websites comprising our marketplace and property managers pay us fees for email and telephone leads from potential travelers or fees upon booking a transaction. As a result, our success in this area primarily depends on our ability to attract owners, managers, travelers and advertisers to our marketplace. If property owners and managers do not perceive the benefits of marketing their properties through our websites, or elect to list them with a competitor instead of listing with us, our volume of new listings and listing renewals may suffer. As a result, we may be unable to offer a sufficient supply and variety of vacation properties to attract travelers to our websites. Larger competitors already exist in the vacation rental space, with significantly more users, listed properties and financial resources.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those intellectual property rights. We have received in the past, and may in the future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1" w:name="page42"/>
    <w:bookmarkEnd w:id="41"/>
    <w:p>
      <w:pPr>
        <w:ind w:right="560"/>
        <w:spacing w:after="0" w:line="277" w:lineRule="auto"/>
        <w:rPr>
          <w:sz w:val="20"/>
          <w:szCs w:val="20"/>
          <w:color w:val="auto"/>
        </w:rPr>
      </w:pPr>
      <w:r>
        <w:rPr>
          <w:rFonts w:ascii="Arial" w:cs="Arial" w:eastAsia="Arial" w:hAnsi="Arial"/>
          <w:sz w:val="18"/>
          <w:szCs w:val="18"/>
          <w:color w:val="auto"/>
        </w:rPr>
        <w:t>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new business strategies and acquisitions could disrupt our ongoing business and present new challenges and risks.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have invested, and in the future may invest, in new business strategies or acquisitions. Such endeavors may involve significant risks and uncertainties, including distraction of management from current operations, greater than expected liabilities and expenses, inadequate return of capital, and issues not discovered in our investigations and evaluations of those strategies and acquisitions. We may decide to make minority investments, including through joint ventures, in which we have limited or no management or operational control. The controlling person in such case may have business interests, strategies or goals that are inconsistent with ours, and decisions of the company or venture in which we invested may result in harm to our reputation or adversely affect the value of our investment. Further, we may issue shares of our common stock in these transactions, which could result in dilution to our stockholders.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 businesses we have acquired or invested in do not perform as expected or we are unable to effectively integrate acquired businesses, our operating results and prospects could be harmed.</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acquired a number of businesses in the past and our future growth may depend, in part, on future acquisitions, any of which could be material to our financial condition and results of operations. There are certain financial and operational risks related to acquisitions that may have a material impact on our business including, but not limited to, the following:</w:t>
      </w:r>
    </w:p>
    <w:p>
      <w:pPr>
        <w:spacing w:after="0" w:line="73" w:lineRule="exact"/>
        <w:rPr>
          <w:sz w:val="20"/>
          <w:szCs w:val="20"/>
          <w:color w:val="auto"/>
        </w:rPr>
      </w:pPr>
    </w:p>
    <w:p>
      <w:pPr>
        <w:ind w:left="1040" w:right="8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acquisitions, and performing due diligence on potential acquisition targets that may or may not be successful;</w:t>
      </w:r>
    </w:p>
    <w:p>
      <w:pPr>
        <w:spacing w:after="0" w:line="62"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that may limit other potential uses of our cash, including stock repurchases, dividend payments and retirement of outstanding indebtedness;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16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acquired company;</w:t>
      </w:r>
    </w:p>
    <w:p>
      <w:pPr>
        <w:spacing w:after="0" w:line="62"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and other claims relating to the acquired company;</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any acquired company to achieve anticipated revenues, earnings or cash flows or to retain key management or employees;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Moreover, we rely heavily on the representations and warranties provided to us by the sellers of acquired companies, including as they relate to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have experienced rapid growth in our headcount and operations, which places substantial demands on management and our operational infrastructure. We continue to make substantial investments in our technology, sales and marketing and community management organizations.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Our international operations involve additional risks and our exposure to these risks increases as our business continues to expand globally.</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operate in a number of jurisdictions outside of the United States and continue to expand our international operations. Many of these regions have different economic conditions, languages, currencies, consumer expectations, levels of consumer acceptance and use of the Internet for commerce, legislation, regulatory environments (including labors laws and customs), tax laws and levels of political stability. We are subject to associated risks typical of international businesses, including, but not limited to, the following:</w:t>
      </w:r>
    </w:p>
    <w:p>
      <w:pPr>
        <w:spacing w:after="0" w:line="79"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117" w:lineRule="exact"/>
        <w:rPr>
          <w:rFonts w:ascii="Arial" w:cs="Arial" w:eastAsia="Arial" w:hAnsi="Arial"/>
          <w:sz w:val="18"/>
          <w:szCs w:val="18"/>
          <w:color w:val="auto"/>
        </w:rPr>
      </w:pPr>
    </w:p>
    <w:p>
      <w:pPr>
        <w:ind w:left="1040" w:right="300" w:hanging="384"/>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Ability to comply with additional laws applicable to companies operating internationally as well as local laws and regulations, including the Foreign Corrupt Practices Act and U.K. Bribery Act, data privacy requirements, labor laws and anti-competition regulations;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currency exchange restrictions;</w:t>
      </w:r>
    </w:p>
    <w:p>
      <w:pPr>
        <w:spacing w:after="0" w:line="117" w:lineRule="exact"/>
        <w:rPr>
          <w:rFonts w:ascii="Arial" w:cs="Arial" w:eastAsia="Arial" w:hAnsi="Arial"/>
          <w:sz w:val="18"/>
          <w:szCs w:val="18"/>
          <w:color w:val="auto"/>
        </w:rPr>
      </w:pPr>
    </w:p>
    <w:p>
      <w:pPr>
        <w:ind w:left="1040" w:right="48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adoption of the Internet as an advertising, broadcast and commerce medium in certain of those markets as compared to the United States;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 and</w:t>
      </w:r>
    </w:p>
    <w:p>
      <w:pPr>
        <w:spacing w:after="0" w:line="117" w:lineRule="exact"/>
        <w:rPr>
          <w:rFonts w:ascii="Arial" w:cs="Arial" w:eastAsia="Arial" w:hAnsi="Arial"/>
          <w:sz w:val="18"/>
          <w:szCs w:val="18"/>
          <w:color w:val="auto"/>
        </w:rPr>
      </w:pPr>
    </w:p>
    <w:p>
      <w:pPr>
        <w:ind w:left="1040" w:right="24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170"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Furthermore, we are also accumulating a greater portion of our cash flows in foreign jurisdictions than previously,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15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Unfavorable changes could decrease demand for products and services, limit marketing methods and capabilities, increase costs and/or subject us to additional liabilities.</w:t>
      </w:r>
    </w:p>
    <w:p>
      <w:pPr>
        <w:spacing w:after="0" w:line="18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92" w:lineRule="exact"/>
        <w:rPr>
          <w:sz w:val="20"/>
          <w:szCs w:val="20"/>
          <w:color w:val="auto"/>
        </w:rPr>
      </w:pPr>
    </w:p>
    <w:p>
      <w:pPr>
        <w:ind w:right="140" w:firstLine="487"/>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5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Any misappropriation or violation of our rights could have a material adverse effect on our business.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cost-efficient or effective manner could have a material adverse effect on our business and ability to protect our technology, content and brands.</w:t>
      </w:r>
    </w:p>
    <w:p>
      <w:pPr>
        <w:spacing w:after="0" w:line="16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ind w:right="460"/>
        <w:spacing w:after="0" w:line="277" w:lineRule="auto"/>
        <w:rPr>
          <w:sz w:val="20"/>
          <w:szCs w:val="20"/>
          <w:color w:val="auto"/>
        </w:rPr>
      </w:pPr>
      <w:r>
        <w:rPr>
          <w:rFonts w:ascii="Arial" w:cs="Arial" w:eastAsia="Arial" w:hAnsi="Arial"/>
          <w:sz w:val="18"/>
          <w:szCs w:val="18"/>
          <w:color w:val="auto"/>
        </w:rPr>
        <w:t>systems for fraud or service interruption (called “denial of service” or “bot” attacks). If we were to experience frequent or persistent system failures, our business, reputation, and brand could be harmed.</w:t>
      </w:r>
    </w:p>
    <w:p>
      <w:pPr>
        <w:spacing w:after="0" w:line="1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do not have a completely formalized or comprehensive disaster recovery plan in every geographic region in which we conduct business and our backup systems and disaster recovery, business continuity /or contingency plans for certain critical aspects of our operations or business processes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If we experience frequent or persistent system failures, our reputation and brand could be permanently and significantly harmed.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an increasing number of our users are providing consumer data (including credit card data). The security of data when engaging in electronic commerce is essential to maintaining consumer and travel service provider confidences in our services. 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9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the European Union is in the process of proposing reforms to its existing data protection legal framework, which may result in a greater compliance burden for companies, including us, with users in Europe and increased costs of compliance.</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our financial performance.</w:t>
      </w:r>
    </w:p>
    <w:p>
      <w:pPr>
        <w:spacing w:after="0" w:line="175"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We also face risks associated with security breaches affecting third parties conducting business over the Internet. Much of our business is conducted with third party marketing affiliates or, more recently, though business partners powering our instant booking feature. In addition, we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face increased risks as the level of our debt increases.</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On June 26, 2015, we entered into a new credit agreement with respect to a $1 billion five-year revolving credit facility. This arrangement includes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currently have outstanding approximately $110 million in long-term debt and approximately $888 million of available borrowing capacity on our revolving credit facility. Risks relating to our indebtedness include:</w:t>
      </w:r>
    </w:p>
    <w:p>
      <w:pPr>
        <w:spacing w:after="0" w:line="62"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60" w:hanging="384"/>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revolving credit facility will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7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agreements that govern our revolving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spacing w:after="0" w:line="7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are party to a credit agreement providing for the revolving credit facility. The agreements that govern the revolving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400" w:firstLine="518"/>
        <w:spacing w:after="0" w:line="302" w:lineRule="auto"/>
        <w:rPr>
          <w:sz w:val="20"/>
          <w:szCs w:val="20"/>
          <w:color w:val="auto"/>
        </w:rPr>
      </w:pPr>
      <w:r>
        <w:rPr>
          <w:rFonts w:ascii="Arial" w:cs="Arial" w:eastAsia="Arial" w:hAnsi="Arial"/>
          <w:sz w:val="16"/>
          <w:szCs w:val="16"/>
          <w:color w:val="auto"/>
        </w:rPr>
        <w:t>These covenants may limit our ability to optimally operate our business. In addition, our revolving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6" w:name="page47"/>
    <w:bookmarkEnd w:id="46"/>
    <w:p>
      <w:pPr>
        <w:ind w:right="30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62"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 calculations where the ultimate tax determination is uncertain.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7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Additionally, we earn an increasing portion of our income, and accumulate a greater portion of cash flow,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We conduct a significant and growing portion of our business outside the United States but report our results in U.S. dollars. As a result, we face exposure to movements in currency exchange rates, particularly those related to the Euro, British pound sterling, Singapore dollar, Australian dollar, and Chinese renminbi.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58"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consolidated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178"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Significant fluctuations in currency exchange rates can affect consumer travel behavior. Volatility in foreign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We are currently under an IRS audit for the 2009 and 2010 tax years, and have various ongoing state income tax audits. These audits include questioning of the timing and the amount of income and deductions and the allocation of income among various tax jurisdictions. The outcome of these matters or any other audits could subject us to significant tax liabilities.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of us, which may reduce the market price of our common stock.</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3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00" w:hanging="384"/>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We currently rely on the controlled company exemption from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62"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2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8" w:name="page49"/>
    <w:bookmarkEnd w:id="48"/>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12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For the three months ended March 31, 2016, the average daily trading volume of our common stock on NASDAQ was approximately 2.5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73"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62" w:lineRule="exact"/>
        <w:rPr>
          <w:sz w:val="20"/>
          <w:szCs w:val="20"/>
          <w:color w:val="auto"/>
        </w:rPr>
      </w:pPr>
    </w:p>
    <w:p>
      <w:pPr>
        <w:ind w:left="1040" w:right="220" w:hanging="384"/>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 and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or calling special stockholder meetings.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During the quarter ended March 31, 2016,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ind w:right="140" w:firstLine="552"/>
        <w:spacing w:after="0" w:line="257"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9" w:name="page50"/>
    <w:bookmarkEnd w:id="49"/>
    <w:p>
      <w:pPr>
        <w:ind w:right="180" w:firstLine="518"/>
        <w:spacing w:after="0" w:line="258" w:lineRule="auto"/>
        <w:rPr>
          <w:sz w:val="20"/>
          <w:szCs w:val="20"/>
          <w:color w:val="auto"/>
        </w:rPr>
      </w:pPr>
      <w:r>
        <w:rPr>
          <w:rFonts w:ascii="Arial" w:cs="Arial" w:eastAsia="Arial" w:hAnsi="Arial"/>
          <w:sz w:val="18"/>
          <w:szCs w:val="18"/>
          <w:color w:val="auto"/>
        </w:rPr>
        <w:t>During the three months ended March 31, 2016, we repurchased 24,077 shares of outstanding common stock under the share repurchase program, as set forth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 (or</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56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9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68"/>
        </w:trPr>
        <w:tc>
          <w:tcPr>
            <w:tcW w:w="516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80" w:type="dxa"/>
            <w:vAlign w:val="bottom"/>
            <w:gridSpan w:val="2"/>
            <w:vMerge w:val="continue"/>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40" w:type="dxa"/>
            <w:vAlign w:val="bottom"/>
            <w:gridSpan w:val="2"/>
            <w:vMerge w:val="restart"/>
          </w:tcPr>
          <w:p>
            <w:pPr>
              <w:jc w:val="center"/>
              <w:ind w:left="21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80" w:type="dxa"/>
            <w:vAlign w:val="bottom"/>
            <w:gridSpan w:val="2"/>
            <w:vMerge w:val="continue"/>
          </w:tcPr>
          <w:p>
            <w:pPr>
              <w:spacing w:after="0"/>
              <w:rPr>
                <w:sz w:val="5"/>
                <w:szCs w:val="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60" w:type="dxa"/>
            <w:vAlign w:val="bottom"/>
          </w:tcPr>
          <w:p>
            <w:pPr>
              <w:spacing w:after="0"/>
              <w:rPr>
                <w:sz w:val="5"/>
                <w:szCs w:val="5"/>
                <w:color w:val="auto"/>
              </w:rPr>
            </w:pPr>
          </w:p>
        </w:tc>
        <w:tc>
          <w:tcPr>
            <w:tcW w:w="138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center"/>
              <w:ind w:right="654"/>
              <w:spacing w:after="0"/>
              <w:rPr>
                <w:sz w:val="20"/>
                <w:szCs w:val="20"/>
                <w:color w:val="auto"/>
              </w:rPr>
            </w:pPr>
            <w:r>
              <w:rPr>
                <w:rFonts w:ascii="Arial" w:cs="Arial" w:eastAsia="Arial" w:hAnsi="Arial"/>
                <w:sz w:val="14"/>
                <w:szCs w:val="14"/>
                <w:b w:val="1"/>
                <w:bCs w:val="1"/>
                <w:color w:val="auto"/>
                <w:w w:val="93"/>
              </w:rPr>
              <w:t>(1)</w:t>
            </w:r>
          </w:p>
        </w:tc>
        <w:tc>
          <w:tcPr>
            <w:tcW w:w="12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1 to January 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104,779,230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February 1 to February 29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104,779,230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1 to March 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59.85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103,338,145</w:t>
            </w:r>
          </w:p>
        </w:tc>
        <w:tc>
          <w:tcPr>
            <w:tcW w:w="0" w:type="dxa"/>
            <w:vAlign w:val="bottom"/>
          </w:tcPr>
          <w:p>
            <w:pPr>
              <w:spacing w:after="0"/>
              <w:rPr>
                <w:sz w:val="1"/>
                <w:szCs w:val="1"/>
                <w:color w:val="auto"/>
              </w:rPr>
            </w:pPr>
          </w:p>
        </w:tc>
      </w:tr>
      <w:tr>
        <w:trPr>
          <w:trHeight w:val="500"/>
        </w:trPr>
        <w:tc>
          <w:tcPr>
            <w:tcW w:w="5160" w:type="dxa"/>
            <w:vAlign w:val="bottom"/>
          </w:tcPr>
          <w:p>
            <w:pPr>
              <w:ind w:left="5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24,077</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24,077</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amounts include fees and commissions associated with the share repurchase.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28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2"/>
        </w:trPr>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ind w:left="560" w:hanging="552"/>
        <w:spacing w:after="0" w:line="255"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March 31, 2016, formatted in XBRL: (i) Unaudited Condensed Consolidated Statements of Operations, (ii) Unaudited Condensed Consolidated Statements of Comprehensive Income, (iii) Unaudited Condensed Consolidated Balance Sheets, (iv) Unaudited Condensed Consolidated Statement of Changes in Stockholders’ Equity, (v) Unaudited Condensed Consolidated Statements of Cash Flows, and (vi)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820" w:space="440"/>
            <w:col w:w="3160"/>
          </w:cols>
          <w:pgMar w:left="240" w:top="688"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2016,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2016,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emdash "/>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2019-12-29T11:50:58Z</dcterms:created>
  <dcterms:modified xsi:type="dcterms:W3CDTF">2019-12-29T11:50:58Z</dcterms:modified>
</cp:coreProperties>
</file>