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280" w:hanging="512"/>
        <w:spacing w:after="0" w:line="245"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p>
      <w:pPr>
        <w:ind w:left="33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3648710</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p>
      <w:pPr>
        <w:spacing w:after="0" w:line="33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2">
            <w:col w:w="8020" w:space="720"/>
            <w:col w:w="2500"/>
          </w:cols>
          <w:pgMar w:left="320" w:top="848"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900" w:space="720"/>
            <w:col w:w="2620"/>
          </w:cols>
          <w:pgMar w:left="320" w:top="848" w:right="339"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8" w:right="339" w:bottom="1440" w:gutter="0" w:footer="0" w:header="0"/>
          <w:type w:val="continuous"/>
        </w:sectPr>
      </w:pP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690" w:type="dxa"/>
        <w:tblCellMar>
          <w:top w:w="0" w:type="dxa"/>
          <w:left w:w="0" w:type="dxa"/>
          <w:bottom w:w="0" w:type="dxa"/>
          <w:right w:w="0" w:type="dxa"/>
        </w:tblCellMar>
      </w:tblPr>
      <w:tr>
        <w:trPr>
          <w:trHeight w:val="23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25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250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TRIP</w:t>
            </w:r>
          </w:p>
        </w:tc>
        <w:tc>
          <w:tcPr>
            <w:tcW w:w="48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9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3"/>
        </w:trPr>
        <w:tc>
          <w:tcPr>
            <w:tcW w:w="79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color w:val="auto"/>
              </w:rPr>
              <w:t>Class</w:t>
            </w:r>
          </w:p>
        </w:tc>
        <w:tc>
          <w:tcPr>
            <w:tcW w:w="32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Outstanding Shares at May 1, 2025</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tcPr>
          <w:p>
            <w:pPr>
              <w:jc w:val="center"/>
              <w:ind w:right="759"/>
              <w:spacing w:after="0"/>
              <w:rPr>
                <w:sz w:val="20"/>
                <w:szCs w:val="20"/>
                <w:color w:val="auto"/>
              </w:rPr>
            </w:pPr>
            <w:r>
              <w:rPr>
                <w:rFonts w:ascii="Times New Roman" w:cs="Times New Roman" w:eastAsia="Times New Roman" w:hAnsi="Times New Roman"/>
                <w:sz w:val="18"/>
                <w:szCs w:val="18"/>
                <w:color w:val="auto"/>
                <w:w w:val="98"/>
              </w:rPr>
              <w:t>118,092,104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6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0"/>
        </w:trPr>
        <w:tc>
          <w:tcPr>
            <w:tcW w:w="6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Pr>
          <w:p>
            <w:pPr>
              <w:spacing w:after="0"/>
              <w:rPr>
                <w:sz w:val="18"/>
                <w:szCs w:val="18"/>
                <w:color w:val="auto"/>
              </w:rPr>
            </w:pPr>
          </w:p>
        </w:tc>
      </w:tr>
      <w:tr>
        <w:trPr>
          <w:trHeight w:val="351"/>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10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2025 and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Months Ended March 31, 2025 and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 at March 31, 2025 and December 31,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Months Ended March 31, 2025 and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2025 and 2024</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0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702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8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23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tcBorders>
              <w:top w:val="single" w:sz="8" w:color="0000FF"/>
            </w:tcBorders>
            <w:gridSpan w:val="2"/>
          </w:tcPr>
          <w:p>
            <w:pPr>
              <w:spacing w:after="0"/>
              <w:rPr>
                <w:sz w:val="17"/>
                <w:szCs w:val="17"/>
                <w:color w:val="auto"/>
              </w:rPr>
            </w:pPr>
          </w:p>
        </w:tc>
        <w:tc>
          <w:tcPr>
            <w:tcW w:w="6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412"/>
        </w:trPr>
        <w:tc>
          <w:tcPr>
            <w:tcW w:w="1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89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98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6"/>
        </w:trPr>
        <w:tc>
          <w:tcPr>
            <w:tcW w:w="16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28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49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9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23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17"/>
                <w:szCs w:val="17"/>
                <w:color w:val="auto"/>
              </w:rPr>
            </w:pPr>
          </w:p>
        </w:tc>
        <w:tc>
          <w:tcPr>
            <w:tcW w:w="80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8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90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8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1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7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(Note 3)</w:t>
            </w:r>
          </w:p>
        </w:tc>
        <w:tc>
          <w:tcPr>
            <w:tcW w:w="306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(including stock-based compensation of $28 and $28, respectively</w:t>
            </w:r>
          </w:p>
        </w:tc>
        <w:tc>
          <w:tcPr>
            <w:tcW w:w="3060" w:type="dxa"/>
            <w:vAlign w:val="bottom"/>
            <w:gridSpan w:val="2"/>
          </w:tcPr>
          <w:p>
            <w:pPr>
              <w:jc w:val="right"/>
              <w:ind w:right="2302"/>
              <w:spacing w:after="0"/>
              <w:rPr>
                <w:sz w:val="20"/>
                <w:szCs w:val="20"/>
                <w:color w:val="auto"/>
              </w:rPr>
            </w:pPr>
            <w:r>
              <w:rPr>
                <w:rFonts w:ascii="Times New Roman" w:cs="Times New Roman" w:eastAsia="Times New Roman" w:hAnsi="Times New Roman"/>
                <w:sz w:val="18"/>
                <w:szCs w:val="18"/>
                <w:color w:val="auto"/>
              </w:rPr>
              <w:t>- Note 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related reorganization costs (Note 5)</w:t>
            </w:r>
          </w:p>
        </w:tc>
        <w:tc>
          <w:tcPr>
            <w:tcW w:w="20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7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 (Note 7)</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7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2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8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5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11):</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6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020" w:type="dxa"/>
            <w:vAlign w:val="bottom"/>
            <w:shd w:val="clear" w:color="auto" w:fill="CFF0FC"/>
          </w:tcPr>
          <w:p>
            <w:pPr>
              <w:jc w:val="right"/>
              <w:ind w:right="8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6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1020" w:type="dxa"/>
            <w:vAlign w:val="bottom"/>
          </w:tcPr>
          <w:p>
            <w:pPr>
              <w:jc w:val="right"/>
              <w:ind w:right="8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11):</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16"/>
        </w:trPr>
        <w:tc>
          <w:tcPr>
            <w:tcW w:w="5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30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Reclassification adjustments included in net income (loss), net of tax </w:t>
            </w:r>
            <w:r>
              <w:rPr>
                <w:rFonts w:ascii="Times New Roman" w:cs="Times New Roman" w:eastAsia="Times New Roman" w:hAnsi="Times New Roman"/>
                <w:sz w:val="24"/>
                <w:szCs w:val="24"/>
                <w:color w:val="auto"/>
                <w:vertAlign w:val="superscript"/>
              </w:rPr>
              <w:t>(1)</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8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ind w:left="840" w:hanging="38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liabilities related to these amounts are not material.</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60" w:type="dxa"/>
            <w:vAlign w:val="bottom"/>
          </w:tcPr>
          <w:p>
            <w:pPr>
              <w:spacing w:after="0"/>
              <w:rPr>
                <w:sz w:val="15"/>
                <w:szCs w:val="15"/>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1,154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 (allowance for expected credit losses of $27 and $25, respectively) (Note 4)</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1,484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7"/>
                <w:szCs w:val="17"/>
                <w:color w:val="auto"/>
              </w:rPr>
            </w:pPr>
          </w:p>
        </w:tc>
      </w:tr>
      <w:tr>
        <w:trPr>
          <w:trHeight w:val="202"/>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$586 and $567, respectively</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assets, net of accumulated amortization of $193 and $189, respectively</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Non-marketable investments (Note 4)</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assets, net of allowance for credit losses of $10 and $10, respectively (Note 4)</w:t>
            </w:r>
          </w:p>
        </w:tc>
        <w:tc>
          <w:tcPr>
            <w:tcW w:w="10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2,756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 (Note 3)</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debt (Note 6)</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 (Note 7)</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 (Note 5)</w:t>
            </w:r>
          </w:p>
        </w:tc>
        <w:tc>
          <w:tcPr>
            <w:tcW w:w="10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Long-term debt (Note 6)</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1,167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2,113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7"/>
                <w:szCs w:val="17"/>
                <w:color w:val="auto"/>
              </w:rPr>
            </w:pPr>
          </w:p>
        </w:tc>
      </w:tr>
      <w:tr>
        <w:trPr>
          <w:trHeight w:val="196"/>
        </w:trPr>
        <w:tc>
          <w:tcPr>
            <w:tcW w:w="80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(Note 10)</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102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155,266,930 and 153,655,038, respectively</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outstanding: 129,006,678 and 127,394,786, respectively</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12,799,999 and 12,799,999, respectively</w:t>
            </w:r>
          </w:p>
        </w:tc>
        <w:tc>
          <w:tcPr>
            <w:tcW w:w="10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1,627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Stockholder note receivable - related party (Note 1)</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0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r>
      <w:tr>
        <w:trPr>
          <w:trHeight w:val="202"/>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Treasury stock-common stock, at cost, 26,260,252 and 26,260,252 shares, respectively</w:t>
            </w:r>
          </w:p>
        </w:tc>
        <w:tc>
          <w:tcPr>
            <w:tcW w:w="10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(847)</w:t>
            </w:r>
          </w:p>
        </w:tc>
        <w:tc>
          <w:tcPr>
            <w:tcW w:w="1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(847)</w:t>
            </w:r>
          </w:p>
        </w:tc>
      </w:tr>
      <w:tr>
        <w:trPr>
          <w:trHeight w:val="196"/>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2,756</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-5897245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-5897245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-4859655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-3539490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-2759710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Accumul</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w:t>
            </w:r>
          </w:p>
        </w:tc>
        <w:tc>
          <w:tcPr>
            <w:tcW w:w="8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Stockhold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er note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6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receivabl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 -</w:t>
            </w:r>
          </w:p>
        </w:tc>
        <w:tc>
          <w:tcPr>
            <w:tcW w:w="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1160" w:type="dxa"/>
            <w:vAlign w:val="bottom"/>
            <w:tcBorders>
              <w:bottom w:val="single" w:sz="8" w:color="auto"/>
            </w:tcBorders>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related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party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153,655,</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(26,260,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038</w:t>
            </w:r>
          </w:p>
        </w:tc>
        <w:tc>
          <w:tcPr>
            <w:tcW w:w="60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1,605</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(91)</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252)</w:t>
            </w:r>
          </w:p>
        </w:tc>
        <w:tc>
          <w:tcPr>
            <w:tcW w:w="40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(847)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of tax</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Stockholder note receivable - related</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party (Note 1)</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(327)</w:t>
            </w: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w:t>
            </w: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exercises of options and vesting of</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1,611,89</w:t>
            </w: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RSUs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Withholding taxes on net share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settlements of equity awards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8"/>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155,266,</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(26,260,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930</w:t>
            </w:r>
          </w:p>
        </w:tc>
        <w:tc>
          <w:tcPr>
            <w:tcW w:w="260" w:type="dxa"/>
            <w:vAlign w:val="bottom"/>
          </w:tcPr>
          <w:p>
            <w:pPr>
              <w:spacing w:after="0"/>
              <w:rPr>
                <w:sz w:val="14"/>
                <w:szCs w:val="14"/>
                <w:color w:val="auto"/>
              </w:rPr>
            </w:pPr>
          </w:p>
        </w:tc>
        <w:tc>
          <w:tcPr>
            <w:tcW w:w="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bottom w:val="single" w:sz="8" w:color="auto"/>
            </w:tcBorders>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99</w:t>
            </w:r>
          </w:p>
        </w:tc>
        <w:tc>
          <w:tcPr>
            <w:tcW w:w="2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ind w:left="4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1,627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(75)</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85"/>
              </w:rPr>
              <w:t>(847)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Accumul</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w:t>
            </w:r>
          </w:p>
        </w:tc>
        <w:tc>
          <w:tcPr>
            <w:tcW w:w="80" w:type="dxa"/>
            <w:vAlign w:val="bottom"/>
          </w:tcPr>
          <w:p>
            <w:pPr>
              <w:spacing w:after="0"/>
              <w:rPr>
                <w:sz w:val="15"/>
                <w:szCs w:val="15"/>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Stockhold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er note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6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receivabl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 -</w:t>
            </w:r>
          </w:p>
        </w:tc>
        <w:tc>
          <w:tcPr>
            <w:tcW w:w="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1160" w:type="dxa"/>
            <w:vAlign w:val="bottom"/>
            <w:tcBorders>
              <w:bottom w:val="single" w:sz="8" w:color="auto"/>
            </w:tcBorders>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related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income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party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149,775,</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(24,893,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361</w:t>
            </w:r>
          </w:p>
        </w:tc>
        <w:tc>
          <w:tcPr>
            <w:tcW w:w="60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1,493</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271</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(71)</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867)</w:t>
            </w:r>
          </w:p>
        </w:tc>
        <w:tc>
          <w:tcPr>
            <w:tcW w:w="40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(822)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of tax</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w:t>
            </w: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related to</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exercises of options and vesting of</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1,462,14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1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Withholding taxes on net share</w:t>
            </w: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settlements of equity awards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151,237,</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12,799,9</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(24,893,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6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501</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bottom w:val="single" w:sz="8" w:color="auto"/>
            </w:tcBorders>
            <w:shd w:val="clear" w:color="auto" w:fill="CFF0FC"/>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99</w:t>
            </w:r>
          </w:p>
        </w:tc>
        <w:tc>
          <w:tcPr>
            <w:tcW w:w="2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FF0FC"/>
          </w:tcPr>
          <w:p>
            <w:pPr>
              <w:ind w:left="4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1,513</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212</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(78)</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867)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80" w:type="dxa"/>
            <w:vAlign w:val="bottom"/>
            <w:tcBorders>
              <w:bottom w:val="single" w:sz="8" w:color="auto"/>
            </w:tcBorders>
            <w:shd w:val="clear" w:color="auto" w:fill="CFF0FC"/>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85"/>
              </w:rPr>
              <w:t>(822)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-2442210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-2442210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-2442210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-2442210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-2442210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-2442210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-2442210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-2442210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-2442210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-2442210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-24765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 (Note 9)</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net, prepaid expenses and other assets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80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Term Loan B Facility, net of financing costs (Note 6)</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Term Loan B Facility (Note 6)</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Funding of term loan facility for related party (Note 1)</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of finance lease obligation and other financing activities</w:t>
            </w: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0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FF0FC"/>
            </w:tcBorders>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paid (received) during the period for income taxes, net of refunds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-2811145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-2253615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-1148080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-582295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Tripadvisor Group's mission is to connect people to experiences worth sharing with a vision to be the world’s most trusted source for travel and experiences. We leverage our brands, technology platforms, and capabilities to connect our large, global audience with partners by offering rich content, travel guidance products and services, and two-sided marketplaces for experiences, accommodations, restaurants, and other travel categories. The Company operates across three business segments: Brand Tripadvisor, Viator, and TheFork.</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Brand Tripadvisor empowers everyone to be a better traveler through its online global platform where hundreds of millions of visitors regularly visit and engage to discover, generate, and share authentic user-generated content (“UGC”) in the form of reviews and opinions for experiences, accommodations, restaurants, and cruises in over 40 countries across the world. As of December 31, 2024, Tripadvisor offered more than 1 billion user-generated reviews and opinions on over 9 million experiences, accommodations, restaurants, airlines, and cruises.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experience operators around the globe. Our online marketplace is comprehensive, connecting travelers to bookable tours, activities and attractions—consisting of nearly 400,000 experiences from more than 65,000 operators as of December 31, 2024.</w:t>
      </w:r>
    </w:p>
    <w:p>
      <w:pPr>
        <w:spacing w:after="0" w:line="68"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TheFork delivers happiness through amazing dining experiences as the leading online restaurant booking platform in Europe. At the forefront of championing restaurant culture, TheFork harnesses technology to promote real life connections between diners and restaurateurs. TheFork provides an online marketplace that enables diners to discover and book online reservations at approximately 55,000 restaurants in 11 countries, as of December 31, 2024, across the U.K., western and central Europe.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except as discussed below in “</w:t>
      </w:r>
      <w:r>
        <w:rPr>
          <w:rFonts w:ascii="Times New Roman" w:cs="Times New Roman" w:eastAsia="Times New Roman" w:hAnsi="Times New Roman"/>
          <w:sz w:val="18"/>
          <w:szCs w:val="18"/>
          <w:i w:val="1"/>
          <w:iCs w:val="1"/>
          <w:color w:val="auto"/>
        </w:rPr>
        <w:t>Revised Operating Expense Presentation.</w:t>
      </w:r>
      <w:r>
        <w:rPr>
          <w:rFonts w:ascii="Times New Roman" w:cs="Times New Roman" w:eastAsia="Times New Roman" w:hAnsi="Times New Roman"/>
          <w:sz w:val="18"/>
          <w:szCs w:val="18"/>
          <w:color w:val="auto"/>
        </w:rPr>
        <w:t>”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2024, previously filed with the SEC (the “2024 Annual Report”). The unaudited condensed consolidated balance sheet as of December 31, 2024 included herein was derived from the audited consolidated financial statements as of that date, but does not include all disclosures including notes required by GAAP.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Revised Operating Expense Presentation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w:t>
      </w:r>
    </w:p>
    <w:p>
      <w:pPr>
        <w:spacing w:after="0" w:line="183"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below shows the reclassification adjustments made amongst costs and expenses on our unaudited condensed consolidated statement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33020</wp:posOffset>
            </wp:positionV>
            <wp:extent cx="93980" cy="23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33020</wp:posOffset>
            </wp:positionV>
            <wp:extent cx="85725" cy="231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231140"/>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33020</wp:posOffset>
            </wp:positionV>
            <wp:extent cx="85725"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231140"/>
                    </a:xfrm>
                    <a:prstGeom prst="rect">
                      <a:avLst/>
                    </a:prstGeom>
                    <a:noFill/>
                  </pic:spPr>
                </pic:pic>
              </a:graphicData>
            </a:graphic>
          </wp:anchor>
        </w:drawing>
      </w:r>
    </w:p>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4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Borders>
              <w:top w:val="single" w:sz="8" w:color="auto"/>
            </w:tcBorders>
            <w:gridSpan w:val="2"/>
          </w:tcPr>
          <w:p>
            <w:pPr>
              <w:jc w:val="right"/>
              <w:ind w:right="12"/>
              <w:spacing w:after="0" w:line="137" w:lineRule="exact"/>
              <w:rPr>
                <w:sz w:val="20"/>
                <w:szCs w:val="20"/>
                <w:color w:val="auto"/>
              </w:rPr>
            </w:pPr>
            <w:r>
              <w:rPr>
                <w:rFonts w:ascii="Times New Roman" w:cs="Times New Roman" w:eastAsia="Times New Roman" w:hAnsi="Times New Roman"/>
                <w:sz w:val="14"/>
                <w:szCs w:val="14"/>
                <w:b w:val="1"/>
                <w:bCs w:val="1"/>
                <w:color w:val="auto"/>
              </w:rPr>
              <w:t>As Reported March 31,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56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As Adjusted 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 (formerly Cost of revenue)</w:t>
            </w:r>
          </w:p>
        </w:tc>
        <w:tc>
          <w:tcPr>
            <w:tcW w:w="8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(10) </w:t>
            </w:r>
            <w:r>
              <w:rPr>
                <w:rFonts w:ascii="Times New Roman" w:cs="Times New Roman" w:eastAsia="Times New Roman" w:hAnsi="Times New Roman"/>
                <w:sz w:val="25"/>
                <w:szCs w:val="25"/>
                <w:color w:val="auto"/>
                <w:vertAlign w:val="superscript"/>
              </w:rPr>
              <w:t>1</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Marketing (formerly Selling and marketing)</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3"/>
            <w:shd w:val="clear" w:color="auto" w:fill="CFF0FC"/>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Personnel (including stock-based compensation of $28)</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149 </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(formerly Technology and content)</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3"/>
            <w:shd w:val="clear" w:color="auto" w:fill="CFF0FC"/>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25"/>
                <w:szCs w:val="25"/>
                <w:color w:val="auto"/>
                <w:vertAlign w:val="superscript"/>
              </w:rPr>
              <w:t>4</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25"/>
                <w:szCs w:val="25"/>
                <w:color w:val="auto"/>
                <w:vertAlign w:val="superscript"/>
              </w:rPr>
              <w:t>5</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25"/>
                <w:szCs w:val="25"/>
                <w:color w:val="auto"/>
                <w:vertAlign w:val="superscript"/>
              </w:rPr>
              <w:t>6</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3" w:lineRule="exact"/>
        <w:rPr>
          <w:sz w:val="20"/>
          <w:szCs w:val="20"/>
          <w:color w:val="auto"/>
        </w:rPr>
      </w:pPr>
    </w:p>
    <w:p>
      <w:pPr>
        <w:ind w:left="960" w:right="220" w:hanging="503"/>
        <w:spacing w:after="0" w:line="233"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data center costs, and to a lesser extent, licensing costs to Technology; partially offset by the reclass of digital service taxes ("DST") and bad debt expense from General and administrative to Costs of sales.</w:t>
      </w:r>
    </w:p>
    <w:p>
      <w:pPr>
        <w:ind w:left="960" w:right="860" w:hanging="503"/>
        <w:spacing w:after="0" w:line="221"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licensing costs to Technology and real estate and office expenses to General and administrative.</w:t>
      </w:r>
    </w:p>
    <w:p>
      <w:pPr>
        <w:ind w:left="960" w:hanging="503"/>
        <w:spacing w:after="0" w:line="221"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reclass of people costs, including stock-based compensation expense, from all legacy operating expense captions to Personnel.</w:t>
      </w:r>
    </w:p>
    <w:p>
      <w:pPr>
        <w:ind w:left="960" w:right="120" w:hanging="503"/>
        <w:spacing w:after="0" w:line="221"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the reclass of real estate and office expenses to General and administrative; partially offset by the reclass of data center and licensing costs from all legacy operating expense captions to Technology.</w:t>
      </w:r>
    </w:p>
    <w:p>
      <w:pPr>
        <w:ind w:left="960" w:right="40" w:hanging="503"/>
        <w:spacing w:after="0" w:line="221"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reclass of people costs to Personnel, and to a lesser extent, the reclass of DST and bad debt expense to Costs of sales; partially offset by the reclass of real estate and office expenses to General and administrative from all legacy operating expense captions.</w:t>
      </w:r>
    </w:p>
    <w:p>
      <w:pPr>
        <w:ind w:left="960" w:hanging="50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 of Restructuring and other related reorganization costs from General and administrative for comparability with the current period presentation.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LTRIP and Tripadvisor Merger Agreement and Loan Agreement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Liberty Tripadvisor Holdings, Inc. (“LTRIP”) was a controlling stockholder of Tripadvisor and related party. As of March 31, 2025, LTRIP beneficially owned approximately 14.0 million shares of our common stock and 12.8 million shares of our Class B common stock, which constituted approximately 11% of the outstanding shares of common stock and 100% of the outstanding shares of Class B common stock. Assuming the conversion of all LTRIP’s shares of Class B common stock into common stock, LTRIP would beneficially own approximately 19% of the outstanding common stock as of such date. Because each share of Class B common stock is entitled to ten votes per share and each share of common stock is entitled to one vote per share, LTRIP would have beneficially owned equity securities representing approximately 55% of our voting power as of March 31, 2025. We had no related party transactions with LTRIP during each of the three months ended March 31, 2025 and 2024, except as discussed below.</w:t>
      </w:r>
    </w:p>
    <w:p>
      <w:pPr>
        <w:spacing w:after="0" w:line="189"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color w:val="auto"/>
        </w:rPr>
        <w:t>On December 18, 2024, the Company, LTRIP and Telluride Merger Sub Corp., a Delaware corporation (“Merger Sub”) and an indirect wholly-owned subsidiary of the Company, entered into an Agreement and Plan of Merger (the “Merger Agreement”), pursuant to which, (i) Merger Sub will be merged with and into LTRIP (the “Merger”), with LTRIP surviving the Merger as the surviving corporation and an indirect, wholly-owned subsidiary of the Company, and (ii) immediately following the Merger, LTRIP (as the surviving corporation in the Merger) will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April 29, 2025, the Merger was consummated, and per the Merger Agreement, (i) the shares of LTRIP Series A Common Stock and Series B Common Stock issued and outstanding immediately prior to the effective time of the Merger were converted into the right to receive $0.2567 per share in cash, totaling approximately $20 million in the aggregate; and (ii) all of the shares of LTRIP's 8% Series A Cumulative Redeemable Preferred Stock issued and outstanding immediately prior to the effective time of the Merger were converted into the right to receive, in the aggregate, approximately $42.5 million in cash, without interest, and 3,037,959 validly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9" w:name="page10"/>
    <w:bookmarkEnd w:id="9"/>
    <w:p>
      <w:pPr>
        <w:ind w:right="80"/>
        <w:spacing w:after="0" w:line="258" w:lineRule="auto"/>
        <w:rPr>
          <w:sz w:val="20"/>
          <w:szCs w:val="20"/>
          <w:color w:val="auto"/>
        </w:rPr>
      </w:pPr>
      <w:r>
        <w:rPr>
          <w:rFonts w:ascii="Times New Roman" w:cs="Times New Roman" w:eastAsia="Times New Roman" w:hAnsi="Times New Roman"/>
          <w:sz w:val="18"/>
          <w:szCs w:val="18"/>
          <w:color w:val="auto"/>
        </w:rPr>
        <w:t>issued, fully paid and non-assessable shares of the Company's common stock, with an estimated fair value of approximately $39 million, as calculated using the Company's closing stock price on April 28, 2025; and (iii) LTRIP's 0.50% Exchangeable Senior Debentures (the “Exchangeable Debentures”) of $326 million were repaid during March 2025 by LTRIP with the use of loan proceeds from the Company, as discussed below, while the remaining $4 million will be repaid by the Company approximately 30 days after the consummation of the Merger. The aggregate transaction price of the Merger was approximately $430 million.</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the Company agreed to provide a loan facility (the “Loan Agreement”) to LTRIP to enable LTRIP to repurchase or settle the Exchangeable Debentures prior to the closing of the Merger. On March 20, 2025, the Company, as Lender, LTRIP, as Borrower, and LTRIP’s wholly owned subsidiaries, as guarantors (the “Guarantors”), entered into the Loan Agreement. Pursuant to the Loan Agreement, the Company extended credit in the form of a term loan facility in an aggregate principal amount of $327 million subject to the terms and conditions therein. The Loan Agreement provided that LTRIP was required to use the proceeds from loans under the Loan Agreement solely to repurchase or settle its exchange obligations with respect to the Exchangeable Debentures in accordance with the terms of the Exchangeable Debentures Indenture and the Merger Agreement and pay related fees, costs and expenses incurred in connection therewith. The Loan Agreement subsequently expired in accordance with the terms of the Merger Agreement upon consummation of the Merger, or April 29, 2025, and the loan balance of $327 million is no longer payable to the Company and was assumed in the aggregate transaction price of the Merger, as discussed below.</w:t>
      </w:r>
    </w:p>
    <w:p>
      <w:pPr>
        <w:spacing w:after="0" w:line="188"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At March 31, 2025, the outstanding balance of the Loan Agreement of $327 million has been recorded to “stockholder note receivable - related party” as a reduction to stockholders’ equity in our unaudited condensed consolidated balance sheet. This amount will be reclassified to treasury stock upon consummation of the Merger (see Merger accounting discussion below).</w:t>
      </w:r>
    </w:p>
    <w:p>
      <w:pPr>
        <w:spacing w:after="0" w:line="68"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Assets held by LTRIP substantially consist of shares of the Company’s common stock. As a result, following the consummation of the Merger, the Company accounts for the Merger as a repurchase of the Company's common stock previously held by LTRIP. As such: (i) the aggregate transaction price will be recorded as an increase to treasury stock within stockholders’ equity on our unaudited condensed consolidated balance sheet, and (ii) the cash portion of the aggregate transaction price will be reflected as a financing cash outflow within our unaudited condensed consolidated statement of cash flows. The amount anticipated to be allocated to treasury stock on the unaudited condensed consolidated balance sheet will include the aggregate transaction price of approximately $430 million, plus all direct expenses and fees associated with the repurchase of the Company’s common stock, which are estimated to be approximately $20 million.</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Immediately following the consummation of the Merger, on April 29, 2025, the Board of Directors retired the shares of Tripadvisor common stock and Class B common stock previously held by LTRIP, thereby canceling approximately 26.8 million shares of the Company, which reduced the Company’s outstanding shares by the same number.</w:t>
      </w:r>
    </w:p>
    <w:p>
      <w:pPr>
        <w:spacing w:after="0" w:line="95" w:lineRule="exact"/>
        <w:rPr>
          <w:sz w:val="20"/>
          <w:szCs w:val="20"/>
          <w:color w:val="auto"/>
        </w:rPr>
      </w:pPr>
    </w:p>
    <w:p>
      <w:pPr>
        <w:jc w:val="both"/>
        <w:ind w:right="140" w:firstLine="494"/>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is no longer a controlled company under the Nasdaq Stock Market Listing Rules (the “Nasdaq Rules”) and no longer subject to the Governance Agreement by and among the Company, Liberty Interactive Corporation and Barry Diller, dated as of December 20, 2011 (as amended by the Assignment and Assumption of Governance Agreement, dated August 12, 2014).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and between Ukraine and Russia, acts of terrorism, fluctuations in currency values, and changes in global economic conditions are examples of other events that could have a negative impact on the travel industry, and as a result, our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8"/>
          <w:szCs w:val="18"/>
          <w:color w:val="231F20"/>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2024,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consolidated financial statements in Item 8 of our 2024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the 2025 annual period and can be applied either prospectively or retrospectively. We are currently in the process of evaluating the impact of this new accounting guidance on our consolidated financial statements for the year ended December 31, 2025 and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new accounting guidance that clarifies the requirements for determining whether certain settlements of convertible debt instruments should be accounted for as an induced conversion. This guidance is effective for annual reporting periods beginning after December 15, 2025 and interim reporting periods within those annual reporting periods. Early adoption is permitted for all entities that have adopted the amendments in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 (Subtopic 815-40)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spacing w:after="0" w:line="18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2024,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2024 Annual Report. There was no significant revenue recognized in the three months ended March 31, 2025 and 2024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our business consists of three reportable segments – (1) Brand Tripadvisor; (2) Viator; and (3) TheFork. A reconciliation of disaggregated revenue to segment revenue is included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0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 Tripadvisor</w:t>
            </w: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1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(2)</w:t>
            </w:r>
          </w:p>
        </w:tc>
        <w:tc>
          <w:tcPr>
            <w:tcW w:w="1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Brand Tripadvisor</w:t>
            </w:r>
          </w:p>
        </w:tc>
        <w:tc>
          <w:tcPr>
            <w:tcW w:w="1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Viator</w:t>
            </w:r>
          </w:p>
        </w:tc>
        <w:tc>
          <w:tcPr>
            <w:tcW w:w="1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TheFork</w:t>
            </w:r>
          </w:p>
        </w:tc>
        <w:tc>
          <w:tcPr>
            <w:tcW w:w="1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(2)</w:t>
            </w:r>
          </w:p>
        </w:tc>
        <w:tc>
          <w:tcPr>
            <w:tcW w:w="1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-864870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ind w:left="840" w:hanging="383"/>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all reportable segments.</w:t>
      </w:r>
    </w:p>
    <w:p>
      <w:pPr>
        <w:spacing w:after="0" w:line="3" w:lineRule="exact"/>
        <w:rPr>
          <w:rFonts w:ascii="Times New Roman" w:cs="Times New Roman" w:eastAsia="Times New Roman" w:hAnsi="Times New Roman"/>
          <w:sz w:val="14"/>
          <w:szCs w:val="14"/>
          <w:color w:val="auto"/>
        </w:rPr>
      </w:pPr>
    </w:p>
    <w:p>
      <w:pPr>
        <w:ind w:left="840" w:right="180" w:hanging="383"/>
        <w:spacing w:after="0" w:line="239"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See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a discussion of intersegment revenue for all periods presented.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2025 and 2024, we had $47 million and $49 million, respectively, recorded as deferred revenue on our unaudited condensed consolidated balance sheets, of which $29 million and $28 million, respectively, was recognized in revenue and $3 million and $2 million, respectively, was refunded due to cancellations by travelers, during the three months ended March 31, 2025 and 2024. The difference between the opening and closing balances of our deferred revenue primarily results from the timing differences between when we receive customer payments and the time in which we satisfy our performance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 AND FAIR VALUE MEASUREMENTS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we had approximately $1.2 billion and $1.1 billion of cash and cash equivalents, which consisted of available on demand bank deposits and money market funds, with maturities of 90 days or less at the date of purchase, in each case, with major global financial institutions. We had no outstanding investments classified as either short-term or long-term marketable securities as of March 31, 2025 or December 31, 2024, and there were no purchases or sales of any marketable securities during and for the three months ended March 31, 2025 and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March 31, 2025 and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0"/>
                <w:szCs w:val="1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836</w:t>
            </w:r>
          </w:p>
        </w:tc>
        <w:tc>
          <w:tcPr>
            <w:tcW w:w="5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742</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1,154</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1,064</w:t>
            </w: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-170815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160" w:firstLine="544"/>
        <w:spacing w:after="0" w:line="254"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three months ended March 31, 2025 and 2024, our forward contracts were not designated as hedges and generally had maturities of less than 90 days. Our outstanding or unsettled forward contracts are carried at fair value on our unaudited condensed consolidated balance sheets as of both March 31, 2025 and December 31, 2024.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during each of the three months ended March 31, 2025 and 2024. We recorded a net loss of $1 million for the three months ended March 31, 2025 related to our forward contracts, however this amount was not material for the three months ended March 31, 2024.</w:t>
      </w:r>
    </w:p>
    <w:p>
      <w:pPr>
        <w:spacing w:after="0" w:line="2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2"/>
          </w:tcPr>
          <w:p>
            <w:pPr>
              <w:jc w:val="right"/>
              <w:ind w:right="1088"/>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exchange-forward contracts (1)(2)</w:t>
            </w:r>
          </w:p>
        </w:tc>
        <w:tc>
          <w:tcPr>
            <w:tcW w:w="214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6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FF0FC"/>
          </w:tcPr>
          <w:p>
            <w:pPr>
              <w:spacing w:after="0"/>
              <w:rPr>
                <w:sz w:val="18"/>
                <w:szCs w:val="18"/>
                <w:color w:val="auto"/>
              </w:rPr>
            </w:pPr>
          </w:p>
        </w:tc>
      </w:tr>
    </w:tbl>
    <w:p>
      <w:pPr>
        <w:spacing w:after="0" w:line="85" w:lineRule="exact"/>
        <w:rPr>
          <w:sz w:val="20"/>
          <w:szCs w:val="20"/>
          <w:color w:val="auto"/>
        </w:rPr>
      </w:pPr>
    </w:p>
    <w:p>
      <w:pPr>
        <w:ind w:left="1440" w:right="360" w:hanging="384"/>
        <w:spacing w:after="0" w:line="233"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140" w:hanging="384"/>
        <w:spacing w:after="0" w:line="239"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March 31, 2025 and December 31, 2024, respectively, was not material. The notional amount of a forward contract is the contracted amount of foreign currency to be exchanged and is not recorded on the unaudited condensed consolidated balance sheets.</w:t>
      </w:r>
    </w:p>
    <w:p>
      <w:pPr>
        <w:spacing w:after="0" w:line="181"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March 31, 2025 and December 31, 2024.</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280" w:firstLine="539"/>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40" w:type="dxa"/>
            <w:vAlign w:val="bottom"/>
          </w:tcPr>
          <w:p>
            <w:pPr>
              <w:spacing w:after="0"/>
              <w:rPr>
                <w:sz w:val="15"/>
                <w:szCs w:val="15"/>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70"/>
              </w:rPr>
              <w:t>millions)</w:t>
            </w:r>
          </w:p>
        </w:tc>
        <w:tc>
          <w:tcPr>
            <w:tcW w:w="30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36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gridSpan w:val="2"/>
            <w:shd w:val="clear" w:color="auto" w:fill="CFF0FC"/>
          </w:tcPr>
          <w:p>
            <w:pPr>
              <w:jc w:val="right"/>
              <w:ind w:right="16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263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March 31, 2025 and December 31, 2024 related to business combinations, impairments, cumulative catch-ups or other material adjustments.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2026 Senior Notes and Term Loan B Facility as of the dates presented, primarily classified as long-term debt on our unaudited condensed consolidated balance sheets and are considered Level 2 fair value measurements.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related to our 2026 Senior Notes and Term Loan B Facility.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Fair Value </w:t>
            </w:r>
            <w:r>
              <w:rPr>
                <w:rFonts w:ascii="Times New Roman" w:cs="Times New Roman" w:eastAsia="Times New Roman" w:hAnsi="Times New Roman"/>
                <w:sz w:val="19"/>
                <w:szCs w:val="19"/>
                <w:b w:val="1"/>
                <w:bCs w:val="1"/>
                <w:color w:val="auto"/>
                <w:w w:val="99"/>
                <w:vertAlign w:val="superscript"/>
              </w:rPr>
              <w:t>(1)</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Term Loan B Facility </w:t>
            </w:r>
            <w:r>
              <w:rPr>
                <w:rFonts w:ascii="Times New Roman" w:cs="Times New Roman" w:eastAsia="Times New Roman" w:hAnsi="Times New Roman"/>
                <w:sz w:val="24"/>
                <w:szCs w:val="24"/>
                <w:color w:val="auto"/>
                <w:vertAlign w:val="superscript"/>
              </w:rPr>
              <w:t>(2)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5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60" w:right="100" w:hanging="503"/>
        <w:spacing w:after="0" w:line="221" w:lineRule="auto"/>
        <w:tabs>
          <w:tab w:leader="none" w:pos="1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2026 Senior Notes and Term Loan B Facility based on recently reported market transactions and/or prices for identical or similar financial instruments obtained from a third-party pricing source.</w:t>
      </w:r>
    </w:p>
    <w:p>
      <w:pPr>
        <w:spacing w:after="0" w:line="1" w:lineRule="exact"/>
        <w:rPr>
          <w:rFonts w:ascii="Times New Roman" w:cs="Times New Roman" w:eastAsia="Times New Roman" w:hAnsi="Times New Roman"/>
          <w:sz w:val="14"/>
          <w:szCs w:val="14"/>
          <w:color w:val="auto"/>
        </w:rPr>
      </w:pPr>
    </w:p>
    <w:p>
      <w:pPr>
        <w:ind w:left="1260" w:hanging="503"/>
        <w:spacing w:after="0"/>
        <w:tabs>
          <w:tab w:leader="none" w:pos="1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first quarter of 2025, the Company increased its existing Term Loan B Facility in the amount of $350 million.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19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March 31, 2025 and December 31,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is subject to certain financial risks and concentrations, including concentration related to dependence on our relationships with our customers. For the year ended December 31, 2024, Booking Holdings Inc. (and its subsidiaries) accounted for 10% or more of our consolidated revenue, and together with Expedia Group, Inc. (and its subsidiaries), our two most significant travel partners, accounted for approximately 22% of our consolidated revenue, with nearly all of this revenue concentrated in our Brand Tripadvisor segment. Additionally, our business is dependent on relationships with third-party service providers that we rely on to fulfill service obligations to our customers where the Company is the merchant of record, such as our experience operators. However, for the year ended December 31, 2024, no one operator’s inventory resulted in more than 10% of our annual revenue on a consolidated basis or at a reportable segment level.</w:t>
      </w:r>
    </w:p>
    <w:p>
      <w:pPr>
        <w:spacing w:after="0" w:line="18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p>
      <w:pPr>
        <w:ind w:right="80"/>
        <w:spacing w:after="0" w:line="261" w:lineRule="auto"/>
        <w:rPr>
          <w:sz w:val="20"/>
          <w:szCs w:val="20"/>
          <w:color w:val="auto"/>
        </w:rPr>
      </w:pPr>
      <w:r>
        <w:rPr>
          <w:rFonts w:ascii="Times New Roman" w:cs="Times New Roman" w:eastAsia="Times New Roman" w:hAnsi="Times New Roman"/>
          <w:sz w:val="18"/>
          <w:szCs w:val="18"/>
          <w:color w:val="auto"/>
        </w:rPr>
        <w:t>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$28 million as of both March 31, 2025 and December 31, 2024, and is included in non-marketable investments on our unaudited condensed consolidated balance sheets. During both the three months ended March 31, 2025 and 2024, our share of the investee’s net loss in other income (expenses), net within the unaudited condensed consolidated statement of operations was not material.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2025 and 2024, we did not record any impairment loss on this equity investment.</w:t>
      </w:r>
    </w:p>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related-party transactions, and were not material during each of the three months ended March 31, 2025 and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holds collateralized notes (the “Notes Receivable”) issued by a privately held company with a total principal amount of $20 million, classified as held-to-maturity, as the Company has concluded it has the positive intent and ability to hold the Notes Receivable until maturity, with 50% due June 2028 and the remaining 50% due June 2030, or the date on which there is a change in control, whichever is earlier. As of both March 31, 2025 and December 31, 2024,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center"/>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232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shd w:val="clear" w:color="auto" w:fill="CFF0FC"/>
          </w:tcPr>
          <w:p>
            <w:pPr>
              <w:jc w:val="center"/>
              <w:ind w:right="4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(1)</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Accrued legal contingencies </w:t>
            </w:r>
            <w:r>
              <w:rPr>
                <w:rFonts w:ascii="Times New Roman" w:cs="Times New Roman" w:eastAsia="Times New Roman" w:hAnsi="Times New Roman"/>
                <w:sz w:val="24"/>
                <w:szCs w:val="24"/>
                <w:color w:val="auto"/>
                <w:vertAlign w:val="superscript"/>
              </w:rPr>
              <w:t>(2)</w:t>
            </w:r>
          </w:p>
        </w:tc>
        <w:tc>
          <w:tcPr>
            <w:tcW w:w="10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(3)</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241</w:t>
            </w:r>
          </w:p>
        </w:tc>
        <w:tc>
          <w:tcPr>
            <w:tcW w:w="1120" w:type="dxa"/>
            <w:vAlign w:val="bottom"/>
            <w:gridSpan w:val="2"/>
          </w:tcPr>
          <w:p>
            <w:pPr>
              <w:jc w:val="center"/>
              <w:ind w:right="4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-942340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ind w:left="14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primarily related to digital service taxes.</w:t>
      </w:r>
    </w:p>
    <w:p>
      <w:pPr>
        <w:spacing w:after="0" w:line="3" w:lineRule="exact"/>
        <w:rPr>
          <w:rFonts w:ascii="Times New Roman" w:cs="Times New Roman" w:eastAsia="Times New Roman" w:hAnsi="Times New Roman"/>
          <w:sz w:val="14"/>
          <w:szCs w:val="14"/>
          <w:color w:val="auto"/>
        </w:rPr>
      </w:pPr>
    </w:p>
    <w:p>
      <w:pPr>
        <w:ind w:left="1440" w:hanging="384"/>
        <w:spacing w:after="0" w:line="22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ind w:left="1440" w:right="40" w:hanging="384"/>
        <w:spacing w:after="0" w:line="230"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2024, the Company approved and subsequently initiated a set of actions in order to reduce its cost structure, improve operational efficiencies, and realign its workforce with its strategic initiatives. As a result of actions taken under this initiative during first quarter of 2025, the Company incurred estimated pre-tax restructuring and other related reorganization costs of $10 million, which consisted of employee severance and related benefits, primarily in our Brand Tripadvisor segment. We expect the majority of remaining unpaid costs as of March 31, 2025 to be disbursed during 2025.</w:t>
      </w:r>
    </w:p>
    <w:p>
      <w:pPr>
        <w:spacing w:after="0" w:line="109"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three months ended March 31, 2025:</w:t>
      </w:r>
    </w:p>
    <w:p>
      <w:pPr>
        <w:spacing w:after="0" w:line="202"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42"/>
        </w:trPr>
        <w:tc>
          <w:tcPr>
            <w:tcW w:w="64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liability as of December 31, 2024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liability as of March 31, 2025</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FF0FC"/>
              <w:bottom w:val="single" w:sz="8" w:color="auto"/>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6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8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w:t>
            </w:r>
          </w:p>
        </w:tc>
        <w:tc>
          <w:tcPr>
            <w:tcW w:w="18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4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88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197"/>
        </w:trPr>
        <w:tc>
          <w:tcPr>
            <w:tcW w:w="6020" w:type="dxa"/>
            <w:vAlign w:val="bottom"/>
            <w:tcBorders>
              <w:top w:val="single" w:sz="8" w:color="CFF0FC"/>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1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80" w:type="dxa"/>
            <w:vAlign w:val="bottom"/>
            <w:tcBorders>
              <w:top w:val="single" w:sz="8" w:color="auto"/>
              <w:bottom w:val="single" w:sz="8" w:color="auto"/>
            </w:tcBorders>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-882015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-864870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On July 8, 2024, the Company entered into the First Amendment to its Credit Agreement, which implemented the Term Loan B Facility (discussed below), and, on March 20, 2025, entered into the Second Amendment to the Amended Credit Agreement, which increased the existing Term Loan B Facility in the amount of $350 million (the Credit Agreement, with the First Amendment and the Second Amendment is hereinafter referred to as the “Amended Credit Agreement”). The Amended Credit Agreement does not change the aggregate amount of revolving commitments available at $500 million related to our Credit Facility.</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and the Subsidiary Loan Parties as granted under the Security Documents. Any term not otherwise defined herein shall have the meaning ascribed to it in the Amended Credit Agreement.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we had no outstanding borrowings from the Credit Facility. The Credit Facility also includes $15 million of borrowing capacity available for letters of credit and $40 million for swing-line borrowings on same-day notice. As of both March 31, 2025 and December 31, 2024, we had issued $3 million of undrawn standby letters of credit under the Credit Facility. For the three months ended March 31, 2025 and 2024, total interest expense and commitment fees on our Credit Facility were not material. The Amended Credit Agreement, among other things, requires us to maintain a maximum total net leverage ratio of 4.5 to 1.0 solely in respect to the Credit Facility and contains certain customary affirmative and negative covenants and events of default, including a change of control.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B Facility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On July 15, 2024, the Company used these borrowed funds to fully redeem its 2025 Senior Notes. On March 20, 2025, under the Amended Credit Agreement, the Company increased its existing Term Loan B Facility in the amount of $350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2026 Senior Notes and for general corporate purposes. The Company incurred $9 million of debt issuance costs associated with the Tack-On Incremental Term Loan B Facility. We refer to the original Term Loan B Facility, combined with the Tack-On Incremental Term Loan B Facility, as the “Term Loan B Facility.”</w:t>
      </w:r>
    </w:p>
    <w:p>
      <w:pPr>
        <w:spacing w:after="0" w:line="19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the interest rate on the Term Loan B Facility was 7.07% and, for the three months ended March 31, 2025 the weighted-average interest rate on the Term Loan B Facility was 7.08%.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$2 million were made during the three months ended March 31, 2025. The Term Loan B Facility has no financial covenants.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and in connection with the issuance of the Term Loan B Facility and Tack-On Incremental Term Loan B Facility, we have $15 million of total unamortized debt issuance costs, comprised of the initial purchasers’ discount, lender fees, and other debt financing costs. These debt issuance costs will be amortized over the remaining term of the Term Loan B Facility, using the effective interest rate method, and recorded to interest expense on our unaudited condensed consolidated statement of operations. As of March 31, 2025, unpaid interest on the Term Loan B Facility was not material and $10 million was recorded as interest expense on our unaudited condensed consolidated statement of operations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Senior Notes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July 15, 2024, the Company redeemed all $500 million aggregate principal amount of the Company’s outstanding 2025 Senior Notes. During the three months ended March 31, 2024, we recorded $9 million of interest expense on our unaudited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our effective interest rate, including debt issuance costs, was 0.32% and 0.38%, respectively, and total interest expense incurred from the 2026 Senior Notes was not material in any period</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March 31, 2025 and December 31, 2024, unpaid interest on the 2026 Senior Notes was also not material.</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w:t>
      </w:r>
    </w:p>
    <w:p>
      <w:pPr>
        <w:spacing w:after="0" w:line="176"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The Capped Calls are considered indexed to our own stock, considered equity classified under GAAP and were recorded as a reduction to additional paid-in-capital within stockholders’ equity on our consolidated balance sheet when the Capped Calls were purchased in March 2021. The Capped Calls are not accounted for as derivatives and their fair value is not remeasured each reporting period.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consolidated financial statements in Item 8 of our 2024 Annual Report, for additional information pertaining to redemption, conversion, and repurchase features or terms regarding the Amended Credit Agreement, the Credit Facility, the Term Loan B Facility, 2025 Senior Notes, 2026 Senior Notes or Capped Calls</w:t>
      </w:r>
      <w:r>
        <w:rPr>
          <w:rFonts w:ascii="Times New Roman" w:cs="Times New Roman" w:eastAsia="Times New Roman" w:hAnsi="Times New Roman"/>
          <w:sz w:val="18"/>
          <w:szCs w:val="18"/>
          <w:color w:val="212529"/>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income tax benefit was $9 million and our income tax expense was $43 million for the three months ended March 31, 2025 and 2024, respectively. The decrease in our income tax expense during the three months ended March 31, 2025, when compared to the same period in 2024, was primarily the result of an Internal Revenue Service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IRS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audit settlement for the 2014, 2015, and 2016 tax years of $46 million, recorded during the three months ended March 31, 2024. Our effective tax rate for the three months ended March 31, 2025 differs from the U.S. federal statutory rate of 21%, primarily due to a discrete tax benefit of $11 million recorded during the first quarter of 2025 to release income tax reserves as a result of the U.S. federal statute of limitation of assessment closing on tax years 2014, 2015, and 2016.</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20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w:t>
            </w: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1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audit settlement</w:t>
            </w:r>
          </w:p>
        </w:tc>
        <w:tc>
          <w:tcPr>
            <w:tcW w:w="1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Transfer pricing reserves adjustment</w:t>
            </w:r>
          </w:p>
        </w:tc>
        <w:tc>
          <w:tcPr>
            <w:tcW w:w="1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2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Borders>
              <w:right w:val="single" w:sz="8" w:color="CFF0FC"/>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20" w:type="dxa"/>
            <w:vAlign w:val="bottom"/>
          </w:tcPr>
          <w:p>
            <w:pPr>
              <w:jc w:val="right"/>
              <w:ind w:right="10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March 31, 2025, we had an accrued interest liability of $19 million, which was included in unrecognized tax benefits in other long-term liabilities on our unaudited condensed consolidated balance sheet, and no penalties were accrued.</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currently under examination by the IRS for tax year 2018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We are no longer subject to tax examinations by tax authorities for years prior to 2018. As of March 31, 2025, no material assessments have resulted, except as noted below regarding our 2014 through 2016 standalone IRS audit, and our 2012 through 2016 HM Revenue &amp; Customs (“HMRC”) audit.</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previously disclosed,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As a result of the acceptance of this IRS audit settlement, the Company recorded an income tax expense of $46 million, inclusive of interest, on our unaudited condensed consolidated statement of operations during the first quarter of 2024. In addition, the Company reviewed the impact of the acceptance of this IRS audit settlement to our existing transfer pricing income tax reserves for subsequent open tax years, which resulted in an income tax benefit, inclusive of estimated interest, of $4 million during the first quarter of 2024.</w:t>
      </w:r>
    </w:p>
    <w:p>
      <w:pPr>
        <w:spacing w:after="0" w:line="18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2012 through 2016 tax years. These proposed adjustments are related to deductions for intercompany financing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2022. If HMRC were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to seek adjustments of a similar nature through a closure notice for transactions in these years, we could be subject to significant additional tax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policy is to review and update tax reserves as facts and circumstances change.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2025, there have been no material changes to our commitments and contingencies since December 31, 2024, except as discussed below.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of our 2024 Annual Report.</w:t>
      </w:r>
    </w:p>
    <w:p>
      <w:pPr>
        <w:spacing w:after="0" w:line="16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6"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7: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current income tax audits.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have an accrual of $10 million in accrued expenses and other current liabilities in our unaudited condensed consolidated balance sheet, as an estimated potential settlement of a regulatory related matter within our vacation rentals offering. This amount is included in general and administrative expenses in our unaudited condensed consolidated statement of operations for the three months ended March 31, 2024. This accrual is based on our best estimate of probable loss; the ultimate resolution of this contingency may be greater or less than the liability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BASED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unaudited condensed consolidated statements of operations during the periods presented:</w:t>
      </w:r>
    </w:p>
    <w:p>
      <w:pPr>
        <w:spacing w:after="0" w:line="18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FF0FC"/>
          </w:tcPr>
          <w:p>
            <w:pPr>
              <w:jc w:val="right"/>
              <w:ind w:right="2210"/>
              <w:spacing w:after="0"/>
              <w:rPr>
                <w:sz w:val="20"/>
                <w:szCs w:val="20"/>
                <w:color w:val="auto"/>
              </w:rPr>
            </w:pPr>
            <w:r>
              <w:rPr>
                <w:rFonts w:ascii="Times New Roman" w:cs="Times New Roman" w:eastAsia="Times New Roman" w:hAnsi="Times New Roman"/>
                <w:sz w:val="18"/>
                <w:szCs w:val="18"/>
                <w:color w:val="auto"/>
                <w:w w:val="99"/>
              </w:rPr>
              <w:t>Total stock-based compensation</w:t>
            </w:r>
          </w:p>
        </w:tc>
        <w:tc>
          <w:tcPr>
            <w:tcW w:w="368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9"/>
              </w:rPr>
              <w:t>Income tax benefit from stock-based compensation</w:t>
            </w:r>
          </w:p>
        </w:tc>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368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413"/>
        </w:trPr>
        <w:tc>
          <w:tcPr>
            <w:tcW w:w="462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-796925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-779780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capitalized $3 million and $2 million of stock-based compensation expense as website development costs during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March 31, 2025</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2025</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1,735</w:t>
            </w:r>
          </w:p>
        </w:tc>
        <w:tc>
          <w:tcPr>
            <w:tcW w:w="3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32.99</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after March 31, 2025 (1)</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2,120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30.76</w:t>
            </w:r>
          </w:p>
        </w:tc>
        <w:tc>
          <w:tcPr>
            <w:tcW w:w="16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4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gridSpan w:val="2"/>
            <w:shd w:val="clear" w:color="auto" w:fill="CFF0FC"/>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-350520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-334010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6" w:lineRule="exact"/>
        <w:rPr>
          <w:sz w:val="20"/>
          <w:szCs w:val="20"/>
          <w:color w:val="auto"/>
        </w:rPr>
      </w:pPr>
    </w:p>
    <w:p>
      <w:pPr>
        <w:ind w:left="1440" w:right="140" w:hanging="384"/>
        <w:spacing w:after="0" w:line="26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$1 million and $3 million for the three months ended March 31, 2025 and 2024, respectively. Aggregate intrinsic value represents the difference between the closing stock price of our common stock and the exercise price of outstanding, in-the-money options. Our closing stock price as reported on Nasdaq as of March 31, 2025 was $14.17. The total intrinsic value of stock options exercised was not material for each of the three months ended March 31, 2025 and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Restricted Stock Units (“RSUs”)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RSUs activity, consisting of service-based vesting terms,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2024</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11,605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26.20</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23.20</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March 31, 2025 (2)</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19.64</w:t>
            </w:r>
          </w:p>
        </w:tc>
        <w:tc>
          <w:tcPr>
            <w:tcW w:w="260" w:type="dxa"/>
            <w:vAlign w:val="bottom"/>
            <w:tcBorders>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-25400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6" w:lineRule="exact"/>
        <w:rPr>
          <w:sz w:val="20"/>
          <w:szCs w:val="20"/>
          <w:color w:val="auto"/>
        </w:rPr>
      </w:pPr>
    </w:p>
    <w:p>
      <w:pPr>
        <w:ind w:left="1440" w:right="20" w:hanging="384"/>
        <w:spacing w:after="0" w:line="22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434,000 RSUs withheld due to net share settlement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under the 2023 Plan. Total payments for the employees’ tax obligations to the taxing authorities due to net share settlements are reflected as a financing activity within the consolidated statements of cash flows.</w:t>
      </w:r>
    </w:p>
    <w:p>
      <w:pPr>
        <w:ind w:left="1440" w:right="140" w:hanging="384"/>
        <w:spacing w:after="0" w:line="239"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$51 million and $45 million for the three months ended March 31, 2025 and 2024, respectively.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7"/>
          <w:szCs w:val="17"/>
          <w:color w:val="auto"/>
        </w:rPr>
        <w:t>A summary of our performance-based RSUs ("PSUs") and market-based RSUs (“MSUs”) activity is presented below:</w:t>
      </w:r>
    </w:p>
    <w:p>
      <w:pPr>
        <w:sectPr>
          <w:pgSz w:w="11900" w:h="16838" w:orient="portrait"/>
          <w:cols w:equalWidth="0" w:num="1">
            <w:col w:w="11220"/>
          </w:cols>
          <w:pgMar w:left="320" w:top="12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and outstanding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released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Canceled</w:t>
      </w:r>
    </w:p>
    <w:p>
      <w:pPr>
        <w:spacing w:after="0" w:line="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auto"/>
        </w:rPr>
        <w:t>Unvested and outstanding as of March 31, 2025</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0"/>
                <w:szCs w:val="10"/>
                <w:b w:val="1"/>
                <w:bCs w:val="1"/>
                <w:color w:val="auto"/>
              </w:rPr>
              <w:t>(2)</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Grant-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4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8"/>
        </w:trPr>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-968375</wp:posOffset>
            </wp:positionV>
            <wp:extent cx="7132320"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-556895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-273685</wp:posOffset>
            </wp:positionV>
            <wp:extent cx="71323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320" w:space="220"/>
            <w:col w:w="7680"/>
          </w:cols>
          <w:pgMar w:left="320" w:top="1228" w:right="359" w:bottom="1440" w:gutter="0" w:footer="0" w:header="0"/>
          <w:type w:val="continuous"/>
        </w:sectPr>
      </w:pPr>
    </w:p>
    <w:p>
      <w:pPr>
        <w:ind w:left="1440" w:right="20" w:hanging="384"/>
        <w:spacing w:after="0" w:line="224"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are measured based on the quoted price of our common stock at the date of grant, calculated upon the establishment of performance targets, and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3" w:lineRule="exact"/>
        <w:rPr>
          <w:rFonts w:ascii="Times New Roman" w:cs="Times New Roman" w:eastAsia="Times New Roman" w:hAnsi="Times New Roman"/>
          <w:sz w:val="14"/>
          <w:szCs w:val="14"/>
          <w:color w:val="auto"/>
        </w:rPr>
      </w:pPr>
    </w:p>
    <w:p>
      <w:pPr>
        <w:ind w:left="1440" w:hanging="384"/>
        <w:spacing w:after="0" w:line="22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shall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 w:lineRule="exact"/>
        <w:rPr>
          <w:rFonts w:ascii="Times New Roman" w:cs="Times New Roman" w:eastAsia="Times New Roman" w:hAnsi="Times New Roman"/>
          <w:sz w:val="14"/>
          <w:szCs w:val="14"/>
          <w:color w:val="auto"/>
        </w:rPr>
      </w:pPr>
    </w:p>
    <w:p>
      <w:pPr>
        <w:ind w:left="1440" w:hanging="384"/>
        <w:spacing w:after="0" w:line="230"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81,000 PSUs withheld due to net share settlement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employees’ tax obligations to the taxing authorities due to net share settlements are reflected as a financing activity within the consolidated statements of cash flows.</w:t>
      </w:r>
    </w:p>
    <w:p>
      <w:pPr>
        <w:spacing w:after="0" w:line="181" w:lineRule="exact"/>
        <w:rPr>
          <w:sz w:val="20"/>
          <w:szCs w:val="20"/>
          <w:color w:val="auto"/>
        </w:rPr>
      </w:pPr>
    </w:p>
    <w:p>
      <w:pPr>
        <w:ind w:right="440" w:firstLine="539"/>
        <w:spacing w:after="0" w:line="282" w:lineRule="auto"/>
        <w:rPr>
          <w:sz w:val="20"/>
          <w:szCs w:val="20"/>
          <w:color w:val="auto"/>
        </w:rPr>
      </w:pPr>
      <w:r>
        <w:rPr>
          <w:rFonts w:ascii="Times New Roman" w:cs="Times New Roman" w:eastAsia="Times New Roman" w:hAnsi="Times New Roman"/>
          <w:sz w:val="18"/>
          <w:szCs w:val="18"/>
          <w:color w:val="auto"/>
        </w:rPr>
        <w:t>Total current income tax benefits associated with the exercise or settlement of Tripadvisor stock-based awards held by our employees were $3 million and $4 million during the three months ended March 31, 2025 and 2024, respectively.</w:t>
      </w:r>
    </w:p>
    <w:p>
      <w:pPr>
        <w:spacing w:after="0" w:line="162" w:lineRule="exact"/>
        <w:rPr>
          <w:sz w:val="20"/>
          <w:szCs w:val="20"/>
          <w:color w:val="auto"/>
        </w:rPr>
      </w:pPr>
    </w:p>
    <w:p>
      <w:pPr>
        <w:ind w:right="520" w:firstLine="539"/>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stock-based awards, substantially RSUs, was $305 million, which the Company expects to recognize over a weighted-average period of 2.8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Our Board of Directors authorized and directed management, working with the Executive Committee of our Board of Directors, to affect the share repurchase program in compliance with applicable legal requirements. Management, in consultation with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 During the three months ended March 31, 2025 and 2024, the Company did not repurchase any shares of outstanding common stock under the share repurchase program. As of March 31, 2025, the Company had $200 million remaining available to repurchase shares of its common stock under this share repurchase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the 2026 Senior Notes using the if-converted method, as share settlement is presumed, under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type w:val="continuous"/>
        </w:sectPr>
      </w:pPr>
    </w:p>
    <w:bookmarkStart w:id="21" w:name="page22"/>
    <w:bookmarkEnd w:id="21"/>
    <w:p>
      <w:pPr>
        <w:ind w:right="20"/>
        <w:spacing w:after="0" w:line="261" w:lineRule="auto"/>
        <w:rPr>
          <w:sz w:val="20"/>
          <w:szCs w:val="20"/>
          <w:color w:val="auto"/>
        </w:rPr>
      </w:pPr>
      <w:r>
        <w:rPr>
          <w:rFonts w:ascii="Times New Roman" w:cs="Times New Roman" w:eastAsia="Times New Roman" w:hAnsi="Times New Roman"/>
          <w:sz w:val="18"/>
          <w:szCs w:val="18"/>
          <w:color w:val="auto"/>
        </w:rPr>
        <w:t>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such as for the three months ended March 31, 2025 and 2024, Diluted EPS is the same as Basic EPS, since dilutive common equivalent shares are not assumed to have been issued if their effect is antidilutive.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March 31, 2025 and 2024, the market price of a share of our common stock did not exceed the $107.36 cap price.</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Diluted EPS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8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Borders>
              <w:bottom w:val="single" w:sz="8" w:color="auto"/>
            </w:tcBorders>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60" w:type="dxa"/>
            <w:vAlign w:val="bottom"/>
            <w:gridSpan w:val="7"/>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(shares in thousands and dollars in millions, except per share</w:t>
            </w:r>
          </w:p>
        </w:tc>
      </w:t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40" w:type="dxa"/>
            <w:vAlign w:val="bottom"/>
            <w:gridSpan w:val="4"/>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5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175"/>
        </w:trPr>
        <w:tc>
          <w:tcPr>
            <w:tcW w:w="56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5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140,970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138,438</w:t>
            </w:r>
          </w:p>
        </w:tc>
      </w:tr>
      <w:tr>
        <w:trPr>
          <w:trHeight w:val="216"/>
        </w:trPr>
        <w:tc>
          <w:tcPr>
            <w:tcW w:w="56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Stock-based awards (Note 9)</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Borders>
              <w:bottom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2026 Senior Notes (Note 6)</w:t>
            </w:r>
          </w:p>
        </w:tc>
        <w:tc>
          <w:tcPr>
            <w:tcW w:w="15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140,970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138,438</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4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2680" w:type="dxa"/>
            <w:vAlign w:val="bottom"/>
            <w:gridSpan w:val="2"/>
            <w:shd w:val="clear" w:color="auto" w:fill="CFF0FC"/>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shd w:val="clear" w:color="auto" w:fill="CFF0FC"/>
          </w:tcPr>
          <w:p>
            <w:pPr>
              <w:jc w:val="right"/>
              <w:ind w:right="9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(0.43)</w:t>
            </w:r>
          </w:p>
        </w:tc>
      </w:tr>
      <w:tr>
        <w:trPr>
          <w:trHeight w:val="234"/>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6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-456565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and those issuable under the 2026 Senior Notes, totaling approximately 22.3 million shares and 22.7 million shares for the three months ended March 31, 2025 and 2024, respectively, have been excluded from the calculation of Diluted EPS because their effect would have been antidilutive. In addition, potential common shares of PSUs and MSUs totaling approximately 2.0 million and 1.5 million for the three months ended March 31, 2025 and 2024, respectively, for which all targets required to trigger vesting had not been achieved, were also excluded from the calculation of weighted average shares used to compute Diluted EPS.</w:t>
      </w:r>
    </w:p>
    <w:p>
      <w:pPr>
        <w:spacing w:after="0" w:line="75" w:lineRule="exact"/>
        <w:rPr>
          <w:sz w:val="20"/>
          <w:szCs w:val="20"/>
          <w:color w:val="auto"/>
        </w:rPr>
      </w:pPr>
    </w:p>
    <w:p>
      <w:pPr>
        <w:ind w:right="140" w:firstLine="509"/>
        <w:spacing w:after="0" w:line="225" w:lineRule="exact"/>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of determining earnings per share.</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three reportable segments: (1) Brand Tripadvisor; (2) Viator; and (3) TheFork. The nature of the services provided, revenue sources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product, and related revenue recognition policies are summarized by reportable segment in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months ended March 31, 2025 and 2024 and include a reconciliation of adjusted EBITDA to Net income (loss). We record depreciation and amortization, stock-based compensation, goodwill, long-lived asset and intangible asset impairments, legal reserves, settlements and other, transaction related expenses,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 We have recast the prior period presented for segment revenue and segment adjusted EBITDA to ensure comparability with the current period presented. These changes did not result in a change to our previously reported segments revenue or adjusted EBITDA.</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expenses are eliminated in consolidation. The elimination of such intersegment transactions is included within the “Corporate &amp; Eliminations” column in the tables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00" w:type="dxa"/>
            <w:vAlign w:val="bottom"/>
          </w:tcPr>
          <w:p>
            <w:pPr>
              <w:spacing w:after="0"/>
              <w:rPr>
                <w:sz w:val="10"/>
                <w:szCs w:val="10"/>
                <w:color w:val="auto"/>
              </w:rPr>
            </w:pP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40" w:type="dxa"/>
            <w:vAlign w:val="bottom"/>
          </w:tcPr>
          <w:p>
            <w:pPr>
              <w:spacing w:after="0"/>
              <w:rPr>
                <w:sz w:val="10"/>
                <w:szCs w:val="10"/>
                <w:color w:val="auto"/>
              </w:rPr>
            </w:pPr>
          </w:p>
        </w:tc>
        <w:tc>
          <w:tcPr>
            <w:tcW w:w="106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-3051175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-3034030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-3051175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-3034030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-3051175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-3034030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-3051175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-3034030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-2065020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-2065020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-2065020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-2065020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Brand</w:t>
            </w:r>
          </w:p>
        </w:tc>
        <w:tc>
          <w:tcPr>
            <w:tcW w:w="300" w:type="dxa"/>
            <w:vAlign w:val="bottom"/>
          </w:tcPr>
          <w:p>
            <w:pPr>
              <w:spacing w:after="0"/>
              <w:rPr>
                <w:sz w:val="10"/>
                <w:szCs w:val="10"/>
                <w:color w:val="auto"/>
              </w:rPr>
            </w:pPr>
          </w:p>
        </w:tc>
        <w:tc>
          <w:tcPr>
            <w:tcW w:w="9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40" w:type="dxa"/>
            <w:vAlign w:val="bottom"/>
          </w:tcPr>
          <w:p>
            <w:pPr>
              <w:spacing w:after="0"/>
              <w:rPr>
                <w:sz w:val="10"/>
                <w:szCs w:val="10"/>
                <w:color w:val="auto"/>
              </w:rPr>
            </w:pPr>
          </w:p>
        </w:tc>
        <w:tc>
          <w:tcPr>
            <w:tcW w:w="106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10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3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60" w:type="dxa"/>
            <w:vAlign w:val="bottom"/>
            <w:tcBorders>
              <w:top w:val="single" w:sz="8" w:color="CFF0FC"/>
            </w:tcBorders>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(4)</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(6)</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-2553970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-2536825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-2553970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-2536825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-2553970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-2536825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-2553970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-2536825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-2553970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-1567815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-1567815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-1567815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-1567815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1440" w:right="160" w:hanging="384"/>
        <w:spacing w:after="0" w:line="233"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and administrative personnel costs of $2 million for both the three months ended March 31, 2025 and 2024 were allocated to the Viator and TheFork segments.</w:t>
      </w:r>
    </w:p>
    <w:p>
      <w:pPr>
        <w:ind w:left="1440" w:right="18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the Brand Tripadvisor segment of $1 million in each of the three months ended March 31, 2025 and 2024.</w:t>
      </w:r>
    </w:p>
    <w:p>
      <w:pPr>
        <w:ind w:left="1440" w:right="18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the Brand Tripadvisor segment of $1 million in each of the three months ended March 31, 2025 and 2024.</w:t>
      </w:r>
    </w:p>
    <w:p>
      <w:pPr>
        <w:ind w:left="144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segment expense categories and amounts align with the segment-level information that is regularly provided to our CODM.</w:t>
      </w:r>
    </w:p>
    <w:p>
      <w:pPr>
        <w:ind w:left="144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1440" w:hanging="384"/>
        <w:spacing w:after="0" w:line="22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$11 million in the Brand Tripadvisor segment which is included separately below in legal reserves, settlements and other and transaction related expenses.</w:t>
      </w:r>
    </w:p>
    <w:p>
      <w:pPr>
        <w:ind w:left="1440" w:right="240" w:hanging="384"/>
        <w:spacing w:after="0" w:line="233"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an estimated accrual for the potential settlement of a regulatory related matter of $10 million expensed during the first quarter of 2024 and is reflected in general and administrative expenses on our unaudited condensed consolidated statement of operations. Refer to "Note 8: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225"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under the section entitled “Risks and Concentrations” for information regarding our major customer concentrations.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sources within our Brand Tripadvisor segment, consisting of Tripadvisor-branded hotels revenue, Media and advertising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experiences and dining revenue, and other revenue, along with our Viator and TheFork segments revenue sources, comprise our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Consummation of LTRIP and Tripadvisor Merger Agreement on April 29, 2025</w:t>
      </w:r>
    </w:p>
    <w:p>
      <w:pPr>
        <w:spacing w:after="0" w:line="225"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under the section titled </w:t>
      </w:r>
      <w:r>
        <w:rPr>
          <w:rFonts w:ascii="Times New Roman" w:cs="Times New Roman" w:eastAsia="Times New Roman" w:hAnsi="Times New Roman"/>
          <w:sz w:val="18"/>
          <w:szCs w:val="18"/>
          <w:i w:val="1"/>
          <w:iCs w:val="1"/>
          <w:color w:val="auto"/>
        </w:rPr>
        <w:t>LTRIP and Tripadvisor Merger Agreement and Loan Agreement</w:t>
      </w:r>
      <w:r>
        <w:rPr>
          <w:rFonts w:ascii="Times New Roman" w:cs="Times New Roman" w:eastAsia="Times New Roman" w:hAnsi="Times New Roman"/>
          <w:sz w:val="18"/>
          <w:szCs w:val="18"/>
          <w:color w:val="auto"/>
        </w:rPr>
        <w:t>, for further information.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Retirement of Treasury Shares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29, 2025, the Company’s Board of Directors approved the retirement and cancellation of all of the treasury stock held by the Company at March 31, 2025, or 26,260,252 shares. As of March 31, 2025, this treasury stock is presented as “treasury stock-common stock, at cost” on our unaudited condensed consolidated balance sheet with a carrying value of $847 million. In addition,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LTRIP and Tripadvisor Merger Agreement and Loan Agreement, on April 29, 2025, the Board of Directors retired the shares of Tripadvisor common stock and Class B common stock previously held by LTRIP, thereby canceling approximately 26.8 million shares of the Company and reducing the Company’s outstanding shares by the same number. On our unaudited condensed consolidated balance sheet, we plan to record a reduction to common stock, equal to the par value of the shares retired. The excess cost of the shares over par value will be recorded as a deduction to additional paid-in capital, to the extent there is additional paid-in capital in the same class of stock, and any remaining excess as a deduction to retained earnings. There will be no effect to the Company’s total stockholders’ equity balance on its unaudited condensed consolidated balance sheet due to the retirement of these treasury shares.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Redomestication to Nevada</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Effective April 29, 2025, the Company effected the redomestication of the Company to the State of Nevada by conversion, which redomestication by conversion was approved by the Company's stockholders in June 2023. With respect to such redomestication, a Plan of Conversion was filed with the Delaware Secretary of State and Articles of Conversion and Articles of Incorporation were filed with the Nevada Secretary of State. We expect that the redomestication will have no impact on our unaudited condensed consolidated financial statements.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right="54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2024 Annual Report.</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2024 Annual Report,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 Tripadvisor Group's mission is to connect people to experiences worth sharing with a vision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content, travel guidance products and services, and two-sided marketplaces for experiences, accommodations, restaurants, and other travel categories.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Brand Tripadvisor empowers everyone to be a better traveler through its online global platform where hundreds of millions of visitors regularly visit and engage to discover, generate, and share authentic UGC in the form of reviews and opinions for experiences, accommodations, restaurants, and cruises in over 40 countries across the world. Tripadvisor offers more than 1 billion user-generated reviews and opinions on over 9 million experiences, accommodations, restaurants, airlines, and cruises.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Viator’s mission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attractions—nearly 400,000 experiences from more than 65,000 operators. Viator is a pure-play experiences online travel agency (“OTA”) singularly focused on the needs of both travelers and operators with the largest supply of bookable experiences available to travelers.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TheFork’s mission is to deliver happiness through amazing dining experiences as the leading online restaurant booking platform in Europe. At the forefront of championing restaurant culture, TheFork harnesses technology to promote real life connections between diners and restaurateurs. With a network of approximately 55,000 partner restaurants across 11 countries, nearly 40 million app downloads and more than 20 million reviews, TheFork is a go-to platform for all food lovers to enjoy unforgettable restaurant experiences. Through TheFork, users can easily find restaurants according to their preferences, check real-time availability, instantly book online 24/7, benefit from special offers and pay directly to the restaurants. For restaurateurs, TheFork's technology enables them to optimize reservation management and occupancy rates, increase bookings and visibility, limit the impacts of no-shows, manage payments and streamline operations, all while accessing a broad community of loyal diners.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w:t>
      </w:r>
    </w:p>
    <w:p>
      <w:pPr>
        <w:spacing w:after="0" w:line="117" w:lineRule="exact"/>
        <w:rPr>
          <w:sz w:val="20"/>
          <w:szCs w:val="20"/>
          <w:color w:val="auto"/>
        </w:rPr>
      </w:pPr>
    </w:p>
    <w:p>
      <w:pPr>
        <w:ind w:left="1780" w:hanging="515"/>
        <w:spacing w:after="0"/>
        <w:tabs>
          <w:tab w:leader="none" w:pos="1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large, global, and growing addressable markets including travel, experiences, and digital advertising;</w:t>
      </w:r>
    </w:p>
    <w:p>
      <w:pPr>
        <w:spacing w:after="0" w:line="117" w:lineRule="exact"/>
        <w:rPr>
          <w:rFonts w:ascii="Times New Roman" w:cs="Times New Roman" w:eastAsia="Times New Roman" w:hAnsi="Times New Roman"/>
          <w:sz w:val="18"/>
          <w:szCs w:val="18"/>
          <w:color w:val="auto"/>
        </w:rPr>
      </w:pPr>
    </w:p>
    <w:p>
      <w:pPr>
        <w:ind w:left="1780" w:right="660" w:hanging="515"/>
        <w:spacing w:after="0" w:line="282" w:lineRule="auto"/>
        <w:tabs>
          <w:tab w:leader="none" w:pos="1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large, global, and engaged audience making meaningful contributions that reinforces a relationship of trust and community; and</w:t>
      </w:r>
    </w:p>
    <w:p>
      <w:pPr>
        <w:spacing w:after="0" w:line="53" w:lineRule="exact"/>
        <w:rPr>
          <w:rFonts w:ascii="Times New Roman" w:cs="Times New Roman" w:eastAsia="Times New Roman" w:hAnsi="Times New Roman"/>
          <w:sz w:val="18"/>
          <w:szCs w:val="18"/>
          <w:color w:val="auto"/>
        </w:rPr>
      </w:pPr>
    </w:p>
    <w:p>
      <w:pPr>
        <w:ind w:left="1780" w:right="60" w:hanging="515"/>
        <w:spacing w:after="0" w:line="266" w:lineRule="auto"/>
        <w:tabs>
          <w:tab w:leader="none" w:pos="1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possess 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7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the Brand Tripadvisor segment, we offer a compelling value proposition to both travelers and partners across a number of key offerings that include experiences, accommodations, dining, and media. This value proposition is delivered through a collection of durable assets that we believe are difficult to replicate: a trusted brand, authentic UGC, a large community of contributors, and a large global travel audience.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(2) prioritizing deeper engagement with travelers, increasing membership, and repeat customers by leveraging our rich data and technology assets to provide more relevant, curated, and contextual content to travelers; and (3) driving a step change in the value we can deliver to our partners by accelerating and diversifying the monetization of our valuable audience across hotels, media advertising, experiences, and restaurants. As we continue to focus on offering a more compelling product and experience that better meets travelers’ needs, we believe we will be able to drive deeper engagement through direct channel growth, including through our mobile app. As this direct engagement with users improves and scales, we will be able to collect valuable data and create more relevant opportunities to monetize, which we believe will result in higher average revenue per user over time.</w:t>
      </w:r>
    </w:p>
    <w:p>
      <w:pPr>
        <w:spacing w:after="0" w:line="19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Viator and TheFork segments, we provide two-sided marketplaces that connect travelers and diners to operators of bookable experiences and restaurants, respectively.</w:t>
      </w: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firstLine="509"/>
        <w:spacing w:after="0" w:line="254" w:lineRule="auto"/>
        <w:rPr>
          <w:sz w:val="20"/>
          <w:szCs w:val="20"/>
          <w:color w:val="auto"/>
        </w:rPr>
      </w:pPr>
      <w:r>
        <w:rPr>
          <w:rFonts w:ascii="Times New Roman" w:cs="Times New Roman" w:eastAsia="Times New Roman" w:hAnsi="Times New Roman"/>
          <w:sz w:val="18"/>
          <w:szCs w:val="18"/>
          <w:color w:val="auto"/>
        </w:rPr>
        <w:t>At Viator, we are reinforcing our leadership position in experiences by investing in the product, marketing, and bookable supply. Our investment in these areas is expected to drive growth on both sides of the marketplace. On the traveler side of the marketplace, we are investing in the product to provide travelers with a high-quality experience that incentivizes them to return to book with us increasingly through more economic channels. As travelers return to book on our platform more directly, especially through our mobile app, we expect unit economics to improve and profitability to increase over time. A key component of driving the traveler flywheel is offering breadth and depth of quality experiences and surfacing the most relevant experiences to travelers based on their needs and preferences. On the supply side of the marketplace, we are investing to increase the amount of high-quality, highly demanded, and unique bookable experiences on our platform. With operators, we continue to focus on improving our product and technology capabilities to improve our value proposition of providing high quality demand and tools to manage their business on our platform.</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At TheFork, we are driving profitable revenue growth by delivering value to both diners and restaurants as the leader in the European dining market. On the diner side of the marketplace, our investment in marketing is driving growth in new and repeat diner bookings. On the restaurant side, our prior investment in technology has resulted in growth in adoption of our premium online reservation booking software subscription revenue.</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Across both Viator and TheFork, our investments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products on our branded platforms, and through continued awareness of our brand through marketing efforts.</w:t>
      </w:r>
    </w:p>
    <w:p>
      <w:pPr>
        <w:spacing w:after="0" w:line="9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focused on executing initiatives across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Political instability or policy changes; heightened geopolitical tensions and conflicts, including the evolving events in the Middle East and between Ukraine and Russia; acts of terrorism; changes in governmental or regulatory policies, including U.S. tax laws; announced or implemented changes in tariffs; fluctuations in interest rates, tax rates and foreign exchange rates and changes in global economic conditions; and public-health related events are examples of events that could have a negative impact on the travel industry and, as a result, our financial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generate a significant amount of direct traffic from search engines, including Google, through search engine optimization (“SEO”) performance across all segments. We believe our SEO traffic acquisition performance has been negatively impacted, and may be impacted in the future, by search engines (primarily Google) changing their search result placement and underlying algorithms to increase the prominence of their own products in search results across our business.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global experiences market is large, growing, highly fragmented, and underpenetrated, with the vast majority of bookings still occurring through traditional offline sources. We expect to benefit from ongoing market tailwinds as consumers increasingly book experiences online and consumer behavior continues to allocate discretionary spending more to travel and experiences and away from physical goods. Likewise, the global restaurants category is also benefiting from increased online adoption by both consumers and restaurant partners, particularly in Europe. Given the competitive positioning of our businesses relative to the attractive growth prospects in the experiences and restaurant categories, we expect to continue to invest in these categories across Tripadvisor Group and, in particular, within the Viator and TheFork segments, to continue growing revenue, operating scale, and market share for the long-term.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and Liberty TripAdvisor Merger and Loan Agreement</w:t>
      </w:r>
    </w:p>
    <w:p>
      <w:pPr>
        <w:spacing w:after="0" w:line="22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in our 2024 Annual Report, on December 18, 2024, the Company and LTRIP entered into an agreement and plan of merger (the "Merger Agreement") whereby Tripadvisor would acquire LTRIP (the “Merger”). On April 29, 2025, the Merger was consummated. The aggregate transaction price of the Merger was approximately $430 million. Refer to “Note 1: </w:t>
      </w:r>
      <w:r>
        <w:rPr>
          <w:rFonts w:ascii="Times New Roman" w:cs="Times New Roman" w:eastAsia="Times New Roman" w:hAnsi="Times New Roman"/>
          <w:sz w:val="18"/>
          <w:szCs w:val="18"/>
          <w:i w:val="1"/>
          <w:iCs w:val="1"/>
          <w:color w:val="auto"/>
        </w:rPr>
        <w:t>Basis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7" w:name="page28"/>
    <w:bookmarkEnd w:id="27"/>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in the notes to our unaudited condensed consolidated financial statements in Item 1 in this Quarterly Report in the section entitled “LTRIP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Tripadvisor Merger Agreement and Loan Agreement” for further information.</w:t>
      </w:r>
    </w:p>
    <w:p>
      <w:pPr>
        <w:spacing w:after="0" w:line="160"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provide a loan facility (the “Loan Agreement”) to LTRIP to enable LTRIP to repurchase or settle LTRIP's 0.50% Exchangeable Senior Debentures prior to the closing of the Merger. On March 20, 2025, the Company extended credit in the form of a term loan facility in an aggregate principal amount of $327 million to LTRIP, subject to the terms and conditions therein. At March 31, 2025, the outstanding balance of the Loan Agreement of $327 million has been recorded to “stockholder note receivable - related party” as a reduction to stockholders’ equity on our unaudited condensed consolidated balance sheet. The Loan Agreement subsequently expired in accordance with the terms of the Merger Agreement upon the consummation of the Merger, or April 29, 2025, and the loan balance of $327 million is no longer payable to the Company and was assumed in the aggregate transaction price of the Merger.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During the fourth quarter of 2024, the Company approved and subsequently initiated a set of actions in order to reduce its cost structure, improve operational efficiencies, and realign its workforce with its strategic initiatives. As a result of actions taken under this initiative during first quarter of 2025, the Company incurred estimated pre-tax restructuring and other related reorganization costs of $10 million, which consisted of employee severance and related benefits, primarily in our Brand Tripadvisor segment.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Term Loan B Facility</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March 20, 2025, under the Amended Credit Agreement, the Company increased its existing Term Loan B Facility in the amount of $350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outstanding 2026 Senior Notes and for general corporate purposes.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approximately 2,770 employees. Approximately 62%, 33%, and 5% of the Company’s current employees are based in Europe, the U.S., and the rest of world (“ROW”),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8"/>
          <w:szCs w:val="18"/>
          <w:color w:val="231F20"/>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509"/>
        <w:spacing w:after="0" w:line="253"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assumptions that it believes are reasonable under the circumstances. Actual results may differ from estimates under different assumptions or conditions.</w:t>
      </w:r>
    </w:p>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4" w:lineRule="exact"/>
        <w:rPr>
          <w:sz w:val="20"/>
          <w:szCs w:val="20"/>
          <w:color w:val="auto"/>
        </w:rPr>
      </w:pPr>
    </w:p>
    <w:p>
      <w:pPr>
        <w:ind w:left="760" w:right="24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ind w:left="760" w:hanging="378"/>
        <w:spacing w:after="0" w:line="26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8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or new accounting pronouncements that we are required to adopt that may have an impact on our unaudited condensed consolidated financial statements since December 31, 2024, as compared to those described under “Note</w:t>
      </w:r>
    </w:p>
    <w:p>
      <w:pPr>
        <w:ind w:left="520" w:right="2360" w:hanging="512"/>
        <w:spacing w:after="0" w:line="490" w:lineRule="auto"/>
        <w:tabs>
          <w:tab w:leader="none" w:pos="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2024 Annual Report.</w:t>
      </w:r>
      <w:r>
        <w:rPr>
          <w:rFonts w:ascii="Times New Roman" w:cs="Times New Roman" w:eastAsia="Times New Roman" w:hAnsi="Times New Roman"/>
          <w:sz w:val="18"/>
          <w:szCs w:val="18"/>
          <w:i w:val="1"/>
          <w:iCs w:val="1"/>
          <w:color w:val="auto"/>
        </w:rPr>
        <w:t xml:space="preserve"> Revised Operating Expense Presentation</w:t>
      </w: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For further information, refer to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in the notes to our unaudited condensed consolidated financial statements in Item 1 of this Quarterly Report on Form 10-Q.</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6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(including stock-based compensation of $27.9 and $27.4, respectively)</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910%</w:t>
            </w:r>
          </w:p>
        </w:tc>
      </w:tr>
      <w:tr>
        <w:trPr>
          <w:trHeight w:val="20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6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(1)</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-1704975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-1704975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-865505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-865505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-582295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-582295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n.m. = </w:t>
      </w:r>
      <w:r>
        <w:rPr>
          <w:rFonts w:ascii="Times New Roman" w:cs="Times New Roman" w:eastAsia="Times New Roman" w:hAnsi="Times New Roman"/>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9" w:lineRule="exact"/>
        <w:rPr>
          <w:sz w:val="20"/>
          <w:szCs w:val="20"/>
          <w:color w:val="auto"/>
        </w:rPr>
      </w:pPr>
    </w:p>
    <w:p>
      <w:pPr>
        <w:ind w:left="840" w:right="460" w:hanging="383"/>
        <w:spacing w:after="0" w:line="261"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40" w:type="dxa"/>
            <w:vAlign w:val="bottom"/>
          </w:tcPr>
          <w:p>
            <w:pPr>
              <w:spacing w:after="0"/>
              <w:rPr>
                <w:sz w:val="12"/>
                <w:szCs w:val="12"/>
                <w:color w:val="auto"/>
              </w:rPr>
            </w:pPr>
          </w:p>
        </w:tc>
      </w:tr>
      <w:tr>
        <w:trPr>
          <w:trHeight w:val="210"/>
        </w:trPr>
        <w:tc>
          <w:tcPr>
            <w:tcW w:w="4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(1)</w:t>
            </w:r>
          </w:p>
        </w:tc>
        <w:tc>
          <w:tcPr>
            <w:tcW w:w="162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(2)</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62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60" w:type="dxa"/>
            <w:vAlign w:val="bottom"/>
          </w:tcPr>
          <w:p>
            <w:pPr>
              <w:spacing w:after="0"/>
              <w:rPr>
                <w:sz w:val="18"/>
                <w:szCs w:val="18"/>
                <w:color w:val="auto"/>
              </w:rPr>
            </w:pPr>
          </w:p>
        </w:tc>
        <w:tc>
          <w:tcPr>
            <w:tcW w:w="1100" w:type="dxa"/>
            <w:vAlign w:val="bottom"/>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3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31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1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-509270</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-509270</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 w:lineRule="exact"/>
        <w:rPr>
          <w:sz w:val="20"/>
          <w:szCs w:val="20"/>
          <w:color w:val="auto"/>
        </w:rPr>
      </w:pPr>
    </w:p>
    <w:p>
      <w:pPr>
        <w:ind w:left="840" w:right="220" w:hanging="383"/>
        <w:spacing w:after="0" w:line="234" w:lineRule="auto"/>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ind w:left="840" w:right="380" w:hanging="383"/>
        <w:spacing w:after="0" w:line="234"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Brand Tripadvisor revenue decreased by approximately $20 million for the three months ended March 31, 2025 when compared to the same period in 2024, primarily due to a decrease in hotel meta revenue and, to a lesser extent, decreases in Tripadvisor experiences and dining revenue, media and advertising and other revenue.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Adjusted EBITDA in Brand Tripadvisor decreased by approximately $13 million during the three months ended March 31, 2025 when compared to the same period in 2024, while adjusted EBITDA margin decreased by 2.8 percentage points. The decrease in adjusted EBITDA was primarily due to a decrease in revenue, as noted above, partially offset, primarily by a decrease in personnel costs due to a reduction in headcount related to cost reduction measures taken during the first quarter of 2025. The decrease in adjusted EBITDA margin during the three months ended March 31, 2025 when compared to the same period in 2024 was largely due to a decline in revenue.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980" w:type="dxa"/>
            <w:vAlign w:val="bottom"/>
          </w:tcPr>
          <w:p>
            <w:pPr>
              <w:spacing w:after="0"/>
              <w:rPr>
                <w:sz w:val="12"/>
                <w:szCs w:val="12"/>
                <w:color w:val="auto"/>
              </w:rPr>
            </w:pPr>
          </w:p>
        </w:tc>
        <w:tc>
          <w:tcPr>
            <w:tcW w:w="11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gridSpan w:val="2"/>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60" w:type="dxa"/>
            <w:vAlign w:val="bottom"/>
          </w:tcPr>
          <w:p>
            <w:pPr>
              <w:spacing w:after="0"/>
              <w:rPr>
                <w:sz w:val="18"/>
                <w:szCs w:val="18"/>
                <w:color w:val="auto"/>
              </w:rPr>
            </w:pP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i w:val="1"/>
                <w:iCs w:val="1"/>
                <w:color w:val="auto"/>
              </w:rPr>
              <w:t>67.5%</w:t>
            </w:r>
          </w:p>
        </w:tc>
        <w:tc>
          <w:tcPr>
            <w:tcW w:w="1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66.2%</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30.8</w:t>
            </w: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i w:val="1"/>
                <w:iCs w:val="1"/>
                <w:color w:val="auto"/>
              </w:rPr>
              <w:t>14.0%</w:t>
            </w:r>
          </w:p>
        </w:tc>
        <w:tc>
          <w:tcPr>
            <w:tcW w:w="1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13.6%</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(1)</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30.5</w:t>
            </w: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i w:val="1"/>
                <w:iCs w:val="1"/>
                <w:color w:val="auto"/>
              </w:rPr>
              <w:t>13.9%</w:t>
            </w:r>
          </w:p>
        </w:tc>
        <w:tc>
          <w:tcPr>
            <w:tcW w:w="1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14.9%</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i w:val="1"/>
                <w:iCs w:val="1"/>
                <w:color w:val="auto"/>
              </w:rPr>
              <w:t>4.6%</w:t>
            </w:r>
          </w:p>
        </w:tc>
        <w:tc>
          <w:tcPr>
            <w:tcW w:w="1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5.2%</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0"/>
        </w:trPr>
        <w:tc>
          <w:tcPr>
            <w:tcW w:w="49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118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6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32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102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102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98" w:lineRule="exact"/>
        <w:rPr>
          <w:sz w:val="20"/>
          <w:szCs w:val="20"/>
          <w:color w:val="auto"/>
        </w:rPr>
      </w:pPr>
    </w:p>
    <w:p>
      <w:pPr>
        <w:ind w:left="840" w:right="180" w:hanging="383"/>
        <w:spacing w:after="0" w:line="241"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 presented.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Tripadvisor-branded hotels revenue decreased approximately $11 million during the three months ended March 31, 2025 when compared to the same period in 2024, primarily due to a decrease in our hotel meta revenue and, to a lesser extent, a decrease in hotel B2B revenue as the Company transitioned from a sales-led model to a self-service model during 2024. The decrease in hotel meta revenue was primarily driven by declines in the U.S., driven by continued headwinds impacting direct channel volumes, including SEO traffic, as well as product changes that negatively impacted overall click volumes, but contributed to providing more qualified referrals to our partners and increased pricing as measured in our cost-per-click rates, particularly in the U.S. and Europe.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Media and advertising revenue, which consists of revenue from display-based advertising (or “media advertising”) across our Tripadvisor Group platform and decreased approximately $2 million during the three months ended March 31, 2025 when compared to the same period in 2024. The decrease was primarily due to declines in traditional display advertising that correlates more closely with traffic volume, as well as declines in the broader display advertising market, which is growing slower than other advertising formats, partially offset by growth in advertising through creative offerings and programmatic advertising.</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decreased approximately $5 million during the three months ended March 31, 2025 when compared to the same period in 2024, due to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decrease in experiences revenue as well as a decline in dining revenue as we continue to move from a sales-led model to a self-service model.</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revenue includes vacation rentals revenue, in addition to click-based advertising and display-based advertising revenue from cruise, flights, and rental cars offerings on Tripadvisor websites and mobile apps. Other revenue decreased approximately $2 million during the three months ended March 31, 2025 when compared to the same period in 2024, primarily due to a decline in vacation rentals revenue as this offering continues to be strategically de-emphasized and, to a lesser extent, a decline in cruise revenue.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1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7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40" w:type="dxa"/>
            <w:vAlign w:val="bottom"/>
          </w:tcPr>
          <w:p>
            <w:pPr>
              <w:spacing w:after="0"/>
              <w:rPr>
                <w:sz w:val="12"/>
                <w:szCs w:val="12"/>
                <w:color w:val="auto"/>
              </w:rPr>
            </w:pPr>
          </w:p>
        </w:tc>
      </w:tr>
      <w:tr>
        <w:trPr>
          <w:trHeight w:val="210"/>
        </w:trPr>
        <w:tc>
          <w:tcPr>
            <w:tcW w:w="4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080" w:type="dxa"/>
            <w:vAlign w:val="bottom"/>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47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31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10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-509270</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-509270</wp:posOffset>
            </wp:positionV>
            <wp:extent cx="1460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1" w:lineRule="exact"/>
        <w:rPr>
          <w:sz w:val="20"/>
          <w:szCs w:val="20"/>
          <w:color w:val="auto"/>
        </w:rPr>
      </w:pPr>
    </w:p>
    <w:p>
      <w:pPr>
        <w:ind w:left="1020" w:right="200" w:hanging="503"/>
        <w:spacing w:after="0" w:line="234"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right="60" w:hanging="503"/>
        <w:spacing w:after="0" w:line="221" w:lineRule="auto"/>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Viator segment 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1020" w:hanging="503"/>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use the following operating metrics described below to assist us in measuring our operations performance, identifying trends, formulating projections and making strategic decisions for the Viator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Number of Experience Bookings</w:t>
      </w:r>
    </w:p>
    <w:p>
      <w:pPr>
        <w:spacing w:after="0" w:line="22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was 5.0 million during the first quarter of 2025, an increase of 15%, when compared to the same period in 2024, primarily driven through growth on Viator’s branded site and app as well as third-party points of sale.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Booking Value (“GBV”)</w:t>
      </w:r>
    </w:p>
    <w:p>
      <w:pPr>
        <w:spacing w:after="0" w:line="14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GBV represents the total dollar value of experience bookings powered by the Viator platform in a given period prior to any adjustments such as date changes, refunds or cancellations. GBV is an operational measure that provides an indication of total</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ind w:right="60"/>
        <w:spacing w:after="0" w:line="266" w:lineRule="auto"/>
        <w:rPr>
          <w:sz w:val="20"/>
          <w:szCs w:val="20"/>
          <w:color w:val="auto"/>
        </w:rPr>
      </w:pPr>
      <w:r>
        <w:rPr>
          <w:rFonts w:ascii="Times New Roman" w:cs="Times New Roman" w:eastAsia="Times New Roman" w:hAnsi="Times New Roman"/>
          <w:sz w:val="18"/>
          <w:szCs w:val="18"/>
          <w:color w:val="auto"/>
        </w:rPr>
        <w:t>engagement and economic activity driven by our platform in a given period by all marketplace constituents (travelers, experience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GBV reached $1.1 billion during the first quarter of 2025, an increase of approximately 10%, when compared to the same period in 2024, primarily due to growth in the number of experience bookings as discussed above, partially offset by a decline in pricing. The decline in pricing was primarily due to growth in third-party points of sale which generally merchandises lower priced products compared to the Viator and Tripadvisor points of sale and the impact of foreign currency fluctuations.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Viator revenue increased approximately $15 million during the three months ended March 31, 2025 when compared to the same period in 2024, primarily driven by growth in booking volume, partially offset by a decline in pricing. The decline in pricing was primarily due to growth in third-party points of sale which generally merchandises lower priced products compared to the Viator and Tripadvisor point of sales and the impact of foreign currency fluctuations. In addition, we estimate Viator's revenue growth rate was negatively impacted by foreign currency fluctuations of approximately 2% during the three months ended March 31, 2025, when compared to the same period in 2024.</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Adjusted EBITDA loss in Viator improved by approximately $10 million during the three months ended March 31, 2025 when compared to the same period in 2024, while adjusted EBITDA margin improved by 8.2 percentage points. The improvement in adjusted EBITDA was primarily due to an increase in revenue as noted above, partially offset by an increase in variable costs related to revenue growth, such as credit card payment processing fees. The improvement in adjusted EBITDA margin during the three months ended March 31, 2025 when compared to the same period in 2024 was primarily due to a decrease in marketing costs as a percent of revenue.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18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7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40" w:type="dxa"/>
            <w:vAlign w:val="bottom"/>
          </w:tcPr>
          <w:p>
            <w:pPr>
              <w:spacing w:after="0"/>
              <w:rPr>
                <w:sz w:val="12"/>
                <w:szCs w:val="12"/>
                <w:color w:val="auto"/>
              </w:rPr>
            </w:pPr>
          </w:p>
        </w:tc>
      </w:tr>
      <w:tr>
        <w:trPr>
          <w:trHeight w:val="209"/>
        </w:trPr>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7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4"/>
                <w:szCs w:val="24"/>
                <w:color w:val="auto"/>
                <w:vertAlign w:val="superscript"/>
              </w:rPr>
              <w:t>(2)</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4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47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31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(3)</w:t>
            </w:r>
          </w:p>
        </w:tc>
        <w:tc>
          <w:tcPr>
            <w:tcW w:w="1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-509270</wp:posOffset>
            </wp:positionV>
            <wp:extent cx="1460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-509270</wp:posOffset>
            </wp:positionV>
            <wp:extent cx="146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11" w:lineRule="exact"/>
        <w:rPr>
          <w:sz w:val="20"/>
          <w:szCs w:val="20"/>
          <w:color w:val="auto"/>
        </w:rPr>
      </w:pPr>
    </w:p>
    <w:p>
      <w:pPr>
        <w:ind w:left="1020" w:right="140" w:hanging="503"/>
        <w:spacing w:after="0" w:line="234"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hanging="503"/>
        <w:spacing w:after="0" w:line="221"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TheFork segment 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1020" w:hanging="503"/>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TheFork revenue increased approximately $5 million during the three months ended March 31, 2025 when compared to the same period in 2024. This improvement was driven primarily by booking volume growth largely in direct channels, as well as increased adoption of our premium reservation booking software offering. In addition, we estimate TheFork's revenue growth rate was negatively impacted by foreign currency fluctuations of approximately 4% during the three months ended March 31, 2025, when compared to the same period in 2024.</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Adjusted EBITDA loss in TheFork was flat during the three months ended March 31, 2025 when compared to the same period in 2024, primarily due to an increase in revenue as noted above and, to a lesser extent, lower personnel costs, offset by increased marketing costs and increased brand awareness investments. Adjusted EBITDA margin improved by 1.0 percentage point during the three months ended March 31, 2025 when compared to the same period in 2024, primarily due to lower personnel costs as a percentage of revenue, partially offset by an increase in marketing costs and cost of sales as a percent of revenue.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520" w:type="dxa"/>
            <w:vAlign w:val="bottom"/>
          </w:tcPr>
          <w:p>
            <w:pPr>
              <w:spacing w:after="0"/>
              <w:rPr>
                <w:sz w:val="12"/>
                <w:szCs w:val="12"/>
                <w:color w:val="auto"/>
              </w:rPr>
            </w:pPr>
          </w:p>
        </w:tc>
        <w:tc>
          <w:tcPr>
            <w:tcW w:w="11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1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Cost of sales increased approximately $2 million during the three months ended March 31, 2025 when compared to the same period in 2024, primarily due to an increase in variable costs supporting revenue growth such as credit card payment processing fees and other transaction related costs in Viator and TheFork segments. These increased costs were partially offset by a decrease in direct revenue generation costs related to media production in Brand Tripadvisor.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Marketing expenses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Brand Tripadvisor</w:t>
            </w:r>
          </w:p>
        </w:tc>
        <w:tc>
          <w:tcPr>
            <w:tcW w:w="19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Marketing - Viator</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4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TheFork</w:t>
            </w:r>
          </w:p>
        </w:tc>
        <w:tc>
          <w:tcPr>
            <w:tcW w:w="8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Intersegment (intercompany) marketing expenses </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(23.4)</w:t>
            </w:r>
          </w:p>
        </w:tc>
        <w:tc>
          <w:tcPr>
            <w:tcW w:w="1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Marketing</w:t>
            </w:r>
          </w:p>
        </w:tc>
        <w:tc>
          <w:tcPr>
            <w:tcW w:w="19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43.1%</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-173990</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-156845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-173990</wp:posOffset>
            </wp:positionV>
            <wp:extent cx="1111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-156845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5" w:lineRule="exact"/>
        <w:rPr>
          <w:sz w:val="20"/>
          <w:szCs w:val="20"/>
          <w:color w:val="auto"/>
        </w:rPr>
      </w:pPr>
    </w:p>
    <w:p>
      <w:pPr>
        <w:ind w:left="1020" w:right="320" w:hanging="503"/>
        <w:spacing w:after="0" w:line="264"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Marketing expenses are shown gross of intersegment (intercompany) expenses, which is eliminated on a consolidated basis. Refer to “Note 12: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activity for all periods presented.</w:t>
      </w:r>
    </w:p>
    <w:p>
      <w:pPr>
        <w:spacing w:after="0" w:line="1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Marketing costs increased approximately $9 million during the three months ended March 31, 2025 when compared to the same period in 2024, primarily driven by an increase in overall marketing costs in Viator and TheFork segments of $8 million, inclusive of intersegment (intercompany) marketing expenses, in order to drive revenue growth and market share.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Personnel</w:t>
      </w:r>
    </w:p>
    <w:p>
      <w:pPr>
        <w:spacing w:after="0" w:line="25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(exclusive of stock-based compensation)</w:t>
            </w:r>
          </w:p>
        </w:tc>
        <w:tc>
          <w:tcPr>
            <w:tcW w:w="19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Personnel</w:t>
            </w:r>
          </w:p>
        </w:tc>
        <w:tc>
          <w:tcPr>
            <w:tcW w:w="194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4"/>
        </w:trPr>
        <w:tc>
          <w:tcPr>
            <w:tcW w:w="4580" w:type="dxa"/>
            <w:vAlign w:val="bottom"/>
          </w:tcPr>
          <w:p>
            <w:pPr>
              <w:spacing w:after="0"/>
              <w:rPr>
                <w:sz w:val="24"/>
                <w:szCs w:val="24"/>
                <w:color w:val="auto"/>
              </w:rPr>
            </w:pPr>
          </w:p>
        </w:tc>
        <w:tc>
          <w:tcPr>
            <w:tcW w:w="19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-933450</wp:posOffset>
            </wp:positionV>
            <wp:extent cx="1111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-916305</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-933450</wp:posOffset>
            </wp:positionV>
            <wp:extent cx="111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-916305</wp:posOffset>
            </wp:positionV>
            <wp:extent cx="1111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4" w:name="page35"/>
    <w:bookmarkEnd w:id="34"/>
    <w:p>
      <w:pPr>
        <w:ind w:right="340" w:firstLine="539"/>
        <w:spacing w:after="0" w:line="282" w:lineRule="auto"/>
        <w:rPr>
          <w:sz w:val="20"/>
          <w:szCs w:val="20"/>
          <w:color w:val="auto"/>
        </w:rPr>
      </w:pPr>
      <w:r>
        <w:rPr>
          <w:rFonts w:ascii="Times New Roman" w:cs="Times New Roman" w:eastAsia="Times New Roman" w:hAnsi="Times New Roman"/>
          <w:sz w:val="18"/>
          <w:szCs w:val="18"/>
          <w:color w:val="auto"/>
        </w:rPr>
        <w:t>Personnel costs decreased approximately $5 million during the three months ended March 31, 2025 when compared to the same period in 2024, primarily driven by a reduction in headcount related to cost-reduction measures initiated in Brand Tripadvisor and TheFork.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Technology expenses consist primarily of licensing, data center costs including cloud-based solutions, maintenance, computer supplies, telecom, and content translation and localization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520" w:type="dxa"/>
            <w:vAlign w:val="bottom"/>
          </w:tcPr>
          <w:p>
            <w:pPr>
              <w:spacing w:after="0"/>
              <w:rPr>
                <w:sz w:val="12"/>
                <w:szCs w:val="12"/>
                <w:color w:val="auto"/>
              </w:rPr>
            </w:pPr>
          </w:p>
        </w:tc>
        <w:tc>
          <w:tcPr>
            <w:tcW w:w="11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1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5.7%</w:t>
            </w:r>
          </w:p>
        </w:tc>
        <w:tc>
          <w:tcPr>
            <w:tcW w:w="1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6" w:lineRule="exact"/>
        <w:rPr>
          <w:sz w:val="20"/>
          <w:szCs w:val="20"/>
          <w:color w:val="auto"/>
        </w:rPr>
      </w:pPr>
    </w:p>
    <w:p>
      <w:pPr>
        <w:ind w:right="200" w:firstLine="539"/>
        <w:spacing w:after="0" w:line="282" w:lineRule="auto"/>
        <w:rPr>
          <w:sz w:val="20"/>
          <w:szCs w:val="20"/>
          <w:color w:val="auto"/>
        </w:rPr>
      </w:pPr>
      <w:r>
        <w:rPr>
          <w:rFonts w:ascii="Times New Roman" w:cs="Times New Roman" w:eastAsia="Times New Roman" w:hAnsi="Times New Roman"/>
          <w:sz w:val="18"/>
          <w:szCs w:val="18"/>
          <w:color w:val="auto"/>
        </w:rPr>
        <w:t>Technology costs increased approximately $1 million during the three months ended March 31, 2025 when compared to the same period in 2024, primarily due to increased licensing costs in Viator.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2"/>
          </w:tcPr>
          <w:p>
            <w:pPr>
              <w:jc w:val="right"/>
              <w:ind w:right="842"/>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decreased approximately $12 million during the three months ended March 31, 2025 when compared to the same period in 2024, primarily due to an estimated accrual for the potential settlement of a regulatory related matter of $10 million during the first quarter of 2024 in Brand Tripadvisor.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Borders>
              <w:bottom w:val="single" w:sz="8" w:color="auto"/>
            </w:tcBorders>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88"/>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3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r>
      <w:tr>
        <w:trPr>
          <w:trHeight w:val="230"/>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34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FF0FC"/>
          </w:tcPr>
          <w:p>
            <w:pPr>
              <w:spacing w:after="0"/>
              <w:rPr>
                <w:sz w:val="19"/>
                <w:szCs w:val="19"/>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of revenue</w:t>
            </w: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-173990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-156845</wp:posOffset>
            </wp:positionV>
            <wp:extent cx="102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-173990</wp:posOffset>
            </wp:positionV>
            <wp:extent cx="1028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-156845</wp:posOffset>
            </wp:positionV>
            <wp:extent cx="1028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Depreciation and amortization did not materially change during the three months ended March 31, 2025 when compared to the same period in 2024, primarily due to the completion of amortization related to intangible assets purchased in business acquisitions from previous years, largely offset by increased depreciation related to previous capital expenditure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 and other related reorganization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308"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7620</wp:posOffset>
            </wp:positionV>
            <wp:extent cx="21945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220"/>
        <w:spacing w:after="0"/>
        <w:tabs>
          <w:tab w:leader="none" w:pos="90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wp:posOffset>
            </wp:positionV>
            <wp:extent cx="21945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92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560" w:val="left"/>
          <w:tab w:leader="none" w:pos="7820" w:val="left"/>
          <w:tab w:leader="none" w:pos="8420" w:val="left"/>
          <w:tab w:leader="none" w:pos="9780" w:val="left"/>
        </w:tabs>
        <w:rPr>
          <w:sz w:val="20"/>
          <w:szCs w:val="20"/>
          <w:color w:val="auto"/>
        </w:rPr>
      </w:pPr>
      <w:r>
        <w:rPr>
          <w:rFonts w:ascii="Times New Roman" w:cs="Times New Roman" w:eastAsia="Times New Roman" w:hAnsi="Times New Roman"/>
          <w:sz w:val="18"/>
          <w:szCs w:val="18"/>
          <w:color w:val="auto"/>
        </w:rPr>
        <w:t>Restructuring and other related reorganization costs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10.1</w:t>
        <w:tab/>
        <w:t>$</w:t>
      </w:r>
      <w:r>
        <w:rPr>
          <w:sz w:val="20"/>
          <w:szCs w:val="20"/>
          <w:color w:val="auto"/>
        </w:rPr>
        <w:tab/>
      </w:r>
      <w:r>
        <w:rPr>
          <w:rFonts w:ascii="Times New Roman" w:cs="Times New Roman" w:eastAsia="Times New Roman" w:hAnsi="Times New Roman"/>
          <w:sz w:val="17"/>
          <w:szCs w:val="17"/>
          <w:color w:val="auto"/>
        </w:rPr>
        <w:t>1.0</w:t>
      </w:r>
    </w:p>
    <w:p>
      <w:pPr>
        <w:spacing w:after="0" w:line="20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pre-tax restructuring and other related reorganization costs of approximately $10 million during the three months ended March 31, 2025, as discussed above.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in the notes to our unaudited condensed consolidated financial statements in Item 1 in this Quarterly Report for more information regarding restructuring and other related reorganization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2025 Senior Notes, the 2026 Senior Notes, as well as imputed interest on finance leases.</w:t>
      </w:r>
    </w:p>
    <w:p>
      <w:pPr>
        <w:spacing w:after="0" w:line="47"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7620</wp:posOffset>
            </wp:positionV>
            <wp:extent cx="24688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90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wp:posOffset>
            </wp:positionV>
            <wp:extent cx="24688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772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540" w:val="left"/>
          <w:tab w:leader="none" w:pos="8220" w:val="left"/>
          <w:tab w:leader="none" w:pos="964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(11.7)</w:t>
        <w:tab/>
        <w:t>$</w:t>
      </w:r>
      <w:r>
        <w:rPr>
          <w:sz w:val="20"/>
          <w:szCs w:val="20"/>
          <w:color w:val="auto"/>
        </w:rPr>
        <w:tab/>
      </w:r>
      <w:r>
        <w:rPr>
          <w:rFonts w:ascii="Times New Roman" w:cs="Times New Roman" w:eastAsia="Times New Roman" w:hAnsi="Times New Roman"/>
          <w:sz w:val="18"/>
          <w:szCs w:val="18"/>
          <w:color w:val="auto"/>
        </w:rPr>
        <w:t>(11.0)</w:t>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increased approximately $1 million during the three months ended March 31, 2025 when compared to the same period in 2024, primarily due to the issuance of our Term Loan B Facility in July 2024 and subsequent redemption of the 2025 Senior Notes, which incrementally increased our financing costs.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term deposits, money market funds, and marketable securities, including amortization of discounts and premiums on our marketable securities.</w:t>
      </w:r>
    </w:p>
    <w:p>
      <w:pPr>
        <w:spacing w:after="0" w:line="47"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7620</wp:posOffset>
            </wp:positionV>
            <wp:extent cx="24688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88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wp:posOffset>
            </wp:positionV>
            <wp:extent cx="24688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70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580" w:val="left"/>
          <w:tab w:leader="none" w:pos="8200" w:val="left"/>
          <w:tab w:leader="none" w:pos="9680" w:val="left"/>
        </w:tabs>
        <w:rPr>
          <w:sz w:val="20"/>
          <w:szCs w:val="20"/>
          <w:color w:val="auto"/>
        </w:rPr>
      </w:pPr>
      <w:r>
        <w:rPr>
          <w:rFonts w:ascii="Times New Roman" w:cs="Times New Roman" w:eastAsia="Times New Roman" w:hAnsi="Times New Roman"/>
          <w:sz w:val="18"/>
          <w:szCs w:val="18"/>
          <w:color w:val="auto"/>
        </w:rPr>
        <w:t>Interest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12.6</w:t>
      </w:r>
    </w:p>
    <w:p>
      <w:pPr>
        <w:spacing w:after="0" w:line="20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approximately $3 million during the three months ended March 31, 2025 when compared to the same period in 2024, primarily due to a decrease in interest rates received on demand bank deposits and money market funds.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 of debt, and other non-operating income (expenses).</w:t>
      </w:r>
    </w:p>
    <w:p>
      <w:pPr>
        <w:spacing w:after="0" w:line="61"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7620</wp:posOffset>
            </wp:positionV>
            <wp:extent cx="24688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88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wp:posOffset>
            </wp:positionV>
            <wp:extent cx="24688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700"/>
        <w:spacing w:after="0" w:line="235"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tabs>
          <w:tab w:leader="none" w:pos="6120" w:val="left"/>
          <w:tab w:leader="none" w:pos="7600" w:val="left"/>
          <w:tab w:leader="none" w:pos="8200" w:val="left"/>
          <w:tab w:leader="none" w:pos="9720" w:val="left"/>
        </w:tabs>
        <w:rPr>
          <w:sz w:val="20"/>
          <w:szCs w:val="20"/>
          <w:color w:val="auto"/>
        </w:rPr>
      </w:pPr>
      <w:r>
        <w:rPr>
          <w:rFonts w:ascii="Times New Roman" w:cs="Times New Roman" w:eastAsia="Times New Roman" w:hAnsi="Times New Roman"/>
          <w:sz w:val="18"/>
          <w:szCs w:val="18"/>
          <w:color w:val="auto"/>
        </w:rPr>
        <w:t>Other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w:t>
        <w:tab/>
        <w:t>$</w:t>
      </w:r>
      <w:r>
        <w:rPr>
          <w:sz w:val="20"/>
          <w:szCs w:val="20"/>
          <w:color w:val="auto"/>
        </w:rPr>
        <w:tab/>
      </w:r>
      <w:r>
        <w:rPr>
          <w:rFonts w:ascii="Times New Roman" w:cs="Times New Roman" w:eastAsia="Times New Roman" w:hAnsi="Times New Roman"/>
          <w:sz w:val="17"/>
          <w:szCs w:val="17"/>
          <w:color w:val="auto"/>
        </w:rPr>
        <w:t>(3.3)</w:t>
      </w:r>
    </w:p>
    <w:p>
      <w:pPr>
        <w:spacing w:after="0" w:line="205"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Other expense, net, largely consisting of foreign exchange losses, and did not materially change during the three months ended March 31, 2025 when compared to the same period in 2024.</w:t>
      </w: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1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34"/>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w:t>
            </w:r>
          </w:p>
        </w:tc>
      </w:tr>
    </w:tbl>
    <w:p>
      <w:pPr>
        <w:spacing w:after="0" w:line="179" w:lineRule="exact"/>
        <w:rPr>
          <w:sz w:val="20"/>
          <w:szCs w:val="20"/>
          <w:color w:val="auto"/>
        </w:rPr>
      </w:pPr>
    </w:p>
    <w:p>
      <w:pPr>
        <w:ind w:firstLine="554"/>
        <w:spacing w:after="0" w:line="282" w:lineRule="auto"/>
        <w:rPr>
          <w:sz w:val="20"/>
          <w:szCs w:val="20"/>
          <w:color w:val="auto"/>
        </w:rPr>
      </w:pPr>
      <w:r>
        <w:rPr>
          <w:rFonts w:ascii="Times New Roman" w:cs="Times New Roman" w:eastAsia="Times New Roman" w:hAnsi="Times New Roman"/>
          <w:sz w:val="18"/>
          <w:szCs w:val="18"/>
          <w:color w:val="auto"/>
        </w:rPr>
        <w:t>Our first quarter of 2025 effective tax rate differs from the U.S. federal statutory rate of 21%, primarily as a result of a discrete item recorded during the quarter, as described below.</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recorded an income tax benefit of approximately $9 million for the three months ended March 31, 2025. The change in our income tax (provision) benefit and our effective tax rate during the three months ended March 31, 2025, when compared to the same period in 2024, was primarily the result of an IRS audit settlement for the 2014, 2015, and 2016 tax years, resulting in the Company recording an income tax expense of $46 million during the first quarter of 2024, while a discrete tax benefit of $11 million was recorded during the first quarter of 2025 to release income tax reserves as a result of the U.S. federal statute of limitation of assessment closing on the tax years 2014, 2015, and 2016. 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2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(11.0)</w:t>
            </w:r>
          </w:p>
        </w:tc>
        <w:tc>
          <w:tcPr>
            <w:tcW w:w="9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(59.3)</w:t>
            </w:r>
          </w:p>
        </w:tc>
      </w:tr>
      <w:tr>
        <w:trPr>
          <w:trHeight w:val="234"/>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margin</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(15.0%)</w:t>
            </w:r>
          </w:p>
        </w:tc>
      </w:tr>
    </w:tbl>
    <w:p>
      <w:pPr>
        <w:spacing w:after="0" w:line="1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loss improved by approximately $48 million during the three months ended March 31, 2025, when compared to the same period in 2024. The improvement in net loss was largely driven by a decrease in income tax expense of $52 million, as described in more detail above under “</w:t>
      </w:r>
      <w:r>
        <w:rPr>
          <w:rFonts w:ascii="Times New Roman" w:cs="Times New Roman" w:eastAsia="Times New Roman" w:hAnsi="Times New Roman"/>
          <w:sz w:val="18"/>
          <w:szCs w:val="18"/>
          <w:i w:val="1"/>
          <w:iCs w:val="1"/>
          <w:color w:val="auto"/>
        </w:rPr>
        <w:t>(Provision)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 for Income Taxes,</w:t>
      </w:r>
      <w:r>
        <w:rPr>
          <w:rFonts w:ascii="Times New Roman" w:cs="Times New Roman" w:eastAsia="Times New Roman" w:hAnsi="Times New Roman"/>
          <w:sz w:val="18"/>
          <w:szCs w:val="18"/>
          <w:color w:val="auto"/>
        </w:rPr>
        <w:t>” and, to a lesser extent, a decrease in general and administrative costs related to an estimated accrual for the potential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regulatory related matter of $10 million during the first quarter of 2024 in our Brand Tripadvisor segment. These improvements were partially offset, primarily by increased marketing costs to drive revenue growth and market share in our experiences and dining offerings, during the three months ended March 31, 2025, all of which is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spacing w:after="0" w:line="194"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400" w:right="10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7" w:lineRule="exact"/>
        <w:rPr>
          <w:rFonts w:ascii="Times New Roman" w:cs="Times New Roman" w:eastAsia="Times New Roman" w:hAnsi="Times New Roman"/>
          <w:sz w:val="18"/>
          <w:szCs w:val="18"/>
          <w:color w:val="auto"/>
        </w:rPr>
      </w:pPr>
    </w:p>
    <w:p>
      <w:pPr>
        <w:ind w:left="1400" w:right="54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3" w:lineRule="exact"/>
        <w:rPr>
          <w:rFonts w:ascii="Times New Roman" w:cs="Times New Roman" w:eastAsia="Times New Roman" w:hAnsi="Times New Roman"/>
          <w:sz w:val="18"/>
          <w:szCs w:val="18"/>
          <w:color w:val="auto"/>
        </w:rPr>
      </w:pPr>
    </w:p>
    <w:p>
      <w:pPr>
        <w:ind w:left="1400" w:right="62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60" w:type="dxa"/>
            <w:vAlign w:val="bottom"/>
            <w:gridSpan w:val="2"/>
            <w:vMerge w:val="restart"/>
          </w:tcPr>
          <w:p>
            <w:pPr>
              <w:jc w:val="right"/>
              <w:ind w:right="98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(in</w:t>
            </w:r>
          </w:p>
        </w:tc>
        <w:tc>
          <w:tcPr>
            <w:tcW w:w="1140" w:type="dxa"/>
            <w:vAlign w:val="bottom"/>
            <w:gridSpan w:val="2"/>
          </w:tcPr>
          <w:p>
            <w:pPr>
              <w:jc w:val="right"/>
              <w:ind w:right="530"/>
              <w:spacing w:after="0" w:line="120"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(59.3)</w:t>
            </w:r>
          </w:p>
        </w:tc>
        <w:tc>
          <w:tcPr>
            <w:tcW w:w="0" w:type="dxa"/>
            <w:vAlign w:val="bottom"/>
          </w:tcPr>
          <w:p>
            <w:pPr>
              <w:spacing w:after="0"/>
              <w:rPr>
                <w:sz w:val="1"/>
                <w:szCs w:val="1"/>
                <w:color w:val="auto"/>
              </w:rPr>
            </w:pPr>
          </w:p>
        </w:tc>
      </w:tr>
      <w:tr>
        <w:trPr>
          <w:trHeight w:val="238"/>
        </w:trPr>
        <w:tc>
          <w:tcPr>
            <w:tcW w:w="68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(11.0)</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Legal reserves, settlements and other </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gridSpan w:val="2"/>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Add: Transaction related expenses </w:t>
            </w:r>
            <w:r>
              <w:rPr>
                <w:rFonts w:ascii="Times New Roman" w:cs="Times New Roman" w:eastAsia="Times New Roman" w:hAnsi="Times New Roman"/>
                <w:sz w:val="24"/>
                <w:szCs w:val="24"/>
                <w:color w:val="auto"/>
                <w:vertAlign w:val="superscript"/>
              </w:rPr>
              <w:t>(2)</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Borders>
              <w:bottom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Pr>
          <w:p>
            <w:pPr>
              <w:spacing w:after="0"/>
              <w:rPr>
                <w:sz w:val="18"/>
                <w:szCs w:val="18"/>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right="320" w:hanging="383"/>
        <w:spacing w:after="0" w:line="233" w:lineRule="auto"/>
        <w:tabs>
          <w:tab w:leader="none" w:pos="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estimated accrual for the potential settlement of a regulatory related matter of $10 million expensed during the first quarter of 2024 to general and administrative expenses on our unaudited condensed consolidated statement of operations.</w:t>
      </w:r>
    </w:p>
    <w:p>
      <w:pPr>
        <w:ind w:left="840" w:right="220" w:hanging="383"/>
        <w:spacing w:after="0" w:line="239" w:lineRule="auto"/>
        <w:tabs>
          <w:tab w:leader="none" w:pos="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costs of approximately $1 million during the first quarter of 2024 to general and administrative expenses on our unaudited condensed consolidated statement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Stock Based Awards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6.3 million service-based RSUs with a weighted average grant-date fair value of $14.95 and approximately 0.9 million PSUs with a weighted average grant-date fair value of $14.92 during the three months ended March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March 31, 2025 and December 31, 2024, we had approximately $1.2 billion and $1.1 billion, respectively, of cash and cash equivalents, and $497 million of available borrowing capacity under the Credit Facility. As of March 31, 2025, approximately $197 million of our cash and cash equivalents were held by our international subsidiaries outside of the U.S., of which approximately 40% was located in the U.K. As of March 31, 2025, the significant majority of our cash was denominated in U.S. dollars.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$586 million of cumulative undistributed earnings in foreign subsidiaries that are no longer considered to be indefinitely reinvested. As of March 31, 2025,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2025, we are party to a credit agreement (“Amended Credit Agreement”), which, among other things, provides for a $500 million revolving credit facility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March 31, 2025 and December 31, 2024, we had no outstanding borrowings under the Credit Facility, except $3 million of undrawn standby letters of credit issued under the Credit Facility. The Company may borrow from the Credit Facility in U.S. dollars, Euros and Sterling. For information regarding interest rates on potential borrowings and commitment fees on the daily unused portion of capacity under the Credit Facility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As of March 31, 2025,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March 31, 2025 and December 31, 2024,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an aggregate outstanding principal amount of $9 million and approximately $1.2 billion in short-term and long-term debt, respectively, on our unaudited condensed consolidated balance sheet pertaining to the 2026 Senior Notes and Term Loan B Facility, both of which are discussed below.</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outstanding $345 million, 2026 Senior Notes provide, among other things, that interest at a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On March 20, 2025, under the Amended Credit Agreement, the Company increased its existing Term Loan B Facility in the amount of $350 million, maturing July 8, 2031, with an interest rate based on SOFR plus 2.75% (the “Tack-On Incremental Term Loan B Facility”). The proceeds from the Tack-On Incremental Term Loan B Facility will be used to fund the repurchase, repayment or redemption of the Company's outstanding 2026 Senior Notes and for general corporate purposes. The Tack-On Incremental Term Loan B Facility was offered at 98.56% of par. We refer to the Term Loan B Facility, combined with the Tack-On Incremental Term Loan B Facility, as the “Term Loan B Facility.”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$2 million were made under the Term Loan B Facility during the three months ended March 31, 2025.</w:t>
      </w:r>
    </w:p>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2026 Senior Notes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2025 Senior Notes and 2026 Senior Notes, refer to “Note 6: </w:t>
      </w:r>
      <w:r>
        <w:rPr>
          <w:rFonts w:ascii="Times New Roman" w:cs="Times New Roman" w:eastAsia="Times New Roman" w:hAnsi="Times New Roman"/>
          <w:sz w:val="18"/>
          <w:szCs w:val="18"/>
          <w:i w:val="1"/>
          <w:iCs w:val="1"/>
          <w:color w:val="auto"/>
        </w:rPr>
        <w:t>Deb</w:t>
      </w:r>
      <w:r>
        <w:rPr>
          <w:rFonts w:ascii="Times New Roman" w:cs="Times New Roman" w:eastAsia="Times New Roman" w:hAnsi="Times New Roman"/>
          <w:sz w:val="18"/>
          <w:szCs w:val="18"/>
          <w:color w:val="auto"/>
        </w:rPr>
        <w:t>t” in the notes to our unaudited condensed consolidated financial statements in Item 1 in this Quarterly Report.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This share repurchase program, which has a term of two years, does not obligate the Company to acquire any particular number of shares and may be modified, suspended or discontinued at any time. During the three months ended March 31, 2025 and 2024, the Company did not repurchase any shares of outstanding common stock under the share repurchase program. As of March 31, 2025, we had $200 million remaining available to repurchase shares of our common stock under this share repurchase program.</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90"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 xml:space="preserve">As described above, on March 20, 2025, the Company, LTRIP, and LTRIP’s wholly owned subsidiaries, entered into the Loan Agreement. Pursuant to the Loan Agreement, the Company extended credit in the form of a term loan facility in an aggregate principal amount of $327 million subject to the terms and conditions therein.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our unaudited condensed consolidated financial statements in Item 1 in this Quarterly Report in the section entitled “LTRIP and Tripadvisor Merger Agreement and Loan Agreement” for further information.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described above, on April 29, 2025, the Merger with LTRIP was consummated. In connection with such Merger, the balance of $327 million under the Loan Agreement is no longer payable to the Company and was assumed in the aggregate transaction price of the Merger. In addition, on April 29, 2025, the Company made, or will make, additional cash payments, totaling approximately $85 million, which primarily include: (i) $20 million to acquire the shares of LTRIP Series A Common Stock and Series B Common Stock issued and outstanding immediately prior to the effective time of the Merger;</w:t>
      </w:r>
    </w:p>
    <w:p>
      <w:pPr>
        <w:spacing w:after="0" w:line="3" w:lineRule="exact"/>
        <w:rPr>
          <w:sz w:val="20"/>
          <w:szCs w:val="20"/>
          <w:color w:val="auto"/>
        </w:rPr>
      </w:pPr>
    </w:p>
    <w:p>
      <w:pPr>
        <w:ind w:right="40" w:firstLine="8"/>
        <w:spacing w:after="0" w:line="253"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$42.5 million in cash used to settle shares of LTRIP's 8% Series A Cumulative Redeemable Preferred Stock issued and outstanding immediately prior to the effective time of the Merger; (iii) $4 million to repurchase or settle the remaining Exchangeable Debentures; and (iv) all direct expenses and fees associated with the transaction incurred by the Company, estimated at $20 million.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our unaudited condensed consolidated financial statements in Item 1 in this Quarterly Report in the section entitled “LTRIP and Tripadvisor Merger Agreement and Loan Agreement” for further information.</w:t>
      </w:r>
    </w:p>
    <w:p>
      <w:pPr>
        <w:spacing w:after="0" w:line="18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$25 million to $35 million, exclusive of interest expense, at the close of the audit if HMRC prevails. We are also currently subject to audit by HMRC in tax years 2017 through 2022.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cash flows for the three months ended March 31, 2025 and 2024, as reflected in our unaudited condensed consolidated statements of cash flows, are summarized in the following table: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9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32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101.7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(19.0)</w:t>
            </w:r>
          </w:p>
        </w:tc>
        <w:tc>
          <w:tcPr>
            <w:tcW w:w="9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7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our primary source of cash was from operations, while our primary use of cash was from financing activities (including funding of the Loan Agreement with LTRIP of $327 million and payment of withholding taxes on net share settlements of our equity awards of $9 million) and investing activities (including capital expenditures of $19 million). This use of cash was funded with cash and cash equivalents and cash flows from operations.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our primary source of cash was from operations, while our primary use of cash was from financing activities (including payment of withholding taxes on net share settlements of our equity awards of $10 million), and investing activities (including capital expenditures of $16 million). This use of cash was funded with cash and cash equivalents and cash flows from operations.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decreased by approximately $37 million, when compared to the same period in 2024, primarily due to a decrease in working capital of $78 million, as well as a decrease in non-cash items of $7 million related to a decrease in deferred income tax expense, largely offset by an improvement in net losses of $48 million. The decrease in working capital for the three months ended March 31, 2025 when compared to the same period in 2024, was primarily driven by the timing of collection of cash from customers, the timing of vendor payments and deferred merchant payments to experience operators, as well as a decrease in our income tax provision, as discussed above under “(Provision) Benefit for Income Taxes.”</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increased by approximately $3 million, when compared to the same period in 2024, due to an increase in capital expenditures investment across the business.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decreased by approximately $9 million, when compared to the same period in 2024, primarily due to proceeds received from the issuance of our Tack-On Incremental Term Loan B Facility of $341 million, net of financing costs, largely offset by the funding of the Loan Agreement with LTRIP of $327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2024. As of March 31, 2025,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—Management’s Discussion and Analysis of Financial Condition and Results of Operations of our 2024 Annual Report for a discussion of our contractual obligations and commercial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contractual disputes (including breach of a covenant or disagreements as to interpretation),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1" w:name="page42"/>
    <w:bookmarkEnd w:id="41"/>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1" w:lineRule="exact"/>
        <w:rPr>
          <w:sz w:val="20"/>
          <w:szCs w:val="20"/>
          <w:color w:val="auto"/>
        </w:rPr>
      </w:pPr>
    </w:p>
    <w:p>
      <w:pPr>
        <w:jc w:val="both"/>
        <w:ind w:right="3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w:t>
      </w:r>
    </w:p>
    <w:p>
      <w:pPr>
        <w:spacing w:after="0" w:line="1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impact on our financial results, as well as legislation to impose new forms of gross receipts taxes, such as digital services taxes imposed on digital advertising and online marketplace platforms/services.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consensus is reached on Pillar One, unilateral digital services taxes should be repealed, however until such time we continue to be subject to these taxes. We are currently subject to unilateral digital services taxes, and during the three months ended March 31, 2025 and 2024, we recorded $2 million and $3 million, respectively, of digital service taxes to cost of sales on our unaudited condensed consolidated statements of operations. While the future of the global tax regulatory landscape remains uncertain, we continue to monitor the OECD’s and members ongoing discussions to determine the current and potential impact on our unaudited condensed consolidated financial statements.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March 31, 2025. As of March 31, 2025, $586 million of our cumulative undistributed foreign earnings were no longer considered to be indefinitely reinvested.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three months ended March 31, 2025 since December 31, 2024. For additional information about our market risk profile, refer to “Quantitative and Qualitative Disclosures About Market Risk” in Item 7A. in Part II of our 2024 Annual Report.</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our business grows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as well as increased cyberattacks, other military conflicts, sanctions and tariffs.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March 31, 2025,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31, 2025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2024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2024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March 31, 2025, there have been no material changes in our risk factors from those disclosed in Part 1, Item 1A., “Risk Factors” in our 2024 Annual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2025,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we did not repurchase any shares of our common stock under our existing share repurchase program. As of March 31, 2025, we had $200 million remaining available to repurchase shares of our common stock under our existing authorized share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none of the Company’s directors or officers adopted or terminated a Rule 10b5-1 trading arrangement or a non-Rule 10b5-1 trading arrangement (each as defined in Item 408(c) of Regulation S-K).</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Amended and Restated Bylaws</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Effective May 6, 2025, the Company's Board of Directors approved by written consent, and the Company is filing herewith as Exhibit 3.2, new Amended and Restated Bylaws (the “A&amp;R Bylaws”), which supersede and replace the Company's existing bylaws in their entirety effective as of such date. The A&amp;R Bylaws were amended to, among other things, (i) remove inoperative provisions related to the Governance Agreement which is no longer in effect, (ii) remove a provision that permitted stockholders to act by written consent, and (iii) remove a provision that permitted, in certain circumstances, the Chair of the Board to have duties and powers of the Chief Executive Officer in the event there was a vacancy in the office the Company’s Chief Executive Officer.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w:t>
      </w:r>
    </w:p>
    <w:p>
      <w:pPr>
        <w:sectPr>
          <w:pgSz w:w="11900" w:h="16838" w:orient="portrait"/>
          <w:cols w:equalWidth="0" w:num="1">
            <w:col w:w="11240"/>
          </w:cols>
          <w:pgMar w:left="320" w:top="1332" w:right="339" w:bottom="1440" w:gutter="0" w:footer="0" w:header="0"/>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62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Bylaws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Second Amendment, dated March 20, 2025, to the Credit Agreement dated as of June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26, 2015, as amended and restated as of June 29, 2023, and as further amended as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July  8,  2024,  by  and  among  Tripadvisor,  Inc.,  Tripadvisor  Holdings,  LLC,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Tripadvisor, LLC, the other Borrowers party thereto, the Lenders party thereto and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JPMorgan Chase Bank, N.A., as Administrative Agent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Loan Agreement, by and among Liberty Tripadvisor Holdings, Inc., as Borrower, the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7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guarantors from time to time party thereto and the Company, as Lender, dated March</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60" w:type="dxa"/>
            <w:vAlign w:val="bottom"/>
            <w:gridSpan w:val="3"/>
          </w:tcPr>
          <w:p>
            <w:pPr>
              <w:ind w:left="120"/>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20, 2025</w:t>
              </w:r>
            </w:hyperlink>
          </w:p>
        </w:tc>
        <w:tc>
          <w:tcPr>
            <w:tcW w:w="9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7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7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 Sarbanes-</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7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 Sarbanes-</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7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940" w:type="dxa"/>
            <w:vAlign w:val="bottom"/>
            <w:tcBorders>
              <w:left w:val="single" w:sz="8" w:color="0000EE"/>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69"/>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6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1062"/>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99.1</w:t>
            </w:r>
          </w:p>
        </w:tc>
        <w:tc>
          <w:tcPr>
            <w:tcW w:w="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3/20/25</w:t>
            </w:r>
          </w:p>
        </w:tc>
      </w:tr>
      <w:tr>
        <w:trPr>
          <w:trHeight w:val="648"/>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99.1</w:t>
            </w:r>
          </w:p>
        </w:tc>
        <w:tc>
          <w:tcPr>
            <w:tcW w:w="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3/21/25</w:t>
            </w:r>
          </w:p>
        </w:tc>
      </w:tr>
    </w:tbl>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X</w:t>
      </w:r>
    </w:p>
    <w:p>
      <w:pPr>
        <w:spacing w:after="0" w:line="549" w:lineRule="exact"/>
        <w:rPr>
          <w:sz w:val="20"/>
          <w:szCs w:val="20"/>
          <w:color w:val="auto"/>
        </w:rPr>
      </w:pPr>
    </w:p>
    <w:p>
      <w:pPr>
        <w:sectPr>
          <w:pgSz w:w="11900" w:h="16838" w:orient="portrait"/>
          <w:cols w:equalWidth="0" w:num="2">
            <w:col w:w="7180" w:space="140"/>
            <w:col w:w="3920"/>
          </w:cols>
          <w:pgMar w:left="320" w:top="1332" w:right="339" w:bottom="1440" w:gutter="0" w:footer="0" w:header="0"/>
          <w:type w:val="continuous"/>
        </w:sect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*Previously furnished with the Company’s Quarterly Report on Form 10-Q for the quarterly period ended September 30, 2024, as filed with the SEC on November 6, 2024. 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rPr>
              <w:t>Michael Noonan</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 Geoffrey Gouvalaris</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jc w:val="both"/>
        <w:ind w:right="20"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Principal Executive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principal executive office of Tripadvisor, Inc. (the “Corporation”) shall be at such place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resolution of the board of directors of the Corporation (the “Board” or the “Board of Directors”) in its discretion. The Board shall have full power and authority to change the location of the principal executive office.</w:t>
      </w:r>
    </w:p>
    <w:p>
      <w:pPr>
        <w:spacing w:after="0" w:line="63"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offices and places of business within or without the State of Nevada may be established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or as the business of the Corporation may require.</w:t>
      </w:r>
    </w:p>
    <w:p>
      <w:pPr>
        <w:spacing w:after="0" w:line="47"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also have offices at such other places, both within and without the State of Nevada,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from time to time determine or the business of the Corporation may require.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5"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Place of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may be held at such place, either within or without the State of Nevada,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the Board. If no designation is made, the place of the meeting shall be the principal office of the Corporation.</w:t>
      </w:r>
    </w:p>
    <w:p>
      <w:pPr>
        <w:spacing w:after="0" w:line="47"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stockholders for the election of directors and for the transaction of such other business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come before the meeting shall be held at such time and date as shall be designated from time to time by the Board, the CEO (as defined below) or the chair of the Board of Directors (the “Chair”) and stated in the Corporation’s notice of the meeting. Except as otherwise restricted by the Corporation’s Articles of Incorporation (as may be amended, restated, modified, or supplemented from time to time, the “Articles of Incorporation”) or applicable law, the Board, the CEO, or the Chair may postpone, reschedule or cancel any previously scheduled annual meeting of stockholders, before or after the notice for such meeting has been sent to the stockholders.</w:t>
      </w: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may be called by the Chair of the Board or a majority of the Board.</w:t>
      </w:r>
    </w:p>
    <w:p>
      <w:pPr>
        <w:spacing w:after="0" w:line="117"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stockholders are required or permitted to take any action at a meeting, whether annual or special, a written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Amended and Restated Bylaws (as may be further amended, restated, modified, or supplemented from time to time, these “Bylaws”),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NRS, as defined below) by the stockholder to whom the notice is given. If notice is given by mail, such notice will be deemed given when deposited in the United States mail, postage prepaid, directed to the stockholder at such stockholder’s address as it appears on the records of the Corporation. If notice is given by electronic transmission, such notice will be deemed given at the time specified in NRS 78.370.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6" w:name="page47"/>
    <w:bookmarkEnd w:id="46"/>
    <w:p>
      <w:pPr>
        <w:spacing w:after="0" w:line="82"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Adjourned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meeting of the stockholders, annual or special, whether or not a quorum is present,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to time for any reason by either the chair of the meeting or by a resolution adopted by the majority of the Board or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When a meeting is adjourned to another time or place, except as required by law, notice of the adjourned meeting need not be given if the time, place, if any, thereof and the means of remote communication, if any, by which stockholders and proxy holders may be deemed to be present in person and vote at such meeting, are announced at the meeting at which the adjournment is taken, if the adjournment is for not more than sixty (60) days later than the date set for the original meeting, and if no new record date is fixed for the adjourned meeting. At the adjourned meeting, the Corporation may transact any business that might have been transacted at the original meeting.</w:t>
      </w:r>
    </w:p>
    <w:p>
      <w:pPr>
        <w:spacing w:after="0" w:line="75"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required by applicable law or the Articles of Incorporation, the holders of a majority of the voting power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outstanding shares of capital stock of the Corporation entitled to vote thereat, present in person or represented by proxy (regardless of whether the proxy has authority to vote on any matter), shall constitute a quorum at all meetings of the stockholders for the transaction of business. If, however, such quorum shall not be present or represented at any meeting of the stockholders, then either the chair of the meeting or the stockholders entitled to vote thereat, present in person or represented by proxy, shall have power to adjourn the meeting from time to time, in the manner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until a quorum shall be present or represented. A quorum, once established, shall not be broken by the withdrawal of enough stockholders to leave less than a quorum.</w:t>
      </w:r>
    </w:p>
    <w:p>
      <w:pPr>
        <w:spacing w:after="0" w:line="75"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Articles of Incorporation, each stockholder shall at every meeting of the stockholders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in person or by proxy each share of the class of capital stock having voting power held by such stockholder.</w:t>
      </w:r>
    </w:p>
    <w:p>
      <w:pPr>
        <w:spacing w:after="0" w:line="47"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Participation at Stockholder Meetings by Remote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sole discretion, determine that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shall not be held at any place, but may instead be held solely by means of remote communication in accordance with Nevada Revised Statutes (as amended from time to time, “NRS”) 78.320(4) and any applicable part of NRS Chapter 78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provided 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74"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entitled to vote at a meeting of stockholders has the right to do so either in person or by one (1)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75"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Procedure for Election of Directors; Required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at all meetings of the stockholders at which directors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elected shall be by ballot, and, subject to the rights of the holders of shares of Preferred Stock to elect directors under specified circumstances, a plurality of the votes cast thereat shall elect directors. Except as otherwise provided by law, the Articles of Incorporation,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spacing w:after="0" w:line="71"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Inspectors of Elections; Opening and Closing the Polls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by resolution shall appoint one or more inspectors,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inspectors to replace any inspector who fails to act. If no inspector or alternate has been appointed to act or is able to act at a meeting of stockholders, the chair of the meeting shall appoint one or more inspectors to act at the meeting. Each inspector, before discharging the duties of an inspector, shall take and sign an oath faithfully to execute the duties of inspector with strict impartiality and according to the best of the inspector’s ability. The inspectors shall have the duties prescribed by law.</w:t>
      </w:r>
    </w:p>
    <w:p>
      <w:pPr>
        <w:spacing w:after="0" w:line="68"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No Action Without Meeting</w:t>
      </w:r>
      <w:r>
        <w:rPr>
          <w:rFonts w:ascii="Times New Roman" w:cs="Times New Roman" w:eastAsia="Times New Roman" w:hAnsi="Times New Roman"/>
          <w:sz w:val="18"/>
          <w:szCs w:val="18"/>
          <w:color w:val="auto"/>
        </w:rPr>
        <w:t>. No action shall be taken by the stockholders except at an annual or 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and noticed in the manner required by these Bylaws. The stockholders may not in any circumstance take action by written consent.</w:t>
      </w:r>
    </w:p>
    <w:p>
      <w:pPr>
        <w:spacing w:after="0" w:line="47"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Conduct of Meeting</w:t>
      </w:r>
      <w:r>
        <w:rPr>
          <w:rFonts w:ascii="Times New Roman" w:cs="Times New Roman" w:eastAsia="Times New Roman" w:hAnsi="Times New Roman"/>
          <w:sz w:val="18"/>
          <w:szCs w:val="18"/>
          <w:color w:val="auto"/>
        </w:rPr>
        <w:t>. Meetings of stockholders shall be presided over by the Chair, or, in the absence of the Chair, by the CEO,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be no CEO or in the absence of the CEO, by the president, or, in the absence of the president, by a chair designated by the Board of Directors. The individual acting as chair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 The chair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w:t>
      </w:r>
    </w:p>
    <w:p>
      <w:pPr>
        <w:spacing w:after="0" w:line="74"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Nomination of Directors</w:t>
      </w:r>
      <w:r>
        <w:rPr>
          <w:rFonts w:ascii="Times New Roman" w:cs="Times New Roman" w:eastAsia="Times New Roman" w:hAnsi="Times New Roman"/>
          <w:sz w:val="18"/>
          <w:szCs w:val="18"/>
          <w:color w:val="auto"/>
        </w:rPr>
        <w:t>. Only persons who are nominated in accordance with the following procedures shall be eligible for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directors. The nomination for election to the Board at a meeting of stockholders may be made (i) pursuant to the notice of meeting (or supplement thereto) given by or at the direction of the Board, (ii) otherwise by or at the direction of the Board if properly brought before the meeting of stockholders, or</w:t>
      </w:r>
    </w:p>
    <w:p>
      <w:pPr>
        <w:jc w:val="both"/>
        <w:ind w:firstLine="8"/>
        <w:spacing w:after="0" w:line="250" w:lineRule="auto"/>
        <w:tabs>
          <w:tab w:leader="none" w:pos="3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any stockholder of record of the Corporation who (a) was a stockholder of record at the time of giving of notice contemplated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(b) is entitled to vote for the election of directors at such meeting and (c) has complied with the notice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Clause (iii) of the preceding sentence shall be the exclusive means for a stockholder to make nominations for election of directors before a meeting of stockholders, and, unless the Board has determined that directors will be elected at a special meeting of the stockholders, no stockholder may nominate directors for election at any special meeting of the stockholders. Nominations, other than those made by or on behalf of the Board, shall be made by notice in writing, which shall include the information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delivered or mailed by first class United States mail, postage prepaid, to the Secretary, and</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 annual meeting held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received at the principal executive offices of the Corporation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annual meeting is not held within thirty (30) days before or after such anniversary date, then such nomination shall have been delivered to or mailed and received by the Secretary not later than the close of business on the 10th day following the date on which the notice of the meeting was mailed or public disclosure (as defined below) of the date of such meeting was made, whichever occurs first, and (b) with respect to a special meeting of the stockholders held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at which the Board has determined that directors will be elected, received by the close of business on the 10th day following the day on which public disclosure of the date of such meeting was made. Except as otherwise required by the NRS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in no event shall any adjournment or postponement of an annual or special meeting of the stockholders or the announcement thereof commence a new time period for the delivery of such notice by a stockholder. For the avoidance of doubt, a stockholder shall not be entitled to make additional or substitute nominations following the expiration of the time periods set forth in these Bylaws.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stockholder’s notice to the Secretary required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set forth (a) as to each proposed nominee (i) the name, age, business address and, if known, residence address of each such nominee, (ii) the principal occupation or employment of each such nominee, (iii) the number of shares of stock of the Corporation which are beneficially owned by each such nominee, (iv) any other information concerning the nominee that must be disclosed as to nominees in proxy solicitations pursuant to Regulation 14A under the Securities Exchange Act of 1934, as amended (the “Exchange Act”), including such person’s written consent to be named as a nominee and to serve as a director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elected, and (v) a description of all direct and indirect compensation and other material monetary arrangements, agreements or understandings during the past three years, and any other material relationship, if any, between the stockholder and its respective affiliates or associates, or others with whom they are acting in concert, on the one hand, and the proposed nominee, and his or her respective affiliates or associates, on the other hand; and (b) as to the stockholder giving the notice (i) the name and address of such stockholder, (ii) the class or classes and number of shares of the Corporation of each class which are, directly or indirectly, owned beneficially or of record by such stockholder or any Stockholder Associated Person (as defined below), (iii)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stock of the Corporation or otherwise (each, a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by the stockholder or any Stockholder Associated Person, (iv) any proxy, contract, arrangement, understanding or relationship pursuant to which such stockholder or any Stockholder Associated Person has a right to vote any securities of the Corporation, (v) any proportionate interest in shares of stock of the Corporation or Derivative Instruments held, directly or indirectly, by a general or limited partnership in which such stockholder or any Stockholder Associated Person is a general partner or beneficially owns an interest in a general partner, (vi) any performance-related fees (other than an asset-based fee) that such stockholder or any Stockholder Associated Person is entitled to based on any increase or decrease in the value of the shares of stock of the Corporation or Derivative Instruments, (vii) any direct or indirect material legal, economic or financial interest of the stockholder or any Stockholder Associated Person in the outcome of any vote to be taken at any annual or special meeting of stockholders of the Corporation or any other entity with respect to any matter that is substantially related, directly or indirectly, to any nomination proposed by any stockholder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(viii) a representation by the stockholder that such stockholder is a holder of record of stock of the Corporation entitled to vote at such meeting, will continue to be a stockholder of record of the Corporation entitled to vote at such meeting through the date of such meeting and intends to appear in person or by proxy at the meeting to propose such nomination, (ix) a representation that the nominee is not and will not become a party to any agreement, arrangement or understanding (whether written or oral) with, and has not given any commitment or assurance to, any person or entity as to how such person, if elected as a director of the Corporation, will act or vote on any issue or question (I) that has not been disclosed to the Corporation or (II) that could limit or interfere with such person’s ability to comply, if elected a director of the Corporation, with such person’s fiduciary duties under applicable law, (x) whether the stockholder intends to deliver a proxy statement and form of proxy to holders of the Corporation’s voting shares representing at least sixty-seven percent (67%) of the voting power of the stock entitled to vote generally in the election of directors, and (xi) whether the stockholder intends to solicit proxies or votes in support of director nominees or nomination in accordance with Rule 14a-19 promulgated under the Exchange Act. If the stockholder holds its shares by or through a nominee, the information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provided about each person who has sole or shared power to direct the voting or disposition of the shares of stock of the Corporation and each person who has a pecuniary interest in such shares of stock in lieu of the stockholder. In addition, any nominee proposed by a stockholder shall complete a questionnaire, in a form provided by the Corporation, within ten (10) days of receipt of the form of questionnaire from the Corporation, and the Corporation may require any proposed nominee to furnish such other information as may reasonably be required by the Corporation to determine the eligibility of such proposed nominee to serve as a director of the Corporation.</w:t>
      </w:r>
    </w:p>
    <w:p>
      <w:pPr>
        <w:spacing w:after="0" w:line="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A stockholder shall further update and supplement its notice of any nomination to be brought before a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true and correct (i) as of the record date for the meeting and (ii) as of the date that is ten (10) business days prior to the meeting or any adjournment, recess, rescheduling or postponement thereof. Such update and supplement shall be delivered to the Secretary not later than three (3) business days after the later of the record date or the date notice of the record date is first publicly announced (in the case of the update and supplement required to be made as of the record date for the meeting) and not later than seven (7) business days prior to the date for the meeting, if practicable (or, if not practicable, on the first practicable date prior to the meeting), or any adjournment, recess, rescheduling or postponement thereof (in the case of the update and supplement required to be made as of ten (10) business days prior to the meeting or any adjournment, recess, rescheduling or postponement thereof).</w:t>
      </w:r>
    </w:p>
    <w:p>
      <w:pPr>
        <w:spacing w:after="0" w:line="84"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 xml:space="preserve">Subject to the Articles of Incorporation and applicable law, only persons nominated in accordance with procedures stated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eligible for election as and to serve as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chair of the meeting may, if the facts warrant, determine and declare to the meeting that a nomination was not made in accordance with the foregoing procedures, and if he or she should so determine, he or she shall so declare to the meeting and the defective nomination shall be disregarded. 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 stockholder shall also comply with all applicable requirements of the Exchange Act and the rules and regulations thereunder (including, where applicable, Rule 14a-19 of the Exchange Act).</w:t>
      </w:r>
    </w:p>
    <w:p>
      <w:pPr>
        <w:spacing w:after="0" w:line="7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For purposes of these Bylaws, (a) “public disclosure” means disclosure in a press release reported by the Dow Jones News Service, Associated Press or a comparable news service or in a document publicly filed by the Corporation with the Securities and Exchange Commission pursuant to Section 13, 14 or 15(d) of the Exchange Act, and (b) a “Stockholder Associated Person” of any stockholder means (i) any “affiliate” or “associate” (as those terms are defined in Rule 12b-2 under the Exchange Act) of the stockholder and (ii) any person acting in concert with such stockholder or any affiliate or associate of such stockholder with respect to the capital stock or any other security or Derivative Instrument of the Corporation.</w:t>
      </w:r>
    </w:p>
    <w:p>
      <w:pPr>
        <w:spacing w:after="0" w:line="71"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Advance Notice of Business at Meetings</w:t>
      </w:r>
      <w:r>
        <w:rPr>
          <w:rFonts w:ascii="Times New Roman" w:cs="Times New Roman" w:eastAsia="Times New Roman" w:hAnsi="Times New Roman"/>
          <w:sz w:val="18"/>
          <w:szCs w:val="18"/>
          <w:color w:val="auto"/>
        </w:rPr>
        <w:t>. At an annual meeting of the stockholders, only such business shall be conducted as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been properly brought before the meeting. To be properly brought before an annual meeting, business must be (a) specified in the notice of meeting (or any supplement thereto) given by or at the direction of the Board, (b) otherwise properly brought before the meeting by or at the direction of the Board, or (c) otherwise properly brought before an annual meeting by a stockholder. For business to be properly brought before an annual meeting by a stockholder, the stockholder must appear at the meeting to present a nomination or business; if the stockholder does not appear, such nomination shall be disregarded and/or such proposed business shall not be transacted, notwithstanding that proxies in respect of such vote may have been received by the Corporation. Additionally, if such business relates to the election of directors of the Corporation, the procedures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must be complied with. If such business relates to any other matter, the business must be a proper matter for stockholder action under the NRS and the stockholder must have given timely notice thereof in writing to the Secretary with the information contemplated by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The preceding sentence shall be the exclusive means for a stockholder to propose business (other than matters properly brought under Rule 14a-8 under the Exchange Act and included in the Corporation’s notice of meeting) before an annual meeting of stockholders. To be timely, (a) with respect to an annual meeting held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 stockholder’s notice must be delivered to or mailed and received at the principal executive offices of the Corporation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annual meeting is not held within thirty (30) days before or after such anniversary date, then for the notice by the stockholder to be timely it must be so received not later than the close of business on the 10th day following the date on which the notice of the meeting was mailed or public disclosure of the date of such meeting was made, whichever occurs first, and (b) with respect to a special meeting of the stockholders held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to the extent that business may be properly brought before such meeting by a stockholder, a stockholder’s notice must be received by the close of business on the 10th day following the day on which public disclosure of the date of such meeting was made. In no event shall any adjournment or postponement of a meeting of the stockholders or the announcement thereof commence a new time period for the delivery of such notice by a stockholder.</w:t>
      </w:r>
    </w:p>
    <w:p>
      <w:pPr>
        <w:spacing w:after="0" w:line="87"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A stockholder’s notice to the Secretary shall set forth as to each matter the stockholder proposes to bring before a meeting (a) a brief description of the proposal desired to be brought before the meeting and the reasons for making such proposal at the meeting, (b) the name and address of the stockholder making such proposal, (c) the class and number of shares of the Corporation which are beneficially owned by the stockholder, (d) any material interest of the stockholder in such proposal, (e) any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by the stockholder or any Stockholder Associated Person, (f) any proxy, contract, arrangement, understanding or relationship pursuant to which such stockholder or any Stockholder Associated Person has a right to vote any securities of the Corporation, (g) any proportionate interest in shares of the Corporation or Derivative Instruments held, directly or indirectly, by a general or limited partnership in which such stockholder or any Stockholder Associated Person is a general partner or beneficially owns an interest in a general partner, (h) any performance-related fees (other than an asset-based fee) that such stockholder or any Stockholder Associated Person is entitled to based on any increase or decrease in the value of the shares of stock of the Corporation or Derivative Instruments, and (i) whether the stockholder intends to deliver a proxy statement and form of proxy to holders of the Corporation’s voting shares representing at least sixty-seven percent (67%) of the voting power of the stock entitled to vote generally in the election of directors in the case of a nomination or holders of at least the percentage of the Corporation’s voting shares required under applicable law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carry the proposal in the case of other business. If the stockholder holds its shares by or through a nominee, the information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shall be provided about each person who has sole or shared power to direct the voting or disposition of the shares of capital stock of the Corporation and each person who has a pecuniary interest in such shares in lieu of the stockholder.</w:t>
      </w:r>
    </w:p>
    <w:p>
      <w:pPr>
        <w:spacing w:after="0" w:line="68"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in these Bylaws to the contrary, subject to the Articles of Incorporation and applicable law, no business shall be conducted at any meeting except in accordance with the procedures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except that nothing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effect any rights, if any, of stockholders to request inclusion of proposals in the Corporation’s proxy statement pursuant to applicable provisions of federal law, including the Exchange Act. The chair of the meeting shall, if the facts warrant, determine and declare to the meeting that a proposal was not properly brought before the meeting in accordance with the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if he or she should so determine, the chair shall so declare to the meeting and any such proposal not properly brought before the meeting shall not be transacted, discussed or voted on. Notwithstanding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a stockholder must also comply with all applicable requirements of the Exchange Act and the rules and regulations thereunder.</w:t>
      </w:r>
    </w:p>
    <w:p>
      <w:pPr>
        <w:spacing w:after="0" w:line="77"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Rule 14a-19(b)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the other provisions and requirements of this Article II, unless otherwise required by law,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 provides notice pursuant to Rule 14a-19(b) under the Exchange Act and (b) subsequently fails to comply with the requirements of Rule 14a-19(a)(2) and Rule 14a-19(a)(3) under the Exchange Act, then the Corporation shall disregard any proxies or votes solicited for such stockholder’s nominees. Upon request by the Corporation, if any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Number and Tenure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 be managed by the Board of Directors, the number thereof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from time to time by resolution of the Board but at all times shall consist of at least one (1) individual. Each director shall serve for a term of one year from the date of their election and until their successor is elected and qualified or until his or her earlier death, retirement, disqualification, resignation or removal. Directors need not be stockholders. No reduction of the number of directors shall have the effect of removing any director prior to the expiration of his or her term of office. No provision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restrict the right of the Board of Directors to fill vacancies or the right of the stockholders to remove directors, each as provided in these Bylaws.</w:t>
      </w:r>
    </w:p>
    <w:p>
      <w:pPr>
        <w:spacing w:after="0" w:line="74"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Resignation or 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may at any time resign by delivering to the Board their resignation in writing. Any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Board may at any time be removed effective immediately, with or without cause, by the vote, either in person or represented by proxy, of not less than two-thirds (2/3s) of the voting power of the shares of stock issued and outstanding of the class or classes that elected such director and entitled to vote at a special meeting held for such purpose or by the written consent in lieu thereof.</w:t>
      </w:r>
    </w:p>
    <w:p>
      <w:pPr>
        <w:spacing w:after="0" w:line="68"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and newly created directorships resulting from any increase in the authorized number of directors may be filled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vote of a majority of the remaining directors elected by the stockholders who vote on such directorship, though less than a quorum,. The directors so chosen shall hold office until the next annual election and until their respective successors are duly elected, or until their earlier resignation or removal.</w:t>
      </w:r>
    </w:p>
    <w:p>
      <w:pPr>
        <w:spacing w:after="0" w:line="63"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shall be held at such dates, times, and places as may be designated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 of the Board, and shall be held at least once each year.</w:t>
      </w:r>
    </w:p>
    <w:p>
      <w:pPr>
        <w:spacing w:after="0" w:line="47"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for any purpose or purposes may be called at any time by the Chair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CEO, the President or current directors representing at least a majority of the members of the Board of Directors.</w:t>
      </w:r>
    </w:p>
    <w:p>
      <w:pPr>
        <w:spacing w:after="0" w:line="47"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regular meeting or a special meeting shall be given to each director, either orally, by facsimile or other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communication or by hand delivery, addressed to each director at their address as it appears on the records of the Corporation. If notice be by facsimile or other means of electronic communication, such notice shall be deemed to be adequately delivered when the notice is transmitted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twenty-four (24) hours before such meeting. If by telephone or by hand delivery, the notice shall be given at least twenty-four (24) hours prior to the time set for the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Article VIII of these Bylaws. If the address of any director is incomplete or does not appear upon the records of the Corporation it will be sufficient to address any notice to such director at the registered office of the Corporation.</w:t>
      </w:r>
    </w:p>
    <w:p>
      <w:pPr>
        <w:spacing w:after="0" w:line="71"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of Directors, a majority of the total number of directors shall constitute a quorum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business and, unless otherwise provided in the Articles of Incorporation or these Bylaws, the affirmative vote of a majority of the directors present at any meeting at which there is a quorum shall be an act of the Board. If a quorum is not present at any meeting of the Board, the directors present may adjourn the meeting from time to time, without notice, until a quorum shall be present. A director present at a meeting shall be counted in determining the presence of a quorum, regardless of whether a contract or transaction between the Corporation and any other corporation, partnership, association, or other organization in which such director is a director or officer or has a financial interest, is authorized or considered at such meeting.</w:t>
      </w:r>
    </w:p>
    <w:p>
      <w:pPr>
        <w:spacing w:after="0" w:line="74"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Action Without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taken without a meeting if all members of the Board or such committee, as the case may be, consent thereto in writing or by electronic communication and such written consent or consents and copies of such communication or communications are filed with the minutes of proceedings of the Board or committee.</w:t>
      </w:r>
    </w:p>
    <w:p>
      <w:pPr>
        <w:spacing w:after="0" w:line="68"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Action by Remote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thereof may participate in a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 by means of a conference telephone, electronic communications, videoconferencing or other remote communications equipment or available technology permitted under the NRS by means of which all persons participating in the meeting can hear each other, and such participation in a meeting shall constitute presence in person at such meeting.</w:t>
      </w:r>
    </w:p>
    <w:p>
      <w:pPr>
        <w:spacing w:after="0" w:line="68"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designate committees of the Board to serve at the pleasure of the Board and shall,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their place, the member or members of the committee present at the meeting and not disqualified from voting, whether or not he or they constitute a quorum, may by unanimous vote appoint another member of the Board to act at the meeting in the place of the absent or disqualified member.</w:t>
      </w:r>
    </w:p>
    <w:p>
      <w:pPr>
        <w:spacing w:after="0" w:line="74" w:lineRule="exact"/>
        <w:rPr>
          <w:sz w:val="20"/>
          <w:szCs w:val="20"/>
          <w:color w:val="auto"/>
        </w:rPr>
      </w:pPr>
    </w:p>
    <w:p>
      <w:pPr>
        <w:jc w:val="both"/>
        <w:ind w:right="20"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may be paid their expenses, if any, of attendance at each meeting of the Board and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a fixed sum for attendance at each meeting of the Board or a stated salary as director. No such payment shall preclude any director from serving the Corporation in any other capacity and receiving compensation therefor. Members of committees may be allowed like compensation for attending committee meetings.</w:t>
      </w:r>
    </w:p>
    <w:p>
      <w:pPr>
        <w:spacing w:after="0" w:line="68"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of Directors shall be presided over by the Chair of the Board, or in the absence of the Chair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by the vice chair, if any, or in his or her absence by a chair chosen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Number and Salaries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chosen by the Board and shall include a Chair of the Board, a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Chief Financial Officer, a Secretary and Treasurer or the equivalents of such officers. The Board, in its discretion, may also appoint such additional officers as the Board may deem necessary or desirable, including a Treasurer, one (1) or more Vice Presidents, one (1) or more Assistant Vice Presidents, one (1) or more Assistant Secretaries, and one (1) or more Assistant Treasurers, each of whom shall hold office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have such authority and perform such duties as the Board may from time to time determine. Any individual may hold two or more offices.</w:t>
      </w:r>
    </w:p>
    <w:p>
      <w:pPr>
        <w:spacing w:after="0" w:line="113"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Election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elected by the Board at the first meeting of the Board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annual meeting and shall serve for a term of one (1) year and until a successor is elected by the Board. Unless otherwise provided in the Articles of Incorporation or these Bylaws, any officer appointed by the Board may be removed, with or without cause, at any time by the Board. Each officer shall hold their office until their successor is appointed or until their earlier resignation, removal from office, or death. All officers elected by the Board shall each have such powers and duties as generally pertain to their respective offices, subject to the specific provisions of this Article IV. Such officers shall also have such powers and duties as from time to time may be conferred by the Board or by any committee thereof. The Board or any committee thereof may from time to time elect such other officers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as the case may be.</w:t>
      </w:r>
    </w:p>
    <w:p>
      <w:pPr>
        <w:spacing w:after="0" w:line="80"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The Chair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Articles of Incorporation, the Chair shall be elected by the Board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its members and shall preside at all meetings of the stockholders and of the Board. The Chair shall perform such duties and possess such powers as are customarily vested in the office of the Chair of the Board or as may be vested in him or her by the Board. The Chair shall be empowered to sign all certificates, contracts and other instruments of the Corporation, and to do all acts that are authorized by the Board, and shall, in general, have such other duties and responsibilities as are assigned consistent with the authority of a Chair of the Board of a corporation. In addition, the Board may designate by resolution one or more Vice Chairmen of the Board with such duties as may from time to time be requested by the Board.</w:t>
      </w:r>
    </w:p>
    <w:p>
      <w:pPr>
        <w:spacing w:after="0" w:line="74"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(the “CEO”) shall be responsible for the general management of the affairs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and shall perform all duties incidental to his or her office. The CEO shall be empowered to sign all certificates, contracts and other instruments of the Corporation, and to do all acts that are authorized by the Board, and shall, in general, have such other duties and responsibilities as are assigned consistent with the authority of a chief executive officer of a corporation.</w:t>
      </w:r>
    </w:p>
    <w:p>
      <w:pPr>
        <w:spacing w:after="0" w:line="68"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elect a President to have such duties and responsibilities as from time to time may be assigned to him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by the Board. The President shall be empowered to sign all certificates, contracts and other instruments of the Corporation, and to do all acts which are authorized by the Board, and shall, in general, have such other duties and responsibilities as are assigned consistent with the authority of a president of a corporation.</w:t>
      </w:r>
    </w:p>
    <w:p>
      <w:pPr>
        <w:spacing w:after="0" w:line="68"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shall act in an executive financial capacity. The Chief Financial Officer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 the CEO and the President in the general supervision of the Corporation’s financial policies and affairs. The Chief Financial Officer shall be empowered to sign all certificates, contracts and other instruments of the Corporation, and to do all acts which are authorized by the Board, and shall, in general, have such other duties and responsibilities as are assigned consistent with the authority of a chief financial officer of a corporation.</w:t>
      </w:r>
    </w:p>
    <w:p>
      <w:pPr>
        <w:spacing w:after="0" w:line="68"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Vice 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name one or more Vice Presidents that may include the designation of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Presidents and Senior Vice Presidents all of whom shall perform such duties as from time to time may be assigned to him or her by the Board.</w:t>
      </w:r>
    </w:p>
    <w:p>
      <w:pPr>
        <w:spacing w:after="0" w:line="47"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keep the minutes of the proceedings of the stockholders and the Board; the Secretary shall give,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to be given, all notices in accordance with the provisions of these Bylaws or as required by law, shall be custodian of the corporate records and of the seal (if any) of the Corporation, and, in general, shall perform such other duties as may from time to time be assigned by the Board.</w:t>
      </w:r>
    </w:p>
    <w:p>
      <w:pPr>
        <w:spacing w:after="0" w:line="63"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have the custody of the corporate funds and securities, shall keep, or cause to be kept, correct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books and records of account, including full and accurate accounts of receipts and disbursements in books belonging to the Corporation, shall deposit all monies and other valuable effects in the name and to the credit of the Corporation in such depositories as may be designated by the Board, and in general shall perform all duties incident to the office of treasurer and such other duties as from time to time may be assigned to him or her by the Board. If a Treasurer of the Corporation has not been appointed, the Chief Financial Officer shall have all of the duties of the Treasurer unless otherwise delegated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OF STOCK</w:t>
      </w:r>
    </w:p>
    <w:p>
      <w:pPr>
        <w:spacing w:after="0" w:line="225"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Signature by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holder of stock in the Corporation shall be entitled to have a certificate signed by or in the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by the Chair, CEO or President, if any (or any Vice President), and by the Chief Financial Officer, Treasurer or the Secretary of the Corporation, certifying the number of shares owned by the stockholder in the Corporation, provided that the Board may provide by resolution or resolutions that some or all of any or all classes or series of stock shall be uncertificated shares. Any such resolution shall not apply to shares represented by a certificate until such certificate is surrendered to the Corporation.</w:t>
      </w:r>
    </w:p>
    <w:p>
      <w:pPr>
        <w:spacing w:after="0" w:line="71"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signature of the Chair, CEO, President, Vice President, Chief Financial Officer, Treasurer or Secretary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74"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Lost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direct that new certificate(s) be issued by the Corporation to replace any certificate(s) alleged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lost or destroyed, upon its receipt of an affidavit of that fact by the person claiming the certificate(s) of stock to be lost or destroyed. When authorizing such issue of new certificate(s), the Board may, in its discretion and as a condition precedent to the issuance thereof, require the owner of such lost or destroyed certificate(s), or such owner’s legal representative, to advertise the same in such manner as it shall require and/or to give the Corporation a bond in such sum as it may direct as indemnity against any claim that may be made against the Corporation with respect to the certificate(s) alleged to have been lost or destroyed.</w:t>
      </w:r>
    </w:p>
    <w:p>
      <w:pPr>
        <w:spacing w:after="0" w:line="74"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surrender to the Corporation or its transfer agent of a certificate for shares duly endorsed or accompanied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 evidence of succession, assignment or authority to transfer, the Corporation shall issue a new certificate to the person entitled thereto, cancel the old certificate and record the transaction upon its books.</w:t>
      </w:r>
    </w:p>
    <w:p>
      <w:pPr>
        <w:spacing w:after="0" w:line="6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Closing of Transfer Books or Fixing of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w:t>
      </w:r>
    </w:p>
    <w:p>
      <w:pPr>
        <w:spacing w:after="0" w:line="7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or to any postponement of the meeting to a date not more than sixty (60) days after the record date; provided, however, that the Board may fix a new record date for determination of stockholders entitled to notice of or to vote at the adjourned meeting and must fix a new record date if the meeting is adjourned to a date more than sixty (60) days later than the date set forth for the original meeting.</w:t>
      </w:r>
    </w:p>
    <w:p>
      <w:pPr>
        <w:spacing w:after="0" w:line="7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stockholder action by written consent is permitted under the Articles of Incorporation and these Bylaws, the Board of Directors may adopt a resolution prescribing a date upon which the stockholders of record entitled to give written consent must be determined. The date set by the Board of Directors must not precede or be more than ten (10) days after the date the resolution setting such date is adopted by the Board of Directors. If the Board of Directors does not adopt a resolution setting a date upon which the stockholders of record entitled to give written consent must be determined, and:</w:t>
      </w:r>
    </w:p>
    <w:p>
      <w:pPr>
        <w:spacing w:after="0" w:line="288" w:lineRule="exact"/>
        <w:rPr>
          <w:sz w:val="20"/>
          <w:szCs w:val="20"/>
          <w:color w:val="auto"/>
        </w:rPr>
      </w:pPr>
    </w:p>
    <w:p>
      <w:pPr>
        <w:ind w:left="20" w:right="40" w:firstLine="564"/>
        <w:spacing w:after="0" w:line="282" w:lineRule="auto"/>
        <w:tabs>
          <w:tab w:leader="none" w:pos="9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action by the Board of Directors is required by the NRS, then the date shall be the first date on which a valid written consent is delivered to the Corporation in accordance with the NRS, the Articles of Incorporation and these Bylaws;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left="20" w:right="20" w:firstLine="564"/>
        <w:spacing w:after="0" w:line="282" w:lineRule="auto"/>
        <w:tabs>
          <w:tab w:leader="none" w:pos="9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action by the Board of Directors is required by the NRS, then the date shall be the close of business on the date that the Board of Directors adopts the resolution.</w:t>
      </w:r>
    </w:p>
    <w:p>
      <w:pPr>
        <w:spacing w:after="0" w:line="54"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71" w:lineRule="exact"/>
        <w:rPr>
          <w:sz w:val="20"/>
          <w:szCs w:val="20"/>
          <w:color w:val="auto"/>
        </w:rPr>
      </w:pPr>
    </w:p>
    <w:p>
      <w:pPr>
        <w:jc w:val="both"/>
        <w:ind w:firstLine="57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distributions and to vote as such owner. Except as otherwise provided by law, the Corporation shall not be bound to recognize any equitable or other claim to or interest in such shares on the part of any other person whether or not it shall have express or other notice thereof.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LOANS, CHECKS, AND DEPOSITS</w:t>
      </w:r>
    </w:p>
    <w:p>
      <w:pPr>
        <w:spacing w:after="0" w:line="225" w:lineRule="exact"/>
        <w:rPr>
          <w:sz w:val="20"/>
          <w:szCs w:val="20"/>
          <w:color w:val="auto"/>
        </w:rPr>
      </w:pPr>
    </w:p>
    <w:p>
      <w:pPr>
        <w:jc w:val="both"/>
        <w:ind w:firstLine="57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the execution of any contract or other instrument has been authorized by the Board without specification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officers, the Chair, the CEO, the President, any Vice President, the Chief Financial Officer, the Treasurer and the Secretary, may execute the same in the name of and on behalf of the Corporation and may affix the corporate seal thereto. Specification of the executing officers may be general or confined to specific instances as the Board may determine.</w:t>
      </w:r>
    </w:p>
    <w:p>
      <w:pPr>
        <w:spacing w:after="0" w:line="68"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Checks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checks or demands for money and notes of the Corporation shall be signed by such officer or officers or such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persons as the Board may from time to time designate.</w:t>
      </w:r>
    </w:p>
    <w:p>
      <w:pPr>
        <w:spacing w:after="0" w:line="47"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accounts of the Corporation shall be opened, and deposits made thereto, by such officers or other persons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from time to time designate.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fiscal year of the Corporation shall be established by the Board.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2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by law, the Articles of Incorporation or these Bylaws, a written waiver thereof, signed by the person or persons entitled to such notice, or a waiver by electronic communications by such person or persons whether before or after the time stated therein, shall be deemed equivalent to the giving of such notice. Neither the business to be conducted at, nor the purpose of such meeting, need be specified in such waiver. Attendance of a person at a meeting shall constitute a waiver of notice of such meeting, except where a person attends a meeting for the express purpose of objecting at the beginning of the meeting, to the transaction of any business because the meeting is not lawfully called or convened.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Board of Directors may, by resolution, authorize a corporate seal which shall have inscribed thereon the name of the Corporation, the year of its organization, and the words “Corporate Seal, Nevada”. The seal may be used by causing it or a facsimile thereof to be impressed or affixed or otherwise reproduced.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REPEAL</w:t>
      </w:r>
    </w:p>
    <w:p>
      <w:pPr>
        <w:spacing w:after="0" w:line="22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Except as expressly provided otherwise by the laws of the State of Nevada, the Articles of Incorporation, or other provisions of these Bylaws, these Bylaws may be altered, amended, or repealed and new Bylaws adopted at any regular or special meeting of the Board of Directors by an affirmative vote of a majority of all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REPEAL</w:t>
      </w:r>
    </w:p>
    <w:p>
      <w:pPr>
        <w:spacing w:after="0" w:line="225"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b w:val="1"/>
          <w:bCs w:val="1"/>
          <w:color w:val="auto"/>
        </w:rPr>
        <w:t>Section 1. Deemed Notice and Consent</w:t>
      </w:r>
      <w:r>
        <w:rPr>
          <w:rFonts w:ascii="Times New Roman" w:cs="Times New Roman" w:eastAsia="Times New Roman" w:hAnsi="Times New Roman"/>
          <w:sz w:val="18"/>
          <w:szCs w:val="18"/>
          <w:color w:val="auto"/>
        </w:rPr>
        <w:t>. To the fullest extent permitted by law, each and every natural person, corporation, general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limited liability company, 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these Bylaws (including this Article XII), (b) the Articles of Incorporation and (c) any amendment to these Bylaws or the Articles of Incorporation enacted or adopted in accordance with these Bylaws, the Articles of Incorporation and applicable law</w:t>
      </w:r>
    </w:p>
    <w:p>
      <w:pPr>
        <w:spacing w:after="0" w:line="74"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b w:val="1"/>
          <w:bCs w:val="1"/>
          <w:color w:val="auto"/>
        </w:rPr>
        <w:t>Section 2. Severability</w:t>
      </w:r>
      <w:r>
        <w:rPr>
          <w:rFonts w:ascii="Times New Roman" w:cs="Times New Roman" w:eastAsia="Times New Roman" w:hAnsi="Times New Roman"/>
          <w:sz w:val="18"/>
          <w:szCs w:val="18"/>
          <w:color w:val="auto"/>
        </w:rPr>
        <w:t>. If any provision or provisions of these Bylaws shall be held to be invalid, illegal or unenforceable as applied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entity or circumstance for any reason whatsoever, then, to the fullest extent permitted by law, the validity, legality and enforceability of such provision or provisions in any other circumstance and of the remaining provisions of these Bylaws (including, without limitation, each portion of any paragraph of these Bylaws containing any such provision held to be invalid, illegal or unenforceable that is not itself held to be invalid, illegal or unenforceable) and the application of such provision or provisions to other persons, entities and circumstances shall not in any way be affected or impaired thereby.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20" w:hanging="393"/>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w:t>
      </w:r>
    </w:p>
    <w:p>
      <w:pPr>
        <w:spacing w:after="0" w:line="225" w:lineRule="exact"/>
        <w:rPr>
          <w:rFonts w:ascii="Times New Roman" w:cs="Times New Roman" w:eastAsia="Times New Roman" w:hAnsi="Times New Roman"/>
          <w:sz w:val="18"/>
          <w:szCs w:val="18"/>
          <w:color w:val="auto"/>
        </w:rPr>
      </w:pPr>
    </w:p>
    <w:p>
      <w:pPr>
        <w:jc w:val="both"/>
        <w:ind w:left="20" w:firstLine="737"/>
        <w:spacing w:after="0" w:line="253" w:lineRule="auto"/>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ind w:left="12"/>
        <w:spacing w:after="0" w:line="256" w:lineRule="auto"/>
        <w:rPr>
          <w:sz w:val="20"/>
          <w:szCs w:val="20"/>
          <w:color w:val="auto"/>
        </w:rPr>
      </w:pPr>
      <w:r>
        <w:rPr>
          <w:rFonts w:ascii="Times New Roman" w:cs="Times New Roman" w:eastAsia="Times New Roman" w:hAnsi="Times New Roman"/>
          <w:sz w:val="18"/>
          <w:szCs w:val="18"/>
          <w:color w:val="auto"/>
        </w:rPr>
        <w:t>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187" w:lineRule="exact"/>
        <w:rPr>
          <w:sz w:val="20"/>
          <w:szCs w:val="20"/>
          <w:color w:val="auto"/>
        </w:rPr>
      </w:pPr>
    </w:p>
    <w:p>
      <w:pPr>
        <w:jc w:val="both"/>
        <w:ind w:left="12" w:firstLine="738"/>
        <w:spacing w:after="0" w:line="261" w:lineRule="auto"/>
        <w:tabs>
          <w:tab w:leader="none" w:pos="11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a director, officer, agent or employee of the Corporation or member, manager or managing member of a predecessor limited liability company or affiliate of such limited liability 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79" w:lineRule="exact"/>
        <w:rPr>
          <w:rFonts w:ascii="Times New Roman" w:cs="Times New Roman" w:eastAsia="Times New Roman" w:hAnsi="Times New Roman"/>
          <w:sz w:val="18"/>
          <w:szCs w:val="18"/>
          <w:color w:val="auto"/>
        </w:rPr>
      </w:pPr>
    </w:p>
    <w:p>
      <w:pPr>
        <w:jc w:val="both"/>
        <w:ind w:left="12" w:firstLine="738"/>
        <w:spacing w:after="0" w:line="256" w:lineRule="auto"/>
        <w:tabs>
          <w:tab w:leader="none" w:pos="11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4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paragraph (B),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by a majority vote of the Disinterested Directors (as hereinafter defined), even though less than a quorum, or (ii) by a committee of Disinterested Directors designated by majority vote of the Disinterested Directors, even though less than a quorum, or (iii) if there are no Disinterested Directors or the Disinterested Directors so direct, by Independent Counsel in a written opinion to the Board, a copy of which shall be delivered to the claimant, or (iv) if a quorum of Disinterested Directors so directs, by the stockholders of the Corporation. If it is so determined that the claimant is entitled to indemnification, payment to the claimant shall be made within 10 days after such determination.</w:t>
      </w:r>
    </w:p>
    <w:p>
      <w:pPr>
        <w:spacing w:after="0" w:line="86"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paragraph (A) of this Bylaw is not paid in full by the Corporation within 30 days after a written claim pursuant to paragraph (B) of this Bylaw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laws of the State of Nevada for the Corporation to indemnify the claimant for the amount claimed, but the burden of proving such defense shall be on the Corporation. Neither the failure of the Corporation (including the Disinterested Directors, Independent Counsel or stockholders) to have made a determination prior to the commencement of such action that indemnification of the claimant is proper in the circumstances because he has met the applicable standard of conduct set forth in the laws of the State of Nevada, nor an actual determination by the Corporation (including the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1080770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57" w:name="page58"/>
    <w:bookmarkEnd w:id="57"/>
    <w:p>
      <w:pPr>
        <w:ind w:left="-8" w:firstLine="8"/>
        <w:spacing w:after="0" w:line="282" w:lineRule="auto"/>
        <w:tabs>
          <w:tab w:leader="none" w:pos="3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paragraph (B) of this Bylaw that the claimant is entitled to indemnification, the Corporation shall be bound by such determination in any judicial proceeding commenced pursuant to paragraph (C) of this Bylaw.</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precluded from asserting in any judicial proceeding commenced pursuant to paragraph (C) of this Bylaw that the procedures and presumptions of this Bylaw are not valid, binding and enforceable and shall stipulate in such proceeding that the Corporation is bound by all the provisions of this Bylaw.</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indemnification and the payment of expenses incurred in defending a proceeding in advance of its final disposition conferred in this Bylaw shall not be exclusive of any other right which any person may have or hereafter acquire under any statute, provision of the Articles of Incorporation, Bylaws, agreement, vote of stockholders or Disinterested Directors or otherwise. No repeal or modification of this Bylaw shall in any way diminish or adversely affect the rights of any director, officer, employee or agent of the Corporation hereunder in respect of any occurrence or matter arising prior to any such repeal or modification.</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4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to the extent authorized from time to time by the Board of Directors, grant rights to indemnification, and rights to be paid by the Corporation the expenses incurred in defending any proceeding in advance of its final disposition, to any employee or agent of the Corporation to the fullest extent of the provisions of this Bylaw with respect to the indemnification and advancement of expenses of directors and officers of the Corporation.</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18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w:t>
      </w:r>
    </w:p>
    <w:p>
      <w:pPr>
        <w:spacing w:after="0" w:line="27" w:lineRule="exact"/>
        <w:rPr>
          <w:rFonts w:ascii="Times New Roman" w:cs="Times New Roman" w:eastAsia="Times New Roman" w:hAnsi="Times New Roman"/>
          <w:sz w:val="18"/>
          <w:szCs w:val="18"/>
          <w:color w:val="auto"/>
        </w:rPr>
      </w:pPr>
    </w:p>
    <w:p>
      <w:pPr>
        <w:ind w:left="12" w:right="60" w:firstLine="737"/>
        <w:spacing w:after="0" w:line="260" w:lineRule="auto"/>
        <w:tabs>
          <w:tab w:leader="none" w:pos="111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a director of the Corporation who is not and was not a party to the matter in respect of which indemnification is sought by the claimant.</w:t>
      </w:r>
    </w:p>
    <w:p>
      <w:pPr>
        <w:spacing w:after="0" w:line="181" w:lineRule="exact"/>
        <w:rPr>
          <w:rFonts w:ascii="Times New Roman" w:cs="Times New Roman" w:eastAsia="Times New Roman" w:hAnsi="Times New Roman"/>
          <w:sz w:val="18"/>
          <w:szCs w:val="18"/>
          <w:color w:val="auto"/>
        </w:rPr>
      </w:pPr>
    </w:p>
    <w:p>
      <w:pPr>
        <w:jc w:val="both"/>
        <w:ind w:left="12" w:firstLine="738"/>
        <w:spacing w:after="0" w:line="261" w:lineRule="auto"/>
        <w:tabs>
          <w:tab w:leader="none" w:pos="11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means each director, officer, agent or employee of the Corporation who was or is a party to, or is threatened to be made a party to, or is otherwise involved in, any Proceeding (as defined below), by reason of the fact that he or she is or was a director, officer, agent or employee of the Corporation or is or was serving at the request of the Corporation as a director, officer, manager, agent or employee of, or in any other capacity for, another corporation, partnership, joint venture, limited liability company, trust, or other enterprise.</w:t>
      </w:r>
    </w:p>
    <w:p>
      <w:pPr>
        <w:spacing w:after="0" w:line="179" w:lineRule="exact"/>
        <w:rPr>
          <w:rFonts w:ascii="Times New Roman" w:cs="Times New Roman" w:eastAsia="Times New Roman" w:hAnsi="Times New Roman"/>
          <w:sz w:val="18"/>
          <w:szCs w:val="18"/>
          <w:color w:val="auto"/>
        </w:rPr>
      </w:pPr>
    </w:p>
    <w:p>
      <w:pPr>
        <w:jc w:val="both"/>
        <w:ind w:left="12" w:firstLine="738"/>
        <w:spacing w:after="0" w:line="266" w:lineRule="auto"/>
        <w:tabs>
          <w:tab w:leader="none" w:pos="11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Counsel” means a law firm, a member of a law firm, or an independent practitioner, selected by the Disinterested Directors,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75" w:lineRule="exact"/>
        <w:rPr>
          <w:rFonts w:ascii="Times New Roman" w:cs="Times New Roman" w:eastAsia="Times New Roman" w:hAnsi="Times New Roman"/>
          <w:sz w:val="18"/>
          <w:szCs w:val="18"/>
          <w:color w:val="auto"/>
        </w:rPr>
      </w:pPr>
    </w:p>
    <w:p>
      <w:pPr>
        <w:ind w:left="32" w:right="40" w:firstLine="717"/>
        <w:spacing w:after="0" w:line="282" w:lineRule="auto"/>
        <w:tabs>
          <w:tab w:leader="none" w:pos="111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or proceeding (including, without limitation, an action, suit or proceeding by or in the right of the Corporation), whether civil, criminal, administrative, or investigative.</w:t>
      </w:r>
    </w:p>
    <w:p>
      <w:pPr>
        <w:spacing w:after="0" w:line="189" w:lineRule="exact"/>
        <w:rPr>
          <w:sz w:val="20"/>
          <w:szCs w:val="20"/>
          <w:color w:val="auto"/>
        </w:rPr>
      </w:pPr>
    </w:p>
    <w:p>
      <w:pPr>
        <w:jc w:val="both"/>
        <w:ind w:left="12" w:firstLine="4"/>
        <w:spacing w:after="0" w:line="266" w:lineRule="auto"/>
        <w:tabs>
          <w:tab w:leader="none" w:pos="3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request or other communication required or permitted to be given to the Corporation under this Bylaw shall be in writing and either delivered in person or sent by electronic mail, overnight mail or courier service, or certified or registered mail, postage prepaid, return receipt requested, to the Secretary of the Corporation and shall be effective only upon receipt by the Secretary.</w:t>
      </w:r>
    </w:p>
    <w:p>
      <w:pPr>
        <w:spacing w:after="0" w:line="172" w:lineRule="exact"/>
        <w:rPr>
          <w:sz w:val="20"/>
          <w:szCs w:val="20"/>
          <w:color w:val="auto"/>
        </w:rPr>
      </w:pPr>
    </w:p>
    <w:p>
      <w:pPr>
        <w:ind w:left="1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purchase and maintain insurance or make other financial arrangements on behalf of any Indemnitee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asserted against him or her and liability and expenses incurred by him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854075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58" w:name="page59"/>
    <w:bookmarkEnd w:id="58"/>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her in his or her capacity as a director, officer or employee, or arising out of his or her status as such, whether or not the Corporation has the authority to indemnify him or her against such liability and expenses.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indemnification shall constitute a contract between the Corporation and each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and officers which may be modified as to any director or officer only with that person’s consent or as specifically provided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Notwithstanding any other provision of these Bylaws relating to their amendment generally, any repeal or amendment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 repeal or amendment of these Bylaws shall affect any or all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so as to limit or reduce the indemnification in any manner unless adopted by (i) the unanimous vote of the directors of the Corporation then serving, or (ii) by the stockholders as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provided that no such amendment shall have a retroactive effect inconsistent with the preceding sentence.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CHANGES IN NEVADA LAW</w:t>
      </w:r>
    </w:p>
    <w:p>
      <w:pPr>
        <w:spacing w:after="0" w:line="207"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2025, as filed with the Securities and Exchange Commission on the date hereof (the “Report”), I, Matt Goldberg, Chief Executive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2025, as filed with the Securities and Exchange Commission on the date hereof (the “Report”), I, Michael Noonan, Chief Financial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lowerLetter"/>
      <w:start w:val="6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lowerRoman"/>
      <w:start w:val="2"/>
    </w:lvl>
  </w:abstractNum>
  <w:abstractNum w:abstractNumId="30">
    <w:nsid w:val="5577F8E1"/>
    <w:multiLevelType w:val="hybridMultilevel"/>
    <w:lvl w:ilvl="0">
      <w:lvlJc w:val="left"/>
      <w:lvlText w:val="(%1)"/>
      <w:numFmt w:val="upperLetter"/>
      <w:start w:val="1"/>
    </w:lvl>
    <w:lvl w:ilvl="1">
      <w:lvlJc w:val="left"/>
      <w:lvlText w:val="(%2)"/>
      <w:numFmt w:val="lowerRoman"/>
      <w:start w:val="1"/>
    </w:lvl>
  </w:abstractNum>
  <w:abstractNum w:abstractNumId="31">
    <w:nsid w:val="440BADFC"/>
    <w:multiLevelType w:val="hybridMultilevel"/>
    <w:lvl w:ilvl="0">
      <w:lvlJc w:val="left"/>
      <w:lvlText w:val="%1"/>
      <w:numFmt w:val="upperLetter"/>
      <w:start w:val="1"/>
    </w:lvl>
    <w:lvl w:ilvl="1">
      <w:lvlJc w:val="left"/>
      <w:lvlText w:val="(%2)"/>
      <w:numFmt w:val="lowerRoman"/>
      <w:start w:val="2"/>
    </w:lvl>
  </w:abstractNum>
  <w:abstractNum w:abstractNumId="32">
    <w:nsid w:val="5072367"/>
    <w:multiLevelType w:val="hybridMultilevel"/>
    <w:lvl w:ilvl="0">
      <w:lvlJc w:val="left"/>
      <w:lvlText w:val="(%1)"/>
      <w:numFmt w:val="upperLetter"/>
      <w:start w:val="2"/>
    </w:lvl>
    <w:lvl w:ilvl="1">
      <w:lvlJc w:val="left"/>
      <w:lvlText w:val="%2"/>
      <w:numFmt w:val="lowerRoman"/>
      <w:start w:val="1"/>
    </w:lvl>
  </w:abstractNum>
  <w:abstractNum w:abstractNumId="33">
    <w:nsid w:val="3804823E"/>
    <w:multiLevelType w:val="hybridMultilevel"/>
    <w:lvl w:ilvl="0">
      <w:lvlJc w:val="left"/>
      <w:lvlText w:val="(%1)"/>
      <w:numFmt w:val="upperLetter"/>
      <w:start w:val="4"/>
    </w:lvl>
    <w:lvl w:ilvl="1">
      <w:lvlJc w:val="left"/>
      <w:lvlText w:val="(%2)"/>
      <w:numFmt w:val="lowerRoman"/>
      <w:start w:val="1"/>
    </w:lvl>
  </w:abstractNum>
  <w:abstractNum w:abstractNumId="34">
    <w:nsid w:val="77465F01"/>
    <w:multiLevelType w:val="hybridMultilevel"/>
    <w:lvl w:ilvl="0">
      <w:lvlJc w:val="left"/>
      <w:lvlText w:val="(%1)"/>
      <w:numFmt w:val="upperLetter"/>
      <w:start w:val="10"/>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53" Type="http://schemas.openxmlformats.org/officeDocument/2006/relationships/hyperlink" Target="https://www.sec.gov/Archives/edgar/data/1526520/000119312525059381/d901984dex991.htm" TargetMode="External"/><Relationship Id="rId254" Type="http://schemas.openxmlformats.org/officeDocument/2006/relationships/hyperlink" Target="https://www.sec.gov/Archives/edgar/data/1526520/000119312525060271/d90446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2025-05-07T06:19:00Z</dcterms:created>
  <dcterms:modified xsi:type="dcterms:W3CDTF">2025-05-07T06:19:00Z</dcterms:modified>
</cp:coreProperties>
</file>