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20" w:right="420" w:hanging="512"/>
        <w:spacing w:after="0" w:line="256"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60" w:space="720"/>
            <w:col w:w="2560"/>
          </w:cols>
          <w:pgMar w:left="240" w:top="341" w:right="21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20" w:space="720"/>
            <w:col w:w="2700"/>
          </w:cols>
          <w:pgMar w:left="240" w:top="341"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p>
      <w:pPr>
        <w:spacing w:after="0" w:line="391" w:lineRule="exact"/>
        <w:rPr>
          <w:sz w:val="24"/>
          <w:szCs w:val="24"/>
          <w:color w:val="auto"/>
        </w:rPr>
      </w:pPr>
    </w:p>
    <w:p>
      <w:pPr>
        <w:ind w:right="3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8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0"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6200" w:type="dxa"/>
            <w:vAlign w:val="bottom"/>
            <w:gridSpan w:val="3"/>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6200" w:type="dxa"/>
            <w:vAlign w:val="bottom"/>
            <w:gridSpan w:val="3"/>
          </w:tcPr>
          <w:p>
            <w:pPr>
              <w:ind w:left="8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4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40" w:type="dxa"/>
            <w:vAlign w:val="bottom"/>
            <w:tcBorders>
              <w:bottom w:val="single" w:sz="8" w:color="auto"/>
            </w:tcBorders>
          </w:tcPr>
          <w:p>
            <w:pPr>
              <w:spacing w:after="0"/>
              <w:rPr>
                <w:sz w:val="22"/>
                <w:szCs w:val="22"/>
                <w:color w:val="auto"/>
              </w:rPr>
            </w:pPr>
          </w:p>
        </w:tc>
        <w:tc>
          <w:tcPr>
            <w:tcW w:w="5080" w:type="dxa"/>
            <w:vAlign w:val="bottom"/>
            <w:tcBorders>
              <w:bottom w:val="single" w:sz="8" w:color="auto"/>
            </w:tcBorders>
          </w:tcPr>
          <w:p>
            <w:pPr>
              <w:jc w:val="center"/>
              <w:ind w:right="1634"/>
              <w:spacing w:after="0"/>
              <w:rPr>
                <w:sz w:val="20"/>
                <w:szCs w:val="20"/>
                <w:color w:val="auto"/>
              </w:rPr>
            </w:pPr>
            <w:r>
              <w:rPr>
                <w:rFonts w:ascii="Arial" w:cs="Arial" w:eastAsia="Arial" w:hAnsi="Arial"/>
                <w:sz w:val="14"/>
                <w:szCs w:val="14"/>
                <w:color w:val="auto"/>
                <w:w w:val="91"/>
              </w:rPr>
              <w:t>Class</w:t>
            </w:r>
          </w:p>
        </w:tc>
        <w:tc>
          <w:tcPr>
            <w:tcW w:w="1120" w:type="dxa"/>
            <w:vAlign w:val="bottom"/>
            <w:gridSpan w:val="2"/>
          </w:tcPr>
          <w:p>
            <w:pPr>
              <w:spacing w:after="0"/>
              <w:rPr>
                <w:sz w:val="22"/>
                <w:szCs w:val="22"/>
                <w:color w:val="auto"/>
              </w:rPr>
            </w:pPr>
          </w:p>
        </w:tc>
        <w:tc>
          <w:tcPr>
            <w:tcW w:w="2820" w:type="dxa"/>
            <w:vAlign w:val="bottom"/>
          </w:tcPr>
          <w:p>
            <w:pPr>
              <w:jc w:val="center"/>
              <w:ind w:right="274"/>
              <w:spacing w:after="0"/>
              <w:rPr>
                <w:sz w:val="20"/>
                <w:szCs w:val="20"/>
                <w:color w:val="auto"/>
              </w:rPr>
            </w:pPr>
            <w:r>
              <w:rPr>
                <w:rFonts w:ascii="Arial" w:cs="Arial" w:eastAsia="Arial" w:hAnsi="Arial"/>
                <w:sz w:val="14"/>
                <w:szCs w:val="14"/>
                <w:color w:val="auto"/>
                <w:w w:val="92"/>
              </w:rPr>
              <w:t>Outstanding Shares at November 2, 2016</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200" w:type="dxa"/>
            <w:vAlign w:val="bottom"/>
            <w:gridSpan w:val="2"/>
            <w:vMerge w:val="restart"/>
          </w:tcPr>
          <w:p>
            <w:pPr>
              <w:jc w:val="center"/>
              <w:ind w:right="1840"/>
              <w:spacing w:after="0"/>
              <w:rPr>
                <w:sz w:val="20"/>
                <w:szCs w:val="20"/>
                <w:color w:val="auto"/>
              </w:rPr>
            </w:pPr>
            <w:r>
              <w:rPr>
                <w:rFonts w:ascii="Arial" w:cs="Arial" w:eastAsia="Arial" w:hAnsi="Arial"/>
                <w:sz w:val="18"/>
                <w:szCs w:val="18"/>
                <w:color w:val="auto"/>
                <w:w w:val="89"/>
              </w:rPr>
              <w:t>Common Stock, $0.001 par value per share</w:t>
            </w:r>
          </w:p>
        </w:tc>
        <w:tc>
          <w:tcPr>
            <w:tcW w:w="10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40" w:type="dxa"/>
            <w:vAlign w:val="bottom"/>
          </w:tcPr>
          <w:p>
            <w:pPr>
              <w:spacing w:after="0"/>
              <w:rPr>
                <w:sz w:val="15"/>
                <w:szCs w:val="15"/>
                <w:color w:val="auto"/>
              </w:rPr>
            </w:pPr>
          </w:p>
        </w:tc>
        <w:tc>
          <w:tcPr>
            <w:tcW w:w="52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820" w:type="dxa"/>
            <w:vAlign w:val="bottom"/>
          </w:tcPr>
          <w:p>
            <w:pPr>
              <w:jc w:val="center"/>
              <w:ind w:right="274"/>
              <w:spacing w:after="0" w:line="182" w:lineRule="exact"/>
              <w:rPr>
                <w:sz w:val="20"/>
                <w:szCs w:val="20"/>
                <w:color w:val="auto"/>
              </w:rPr>
            </w:pPr>
            <w:r>
              <w:rPr>
                <w:rFonts w:ascii="Arial" w:cs="Arial" w:eastAsia="Arial" w:hAnsi="Arial"/>
                <w:sz w:val="18"/>
                <w:szCs w:val="18"/>
                <w:color w:val="auto"/>
                <w:w w:val="86"/>
              </w:rPr>
              <w:t>132,901,210 shares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40" w:type="dxa"/>
            <w:vAlign w:val="bottom"/>
            <w:gridSpan w:val="4"/>
          </w:tcPr>
          <w:p>
            <w:pPr>
              <w:jc w:val="center"/>
              <w:ind w:right="110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ind w:right="274"/>
              <w:spacing w:after="0"/>
              <w:rPr>
                <w:sz w:val="20"/>
                <w:szCs w:val="20"/>
                <w:color w:val="auto"/>
              </w:rPr>
            </w:pPr>
            <w:r>
              <w:rPr>
                <w:rFonts w:ascii="Arial" w:cs="Arial" w:eastAsia="Arial" w:hAnsi="Arial"/>
                <w:sz w:val="18"/>
                <w:szCs w:val="18"/>
                <w:color w:val="auto"/>
                <w:w w:val="87"/>
              </w:rPr>
              <w:t>12,799,999 shares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40" w:type="dxa"/>
            <w:vAlign w:val="bottom"/>
            <w:tcBorders>
              <w:bottom w:val="single" w:sz="8" w:color="auto"/>
            </w:tcBorders>
          </w:tcPr>
          <w:p>
            <w:pPr>
              <w:spacing w:after="0"/>
              <w:rPr>
                <w:sz w:val="9"/>
                <w:szCs w:val="9"/>
                <w:color w:val="auto"/>
              </w:rPr>
            </w:pPr>
          </w:p>
        </w:tc>
        <w:tc>
          <w:tcPr>
            <w:tcW w:w="5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17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8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80" w:type="dxa"/>
            <w:vAlign w:val="bottom"/>
            <w:gridSpan w:val="19"/>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8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and Nine Months Ended September 30, 2016 and 2015</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Comprehensive Income for the Three and Nine Months Ended September 30, 2016 and 2015</w:t>
              </w:r>
            </w:hyperlink>
          </w:p>
        </w:tc>
        <w:tc>
          <w:tcPr>
            <w:tcW w:w="2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September 30, 2016 and December 31, 2015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 of Changes in Stockholders’ Equity for the Nine Months Ended September 30, 2016</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Nine Months Ended September 30, 2016 and 2015</w:t>
              </w:r>
            </w:hyperlink>
          </w:p>
        </w:tc>
        <w:tc>
          <w:tcPr>
            <w:tcW w:w="740" w:type="dxa"/>
            <w:vAlign w:val="bottom"/>
            <w:tcBorders>
              <w:top w:val="single" w:sz="8" w:color="0000EE"/>
            </w:tcBorders>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584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4. Controls and Procedures</w:t>
              </w:r>
            </w:hyperlink>
          </w:p>
        </w:tc>
        <w:tc>
          <w:tcPr>
            <w:tcW w:w="874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Part II—Other Information</w:t>
              </w:r>
            </w:hyperlink>
          </w:p>
        </w:tc>
        <w:tc>
          <w:tcPr>
            <w:tcW w:w="892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9180" w:type="dxa"/>
            <w:vAlign w:val="bottom"/>
            <w:gridSpan w:val="1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Risk Factors</w:t>
              </w:r>
            </w:hyperlink>
          </w:p>
        </w:tc>
        <w:tc>
          <w:tcPr>
            <w:tcW w:w="94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Item 2. Unregistered Sales of Equity Securities and Use of Proceeds</w:t>
              </w:r>
            </w:hyperlink>
          </w:p>
        </w:tc>
        <w:tc>
          <w:tcPr>
            <w:tcW w:w="61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8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3. Defaults Upon Senior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2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5. Other Information</w:t>
              </w:r>
            </w:hyperlink>
          </w:p>
        </w:tc>
        <w:tc>
          <w:tcPr>
            <w:tcW w:w="920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8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6. Exhibits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920" w:type="dxa"/>
            <w:vAlign w:val="bottom"/>
            <w:gridSpan w:val="1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6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Three months ended September 30,</w:t>
            </w:r>
          </w:p>
        </w:tc>
        <w:tc>
          <w:tcPr>
            <w:tcW w:w="300" w:type="dxa"/>
            <w:vAlign w:val="bottom"/>
          </w:tcPr>
          <w:p>
            <w:pPr>
              <w:spacing w:after="0"/>
              <w:rPr>
                <w:sz w:val="14"/>
                <w:szCs w:val="1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 (Note 14)</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63"/>
        </w:trPr>
        <w:tc>
          <w:tcPr>
            <w:tcW w:w="5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5):</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0.81</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5):</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6"/>
              </w:rPr>
              <w:t>Amortization of acquired technology included in amortization of intangible</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assets</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3"/>
                <w:szCs w:val="13"/>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15"/>
        </w:trPr>
        <w:tc>
          <w:tcPr>
            <w:tcW w:w="6260" w:type="dxa"/>
            <w:vAlign w:val="bottom"/>
          </w:tcPr>
          <w:p>
            <w:pPr>
              <w:ind w:left="260"/>
              <w:spacing w:after="0"/>
              <w:rPr>
                <w:sz w:val="20"/>
                <w:szCs w:val="20"/>
                <w:color w:val="auto"/>
              </w:rPr>
            </w:pPr>
            <w:r>
              <w:rPr>
                <w:rFonts w:ascii="Arial" w:cs="Arial" w:eastAsia="Arial" w:hAnsi="Arial"/>
                <w:sz w:val="18"/>
                <w:szCs w:val="18"/>
                <w:color w:val="auto"/>
                <w:w w:val="97"/>
              </w:rPr>
              <w:t>Reclassification adjustment on sale of business included in total other income</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(expense), net (Note 14)</w:t>
            </w:r>
          </w:p>
        </w:tc>
        <w:tc>
          <w:tcPr>
            <w:tcW w:w="42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20"/>
                <w:szCs w:val="20"/>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5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net of allowance for doubtful accounts of $9 and $6, respectively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Long-term marketable securities (Note 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Property and equipment, net of accumulated depreciation of $137 and $88, respectively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$77 and $52, respectively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4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2,277</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0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Current portion of debt (Note 7)</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 (Note 9)</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4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debt (Note 7)</w:t>
            </w:r>
          </w:p>
        </w:tc>
        <w:tc>
          <w:tcPr>
            <w:tcW w:w="1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4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4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Preferred stock, $0.001 par value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100,000,000</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Common stock, $0.001 par value</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Authorized shares: 1,600,000,000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134,565,714 and 133,836,242, respectively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Shares outstanding: 132,822,184 and 132,443,111, respectively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Class B common stock, $0.001 par value</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6"/>
                <w:szCs w:val="16"/>
                <w:color w:val="auto"/>
              </w:rPr>
              <w:t>Authorized shares: 400,000,000</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Retained earnings</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stock-common stock, at cost, 1,743,530 and 1,393,131 shares, respectively</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(113)</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7"/>
        </w:trPr>
        <w:tc>
          <w:tcPr>
            <w:tcW w:w="7040" w:type="dxa"/>
            <w:vAlign w:val="bottom"/>
            <w:gridSpan w:val="2"/>
          </w:tcPr>
          <w:p>
            <w:pPr>
              <w:spacing w:after="0"/>
              <w:rPr>
                <w:sz w:val="20"/>
                <w:szCs w:val="20"/>
                <w:color w:val="auto"/>
              </w:rPr>
            </w:pPr>
            <w:r>
              <w:rPr>
                <w:rFonts w:ascii="Arial" w:cs="Arial" w:eastAsia="Arial" w:hAnsi="Arial"/>
                <w:sz w:val="16"/>
                <w:szCs w:val="16"/>
                <w:color w:val="auto"/>
              </w:rPr>
              <w:t>Total Stockholders’ Equity</w:t>
            </w:r>
          </w:p>
        </w:tc>
        <w:tc>
          <w:tcPr>
            <w:tcW w:w="1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vMerge w:val="continue"/>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Retained</w:t>
            </w: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comprehensive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133,836,242</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826</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(63)</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(1,393,131)</w:t>
            </w:r>
          </w:p>
        </w:tc>
        <w:tc>
          <w:tcPr>
            <w:tcW w:w="3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adjustment from</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adoption of ASU 2016-</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09 (Note 2)</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Other comprehensive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w w:val="93"/>
              </w:rPr>
              <w:t>stock related to exercises</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w w:val="97"/>
              </w:rPr>
              <w:t>of options and vesting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729,472</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9"/>
              </w:rPr>
              <w:t>Repurchase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(350,399)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w w:val="96"/>
              </w:rPr>
              <w:t>Withholding taxes on net</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share settlements of</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Stock-based</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September 30, 2016</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134,565,714</w:t>
            </w:r>
          </w:p>
        </w:tc>
        <w:tc>
          <w:tcPr>
            <w:tcW w:w="54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808</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944</w:t>
            </w:r>
          </w:p>
        </w:tc>
        <w:tc>
          <w:tcPr>
            <w:tcW w:w="140" w:type="dxa"/>
            <w:vAlign w:val="bottom"/>
          </w:tcPr>
          <w:p>
            <w:pPr>
              <w:spacing w:after="0"/>
              <w:rPr>
                <w:sz w:val="20"/>
                <w:szCs w:val="20"/>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(1,743,530)</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(113)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business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Deferred tax (benefit) expense</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 and dispositions: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480"/>
              <w:spacing w:after="0"/>
              <w:rPr>
                <w:sz w:val="20"/>
                <w:szCs w:val="20"/>
                <w:color w:val="auto"/>
              </w:rPr>
            </w:pPr>
            <w:r>
              <w:rPr>
                <w:rFonts w:ascii="Arial" w:cs="Arial" w:eastAsia="Arial" w:hAnsi="Arial"/>
                <w:sz w:val="18"/>
                <w:szCs w:val="18"/>
                <w:color w:val="auto"/>
              </w:rPr>
              <w:t>Income taxes, net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Acquisitions, net of cash acquired</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 of business, net of cash sold</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Payments to Chinese credit facilities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2011 credit facility</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2015 credit facility, net of financing costs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2015 credit facility</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(190)</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Proceeds from 2016 credit facility, net of financing costs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activities, net</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22"/>
                <w:szCs w:val="22"/>
                <w:color w:val="auto"/>
              </w:rPr>
            </w:pPr>
          </w:p>
        </w:tc>
        <w:tc>
          <w:tcPr>
            <w:tcW w:w="100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20" w:firstLine="552"/>
        <w:spacing w:after="0" w:line="302" w:lineRule="auto"/>
        <w:rPr>
          <w:sz w:val="20"/>
          <w:szCs w:val="20"/>
          <w:color w:val="auto"/>
        </w:rPr>
      </w:pPr>
      <w:r>
        <w:rPr>
          <w:rFonts w:ascii="Arial" w:cs="Arial" w:eastAsia="Arial" w:hAnsi="Arial"/>
          <w:sz w:val="16"/>
          <w:szCs w:val="16"/>
          <w:color w:val="auto"/>
        </w:rPr>
        <w:t>TripAdvisor is an online travel company, empowering users to plan and book the perfect trip. TripAdvisor’s travel platform aggregates reviews and opinions of members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54" w:lineRule="exact"/>
        <w:rPr>
          <w:sz w:val="20"/>
          <w:szCs w:val="20"/>
          <w:color w:val="auto"/>
        </w:rPr>
      </w:pPr>
    </w:p>
    <w:p>
      <w:pPr>
        <w:ind w:right="20" w:firstLine="548"/>
        <w:spacing w:after="0" w:line="254" w:lineRule="auto"/>
        <w:rPr>
          <w:sz w:val="20"/>
          <w:szCs w:val="20"/>
          <w:color w:val="auto"/>
        </w:rPr>
      </w:pPr>
      <w:r>
        <w:rPr>
          <w:rFonts w:ascii="Arial" w:cs="Arial" w:eastAsia="Arial" w:hAnsi="Arial"/>
          <w:sz w:val="18"/>
          <w:szCs w:val="18"/>
          <w:color w:val="auto"/>
        </w:rPr>
        <w:t>Our flagship brand is TripAdvisor. TripAdvisor-branded websites include tripadvisor.com in the United States and localized versions of the website in 47 markets worldwide. In addition to the flagship TripAdvisor brand, we manage and operate the following 24 other media brands, connected by the common goal of providing comprehensive travel resources across the travel sector: www.airfarewatchdog.com, www.bookingbuddy.com, www.citymaps.com, www.cruisecritic.com, www.familyvacationcritic.com, www.flipkey.com, www.gateguru.com, www.holidaylettings.co.uk, www.holidaywatchdog.com, www.housetrip.com, www.independenttraveler.com, www.jetsetter.com, www.thefork.com (including www.lafourchette.com, www.eltenedor.com, www.iens.nl, www.besttables.com, and www.dimmi.com.au), www.niumba.com, www.onetime.com, www.oyster.com, www.seatguru.com, www.smartertravel.com, www.tingo.com, www.travelpod.com, www.tripbod.com, www.vacationhomerentals.com, www.viator.com, and www.virtualtourist.com.</w:t>
      </w:r>
    </w:p>
    <w:p>
      <w:pPr>
        <w:spacing w:after="0" w:line="192" w:lineRule="exact"/>
        <w:rPr>
          <w:sz w:val="20"/>
          <w:szCs w:val="20"/>
          <w:color w:val="auto"/>
        </w:rPr>
      </w:pPr>
    </w:p>
    <w:p>
      <w:pPr>
        <w:ind w:right="100" w:firstLine="548"/>
        <w:spacing w:after="0" w:line="297" w:lineRule="auto"/>
        <w:rPr>
          <w:sz w:val="20"/>
          <w:szCs w:val="20"/>
          <w:color w:val="auto"/>
        </w:rPr>
      </w:pPr>
      <w:r>
        <w:rPr>
          <w:rFonts w:ascii="Arial" w:cs="Arial" w:eastAsia="Arial" w:hAnsi="Arial"/>
          <w:sz w:val="16"/>
          <w:szCs w:val="16"/>
          <w:color w:val="auto"/>
        </w:rPr>
        <w:t>We have two reportable segments: Hotel and Non-Hotel. In the first quarter of 2016, we renamed our “Other” reportable segment “Non-Hotel.” This change had no effect on our consolidated financial statements or to previously reported segment information, as there was no change in the composition of our operating or reportable segments. Our operating segments are determined based on how our chief operating decision maker manages our business, regularly assesses information and evaluates performance for operating decision-making purposes, including allocation of resources. For further information on our reportable segments see “Note 12: Segment Information,” in these notes to our unaudited condensed consolidated financial statements.</w:t>
      </w:r>
    </w:p>
    <w:p>
      <w:pPr>
        <w:spacing w:after="0" w:line="158" w:lineRule="exact"/>
        <w:rPr>
          <w:sz w:val="20"/>
          <w:szCs w:val="20"/>
          <w:color w:val="auto"/>
        </w:rPr>
      </w:pPr>
    </w:p>
    <w:p>
      <w:pPr>
        <w:ind w:right="280" w:firstLine="548"/>
        <w:spacing w:after="0" w:line="297" w:lineRule="auto"/>
        <w:rPr>
          <w:sz w:val="20"/>
          <w:szCs w:val="20"/>
          <w:color w:val="auto"/>
        </w:rPr>
      </w:pPr>
      <w:r>
        <w:rPr>
          <w:rFonts w:ascii="Arial" w:cs="Arial" w:eastAsia="Arial" w:hAnsi="Arial"/>
          <w:sz w:val="16"/>
          <w:szCs w:val="16"/>
          <w:color w:val="auto"/>
        </w:rPr>
        <w:t>We derive the substantial portion of our revenue from our Hotel segment, through the sale of advertising, primarily through click-based advertising and commission-based transactions via our instant booking feature and, to a lesser extent, display-based advertising, subscription-based hotel advertising, room reservations sold through our websites, and content licensing. Our Non-Hotel segment consists of our Vacation Rentals, Restaurants and Attractions businesses. We derive revenue from our Non-Hotel segment from subscription and commission-based transaction offerings from our Vacation Rental business; destination activities primarily sold through Viator; and online restaurant reservations booked primarily through thefork.com.</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full year. These interim unaudited condensed consolidated financial statements should be read in conjunction with the audited consolidated financial statements and related notes included in our Annual Report on Form 10-K for the year ended December 31, 2015, previously filed with the SEC. The condensed consolidated balance sheet as of December 31, 2015 included herein was derived from the audited consolidated financial statements as of that date, but does not include all disclosures including notes required by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Except for the prior period reclassifications noted in our disclosure below in “Note 2— Significant Accounting Policies”, which resulted from our early adoption of ASU 2016-09 during the three months ended September 30, 2016, all other reclassifications made to conform the prior period to the current presentation were not material and had no net effect on our unaudited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tend to be seasonal as 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October 2016, the Financial Accounting Standards Board (“FASB”) issued new accounting guidance which requires an entity to recognize at the transaction date the income tax consequences of intercompany asset transfers. The guidance is effective for fiscal years, and interim periods within those fiscal years, beginning after December 15, 2017, with early adoption permitted. We are currently evaluating the effect that the updated standard will have on our consolidated financial statements and related disclosures.</w:t>
      </w:r>
    </w:p>
    <w:p>
      <w:pPr>
        <w:spacing w:after="0" w:line="7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right="100" w:firstLine="8"/>
        <w:spacing w:after="0" w:line="252"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We are currently evaluating the effect that the updated standard will have on our consolidated financial statements and related disclosures.</w:t>
      </w:r>
    </w:p>
    <w:p>
      <w:pPr>
        <w:spacing w:after="0" w:line="86"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6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guidance also requires additional disclosures about the nature, amount, timing and uncertainty of revenue and cash flows arising from customer contracts, including significant judgments and changes in judgments and assets recognized from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right="60"/>
        <w:spacing w:after="0" w:line="286" w:lineRule="auto"/>
        <w:rPr>
          <w:sz w:val="20"/>
          <w:szCs w:val="20"/>
          <w:color w:val="auto"/>
        </w:rPr>
      </w:pPr>
      <w:r>
        <w:rPr>
          <w:rFonts w:ascii="Arial" w:cs="Arial" w:eastAsia="Arial" w:hAnsi="Arial"/>
          <w:sz w:val="16"/>
          <w:szCs w:val="16"/>
          <w:color w:val="auto"/>
        </w:rPr>
        <w:t>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In March 2016, the FASB issued new accounting guidance on stock compensation, or ASU 2016-09, which changes how companies account for certain aspects of stock-based payment awards to employees, including the accounting for income taxes, forfeitures, and statutory tax withholding requirements, as well as classification in the statement of cash flows. The new guidance permits recognizing the impact of forfeitures on stock-based compensation as they occur or to recognize stock-based compensation expense net of expected forfeitures, requires companies to record excess tax benefits and tax deficiencies as income tax benefit or expense in the consolidated statement of operations when the awards vest or are settled, and eliminates the requirement to reclassify cash flows related to excess tax benefits from operating activities to financing activities on the consolidated statement of cash flows.</w:t>
      </w:r>
    </w:p>
    <w:p>
      <w:pPr>
        <w:spacing w:after="0" w:line="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elected to early adopt the new guidance in the third quarter of 2016, which requires us to reflect any adjustments as of January 1, 2016, the beginning of the annual period that includes the interim period of adoption. The primary impact of adoption was the recognition of excess tax benefits and tax deficiencies in our provision for income taxes rather than additional paid-in capital for all periods in 2016. There was no impact to our provision for income taxes as previously reported for 2015. Additionally, our consolidated statement of cash flows now present excess tax benefits as an operating activity on a retrospective basis. As a result of the retrospective implementation of this guidance, the impact on the statement of cash flows for the nine months ended September 30, 2015 was an increase of $32 million in cash flows from operating activities with an offsetting reduction in cash flows from financing activities. Finally, we have elected to account for forfeitures as they occur, rather than estimate expected forfeitures. The net cumulative effect of this change was recognized as a $1 million reduction to retained earnings as of January 1, 2016.</w:t>
      </w:r>
    </w:p>
    <w:p>
      <w:pPr>
        <w:spacing w:after="0" w:line="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Adoption of the new guidance resulted in the recognition of net excess tax expense and benefit in our provision for income taxes rather than additional paid-in capital. As a result, we recorded $1 million of income tax expense and $2 million of income tax benefit for the three and nine months ended September 30, 2016, respectively, and impacted our previously reported quarterly results for the three months ended March 31, 2016 and June 30, 2016,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 March 31, 2016</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540" w:type="dxa"/>
            <w:vAlign w:val="bottom"/>
          </w:tcPr>
          <w:p>
            <w:pPr>
              <w:spacing w:after="0"/>
              <w:rPr>
                <w:sz w:val="19"/>
                <w:szCs w:val="19"/>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20" w:type="dxa"/>
            <w:vAlign w:val="bottom"/>
            <w:tcBorders>
              <w:top w:val="single" w:sz="8" w:color="auto"/>
            </w:tcBorders>
            <w:gridSpan w:val="3"/>
          </w:tcPr>
          <w:p>
            <w:pPr>
              <w:jc w:val="right"/>
              <w:ind w:right="133"/>
              <w:spacing w:after="0" w:line="155" w:lineRule="exact"/>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Basic EPS</w:t>
            </w:r>
          </w:p>
        </w:tc>
        <w:tc>
          <w:tcPr>
            <w:tcW w:w="304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0.19</w:t>
            </w:r>
          </w:p>
        </w:tc>
        <w:tc>
          <w:tcPr>
            <w:tcW w:w="124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EPS</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6"/>
              </w:rPr>
              <w:t>0.18</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04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124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0" w:name="page11"/>
    <w:bookmarkEnd w:id="10"/>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1"/>
              </w:rPr>
              <w:t>Three months ended June 30, 2016</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260" w:type="dxa"/>
            <w:vAlign w:val="bottom"/>
          </w:tcPr>
          <w:p>
            <w:pPr>
              <w:spacing w:after="0"/>
              <w:rPr>
                <w:sz w:val="15"/>
                <w:szCs w:val="15"/>
                <w:color w:val="auto"/>
              </w:rPr>
            </w:pPr>
          </w:p>
        </w:tc>
        <w:tc>
          <w:tcPr>
            <w:tcW w:w="31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2"/>
              </w:rPr>
              <w:t>(in millions, except per share data)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3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EPS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0.23</w:t>
            </w:r>
          </w:p>
        </w:tc>
        <w:tc>
          <w:tcPr>
            <w:tcW w:w="1380" w:type="dxa"/>
            <w:vAlign w:val="bottom"/>
            <w:shd w:val="clear" w:color="auto" w:fill="CFF0FC"/>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Diluted EPS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0.23</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160" w:type="dxa"/>
            <w:vAlign w:val="bottom"/>
            <w:gridSpan w:val="3"/>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0"/>
              </w:rPr>
              <w:t>Six months ended June 30, 2016</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(2)</w:t>
            </w:r>
          </w:p>
        </w:tc>
        <w:tc>
          <w:tcPr>
            <w:tcW w:w="3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gridSpan w:val="2"/>
          </w:tcPr>
          <w:p>
            <w:pPr>
              <w:jc w:val="center"/>
              <w:ind w:right="795"/>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9"/>
              </w:rPr>
              <w:t>(123)</w:t>
            </w:r>
          </w:p>
        </w:tc>
        <w:tc>
          <w:tcPr>
            <w:tcW w:w="1380" w:type="dxa"/>
            <w:vAlign w:val="bottom"/>
            <w:shd w:val="clear" w:color="auto" w:fill="CFF0FC"/>
          </w:tcPr>
          <w:p>
            <w:pPr>
              <w:jc w:val="right"/>
              <w:ind w:right="109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00" w:right="480" w:hanging="501"/>
        <w:spacing w:after="0" w:line="256" w:lineRule="auto"/>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to account for forfeitures as they occur did not have a material impact for the three months ended March 31, 2016 and resulted in an increase to stock-based compensation expense of approximately $1 million for the three months ended June 30, 2016.</w:t>
      </w:r>
    </w:p>
    <w:p>
      <w:pPr>
        <w:ind w:left="1600" w:right="860" w:hanging="501"/>
        <w:spacing w:after="0" w:line="290" w:lineRule="auto"/>
        <w:tabs>
          <w:tab w:leader="none" w:pos="1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the reclassification of cash flows related to excess tax benefits from financing activities to operating activities of $4 million and $2 million for the three months ending March 31, 2016 and June 30, 2016, respectively.</w:t>
      </w:r>
    </w:p>
    <w:p>
      <w:pPr>
        <w:spacing w:after="0" w:line="162"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64"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There have been no other material changes to our significant accounting policies since December 31, 2015. For additional information about our critical accounting policies and estimates, refer to “Note 2: Significant Accounting Policies”, in the notes to our consolidated financial statements in Item 8 of our Annual Report on Form 10-K for the year ended December 31, 2015.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9" w:lineRule="exact"/>
        <w:rPr>
          <w:sz w:val="20"/>
          <w:szCs w:val="20"/>
          <w:color w:val="auto"/>
        </w:rPr>
      </w:pPr>
    </w:p>
    <w:p>
      <w:pPr>
        <w:ind w:right="200" w:firstLine="553"/>
        <w:spacing w:after="0" w:line="257" w:lineRule="auto"/>
        <w:rPr>
          <w:sz w:val="20"/>
          <w:szCs w:val="20"/>
          <w:color w:val="auto"/>
        </w:rPr>
      </w:pPr>
      <w:r>
        <w:rPr>
          <w:rFonts w:ascii="Arial" w:cs="Arial" w:eastAsia="Arial" w:hAnsi="Arial"/>
          <w:sz w:val="18"/>
          <w:szCs w:val="18"/>
          <w:color w:val="auto"/>
        </w:rPr>
        <w:t>During the nine months ended September 30, 2016, we completed three acquisitions for total purchase price of $27 million. The Company paid net cash consideration of $22 million, which is net of $3 million of cash acquired, and includes $2 million in future holdback payments. The cash consideration was paid primarily from the U.S. We acquired 100% of the outstanding capital stock of the following companies: Tous Au Restaurant, a leading restaurant event week brand in France, purchased in January 2016; HouseTrip, a European-based vacation rental website, purchased in April 2016; and CityMaps, a social mapping platform, purchased in August 2016.</w:t>
      </w:r>
    </w:p>
    <w:p>
      <w:pPr>
        <w:spacing w:after="0" w:line="188" w:lineRule="exact"/>
        <w:rPr>
          <w:sz w:val="20"/>
          <w:szCs w:val="20"/>
          <w:color w:val="auto"/>
        </w:rPr>
      </w:pPr>
    </w:p>
    <w:p>
      <w:pPr>
        <w:ind w:right="20" w:firstLine="553"/>
        <w:spacing w:after="0" w:line="255" w:lineRule="auto"/>
        <w:rPr>
          <w:sz w:val="20"/>
          <w:szCs w:val="20"/>
          <w:color w:val="auto"/>
        </w:rPr>
      </w:pPr>
      <w:r>
        <w:rPr>
          <w:rFonts w:ascii="Arial" w:cs="Arial" w:eastAsia="Arial" w:hAnsi="Arial"/>
          <w:sz w:val="18"/>
          <w:szCs w:val="18"/>
          <w:color w:val="auto"/>
        </w:rPr>
        <w:t>These business combinations were accounted for as purchases of businesses under the acquisition method. The fair value of purchase consideration has been preliminary allocated to tangible and identifiable intangible assets acquired and liabilities assumed, based on their estimated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1" w:name="page12"/>
    <w:bookmarkEnd w:id="11"/>
    <w:p>
      <w:pPr>
        <w:ind w:right="160"/>
        <w:spacing w:after="0" w:line="279" w:lineRule="auto"/>
        <w:rPr>
          <w:sz w:val="20"/>
          <w:szCs w:val="20"/>
          <w:color w:val="auto"/>
        </w:rPr>
      </w:pPr>
      <w:r>
        <w:rPr>
          <w:rFonts w:ascii="Arial" w:cs="Arial" w:eastAsia="Arial" w:hAnsi="Arial"/>
          <w:sz w:val="17"/>
          <w:szCs w:val="17"/>
          <w:color w:val="auto"/>
        </w:rPr>
        <w:t>unaudited condensed consolidated financial statements beginning on the respective acquisition dates. Pro-forma results of operations for these acquisitions have not been presented as the financial impact to our unaudited condensed consolidated financial statements, both individually and in aggregate, is not material. During the nine months ended September 30, 2016, acquisition-related costs of $1 million were expensed as incurred and recorded in general and administrative expenses on our unaudited condensed consolidated statement of operations.</w:t>
      </w:r>
    </w:p>
    <w:p>
      <w:pPr>
        <w:spacing w:after="0" w:line="171" w:lineRule="exact"/>
        <w:rPr>
          <w:sz w:val="20"/>
          <w:szCs w:val="20"/>
          <w:color w:val="auto"/>
        </w:rPr>
      </w:pPr>
    </w:p>
    <w:p>
      <w:pPr>
        <w:ind w:right="40" w:firstLine="553"/>
        <w:spacing w:after="0" w:line="257" w:lineRule="auto"/>
        <w:rPr>
          <w:sz w:val="20"/>
          <w:szCs w:val="20"/>
          <w:color w:val="auto"/>
        </w:rPr>
      </w:pPr>
      <w:r>
        <w:rPr>
          <w:rFonts w:ascii="Arial" w:cs="Arial" w:eastAsia="Arial" w:hAnsi="Arial"/>
          <w:sz w:val="18"/>
          <w:szCs w:val="18"/>
          <w:color w:val="auto"/>
        </w:rPr>
        <w:t>The purchase price allocation of our 2016 acquisitions is preliminary and subject to revision as more information becomes available, but in any case will not be revised beyond twelve months after the acquisition date and any change to the fair value of assets acquired or liabilities assumed will lead to a corresponding change to the purchase price allocable to goodwill in the period the adjustment is determined. The primary areas of the purchase price allocation that are not yet finalized are income tax-related balances for all 2016 acquisitions and the estimated fair value of certain identified intangible assets for CityMaps.</w:t>
      </w:r>
    </w:p>
    <w:p>
      <w:pPr>
        <w:spacing w:after="0" w:line="188" w:lineRule="exact"/>
        <w:rPr>
          <w:sz w:val="20"/>
          <w:szCs w:val="20"/>
          <w:color w:val="auto"/>
        </w:rPr>
      </w:pPr>
    </w:p>
    <w:p>
      <w:pPr>
        <w:ind w:right="400" w:firstLine="548"/>
        <w:spacing w:after="0" w:line="277" w:lineRule="auto"/>
        <w:rPr>
          <w:sz w:val="20"/>
          <w:szCs w:val="20"/>
          <w:color w:val="auto"/>
        </w:rPr>
      </w:pPr>
      <w:r>
        <w:rPr>
          <w:rFonts w:ascii="Arial" w:cs="Arial" w:eastAsia="Arial" w:hAnsi="Arial"/>
          <w:sz w:val="18"/>
          <w:szCs w:val="18"/>
          <w:color w:val="auto"/>
        </w:rPr>
        <w:t>The following table presents the purchase price allocations initially recorded on our unaudited condensed consolidated balance sheet for all 2016 acquisitions (in millions):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Intangible assets (2)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liabilities assumed (3)</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6280" w:type="dxa"/>
            <w:vAlign w:val="bottom"/>
          </w:tcPr>
          <w:p>
            <w:pPr>
              <w:ind w:left="320"/>
              <w:spacing w:after="0"/>
              <w:rPr>
                <w:sz w:val="20"/>
                <w:szCs w:val="20"/>
                <w:color w:val="auto"/>
              </w:rPr>
            </w:pPr>
            <w:r>
              <w:rPr>
                <w:rFonts w:ascii="Arial" w:cs="Arial" w:eastAsia="Arial" w:hAnsi="Arial"/>
                <w:sz w:val="18"/>
                <w:szCs w:val="18"/>
                <w:color w:val="auto"/>
              </w:rPr>
              <w:t>Total purchase price consideration (4)</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40" w:hanging="572"/>
        <w:spacing w:after="0" w:line="25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goodwill of $10 million and $3 million was allocated to our Hotel and Non-Hotel segment, respectively. All goodwill is not deductible for tax purposes.</w:t>
      </w:r>
    </w:p>
    <w:p>
      <w:pPr>
        <w:spacing w:after="0" w:line="1" w:lineRule="exact"/>
        <w:rPr>
          <w:rFonts w:ascii="Arial" w:cs="Arial" w:eastAsia="Arial" w:hAnsi="Arial"/>
          <w:sz w:val="18"/>
          <w:szCs w:val="18"/>
          <w:color w:val="auto"/>
        </w:rPr>
      </w:pPr>
    </w:p>
    <w:p>
      <w:pPr>
        <w:ind w:left="580" w:right="22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during 2016 were comprised of trade names of $4 million with a weighted average life of 10.0 years and technology and other of $18 million with a weighted average life of 5.3 years. The overall weighted-average life of the identifiable definite-lived intangible assets acquired in the purchase of these businesses during 2016 was 6.3 years, and will be amortized on a straight-line basis over their estimated useful lives from acquisition date.</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cash acquired of $3 million.</w:t>
      </w:r>
    </w:p>
    <w:p>
      <w:pPr>
        <w:spacing w:after="0" w:line="9" w:lineRule="exact"/>
        <w:rPr>
          <w:rFonts w:ascii="Arial" w:cs="Arial" w:eastAsia="Arial" w:hAnsi="Arial"/>
          <w:sz w:val="18"/>
          <w:szCs w:val="18"/>
          <w:color w:val="auto"/>
        </w:rPr>
      </w:pPr>
    </w:p>
    <w:p>
      <w:pPr>
        <w:ind w:left="580" w:right="980" w:hanging="572"/>
        <w:spacing w:after="0" w:line="261"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adjustment based on (i) final working capital adjustment calculations to be determined for CityMaps, and (ii) indemnification obligations for general representations and warranties of the acquired company stockholders.</w:t>
      </w:r>
    </w:p>
    <w:p>
      <w:pPr>
        <w:spacing w:after="0" w:line="200" w:lineRule="exact"/>
        <w:rPr>
          <w:sz w:val="20"/>
          <w:szCs w:val="20"/>
          <w:color w:val="auto"/>
        </w:rPr>
      </w:pPr>
    </w:p>
    <w:p>
      <w:pPr>
        <w:spacing w:after="0" w:line="304" w:lineRule="exact"/>
        <w:rPr>
          <w:sz w:val="20"/>
          <w:szCs w:val="20"/>
          <w:color w:val="auto"/>
        </w:rPr>
      </w:pPr>
    </w:p>
    <w:p>
      <w:pPr>
        <w:ind w:right="5300"/>
        <w:spacing w:after="0" w:line="378" w:lineRule="auto"/>
        <w:rPr>
          <w:sz w:val="20"/>
          <w:szCs w:val="20"/>
          <w:color w:val="auto"/>
        </w:rPr>
      </w:pPr>
      <w:r>
        <w:rPr>
          <w:rFonts w:ascii="Arial" w:cs="Arial" w:eastAsia="Arial" w:hAnsi="Arial"/>
          <w:sz w:val="18"/>
          <w:szCs w:val="18"/>
          <w:b w:val="1"/>
          <w:bCs w:val="1"/>
          <w:color w:val="auto"/>
        </w:rPr>
        <w:t>NOTE 4: STOCK BASED AWARDS AND OTHER EQUITY INSTRUMENTS Stock-Based Compensation Expense</w:t>
      </w:r>
    </w:p>
    <w:p>
      <w:pPr>
        <w:ind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36"/>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gridSpan w:val="3"/>
          </w:tcPr>
          <w:p>
            <w:pPr>
              <w:jc w:val="center"/>
              <w:ind w:right="25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gridSpan w:val="3"/>
          </w:tcPr>
          <w:p>
            <w:pPr>
              <w:jc w:val="center"/>
              <w:ind w:right="25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800" w:type="dxa"/>
            <w:vAlign w:val="bottom"/>
            <w:gridSpan w:val="2"/>
            <w:shd w:val="clear" w:color="auto" w:fill="CFF0FC"/>
          </w:tcPr>
          <w:p>
            <w:pPr>
              <w:jc w:val="right"/>
              <w:ind w:right="4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shd w:val="clear" w:color="auto" w:fill="CFF0FC"/>
          </w:tcPr>
          <w:p>
            <w:pPr>
              <w:jc w:val="right"/>
              <w:ind w:right="44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328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2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6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w w:val="94"/>
              </w:rPr>
              <w:t>Total stock-based compensation, net of tax</w:t>
            </w: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effect</w:t>
            </w:r>
          </w:p>
        </w:tc>
        <w:tc>
          <w:tcPr>
            <w:tcW w:w="8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74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Option Activity</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During the nine months ended September 30, 2016, we issued 1,050,842 of primarily service-based non-qualified stock options under the Company’s Amended and Restated 2011 Stock and Annual Incentive Plan (the “2011 Plan”). These stock options have a term of ten years from the date of grant and generally vest equitably over a four-year requisite service period.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2" w:name="page13"/>
    <w:bookmarkEnd w:id="12"/>
    <w:p>
      <w:pPr>
        <w:ind w:right="680" w:firstLine="518"/>
        <w:spacing w:after="0" w:line="277" w:lineRule="auto"/>
        <w:rPr>
          <w:sz w:val="20"/>
          <w:szCs w:val="20"/>
          <w:color w:val="auto"/>
        </w:rPr>
      </w:pPr>
      <w:r>
        <w:rPr>
          <w:rFonts w:ascii="Arial" w:cs="Arial" w:eastAsia="Arial" w:hAnsi="Arial"/>
          <w:sz w:val="18"/>
          <w:szCs w:val="18"/>
          <w:color w:val="auto"/>
        </w:rPr>
        <w:t>A summary of the status and activity for stock option awards relating to our common stock for the nine months ended September 30, 2016, is presented below:</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2016</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63.45</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2016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2016</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42.66</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hanging="319"/>
        <w:spacing w:after="0" w:line="25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Inclusive of 302,531 options which were not converted into shares due to net share settlement in order to cover the aggregate exercise price and required employee withholding taxes. Potential shares that had been convertible under stock options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88" w:lineRule="exact"/>
        <w:rPr>
          <w:sz w:val="20"/>
          <w:szCs w:val="20"/>
          <w:color w:val="auto"/>
        </w:rPr>
      </w:pPr>
    </w:p>
    <w:p>
      <w:pPr>
        <w:jc w:val="both"/>
        <w:ind w:right="20" w:firstLine="51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September 30, 2016 was $63.18. The total intrinsic value of stock options exercised for the nine months ended September 30, 2016 and 2015 was $23 million and $128 million, respectively.</w:t>
      </w:r>
    </w:p>
    <w:p>
      <w:pPr>
        <w:spacing w:after="0" w:line="16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fair value of stock option grants under the 2011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80" w:type="dxa"/>
            <w:vAlign w:val="bottom"/>
          </w:tcPr>
          <w:p>
            <w:pPr>
              <w:spacing w:after="0"/>
              <w:rPr>
                <w:sz w:val="14"/>
                <w:szCs w:val="1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19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27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9"/>
                <w:szCs w:val="19"/>
                <w:color w:val="auto"/>
              </w:rPr>
            </w:pPr>
          </w:p>
        </w:tc>
      </w:tr>
      <w:tr>
        <w:trPr>
          <w:trHeight w:val="23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42.68%</w:t>
            </w: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40.24%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41.83%</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41.76%</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520" w:firstLine="518"/>
        <w:spacing w:after="0" w:line="264" w:lineRule="auto"/>
        <w:rPr>
          <w:sz w:val="20"/>
          <w:szCs w:val="20"/>
          <w:color w:val="auto"/>
        </w:rPr>
      </w:pPr>
      <w:r>
        <w:rPr>
          <w:rFonts w:ascii="Arial" w:cs="Arial" w:eastAsia="Arial" w:hAnsi="Arial"/>
          <w:sz w:val="18"/>
          <w:szCs w:val="18"/>
          <w:color w:val="auto"/>
        </w:rPr>
        <w:t>The weighted-average grant date fair value of options granted was $22.95 and $33.24 for the nine months ended September 30, 2016 and 2015, respectively. The total fair value of stock options vested for the nine months ended September 30, 2016 and 2015 was $27 million and $30 million, respectively.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RSU Activity</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During the nine months ended September 30, 2016, we issued 1,886,536 RSUs under the 2011 Plan for which the fair value was measured based on the quoted price of our common stock on the date of grant. These RSUs generally vest over a four-year requisite service period.</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 presents a summary of our RSU activity during the nine months ended September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Grant-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4"/>
                <w:szCs w:val="14"/>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Date Fair</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960" w:type="dxa"/>
            <w:vAlign w:val="bottom"/>
          </w:tcPr>
          <w:p>
            <w:pPr>
              <w:spacing w:after="0"/>
              <w:rPr>
                <w:sz w:val="14"/>
                <w:szCs w:val="14"/>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Value Per Share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r>
      <w:tr>
        <w:trPr>
          <w:trHeight w:val="155"/>
        </w:trPr>
        <w:tc>
          <w:tcPr>
            <w:tcW w:w="5960" w:type="dxa"/>
            <w:vAlign w:val="bottom"/>
          </w:tcPr>
          <w:p>
            <w:pPr>
              <w:spacing w:after="0"/>
              <w:rPr>
                <w:sz w:val="13"/>
                <w:szCs w:val="13"/>
                <w:color w:val="auto"/>
              </w:rPr>
            </w:pPr>
          </w:p>
        </w:tc>
        <w:tc>
          <w:tcPr>
            <w:tcW w:w="1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8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Unvested RSUs outstanding as of January 1, 2016</w:t>
            </w:r>
          </w:p>
        </w:tc>
        <w:tc>
          <w:tcPr>
            <w:tcW w:w="1560" w:type="dxa"/>
            <w:vAlign w:val="bottom"/>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79.02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Vested and released (1)</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74.12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Unvested RSUs outstanding as of September 30, 2016</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70.52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240" w:hanging="319"/>
        <w:spacing w:after="0" w:line="279"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Inclusive of 140,873 RSUs withheld to satisfy employee withholding tax requirements due to net share settlement. Potential shares which had been convertible under RSUs that were withheld under net share settlement remain in the authorized but unissued pool under the 2011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 summary of our remaining unrecognized stock-based compensation expense, unadjusted for estimated forfeitures, and the weighted average remaining amortization period at September 30, 2016 related to our non-vested stock options and RSU awards is presented below (in millions, except per year information):</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80" w:type="dxa"/>
            <w:vAlign w:val="bottom"/>
          </w:tcPr>
          <w:p>
            <w:pPr>
              <w:jc w:val="center"/>
              <w:ind w:left="347"/>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400" w:type="dxa"/>
            <w:vAlign w:val="bottom"/>
          </w:tcPr>
          <w:p>
            <w:pPr>
              <w:spacing w:after="0"/>
              <w:rPr>
                <w:sz w:val="14"/>
                <w:szCs w:val="14"/>
                <w:color w:val="auto"/>
              </w:rPr>
            </w:pPr>
          </w:p>
        </w:tc>
        <w:tc>
          <w:tcPr>
            <w:tcW w:w="1280" w:type="dxa"/>
            <w:vAlign w:val="bottom"/>
          </w:tcPr>
          <w:p>
            <w:pPr>
              <w:jc w:val="center"/>
              <w:ind w:left="347"/>
              <w:spacing w:after="0"/>
              <w:rPr>
                <w:sz w:val="20"/>
                <w:szCs w:val="20"/>
                <w:color w:val="auto"/>
              </w:rPr>
            </w:pPr>
            <w:r>
              <w:rPr>
                <w:rFonts w:ascii="Arial" w:cs="Arial" w:eastAsia="Arial" w:hAnsi="Arial"/>
                <w:sz w:val="14"/>
                <w:szCs w:val="14"/>
                <w:b w:val="1"/>
                <w:bCs w:val="1"/>
                <w:color w:val="auto"/>
                <w:w w:val="94"/>
              </w:rPr>
              <w:t>Options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RSUs</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280" w:type="dxa"/>
            <w:vAlign w:val="bottom"/>
            <w:tcBorders>
              <w:top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We compute diluted earnings per share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jc w:val="both"/>
        <w:ind w:right="100" w:firstLine="552"/>
        <w:spacing w:after="0" w:line="264"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and the average unrecognized compensation cost during the period. The treasury stock method assumes that a company uses the proceeds from the exercise of an award to repurchase common stock at the average market price for the period.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ind w:right="8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183"/>
        </w:trPr>
        <w:tc>
          <w:tcPr>
            <w:tcW w:w="454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189"/>
        </w:trPr>
        <w:tc>
          <w:tcPr>
            <w:tcW w:w="45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Arial" w:cs="Arial" w:eastAsia="Arial" w:hAnsi="Arial"/>
                <w:sz w:val="18"/>
                <w:szCs w:val="18"/>
                <w:color w:val="auto"/>
                <w:w w:val="98"/>
              </w:rPr>
              <w:t>Weighted average shares used to compute Basic EPS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144,133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143,662</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19"/>
                <w:szCs w:val="19"/>
                <w:color w:val="auto"/>
              </w:rPr>
            </w:pPr>
          </w:p>
        </w:tc>
      </w:tr>
      <w:tr>
        <w:trPr>
          <w:trHeight w:val="263"/>
        </w:trPr>
        <w:tc>
          <w:tcPr>
            <w:tcW w:w="45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147,217</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145,828</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147,161</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145,886</w:t>
            </w:r>
          </w:p>
        </w:tc>
        <w:tc>
          <w:tcPr>
            <w:tcW w:w="100" w:type="dxa"/>
            <w:vAlign w:val="bottom"/>
            <w:tcBorders>
              <w:bottom w:val="single" w:sz="8" w:color="CFF0FC"/>
            </w:tcBorders>
          </w:tcPr>
          <w:p>
            <w:pPr>
              <w:spacing w:after="0"/>
              <w:rPr>
                <w:sz w:val="22"/>
                <w:szCs w:val="22"/>
                <w:color w:val="auto"/>
              </w:rPr>
            </w:pPr>
          </w:p>
        </w:tc>
      </w:tr>
      <w:tr>
        <w:trPr>
          <w:trHeight w:val="210"/>
        </w:trPr>
        <w:tc>
          <w:tcPr>
            <w:tcW w:w="4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8"/>
                <w:szCs w:val="18"/>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0.37</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0.81</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8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7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7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2016(1)</w:t>
            </w:r>
          </w:p>
        </w:tc>
        <w:tc>
          <w:tcPr>
            <w:tcW w:w="240" w:type="dxa"/>
            <w:vAlign w:val="bottom"/>
            <w:tcBorders>
              <w:top w:val="single" w:sz="8" w:color="auto"/>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2015(2)</w:t>
            </w:r>
          </w:p>
        </w:tc>
        <w:tc>
          <w:tcPr>
            <w:tcW w:w="24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2016(1)</w:t>
            </w:r>
          </w:p>
        </w:tc>
        <w:tc>
          <w:tcPr>
            <w:tcW w:w="240" w:type="dxa"/>
            <w:vAlign w:val="bottom"/>
            <w:tcBorders>
              <w:top w:val="single" w:sz="8" w:color="auto"/>
              <w:bottom w:val="single" w:sz="8" w:color="CFF0FC"/>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2015(2)</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2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right="280" w:hanging="319"/>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totals do not include 125,000 performance based options and 12,799 performance based RSUs representing the right to acquire 137,799 shares of common stock for which all targets required to trigger vesting had not been achieved; therefore, such awards were excluded from the calculation of weighted average shares used to compute Diluted EPS for those reporting periods.</w:t>
      </w:r>
    </w:p>
    <w:p>
      <w:pPr>
        <w:spacing w:after="0" w:line="140" w:lineRule="exact"/>
        <w:rPr>
          <w:rFonts w:ascii="Arial" w:cs="Arial" w:eastAsia="Arial" w:hAnsi="Arial"/>
          <w:sz w:val="18"/>
          <w:szCs w:val="18"/>
          <w:color w:val="auto"/>
        </w:rPr>
      </w:pPr>
    </w:p>
    <w:p>
      <w:pPr>
        <w:ind w:left="840" w:hanging="319"/>
        <w:spacing w:after="0" w:line="291"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totals do not include 66,666 performance based options and 12,799 performance based RSUs representing the right to acquire 79,465 shares of common stock for which all targets required to trigger vesting had not been achieved; therefore, such awards were excluded from the</w:t>
      </w:r>
    </w:p>
    <w:p>
      <w:pPr>
        <w:ind w:left="840"/>
        <w:spacing w:after="0"/>
        <w:rPr>
          <w:sz w:val="20"/>
          <w:szCs w:val="20"/>
          <w:color w:val="auto"/>
        </w:rPr>
      </w:pPr>
      <w:r>
        <w:rPr>
          <w:rFonts w:ascii="Arial" w:cs="Arial" w:eastAsia="Arial" w:hAnsi="Arial"/>
          <w:sz w:val="18"/>
          <w:szCs w:val="18"/>
          <w:color w:val="auto"/>
        </w:rPr>
        <w:t>calculation of weighted average shares used to compute Diluted EPS for those reporting periods.</w:t>
      </w:r>
    </w:p>
    <w:p>
      <w:pPr>
        <w:spacing w:after="0" w:line="9" w:lineRule="exact"/>
        <w:rPr>
          <w:sz w:val="20"/>
          <w:szCs w:val="20"/>
          <w:color w:val="auto"/>
        </w:rPr>
      </w:pPr>
    </w:p>
    <w:p>
      <w:pPr>
        <w:ind w:right="300" w:firstLine="518"/>
        <w:spacing w:after="0" w:line="261"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6"/>
              </w:rPr>
              <w:t>September 30, 2016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604</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148</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756</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8"/>
              </w:rPr>
              <w:t>December 31, 2015</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w w:val="91"/>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jc w:val="center"/>
              <w:ind w:left="27"/>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47"/>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22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7"/>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left="67"/>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Equivalents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2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598</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698</w:t>
            </w:r>
          </w:p>
        </w:tc>
        <w:tc>
          <w:tcPr>
            <w:tcW w:w="24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September 30, 2016 and December 31, 2015, respectively.</w:t>
      </w:r>
    </w:p>
    <w:p>
      <w:pPr>
        <w:spacing w:after="0" w:line="187"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ind w:right="12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and nine months ended September 30, 2016 and 2015, respectively. Realized gains and losses on the sale of securities are determined by specific identification of each security’s cost basis. We consider any individual investments in an unrealized loss position to be temporary in nature and do not consider any of our investments other-than-temporarily impaired as of September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552"/>
        <w:spacing w:after="0" w:line="308" w:lineRule="auto"/>
        <w:rPr>
          <w:sz w:val="20"/>
          <w:szCs w:val="20"/>
          <w:color w:val="auto"/>
        </w:rPr>
      </w:pPr>
      <w:r>
        <w:rPr>
          <w:rFonts w:ascii="Arial" w:cs="Arial" w:eastAsia="Arial" w:hAnsi="Arial"/>
          <w:sz w:val="17"/>
          <w:szCs w:val="17"/>
          <w:color w:val="auto"/>
        </w:rPr>
        <w:t>In certain circumstances, we enter into foreign currency forward exchange contracts (“forward contracts”) to reduce the effects of fluctuating foreign currency exchange rates on our cash flows denominated in foreign currencies. We do not use derivatives for trading or speculative purposes.</w:t>
      </w:r>
    </w:p>
    <w:p>
      <w:pPr>
        <w:spacing w:after="0" w:line="38" w:lineRule="exact"/>
        <w:rPr>
          <w:sz w:val="20"/>
          <w:szCs w:val="20"/>
          <w:color w:val="auto"/>
        </w:rPr>
      </w:pPr>
    </w:p>
    <w:p>
      <w:pPr>
        <w:ind w:right="20" w:firstLine="552"/>
        <w:spacing w:after="0" w:line="272" w:lineRule="auto"/>
        <w:rPr>
          <w:sz w:val="20"/>
          <w:szCs w:val="20"/>
          <w:color w:val="auto"/>
        </w:rPr>
      </w:pPr>
      <w:r>
        <w:rPr>
          <w:rFonts w:ascii="Arial" w:cs="Arial" w:eastAsia="Arial" w:hAnsi="Arial"/>
          <w:sz w:val="17"/>
          <w:szCs w:val="17"/>
          <w:color w:val="auto"/>
        </w:rPr>
        <w:t>Our current forward contracts are not designated as hedges and have current maturities of less than 90 days. We account for our derivative instruments as either assets or liabilities and carry them at fair value. Consequently, any gain or loss resulting from the change in fair value was recognized in our unaudited condensed consolidated statements of operations. All gains and losses for the three months ended September 30, 2016 were not material. We recorded a net loss of $1 million for the nine months ended September 30, 2016, related to our settled and outstanding forward contracts in our unaudited condensed consolidated statements of operations in “Interest income and other, net.” We recorded a net loss of $1 million and a net gain of $1 million for the three and nine months ended September 30, 2015, respectively, related to our settled and outstanding forward contracts in our unaudited condensed consolidated statements of operations in “Interest income and other, net.”</w:t>
      </w:r>
    </w:p>
    <w:p>
      <w:pPr>
        <w:spacing w:after="0" w:line="17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 shows the notional principal amounts of our outstanding derivative instruments that are not designated as hedging instruments for the periods presented:</w:t>
      </w:r>
    </w:p>
    <w:p>
      <w:pPr>
        <w:spacing w:after="0" w:line="6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ind w:right="282"/>
              <w:spacing w:after="0"/>
              <w:rPr>
                <w:sz w:val="20"/>
                <w:szCs w:val="20"/>
                <w:color w:val="auto"/>
              </w:rPr>
            </w:pPr>
            <w:r>
              <w:rPr>
                <w:rFonts w:ascii="Arial" w:cs="Arial" w:eastAsia="Arial" w:hAnsi="Arial"/>
                <w:sz w:val="14"/>
                <w:szCs w:val="14"/>
                <w:b w:val="1"/>
                <w:bCs w:val="1"/>
                <w:color w:val="auto"/>
                <w:w w:val="99"/>
              </w:rPr>
              <w:t>September 30, 2016</w:t>
            </w:r>
          </w:p>
        </w:tc>
        <w:tc>
          <w:tcPr>
            <w:tcW w:w="36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exchange-forward contracts </w:t>
            </w:r>
            <w:r>
              <w:rPr>
                <w:rFonts w:ascii="Arial" w:cs="Arial" w:eastAsia="Arial" w:hAnsi="Arial"/>
                <w:sz w:val="14"/>
                <w:szCs w:val="14"/>
                <w:color w:val="auto"/>
              </w:rPr>
              <w:t>(1), (2)</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840" w:hanging="319"/>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jc w:val="both"/>
        <w:ind w:left="840" w:right="60" w:hanging="319"/>
        <w:spacing w:after="0" w:line="302"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our derivatives are not material for all periods presented and are reported as an asset in prepaid expenses and other current assets on our unaudited consolidated balance sheet.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5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not to be material for any period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condensed consolidated balance sheets as of September 30, 2016 and December 31, 2015, respectively. The carrying value of the long-term debt from our 2015 Credit Facility bears interest at a variable rate and therefore is also considered to approximate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at September 30, 2016 and December 31,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020" w:type="dxa"/>
            <w:vAlign w:val="bottom"/>
            <w:gridSpan w:val="2"/>
          </w:tcPr>
          <w:p>
            <w:pPr>
              <w:jc w:val="right"/>
              <w:ind w:right="326"/>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jc w:val="right"/>
              <w:ind w:right="775"/>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jc w:val="right"/>
              <w:ind w:right="70"/>
              <w:spacing w:after="0" w:line="155" w:lineRule="exact"/>
              <w:rPr>
                <w:sz w:val="20"/>
                <w:szCs w:val="20"/>
                <w:color w:val="auto"/>
              </w:rPr>
            </w:pPr>
            <w:r>
              <w:rPr>
                <w:rFonts w:ascii="Arial" w:cs="Arial" w:eastAsia="Arial" w:hAnsi="Arial"/>
                <w:sz w:val="14"/>
                <w:szCs w:val="14"/>
                <w:b w:val="1"/>
                <w:bCs w:val="1"/>
                <w:color w:val="auto"/>
              </w:rPr>
              <w:t>(in millions)</w:t>
            </w: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15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3020" w:type="dxa"/>
            <w:vAlign w:val="bottom"/>
            <w:gridSpan w:val="2"/>
          </w:tcPr>
          <w:p>
            <w:pPr>
              <w:jc w:val="right"/>
              <w:ind w:right="136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 Credit Facility</w:t>
            </w:r>
          </w:p>
        </w:tc>
        <w:tc>
          <w:tcPr>
            <w:tcW w:w="150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20" w:type="dxa"/>
            <w:vAlign w:val="bottom"/>
            <w:gridSpan w:val="2"/>
          </w:tcPr>
          <w:p>
            <w:pPr>
              <w:spacing w:after="0"/>
              <w:rPr>
                <w:sz w:val="20"/>
                <w:szCs w:val="20"/>
                <w:color w:val="auto"/>
              </w:rPr>
            </w:pPr>
            <w:r>
              <w:rPr>
                <w:rFonts w:ascii="Arial" w:cs="Arial" w:eastAsia="Arial" w:hAnsi="Arial"/>
                <w:sz w:val="18"/>
                <w:szCs w:val="18"/>
                <w:color w:val="auto"/>
              </w:rPr>
              <w:t>Total Short-Term Debt</w:t>
            </w:r>
          </w:p>
        </w:tc>
        <w:tc>
          <w:tcPr>
            <w:tcW w:w="1500" w:type="dxa"/>
            <w:vAlign w:val="bottom"/>
          </w:tcPr>
          <w:p>
            <w:pPr>
              <w:spacing w:after="0"/>
              <w:rPr>
                <w:sz w:val="22"/>
                <w:szCs w:val="22"/>
                <w:color w:val="auto"/>
              </w:rPr>
            </w:pPr>
          </w:p>
        </w:tc>
        <w:tc>
          <w:tcPr>
            <w:tcW w:w="1520" w:type="dxa"/>
            <w:vAlign w:val="bottom"/>
            <w:tcBorders>
              <w:bottom w:val="single" w:sz="8" w:color="auto"/>
            </w:tcBorders>
          </w:tcPr>
          <w:p>
            <w:pPr>
              <w:jc w:val="right"/>
              <w:ind w:right="136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2015 Credit Facility</w:t>
            </w:r>
          </w:p>
        </w:tc>
        <w:tc>
          <w:tcPr>
            <w:tcW w:w="3020" w:type="dxa"/>
            <w:vAlign w:val="bottom"/>
            <w:gridSpan w:val="2"/>
            <w:shd w:val="clear" w:color="auto" w:fill="CFF0FC"/>
          </w:tcPr>
          <w:p>
            <w:pPr>
              <w:jc w:val="right"/>
              <w:ind w:right="1366"/>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5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Credit Facility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December 20, 2011, we entered into a credit agreement (the “2011 Credit Facility”), which provided $600 million of borrowing including:</w:t>
      </w:r>
    </w:p>
    <w:p>
      <w:pPr>
        <w:spacing w:after="0" w:line="230" w:lineRule="exact"/>
        <w:rPr>
          <w:sz w:val="20"/>
          <w:szCs w:val="20"/>
          <w:color w:val="auto"/>
        </w:rPr>
      </w:pPr>
    </w:p>
    <w:p>
      <w:pPr>
        <w:ind w:left="820" w:right="2300" w:hanging="257"/>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term loan facility in an aggregate principal amount of $400 million with a term of five years due December 2016</w:t>
      </w:r>
      <w:r>
        <w:rPr>
          <w:rFonts w:ascii="Arial" w:cs="Arial" w:eastAsia="Arial" w:hAnsi="Arial"/>
          <w:sz w:val="22"/>
          <w:szCs w:val="22"/>
          <w:color w:val="auto"/>
        </w:rPr>
        <w:t xml:space="preserve"> </w:t>
      </w:r>
      <w:r>
        <w:rPr>
          <w:rFonts w:ascii="Arial" w:cs="Arial" w:eastAsia="Arial" w:hAnsi="Arial"/>
          <w:sz w:val="18"/>
          <w:szCs w:val="18"/>
          <w:color w:val="auto"/>
        </w:rPr>
        <w:t>(“Term Loan”); and</w:t>
      </w:r>
    </w:p>
    <w:p>
      <w:pPr>
        <w:ind w:left="820" w:right="2540" w:hanging="257"/>
        <w:spacing w:after="0" w:line="20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 revolving credit facility in an aggregate principal amount of $200 million available in U.S. dollars, Euros and</w:t>
      </w:r>
      <w:r>
        <w:rPr>
          <w:rFonts w:ascii="Arial" w:cs="Arial" w:eastAsia="Arial" w:hAnsi="Arial"/>
          <w:sz w:val="22"/>
          <w:szCs w:val="22"/>
          <w:color w:val="auto"/>
        </w:rPr>
        <w:t xml:space="preserve"> </w:t>
      </w:r>
      <w:r>
        <w:rPr>
          <w:rFonts w:ascii="Arial" w:cs="Arial" w:eastAsia="Arial" w:hAnsi="Arial"/>
          <w:sz w:val="18"/>
          <w:szCs w:val="18"/>
          <w:color w:val="auto"/>
        </w:rPr>
        <w:t>British pound sterling with a term of five years expiring December 2016.</w:t>
      </w:r>
    </w:p>
    <w:p>
      <w:pPr>
        <w:spacing w:after="0" w:line="310" w:lineRule="exact"/>
        <w:rPr>
          <w:sz w:val="20"/>
          <w:szCs w:val="20"/>
          <w:color w:val="auto"/>
        </w:rPr>
      </w:pPr>
    </w:p>
    <w:p>
      <w:pPr>
        <w:ind w:firstLine="552"/>
        <w:spacing w:after="0" w:line="259" w:lineRule="auto"/>
        <w:rPr>
          <w:sz w:val="20"/>
          <w:szCs w:val="20"/>
          <w:color w:val="auto"/>
        </w:rPr>
      </w:pPr>
      <w:r>
        <w:rPr>
          <w:rFonts w:ascii="Arial" w:cs="Arial" w:eastAsia="Arial" w:hAnsi="Arial"/>
          <w:sz w:val="18"/>
          <w:szCs w:val="18"/>
          <w:color w:val="auto"/>
        </w:rPr>
        <w:t>On June 26, 2015, the entire outstanding principal on our Term Loan in the amount of $290 million was repaid with borrowings from our 2015 Credit Facility (described below) and the 2011 Credit Facility was subsequently terminated. During the nine months ended September 30, 2015, we recorded total interest and commitment fees on our 2011 Credit Facility of $3 million to interest expense on our unaudited condensed consolidated statements of operations. There was no resulting loss on early extinguishment of this debt.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firstLine="548"/>
        <w:spacing w:after="0" w:line="254" w:lineRule="auto"/>
        <w:rPr>
          <w:sz w:val="20"/>
          <w:szCs w:val="20"/>
          <w:color w:val="auto"/>
        </w:rPr>
      </w:pPr>
      <w:r>
        <w:rPr>
          <w:rFonts w:ascii="Arial" w:cs="Arial" w:eastAsia="Arial" w:hAnsi="Arial"/>
          <w:sz w:val="18"/>
          <w:szCs w:val="18"/>
          <w:color w:val="auto"/>
        </w:rPr>
        <w:t>On June 26, 2015, we entered into a five year credit agreement (the “2015 Credit Facility”) and immediately borrowed $290 million. The 2015 Credit Facility, among other things, provides for (i) a $1 billion unsecured revolving credit facility, (ii) an interest rate on borrowings and commitment fees based on the Company’s and its subsidiaries’ consolidated leverage ratio; and (iii) uncommitted incremental revolving loan and term loan facilities, subject to compliance with a leverage covenant and other conditions. Any overdue amounts under or in respect of the 2015 Credit Facility not paid when due shall bear interest at (i) in the case of principal, the applicable interest rate plus 2.00% per annum, (ii) in the case of interest denominated in Sterling or Euro, the applicable rate plus 2.00% per annum; and (iii) in the case of interest denominated in US Dollars, 2.00% per annum plus the Alternate Base Rate plus the interest rate spread applicable to ABR loans. The Company may borrow from the 2015 Credit Facility in U.S dollars, Euros and British pound sterling with a term of five years expiring June 26, 2020.</w:t>
      </w:r>
    </w:p>
    <w:p>
      <w:pPr>
        <w:spacing w:after="0" w:line="19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There is no specific repayment date prior to the five-year maturity date for our outstanding borrowings under the 2015 Credit Facility. During the nine months ended September 30, 2016, the Company borrowed an additional $10 million and repaid $190 million of our outstanding borrowings on the 2015 Credit Facility. Based on the Company’s current leverage ratio, our borrowings bear interest at LIBOR plus 125 basis points, or the Eurocurrency Spread. The Company is currently borrowing under a one-month interest period of 1.8% per annum, using a one-month interest period Eurocurrency Spread, which will reset periodically. Interest will be payable on a monthly basis while the Company is borrowing under the one-month interest rate period.</w:t>
      </w:r>
    </w:p>
    <w:p>
      <w:pPr>
        <w:spacing w:after="0" w:line="158" w:lineRule="exact"/>
        <w:rPr>
          <w:sz w:val="20"/>
          <w:szCs w:val="20"/>
          <w:color w:val="auto"/>
        </w:rPr>
      </w:pPr>
    </w:p>
    <w:p>
      <w:pPr>
        <w:ind w:firstLine="552"/>
        <w:spacing w:after="0" w:line="279" w:lineRule="auto"/>
        <w:rPr>
          <w:sz w:val="20"/>
          <w:szCs w:val="20"/>
          <w:color w:val="auto"/>
        </w:rPr>
      </w:pPr>
      <w:r>
        <w:rPr>
          <w:rFonts w:ascii="Arial" w:cs="Arial" w:eastAsia="Arial" w:hAnsi="Arial"/>
          <w:sz w:val="17"/>
          <w:szCs w:val="17"/>
          <w:color w:val="auto"/>
        </w:rPr>
        <w:t>We are also required to pay a quarterly commitment fee, on the daily unused portion of the revolving credit facility for each fiscal quarter and fees in connection with the issuance of letters of credit. Unused revolver capacity is currently subject to a commitment fee of 20.0 basis points, given the Company’s current leverage ratio. The 2015 Credit Facility includes $15 million of borrowing capacity available for letters of credit and $40 million for borrowings on same-day notice. As of September 30, 2016, we had issued $2 million of outstanding letters of credit under the 2015 Credit Facility.</w:t>
      </w:r>
    </w:p>
    <w:p>
      <w:pPr>
        <w:spacing w:after="0" w:line="171" w:lineRule="exact"/>
        <w:rPr>
          <w:sz w:val="20"/>
          <w:szCs w:val="20"/>
          <w:color w:val="auto"/>
        </w:rPr>
      </w:pPr>
    </w:p>
    <w:p>
      <w:pPr>
        <w:ind w:firstLine="552"/>
        <w:spacing w:after="0" w:line="264" w:lineRule="auto"/>
        <w:rPr>
          <w:sz w:val="20"/>
          <w:szCs w:val="20"/>
          <w:color w:val="auto"/>
        </w:rPr>
      </w:pPr>
      <w:r>
        <w:rPr>
          <w:rFonts w:ascii="Arial" w:cs="Arial" w:eastAsia="Arial" w:hAnsi="Arial"/>
          <w:sz w:val="18"/>
          <w:szCs w:val="18"/>
          <w:color w:val="auto"/>
        </w:rPr>
        <w:t>During the three and nine months ended September 30, 2016, we recorded total interest and commitment fees on our 2015 Credit Facility of $1 million and $3 million, respectively, to interest expense on our unaudited condensed consolidated statements of operations. During the three and nine months ended September 30, 2015, respectively, total interest and commitment fees recorded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under our 2015 Credit Facility to interest expense on our unaudited condensed consolidated statements of operations were not material. Unpaid interest and commitment fees as of September 30, 2016 and December 31, 2015, were not material.</w:t>
      </w:r>
    </w:p>
    <w:p>
      <w:pPr>
        <w:spacing w:after="0" w:line="170"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w:t>
      </w:r>
    </w:p>
    <w:p>
      <w:pPr>
        <w:spacing w:after="0" w:line="181" w:lineRule="exact"/>
        <w:rPr>
          <w:sz w:val="20"/>
          <w:szCs w:val="20"/>
          <w:color w:val="auto"/>
        </w:rPr>
      </w:pPr>
    </w:p>
    <w:p>
      <w:pPr>
        <w:ind w:firstLine="548"/>
        <w:spacing w:after="0" w:line="277"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September 30, 2016, we are in compliance with all of our debt covenants.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Credit Facility</w:t>
      </w:r>
    </w:p>
    <w:p>
      <w:pPr>
        <w:spacing w:after="0" w:line="229" w:lineRule="exact"/>
        <w:rPr>
          <w:sz w:val="20"/>
          <w:szCs w:val="20"/>
          <w:color w:val="auto"/>
        </w:rPr>
      </w:pPr>
    </w:p>
    <w:p>
      <w:pPr>
        <w:ind w:firstLine="548"/>
        <w:spacing w:after="0" w:line="290" w:lineRule="auto"/>
        <w:rPr>
          <w:sz w:val="20"/>
          <w:szCs w:val="20"/>
          <w:color w:val="auto"/>
        </w:rPr>
      </w:pPr>
      <w:r>
        <w:rPr>
          <w:rFonts w:ascii="Arial" w:cs="Arial" w:eastAsia="Arial" w:hAnsi="Arial"/>
          <w:sz w:val="16"/>
          <w:szCs w:val="16"/>
          <w:color w:val="auto"/>
        </w:rPr>
        <w:t>On September 7, 2016, we entered into an uncommitted facility agreement with Bank of America Merrill Lynch International Limited (the “Lender”), which provides for a $73 million unsecured revolving credit facility (the “2016 Credit Facility”) with no specific expiration date. The 2016 Credit Facility is available at the Lender’s absolute discretion and can be canceled at any time. Repayment terms for borrowings under the 2016 Credit Facility are generally one to six month periods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connection with the 2016 Credit Facility, any lender fees and debt financing costs paid were not material. In addition, TripAdvisor, LLC, a wholly-owned domestic subsidiary of the Company, has agreed to guarantee the Company’s obligations under the 2016 Credit Facility. There are no specific financial or incurrence covenants.</w:t>
      </w:r>
    </w:p>
    <w:p>
      <w:pPr>
        <w:spacing w:after="0" w:line="166" w:lineRule="exact"/>
        <w:rPr>
          <w:sz w:val="20"/>
          <w:szCs w:val="20"/>
          <w:color w:val="auto"/>
        </w:rPr>
      </w:pPr>
    </w:p>
    <w:p>
      <w:pPr>
        <w:ind w:right="40" w:firstLine="548"/>
        <w:spacing w:after="0" w:line="255" w:lineRule="auto"/>
        <w:rPr>
          <w:sz w:val="20"/>
          <w:szCs w:val="20"/>
          <w:color w:val="auto"/>
        </w:rPr>
      </w:pPr>
      <w:r>
        <w:rPr>
          <w:rFonts w:ascii="Arial" w:cs="Arial" w:eastAsia="Arial" w:hAnsi="Arial"/>
          <w:sz w:val="18"/>
          <w:szCs w:val="18"/>
          <w:color w:val="auto"/>
        </w:rPr>
        <w:t>We borrowed $73 million from this uncommitted credit facility in September 2016. These funds were used towards general working capital needs of the Company, primarily for partial repayment of our long term debt, and the liability is recorded in short-term liabilities on our unaudited condensed consolidated balance sheet as of September 30, 2016. The Company is currently borrowing under a one-month interest period of 1.7% per annum, which will reset periodically. Interest will be payable on a monthly basis while the Company is borrowing under the one-month interest rate period. During the three and nine months ended September 30, 2016, total interest recorded with respect to our 2016 Credit Facility to interest expense on our unaudited condensed consolidated statement of operations was not material.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100" w:firstLine="552"/>
        <w:spacing w:after="0" w:line="342" w:lineRule="auto"/>
        <w:rPr>
          <w:sz w:val="20"/>
          <w:szCs w:val="20"/>
          <w:color w:val="auto"/>
        </w:rPr>
      </w:pPr>
      <w:r>
        <w:rPr>
          <w:rFonts w:ascii="Arial" w:cs="Arial" w:eastAsia="Arial" w:hAnsi="Arial"/>
          <w:sz w:val="16"/>
          <w:szCs w:val="16"/>
          <w:color w:val="auto"/>
        </w:rPr>
        <w:t>In addition to our borrowings under the 2015 Credit Facility and 2016 Credit Facility, we maintain two credit facilities in China (jointly, the “Chinese Credit Facilities”). As of September 30, 2016 and December 31, 2015, we had short-term borrowings outstanding of $3 million and $1 million, respectively.</w:t>
      </w:r>
    </w:p>
    <w:p>
      <w:pPr>
        <w:spacing w:after="0" w:line="12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 Our Chinese Credit Facility—BOA currently bears interest at a rate based on 100% of the People’s Bank of China’s base rate, which was 4.35% as of September 30, 2016. As of September 30, 2016, we had $1 million of outstanding borrowings from the Chinese Credit Facility—BOA.</w:t>
      </w:r>
    </w:p>
    <w:p>
      <w:pPr>
        <w:spacing w:after="0" w:line="187" w:lineRule="exact"/>
        <w:rPr>
          <w:sz w:val="20"/>
          <w:szCs w:val="20"/>
          <w:color w:val="auto"/>
        </w:rPr>
      </w:pPr>
    </w:p>
    <w:p>
      <w:pPr>
        <w:ind w:right="140" w:firstLine="552"/>
        <w:spacing w:after="0" w:line="259" w:lineRule="auto"/>
        <w:rPr>
          <w:sz w:val="20"/>
          <w:szCs w:val="20"/>
          <w:color w:val="auto"/>
        </w:rPr>
      </w:pPr>
      <w:r>
        <w:rPr>
          <w:rFonts w:ascii="Arial" w:cs="Arial" w:eastAsia="Arial" w:hAnsi="Arial"/>
          <w:sz w:val="18"/>
          <w:szCs w:val="18"/>
          <w:color w:val="auto"/>
        </w:rPr>
        <w:t>We are also parties to a RMB 70,000,000 (approximately $11 million), one-year revolving credit facility with J.P. Morgan Chase Bank (“Chinese Credit Facility—JPM”) which was reduced from RMB 125,000,000 during the three months ended September 30, 2016. Our Chinese Credit Facility—JPM currently bears interest at a rate based on 100% of the People’s Bank of China’s base rate, which was 4.35% as of September 30, 2016. As of September 30, 2016, we had $2 million of outstanding borrowings from the Chinese Credit Facility – JPM.</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ind w:right="40"/>
        <w:spacing w:after="0" w:line="277" w:lineRule="auto"/>
        <w:rPr>
          <w:sz w:val="20"/>
          <w:szCs w:val="20"/>
          <w:color w:val="auto"/>
        </w:rPr>
      </w:pPr>
      <w:r>
        <w:rPr>
          <w:rFonts w:ascii="Arial" w:cs="Arial" w:eastAsia="Arial" w:hAnsi="Arial"/>
          <w:sz w:val="18"/>
          <w:szCs w:val="18"/>
          <w:color w:val="auto"/>
        </w:rPr>
        <w:t>the annual effective tax rate for the full fiscal year and use that rate to provide for income taxes on a current year-to-date basis, as adjusted for discrete taxable events that occur during the interim period.</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Our effective tax rate for the three and nine months ended September 30, 2016 was 12.7% and 18.5%, respectively. Our effective tax rate for the three and nine months ended September 30, 2015 was 24.5% and 26.4%, respectively. For both the three and nine months periods ended September 30, 2016, the effective tax rate is less than the federal statutory rate primarily due to earnings in jurisdictions outside the United States, where our effective tax rate is lower, increased research and development tax credits, and the recognition of net excess tax benefits related to stock-based payments resulting from the adoption of new accounting guidance for share-based compensation as of January 1, 2016, as described in “Note 2: Significant Accounting Policies.” These same drivers also resulted in a decrease in the effective tax rate for the three and nine months ended September 30, 2016, when compared to same periods in 2015.</w:t>
      </w:r>
    </w:p>
    <w:p>
      <w:pPr>
        <w:spacing w:after="0" w:line="16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September 30, 2016, accrued interest is $5 million, net of federal tax benefit, and no penalties have been accrued. We do not anticipate any material releases in the next twelve months.</w:t>
      </w:r>
    </w:p>
    <w:p>
      <w:pPr>
        <w:spacing w:after="0" w:line="18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By virtue of previously filed consolidated income tax returns filed with Expedia, we are currently under an Internal Revenue Service (“IRS”) audit for the 2009 and 2010 tax years, and have various ongoing state income tax audits. We are separately under examination by the IRS for the 2012 and 2013 tax years and have an employment tax audit with the IRS for the 2013 and 2014 tax years. These audits include questioning of the timing and the amount of income and deductions and the allocation of income among various tax jurisdictions. These examinations may lead to proposed adjustments to our taxes. We are no longer subject to tax examinations by tax authorities for years prior to 2008. As of September 30, 2016, no material assessments have resulted.</w:t>
      </w:r>
    </w:p>
    <w:p>
      <w:pPr>
        <w:spacing w:after="0" w:line="158"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During the year ended December 31, 2015, we received notification of a draft proposed adjustment from the IRS for the 2009 and 2010 tax years and we anticipate receiving additional notices of proposed adjustments for the same years. These proposed adjustments are related to transfer pricing with our foreign subsidiaries, and would result in an increase to U.S. taxable income and federal tax expense for 2009 and 2010, subject to interest. Our policy is to review and update tax reserves as facts and circumstances change. Based on our interpretation of the regulations and available case law, we believe the position we have taken with regard to transfer pricing with our foreign subsidiaries is sustainable. We intend to defend our position through IRS administrative and, if necessary, judicial remedies. As of September 30, 2016, no additional adjustments have been proposed.</w:t>
      </w:r>
    </w:p>
    <w:p>
      <w:pPr>
        <w:spacing w:after="0" w:line="16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$13 million in its consolidated statement of operations for the year ended December 31, 2015 and an additional $3 million and $5 million during the three and nine months ended September 30, 2016, respectively. The Company will continue to monitor this matter and related potential impacts to its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September 30, 2016</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2015</w:t>
            </w:r>
          </w:p>
        </w:tc>
      </w:tr>
      <w:tr>
        <w:trPr>
          <w:trHeight w:val="156"/>
        </w:trPr>
        <w:tc>
          <w:tcPr>
            <w:tcW w:w="4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3060" w:type="dxa"/>
            <w:vAlign w:val="bottom"/>
            <w:gridSpan w:val="2"/>
            <w:shd w:val="clear" w:color="auto" w:fill="CFF0FC"/>
          </w:tcPr>
          <w:p>
            <w:pPr>
              <w:jc w:val="right"/>
              <w:ind w:right="136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520" w:type="dxa"/>
            <w:vAlign w:val="bottom"/>
            <w:tcBorders>
              <w:bottom w:val="single" w:sz="8" w:color="auto"/>
            </w:tcBorders>
          </w:tcPr>
          <w:p>
            <w:pPr>
              <w:jc w:val="right"/>
              <w:ind w:right="136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60" w:firstLine="518"/>
        <w:spacing w:after="0" w:line="302" w:lineRule="auto"/>
        <w:rPr>
          <w:sz w:val="20"/>
          <w:szCs w:val="20"/>
          <w:color w:val="auto"/>
        </w:rPr>
      </w:pPr>
      <w:r>
        <w:rPr>
          <w:rFonts w:ascii="Arial" w:cs="Arial" w:eastAsia="Arial" w:hAnsi="Arial"/>
          <w:sz w:val="16"/>
          <w:szCs w:val="16"/>
          <w:color w:val="auto"/>
        </w:rPr>
        <w:t>During the nine months ended September 30, 2016, we repurchased 350,399 shares of outstanding common stock under the share repurchase program at an aggregate cost of $21 million, or an average share price of $59.85. As of September 30, 2016, we have repurchased 2,471,108 shares of outstanding common stock under the share repurchase program at an aggregate cost of $166 million. As of September 30, 2016, we have a remaining amount from the authorized share repurchase program granted by the Board of Directors of $84 million to repurchase shares of our common stock.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2015. Refer to “Note 12: Commitments and Contingencies,” in the notes to our consolidated financial statements in Item 8 of our Annual Report on Form 10-K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8: Income Taxes” above for further information on potential contingencies surrounding 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right="80" w:firstLine="552"/>
        <w:spacing w:after="0" w:line="257" w:lineRule="auto"/>
        <w:rPr>
          <w:sz w:val="20"/>
          <w:szCs w:val="20"/>
          <w:color w:val="auto"/>
        </w:rPr>
      </w:pPr>
      <w:r>
        <w:rPr>
          <w:rFonts w:ascii="Arial" w:cs="Arial" w:eastAsia="Arial" w:hAnsi="Arial"/>
          <w:sz w:val="18"/>
          <w:szCs w:val="18"/>
          <w:color w:val="auto"/>
        </w:rPr>
        <w:t>Our Hotel segment includes revenue generated from services related to hotels, including click-based advertising revenue from making hotel room night reservations available for price comparison and commission-based transactions via our instant booking feature, as well as display-based advertising, subscription-based hotel advertising (or Business Listings), room reservations sold through our websites, and from content licensing. Our Hotel segment also includes click-based advertising revenue from making airline reservations and cruise reservations available for price comparison and booking. Our chief operating decision maker is also the Hotel segment manager.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1" w:name="page22"/>
    <w:bookmarkEnd w:id="21"/>
    <w:p>
      <w:pPr>
        <w:ind w:right="320" w:firstLine="518"/>
        <w:spacing w:after="0" w:line="259"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primarily through Viator, information and services for researching and booking destination activities around the world.</w:t>
      </w:r>
      <w:r>
        <w:rPr>
          <w:rFonts w:ascii="Arial" w:cs="Arial" w:eastAsia="Arial" w:hAnsi="Arial"/>
          <w:sz w:val="18"/>
          <w:szCs w:val="18"/>
          <w:i w:val="1"/>
          <w:iCs w:val="1"/>
          <w:color w:val="auto"/>
        </w:rPr>
        <w:t xml:space="preserve"> </w:t>
      </w:r>
      <w:r>
        <w:rPr>
          <w:rFonts w:ascii="Arial" w:cs="Arial" w:eastAsia="Arial" w:hAnsi="Arial"/>
          <w:sz w:val="18"/>
          <w:szCs w:val="18"/>
          <w:color w:val="auto"/>
        </w:rPr>
        <w:t>Viator works 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7"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i w:val="1"/>
          <w:iCs w:val="1"/>
          <w:color w:val="auto"/>
        </w:rPr>
        <w:t xml:space="preserve">Restaurants. </w:t>
      </w:r>
      <w:r>
        <w:rPr>
          <w:rFonts w:ascii="Arial" w:cs="Arial" w:eastAsia="Arial" w:hAnsi="Arial"/>
          <w:sz w:val="16"/>
          <w:szCs w:val="16"/>
          <w:color w:val="auto"/>
        </w:rPr>
        <w:t>We have several websites that provide online and mobile reservation services that connect restaurants with diners. These websites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primarily focused on the European and Australian markets, primarily through thefork.com (including www.lafourchette.com, www.eltenedor.com, www.iens.nl, www.besttables.com, and www.dimmi.com.au). Thefork.com is an online restaurant booking platform with a network of restaurant partners primarily across Europe and Australia. Thefork.com also helps restaurants to maximize business by providing a flexible online booking and data tool. We generate revenue primarily by charging a fee for each restaurant guest seated through the online reservation systems.</w:t>
      </w:r>
    </w:p>
    <w:p>
      <w:pPr>
        <w:spacing w:after="0" w:line="158"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We offer individual property owners and property managers the ability to list their properties available for rental and connect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travelers using a subscription-based fee structure or a free-to-list, commission-based option. Our vacation rental inventory currently includes full home rentals, condos, villas, beach rentals, cabins and cottages. These properties are listed across a number of platforms, including TripAdvisor Vacation Rentals, U.S.-based FlipKey and Vacation Home Rentals, and European-based Holiday Lettings, HouseTrip, and Niumba businesses.</w:t>
      </w:r>
    </w:p>
    <w:p>
      <w:pPr>
        <w:spacing w:after="0" w:line="171" w:lineRule="exact"/>
        <w:rPr>
          <w:sz w:val="20"/>
          <w:szCs w:val="20"/>
          <w:color w:val="auto"/>
        </w:rPr>
      </w:pPr>
    </w:p>
    <w:p>
      <w:pPr>
        <w:ind w:right="80" w:firstLine="552"/>
        <w:spacing w:after="0" w:line="277" w:lineRule="auto"/>
        <w:rPr>
          <w:sz w:val="20"/>
          <w:szCs w:val="20"/>
          <w:color w:val="auto"/>
        </w:rPr>
      </w:pPr>
      <w:r>
        <w:rPr>
          <w:rFonts w:ascii="Arial" w:cs="Arial" w:eastAsia="Arial" w:hAnsi="Arial"/>
          <w:sz w:val="18"/>
          <w:szCs w:val="18"/>
          <w:color w:val="auto"/>
        </w:rPr>
        <w:t>Each operating segment in our Non-Hotel segment has a segment manager who is directly accountable to and maintains regular contact with our chief operating decision maker to discuss operating activities, financial results, forecasts, and plans for the segment.</w:t>
      </w:r>
    </w:p>
    <w:p>
      <w:pPr>
        <w:spacing w:after="0" w:line="170" w:lineRule="exact"/>
        <w:rPr>
          <w:sz w:val="20"/>
          <w:szCs w:val="20"/>
          <w:color w:val="auto"/>
        </w:rPr>
      </w:pPr>
    </w:p>
    <w:p>
      <w:pPr>
        <w:ind w:right="100" w:firstLine="552"/>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4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non-recurring expenses and income.</w:t>
      </w:r>
    </w:p>
    <w:p>
      <w:pPr>
        <w:spacing w:after="0" w:line="184" w:lineRule="exact"/>
        <w:rPr>
          <w:sz w:val="20"/>
          <w:szCs w:val="20"/>
          <w:color w:val="auto"/>
        </w:rPr>
      </w:pPr>
    </w:p>
    <w:p>
      <w:pPr>
        <w:ind w:right="60" w:firstLine="548"/>
        <w:spacing w:after="0" w:line="270" w:lineRule="auto"/>
        <w:rPr>
          <w:sz w:val="20"/>
          <w:szCs w:val="20"/>
          <w:color w:val="auto"/>
        </w:rPr>
      </w:pPr>
      <w:r>
        <w:rPr>
          <w:rFonts w:ascii="Arial" w:cs="Arial" w:eastAsia="Arial" w:hAnsi="Arial"/>
          <w:sz w:val="17"/>
          <w:szCs w:val="17"/>
          <w:color w:val="auto"/>
        </w:rPr>
        <w:t>The following tables present our segment information for the three and nine months ended September 30, 2016 and 2015, and includes a reconciliation of Adjusted EBITDA to Net Income, the most directly comparable financial measure calculated and presented in accordance with GAAP.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3"/>
          </w:tcPr>
          <w:p>
            <w:pPr>
              <w:jc w:val="center"/>
              <w:ind w:right="415"/>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520" w:type="dxa"/>
            <w:vAlign w:val="bottom"/>
          </w:tcPr>
          <w:p>
            <w:pPr>
              <w:jc w:val="right"/>
              <w:ind w:right="49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ind w:right="595"/>
              <w:spacing w:after="0"/>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320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101</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920" w:type="dxa"/>
            <w:vAlign w:val="bottom"/>
          </w:tcPr>
          <w:p>
            <w:pPr>
              <w:spacing w:after="0"/>
              <w:rPr>
                <w:sz w:val="19"/>
                <w:szCs w:val="19"/>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19"/>
                <w:szCs w:val="19"/>
                <w:color w:val="auto"/>
              </w:rPr>
            </w:pPr>
          </w:p>
        </w:tc>
        <w:tc>
          <w:tcPr>
            <w:tcW w:w="1360" w:type="dxa"/>
            <w:vAlign w:val="bottom"/>
          </w:tcPr>
          <w:p>
            <w:pPr>
              <w:jc w:val="right"/>
              <w:ind w:right="81"/>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vMerge w:val="restart"/>
          </w:tcPr>
          <w:p>
            <w:pPr>
              <w:jc w:val="right"/>
              <w:ind w:right="31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3"/>
          </w:tcPr>
          <w:p>
            <w:pPr>
              <w:jc w:val="center"/>
              <w:ind w:right="415"/>
              <w:spacing w:after="0"/>
              <w:rPr>
                <w:sz w:val="20"/>
                <w:szCs w:val="20"/>
                <w:color w:val="auto"/>
              </w:rPr>
            </w:pPr>
            <w:r>
              <w:rPr>
                <w:rFonts w:ascii="Arial" w:cs="Arial" w:eastAsia="Arial" w:hAnsi="Arial"/>
                <w:sz w:val="14"/>
                <w:szCs w:val="14"/>
                <w:b w:val="1"/>
                <w:bCs w:val="1"/>
                <w:color w:val="auto"/>
                <w:w w:val="91"/>
              </w:rPr>
              <w:t>Three months ended September 30, 2015</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2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475"/>
              <w:spacing w:after="0"/>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(2)</w:t>
            </w:r>
          </w:p>
        </w:tc>
        <w:tc>
          <w:tcPr>
            <w:tcW w:w="94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9"/>
                <w:szCs w:val="19"/>
                <w:color w:val="auto"/>
              </w:rPr>
            </w:pPr>
          </w:p>
        </w:tc>
        <w:tc>
          <w:tcPr>
            <w:tcW w:w="1400" w:type="dxa"/>
            <w:vAlign w:val="bottom"/>
          </w:tcPr>
          <w:p>
            <w:pPr>
              <w:jc w:val="right"/>
              <w:ind w:right="121"/>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3"/>
            <w:vMerge w:val="restart"/>
          </w:tcPr>
          <w:p>
            <w:pPr>
              <w:jc w:val="center"/>
              <w:ind w:right="415"/>
              <w:spacing w:after="0"/>
              <w:rPr>
                <w:sz w:val="20"/>
                <w:szCs w:val="20"/>
                <w:color w:val="auto"/>
              </w:rPr>
            </w:pPr>
            <w:r>
              <w:rPr>
                <w:rFonts w:ascii="Arial" w:cs="Arial" w:eastAsia="Arial" w:hAnsi="Arial"/>
                <w:sz w:val="14"/>
                <w:szCs w:val="14"/>
                <w:b w:val="1"/>
                <w:bCs w:val="1"/>
                <w:color w:val="auto"/>
                <w:w w:val="91"/>
              </w:rPr>
              <w:t>Nine months ended September 30, 2016</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2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475"/>
              <w:spacing w:after="0"/>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939</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(1)</w:t>
            </w:r>
          </w:p>
        </w:tc>
        <w:tc>
          <w:tcPr>
            <w:tcW w:w="94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3"/>
            <w:vMerge w:val="restart"/>
          </w:tcPr>
          <w:p>
            <w:pPr>
              <w:jc w:val="center"/>
              <w:ind w:right="415"/>
              <w:spacing w:after="0"/>
              <w:rPr>
                <w:sz w:val="20"/>
                <w:szCs w:val="20"/>
                <w:color w:val="auto"/>
              </w:rPr>
            </w:pPr>
            <w:r>
              <w:rPr>
                <w:rFonts w:ascii="Arial" w:cs="Arial" w:eastAsia="Arial" w:hAnsi="Arial"/>
                <w:sz w:val="14"/>
                <w:szCs w:val="14"/>
                <w:b w:val="1"/>
                <w:bCs w:val="1"/>
                <w:color w:val="auto"/>
                <w:w w:val="91"/>
              </w:rPr>
              <w:t>Nine months ended September 30, 2015</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20" w:type="dxa"/>
            <w:vAlign w:val="bottom"/>
          </w:tcPr>
          <w:p>
            <w:pPr>
              <w:jc w:val="center"/>
              <w:ind w:right="475"/>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center"/>
              <w:ind w:right="475"/>
              <w:spacing w:after="0"/>
              <w:rPr>
                <w:sz w:val="20"/>
                <w:szCs w:val="20"/>
                <w:color w:val="auto"/>
              </w:rPr>
            </w:pPr>
            <w:r>
              <w:rPr>
                <w:rFonts w:ascii="Arial" w:cs="Arial" w:eastAsia="Arial" w:hAnsi="Arial"/>
                <w:sz w:val="14"/>
                <w:szCs w:val="14"/>
                <w:b w:val="1"/>
                <w:bCs w:val="1"/>
                <w:color w:val="auto"/>
                <w:w w:val="90"/>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2"/>
          </w:tcPr>
          <w:p>
            <w:pPr>
              <w:jc w:val="center"/>
              <w:ind w:left="9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5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1,003</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Adjusted EBITDA (2)</w:t>
            </w:r>
          </w:p>
        </w:tc>
        <w:tc>
          <w:tcPr>
            <w:tcW w:w="94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377</w:t>
            </w:r>
          </w:p>
        </w:tc>
        <w:tc>
          <w:tcPr>
            <w:tcW w:w="380" w:type="dxa"/>
            <w:vAlign w:val="bottom"/>
          </w:tcPr>
          <w:p>
            <w:pPr>
              <w:spacing w:after="0"/>
              <w:rPr>
                <w:sz w:val="19"/>
                <w:szCs w:val="19"/>
                <w:color w:val="auto"/>
              </w:rPr>
            </w:pPr>
          </w:p>
        </w:tc>
        <w:tc>
          <w:tcPr>
            <w:tcW w:w="1400" w:type="dxa"/>
            <w:vAlign w:val="bottom"/>
          </w:tcPr>
          <w:p>
            <w:pPr>
              <w:jc w:val="right"/>
              <w:ind w:right="121"/>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5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ind w:right="175"/>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520" w:hanging="492"/>
        <w:spacing w:after="0" w:line="274"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allocated general and administrative expenses in our Hotel segment of $21 million and $63 million; and in our Non-Hotel segment of $10 million and $28 million for the three and nine months ended September 30, 2016, respectively.</w:t>
      </w:r>
    </w:p>
    <w:p>
      <w:pPr>
        <w:ind w:left="500" w:right="1520" w:hanging="492"/>
        <w:spacing w:after="0" w:line="290"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allocated general and administrative expenses in our Hotel segment of $23 million and $69 million; and in our Non-Hotel segment of $8 million and $23 million for the three and nine months ended September 30,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consider Liberty TripAdvisor Holdings, Inc. (“LTRIP”) a related party. As of September 30, 2016, LTRIP beneficially owned 18,159,752 shares of our common stock and 12,799,999 shares of our Class B common stock, which shares constitute 13.7%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generally is entitled to ten votes per share and each share of common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stock is entitled to one vote per share, LTRIP may be deemed to beneficially own equity securities representing approximately 56.0% of our voting power.</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the three and nine months ended September 30, 2016 and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INTEREST INCOME AND OTHER,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detail of interest income and other, net, for the periods presented:</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Three months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w w:val="93"/>
              </w:rPr>
              <w:t>Nine months ended September 30,</w:t>
            </w:r>
          </w:p>
        </w:tc>
        <w:tc>
          <w:tcPr>
            <w:tcW w:w="120" w:type="dxa"/>
            <w:vAlign w:val="bottom"/>
          </w:tcPr>
          <w:p>
            <w:pPr>
              <w:spacing w:after="0"/>
              <w:rPr>
                <w:sz w:val="14"/>
                <w:szCs w:val="14"/>
                <w:color w:val="auto"/>
              </w:rPr>
            </w:pPr>
          </w:p>
        </w:tc>
      </w:tr>
      <w:tr>
        <w:trPr>
          <w:trHeight w:val="223"/>
        </w:trPr>
        <w:tc>
          <w:tcPr>
            <w:tcW w:w="4480" w:type="dxa"/>
            <w:vAlign w:val="bottom"/>
          </w:tcPr>
          <w:p>
            <w:pPr>
              <w:spacing w:after="0"/>
              <w:rPr>
                <w:sz w:val="19"/>
                <w:szCs w:val="19"/>
                <w:color w:val="auto"/>
              </w:rPr>
            </w:pPr>
          </w:p>
        </w:tc>
        <w:tc>
          <w:tcPr>
            <w:tcW w:w="108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9"/>
                <w:szCs w:val="19"/>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w w:val="95"/>
              </w:rPr>
              <w:t>Net loss, realized and unrealized, on foreign exchange and</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contracts and other, net</w:t>
            </w:r>
          </w:p>
        </w:tc>
        <w:tc>
          <w:tcPr>
            <w:tcW w:w="108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business (1)</w:t>
            </w:r>
          </w:p>
        </w:tc>
        <w:tc>
          <w:tcPr>
            <w:tcW w:w="2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right="1800" w:hanging="412"/>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2015, we sold 100% interest in one of our Chinese subsidiaries to an unrelated third party for $28 million in cash consideration and recognized a $17 million gain on sale of subsidiary in the third quarter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476" w:right="5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2015.</w:t>
      </w:r>
    </w:p>
    <w:p>
      <w:pPr>
        <w:spacing w:after="0" w:line="6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Quarterly Report on Form 10-Q for the three and nine months ended September 30, 2016, Part II, Item 1A, “Risk Factors.”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52"/>
        <w:spacing w:after="0" w:line="255"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93"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TripAdvisor-branded websites include tripadvisor.com in the United States and localized versions of the TripAdvisor website in 47 markets worldwide. Our TripAdvisor-branded websites reached 390 million average monthly unique visitors during the quarter ended September 30, 2016, according to our internal log files. We currently feature 435 million reviews and opinions on 6.8 million places to stay, places to eat and things to do – including 1,050,000 hotels and accommodations and 830,000 vacation rentals, 4.2 million restaurants and 730,000 attractions around the world. In addition to user-generated content, our websites feature price comparison tools and links to partner websites, including travel advertisers, on which users can book their travel arrangements. Users can also complete hotel bookings directly with our partners through tripadvisor.com and also through the TripAdvisor mobile application where coverage is available. In addition to the flagship TripAdvisor brand, we now manage and operate 24 other travel media brands, connected by the common goal of providing users the most comprehensive travel-planning and trip-taking resources in the travel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and Trends</w:t>
      </w:r>
    </w:p>
    <w:p>
      <w:pPr>
        <w:spacing w:after="0" w:line="121"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financial results are described below, including a summary of our key growth areas and current trends impacting our business, including our reportable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Growth Areas</w:t>
      </w:r>
    </w:p>
    <w:p>
      <w:pPr>
        <w:spacing w:after="0" w:line="121" w:lineRule="exact"/>
        <w:rPr>
          <w:sz w:val="20"/>
          <w:szCs w:val="20"/>
          <w:color w:val="auto"/>
        </w:rPr>
      </w:pPr>
    </w:p>
    <w:p>
      <w:pPr>
        <w:ind w:right="20" w:firstLine="552"/>
        <w:spacing w:after="0" w:line="277" w:lineRule="auto"/>
        <w:rPr>
          <w:sz w:val="20"/>
          <w:szCs w:val="20"/>
          <w:color w:val="auto"/>
        </w:rPr>
      </w:pPr>
      <w:r>
        <w:rPr>
          <w:rFonts w:ascii="Arial" w:cs="Arial" w:eastAsia="Arial" w:hAnsi="Arial"/>
          <w:sz w:val="18"/>
          <w:szCs w:val="18"/>
          <w:color w:val="auto"/>
        </w:rPr>
        <w:t>We continue to invest in areas of potential growth, including our content and community, product innovation, and expansion into international markets and adjacent businesses.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ind w:right="100" w:firstLine="552"/>
        <w:spacing w:after="0" w:line="259" w:lineRule="auto"/>
        <w:rPr>
          <w:sz w:val="20"/>
          <w:szCs w:val="20"/>
          <w:color w:val="auto"/>
        </w:rPr>
      </w:pPr>
      <w:r>
        <w:rPr>
          <w:rFonts w:ascii="Arial" w:cs="Arial" w:eastAsia="Arial" w:hAnsi="Arial"/>
          <w:sz w:val="18"/>
          <w:szCs w:val="18"/>
          <w:i w:val="1"/>
          <w:iCs w:val="1"/>
          <w:color w:val="auto"/>
        </w:rPr>
        <w:t>Content &amp; Community</w:t>
      </w:r>
      <w:r>
        <w:rPr>
          <w:rFonts w:ascii="Arial" w:cs="Arial" w:eastAsia="Arial" w:hAnsi="Arial"/>
          <w:sz w:val="18"/>
          <w:szCs w:val="18"/>
          <w:color w:val="auto"/>
        </w:rPr>
        <w:t>. TripAdvisor is a website on which travelers can, among other things, research content and share their travel experiences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rest of the world. Establishing and nurturing a sense of community among users and brand loyalty is a key priority and a competitive advantage for TripAdvisor. As a result, we continue to look for ways to make it easier for users to plan and book their perfect trip on TripAdvisor as well as to share their experiences.</w:t>
      </w:r>
    </w:p>
    <w:p>
      <w:pPr>
        <w:spacing w:after="0" w:line="187" w:lineRule="exact"/>
        <w:rPr>
          <w:sz w:val="20"/>
          <w:szCs w:val="20"/>
          <w:color w:val="auto"/>
        </w:rPr>
      </w:pPr>
    </w:p>
    <w:p>
      <w:pPr>
        <w:ind w:right="200" w:firstLine="552"/>
        <w:spacing w:after="0" w:line="276" w:lineRule="auto"/>
        <w:rPr>
          <w:sz w:val="20"/>
          <w:szCs w:val="20"/>
          <w:color w:val="auto"/>
        </w:rPr>
      </w:pPr>
      <w:r>
        <w:rPr>
          <w:rFonts w:ascii="Arial" w:cs="Arial" w:eastAsia="Arial" w:hAnsi="Arial"/>
          <w:sz w:val="17"/>
          <w:szCs w:val="17"/>
          <w:i w:val="1"/>
          <w:iCs w:val="1"/>
          <w:color w:val="auto"/>
        </w:rPr>
        <w:t>Mobile</w:t>
      </w:r>
      <w:r>
        <w:rPr>
          <w:rFonts w:ascii="Arial" w:cs="Arial" w:eastAsia="Arial" w:hAnsi="Arial"/>
          <w:sz w:val="17"/>
          <w:szCs w:val="17"/>
          <w:color w:val="auto"/>
        </w:rPr>
        <w:t>. Innovating and improving our mobile products is a key priority. During the three months ended September 30, 2016, more than half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monthly unique visitors came from mobile phone and tablet, and average monthly unique visitors via mobile phone and tablet devices grew 19% year-over-year, according to our log files. We anticipate that the rate of growth in mobile visitors will continue to exceed the growth rate of our overall monthly unique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7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i w:val="1"/>
          <w:iCs w:val="1"/>
          <w:color w:val="auto"/>
        </w:rPr>
        <w:t xml:space="preserve">Instant Booking. </w:t>
      </w:r>
      <w:r>
        <w:rPr>
          <w:rFonts w:ascii="Arial" w:cs="Arial" w:eastAsia="Arial" w:hAnsi="Arial"/>
          <w:sz w:val="16"/>
          <w:szCs w:val="16"/>
          <w:color w:val="auto"/>
        </w:rPr>
        <w:t>Instant booking is a feature that enables users to book a hotel reservation directly with a hotel or online travel agency (“OTA”)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while remaining on the TripAdvisor website. We believe that allowing users to book directly online without leaving our TripAdvisor websites will result in a better user experience as well as, ultimately, generate additional revenue to the Company. As a result, beginning in June 2014, we gradually rolled this feature out in the U.S. and, in 2015, accelerated the rollout for hotels across our U.S. and U.K. platforms to all users on all devices. In 2016, we continued to roll out instant booking to additional countries and, as of June 30, 2016, completed our global rollout on all devices. Our business success depends in large part on our ability to maintain and expand relationships with our partners in the travel industry. These partners power the instant booking feature on our website and, we believe, will benefit from this feature through increased reservations and more direct relationships with travelers.</w:t>
      </w:r>
    </w:p>
    <w:p>
      <w:pPr>
        <w:spacing w:after="0" w:line="16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i w:val="1"/>
          <w:iCs w:val="1"/>
          <w:color w:val="auto"/>
        </w:rPr>
        <w:t xml:space="preserve">International Expansion. </w:t>
      </w:r>
      <w:r>
        <w:rPr>
          <w:rFonts w:ascii="Arial" w:cs="Arial" w:eastAsia="Arial" w:hAnsi="Arial"/>
          <w:sz w:val="16"/>
          <w:szCs w:val="16"/>
          <w:color w:val="auto"/>
        </w:rPr>
        <w:t>We are focused on strengthening our broad global footprint as we believe that penetrating international markets represents a</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opportunity for us. We continue to improve localization and grow our user base in Europe, Asia and South America, especially in emerging markets such as Brazil, Russia and China, including a lead product offering in the Chinese market—Mao Tu Ying (or TripAdvisor China) — headquartered in Beijing.</w:t>
      </w:r>
    </w:p>
    <w:p>
      <w:pPr>
        <w:spacing w:after="0" w:line="14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 xml:space="preserve">Attractions, Restaurants and Vacation Rentals. </w:t>
      </w:r>
      <w:r>
        <w:rPr>
          <w:rFonts w:ascii="Arial" w:cs="Arial" w:eastAsia="Arial" w:hAnsi="Arial"/>
          <w:sz w:val="17"/>
          <w:szCs w:val="17"/>
          <w:color w:val="auto"/>
        </w:rPr>
        <w:t>TripAdvisor has information and user-generated content on 4.2 million restaurants and 730,000</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attractions around the world. As a significant percentage of our users come to our websites for this content but are not hotel shoppers, we believe TripAdvisor has a unique opportunity to monetize its community of these non-hotel shoppers looking for places to eat and things to do. With the acquisitions of our online restaurant reservation businesses, and Viator for online bookable tours and attractions, we are attempting to match more users with more businesses. In addition, we provide access to vacation rentals to our users by offering individual property owners and property managers the ability to list their properties using a free-to-list, commission-based structure or a subscription-based fee option. We believe our highly-engaged and motivated user community creates a competitive advantage for us in this market. In the nine months ended September 30, 2016, Vacation Rental property listings grew 12% to 830,000 properties, primarily driven by strong listings growth in our free-to-list model.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a number of trends that affect our business. The following are some examples: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Continued Shift to Online Travel and Social Media to Access Travel Information. </w:t>
      </w:r>
      <w:r>
        <w:rPr>
          <w:rFonts w:ascii="Arial" w:cs="Arial" w:eastAsia="Arial" w:hAnsi="Arial"/>
          <w:sz w:val="17"/>
          <w:szCs w:val="17"/>
          <w:color w:val="auto"/>
        </w:rPr>
        <w:t>According to Phocuswright, global travel spending is expected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greater than $1.3 trillion in 2016. Travel related commerce, information and advertising continue to migrate to the Internet and away from traditional media outlets. For example, consumers are increasingly using online social media channels, such as Facebook and Twitter, as a means to communicate and exchange information, including travel information and opinions. We believe this trend will continue to create strategic growth opportunities, allowing us to attract new consumers and develop unique and effective advertising solutions. Over the years, we have made significant progress using social networking to leverage the expanding use of these channels and enhance traffic diversification and user engagement.</w:t>
      </w:r>
    </w:p>
    <w:p>
      <w:pPr>
        <w:spacing w:after="0" w:line="70" w:lineRule="exact"/>
        <w:rPr>
          <w:sz w:val="20"/>
          <w:szCs w:val="20"/>
          <w:color w:val="auto"/>
        </w:rPr>
      </w:pPr>
    </w:p>
    <w:p>
      <w:pPr>
        <w:ind w:right="40" w:firstLine="552"/>
        <w:spacing w:after="0" w:line="259" w:lineRule="auto"/>
        <w:rPr>
          <w:sz w:val="20"/>
          <w:szCs w:val="20"/>
          <w:color w:val="auto"/>
        </w:rPr>
      </w:pPr>
      <w:r>
        <w:rPr>
          <w:rFonts w:ascii="Arial" w:cs="Arial" w:eastAsia="Arial" w:hAnsi="Arial"/>
          <w:sz w:val="18"/>
          <w:szCs w:val="18"/>
          <w:color w:val="auto"/>
        </w:rPr>
        <w:t>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view real-time pricing, complete bookings, and access information while in-destination. We will continue to adapt our user experience in response to a changing Internet environment and usage trends.</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i w:val="1"/>
          <w:iCs w:val="1"/>
          <w:color w:val="auto"/>
        </w:rPr>
        <w:t xml:space="preserve">Increasing Competition. </w:t>
      </w:r>
      <w:r>
        <w:rPr>
          <w:rFonts w:ascii="Arial" w:cs="Arial" w:eastAsia="Arial" w:hAnsi="Arial"/>
          <w:sz w:val="18"/>
          <w:szCs w:val="18"/>
          <w:color w:val="auto"/>
        </w:rPr>
        <w:t>The travel planning industry and, more generally, the business of collecting and aggregating travel-related resources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well as enabling consumers to purchase travel-related products, continues to be increasingly competitive. There are an increasing number of companies who collect and aggregate travel information and resources and enable consumers to plan and book travel. These include search companies, such as Google, Inc. and Baidu.com, Inc.; large and increasingly consolidating online travel agencies, or OTAs (such as Expedia and Priceline and their respective subsidiaries); as well as companies such as Airbnb, Inc. and Alibaba. We plan to continue to invest in order to remain the leading source of travel reviews as well as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right="120"/>
        <w:spacing w:after="0" w:line="277" w:lineRule="auto"/>
        <w:rPr>
          <w:sz w:val="20"/>
          <w:szCs w:val="20"/>
          <w:color w:val="auto"/>
        </w:rPr>
      </w:pPr>
      <w:r>
        <w:rPr>
          <w:rFonts w:ascii="Arial" w:cs="Arial" w:eastAsia="Arial" w:hAnsi="Arial"/>
          <w:sz w:val="18"/>
          <w:szCs w:val="18"/>
          <w:color w:val="auto"/>
        </w:rPr>
        <w:t>continue to enhance our user experience. For further description of our competition see Item 1. “Business”, in our Annual Report on Form 10-K for the year ended December 31, 2015.</w:t>
      </w:r>
    </w:p>
    <w:p>
      <w:pPr>
        <w:spacing w:after="0" w:line="170"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i w:val="1"/>
          <w:iCs w:val="1"/>
          <w:color w:val="auto"/>
        </w:rPr>
        <w:t xml:space="preserve">Implementation of Instant Booking Strategy. </w:t>
      </w:r>
      <w:r>
        <w:rPr>
          <w:rFonts w:ascii="Arial" w:cs="Arial" w:eastAsia="Arial" w:hAnsi="Arial"/>
          <w:sz w:val="18"/>
          <w:szCs w:val="18"/>
          <w:color w:val="auto"/>
        </w:rPr>
        <w:t>With our rollout of instant booking feature completed, we continue to work to streamline our booking</w:t>
      </w:r>
      <w:r>
        <w:rPr>
          <w:rFonts w:ascii="Arial" w:cs="Arial" w:eastAsia="Arial" w:hAnsi="Arial"/>
          <w:sz w:val="18"/>
          <w:szCs w:val="18"/>
          <w:i w:val="1"/>
          <w:iCs w:val="1"/>
          <w:color w:val="auto"/>
        </w:rPr>
        <w:t xml:space="preserve"> </w:t>
      </w:r>
      <w:r>
        <w:rPr>
          <w:rFonts w:ascii="Arial" w:cs="Arial" w:eastAsia="Arial" w:hAnsi="Arial"/>
          <w:sz w:val="18"/>
          <w:szCs w:val="18"/>
          <w:color w:val="auto"/>
        </w:rPr>
        <w:t>path to optimize the user experience, seek partners with strong branding and supply channels in order to achieve higher conversion rates and repeat hotel bookings, persistently promote the TripAdvisor brand as the place to plan, compare prices, and book travel and develop additional opportunities to engage with our users, and establish our brand as a preferred booking site.</w:t>
      </w:r>
    </w:p>
    <w:p>
      <w:pPr>
        <w:spacing w:after="0" w:line="18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Hotel revenue from our instant booking feature is included in our TripAdvisor-branded click-based advertising and transaction revenue in our Hotel Segment. Our instant booking feature has monetized at a lower revenue per hotel shopper rate than our metasearch feature, or click-based advertising revenue, and therefore has been dilutive to our overall financial results to date, however, we believe that that the improved user experience will ultimately drive more value for our partners and increase monetization on our platform. In addition, our instant booking revenue recorded under the consumption model is recognized at the time the traveler consumes, or completes, the stay. Comparatively, revenue generated from our metasearch feature, or click-based advertising revenue, is recorded when a traveler makes the click-through to the travel partners’ websites, even if the traveler does not book during that search. Based on our internal data, we estimate the average time between a user booking a stay to consuming a stay is approximately three to five weeks, and is subject to seasonal variations. In future periods, greater contribution from our instant booking consumption model to TripAdvisor-branded click-based and transaction revenue could result in additional revenue recognized at the time of a consumed stay and therefore a shift in the timing of our revenue recognition.</w:t>
      </w:r>
    </w:p>
    <w:p>
      <w:pPr>
        <w:spacing w:after="0" w:line="167" w:lineRule="exact"/>
        <w:rPr>
          <w:sz w:val="20"/>
          <w:szCs w:val="20"/>
          <w:color w:val="auto"/>
        </w:rPr>
      </w:pPr>
    </w:p>
    <w:p>
      <w:pPr>
        <w:ind w:right="420" w:firstLine="518"/>
        <w:spacing w:after="0" w:line="286" w:lineRule="auto"/>
        <w:rPr>
          <w:sz w:val="20"/>
          <w:szCs w:val="20"/>
          <w:color w:val="auto"/>
        </w:rPr>
      </w:pPr>
      <w:r>
        <w:rPr>
          <w:rFonts w:ascii="Arial" w:cs="Arial" w:eastAsia="Arial" w:hAnsi="Arial"/>
          <w:sz w:val="16"/>
          <w:szCs w:val="16"/>
          <w:i w:val="1"/>
          <w:iCs w:val="1"/>
          <w:color w:val="auto"/>
        </w:rPr>
        <w:t xml:space="preserve">Evolution of the End to End Travel Experience. </w:t>
      </w:r>
      <w:r>
        <w:rPr>
          <w:rFonts w:ascii="Arial" w:cs="Arial" w:eastAsia="Arial" w:hAnsi="Arial"/>
          <w:sz w:val="16"/>
          <w:szCs w:val="16"/>
          <w:color w:val="auto"/>
        </w:rPr>
        <w:t>We believe our role in the overall travel experience continues to grow in importance in the travel</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as we emphasize to travelers that we are the place to come plan, compare prices and book their trip. Our websites globally reached 390 million average monthly unique visitors during the three months ended September 30, 2016, according to our internal log files. With 435 million reviews and opinions on 6.8 million places to stay, places to eat and things to do – including 1,050,000 hotels and accommodations and 830,000 vacation rentals,</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4.2 million restaurants and 730,000 attractions in 175,000 destinations throughout the world - we believe we have the best content in the travel industry for research and travel planning decision-making. When combined with our hotel metasearch capabilities to compare and find the best prices; our instant booking feature, allowing users to book their hotels on all devices directly on our website; and, subsequent to their trip, the ability to submit a traveler review, TripAdvisor provides an end to end travel experience.</w:t>
      </w:r>
    </w:p>
    <w:p>
      <w:pPr>
        <w:spacing w:after="0" w:line="19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i w:val="1"/>
          <w:iCs w:val="1"/>
          <w:color w:val="auto"/>
        </w:rPr>
        <w:t xml:space="preserve">Growth in Mobile Phone and Other Handheld Devices. </w:t>
      </w:r>
      <w:r>
        <w:rPr>
          <w:rFonts w:ascii="Arial" w:cs="Arial" w:eastAsia="Arial" w:hAnsi="Arial"/>
          <w:sz w:val="18"/>
          <w:szCs w:val="18"/>
          <w:color w:val="auto"/>
        </w:rPr>
        <w:t>To access the internet, users are increasingly using devices other than desktop computers,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mobile phones and handheld computers such as notebooks and tablets. To address these 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offer display advertising, our users could decide to access our products primarily through mobile phone devices. We offer display graphic advertising on mobile phones; however, our mobile phone monetization strategies are still developing. At present,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 The chief operating decision maker for the Company is our Chief Executive Officer. For further description of our segments see Item 1 “Business”, in our Annual Report on Form 10-K for the year ended December 31, 2015 and “Note 12: Segment Information” in the notes to the unaudited condensed consolidated financial statements in this Quarterly Report on Form 10-Q.</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ind w:firstLine="518"/>
        <w:spacing w:after="0" w:line="276" w:lineRule="auto"/>
        <w:rPr>
          <w:sz w:val="20"/>
          <w:szCs w:val="20"/>
          <w:color w:val="auto"/>
        </w:rPr>
      </w:pPr>
      <w:r>
        <w:rPr>
          <w:rFonts w:ascii="Arial" w:cs="Arial" w:eastAsia="Arial" w:hAnsi="Arial"/>
          <w:sz w:val="17"/>
          <w:szCs w:val="17"/>
          <w:color w:val="auto"/>
        </w:rPr>
        <w:t>In the first quarter of 2016, we made the following changes to our internal reporting: (1) we are providing additional disclosure on our revenue sources within our Hotel segment, which replaced our previously reported revenue disclosures of click-based advertising revenue, display based advertising revenue, and subscription, transaction and other revenues; and (2) we have changed the name of our “Other” reportable segment to “Non-Hotel.” These changes had no effect on our consolidated financial statements or to previously reported segment information, as there was no change in the composition of our operating or reportable segments. These reporting changes are described more fully in the following discussion.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80" w:firstLine="518"/>
        <w:spacing w:after="0" w:line="342" w:lineRule="auto"/>
        <w:rPr>
          <w:sz w:val="20"/>
          <w:szCs w:val="20"/>
          <w:color w:val="auto"/>
        </w:rPr>
      </w:pPr>
      <w:r>
        <w:rPr>
          <w:rFonts w:ascii="Arial" w:cs="Arial" w:eastAsia="Arial" w:hAnsi="Arial"/>
          <w:sz w:val="16"/>
          <w:szCs w:val="16"/>
          <w:color w:val="auto"/>
        </w:rPr>
        <w:t>As of September 30, 2016, we had 3,400 employees. Of these employees, approximately 51%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52"/>
        <w:spacing w:after="0" w:line="30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advertisers to market to potential travelers, and, therefore, our financial performance, tend to be seasonal as well. As a result, our financial results tend to be seasonally highest in the third quarter of a year, as it is a key period for travel research and trip-taking, compared to the first and fourth quarters which represent seasonal low points. Further significant shifts in our business mix or adverse economic conditions could result in future seasonal patterns that are different from historical trends.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right="40" w:hanging="299"/>
        <w:spacing w:after="0" w:line="232" w:lineRule="auto"/>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40" w:hanging="299"/>
        <w:spacing w:after="0" w:line="232" w:lineRule="auto"/>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Other than noted under “Recently Adopted Accounting Pronouncements” below, there have been no material changes to our critical accounting policies and estimates as compared to the critical accounting policies and estimates described in our Annual Report on Form 10-K for the fiscal year ended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Recently Adopted Accounting Pronouncements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October 2016, the Financial Accounting Standards Board (“FASB”) issued new accounting guidance which requires an entity to recognize at the transaction date the income tax consequences of intercompany asset transfers. The guidance is effective for fiscal years, and interim periods within those fiscal years, beginning after December 15, 2017, with early adoption permitted. We are currently evaluating the effect that the updated standard will have on our consolidated financial statements and related disclosures.</w:t>
      </w:r>
    </w:p>
    <w:p>
      <w:pPr>
        <w:spacing w:after="0" w:line="7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In August 2016, the FASB issued new accounting guidance which clarifies how companies present and classify certain cash receipts and cash</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payments in the statement of cash flows. The new guidance specifically addresses the following cash flow topics in an effort to reduce diversity in practice:</w:t>
      </w:r>
    </w:p>
    <w:p>
      <w:pPr>
        <w:spacing w:after="0" w:line="32" w:lineRule="exact"/>
        <w:rPr>
          <w:sz w:val="20"/>
          <w:szCs w:val="20"/>
          <w:color w:val="auto"/>
        </w:rPr>
      </w:pPr>
    </w:p>
    <w:p>
      <w:pPr>
        <w:ind w:right="340" w:firstLine="8"/>
        <w:spacing w:after="0" w:line="295"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within those fiscal years, beginning after December 15, 2017, with early adoption permitted. We are currently evaluating the effect that the updated standard will have on our consolidated financial statements and related disclosures.</w:t>
      </w:r>
    </w:p>
    <w:p>
      <w:pPr>
        <w:spacing w:after="0" w:line="62"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 February 2016, the FASB issued new accounting guidance on leases that is intended to provide enhanced transparency and comparability by requiring lessees to record right-of-use assets and corresponding lease liabilities on the balance sheet. The new guidance will continue to classify leases as either finance or operating, with classification affecting the pattern of expense recognition in the statement of operations. This guidance is effective for fiscal years, and interim periods within those fiscal years, beginning after December 15, 2018, with early adoption permitted. We are currently evaluating the effect that the updated standard will have on our consolidated financial statements and related disclosures.</w:t>
      </w:r>
    </w:p>
    <w:p>
      <w:pPr>
        <w:spacing w:after="0" w:line="64"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May 2014, the FASB issued new accounting guidance on revenue from contracts with customers. The new guidance requires an entity to recognize the amount of revenue to which it expects to be entitled for the transfer of promised goods or services to customers.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updated guidance will replace most existing revenue recognition guidance in GAAP when it becomes effective and permits the use of either a full retrospective approach or a modified retrospective approach, which requires the initial cumulative effect to be recognized at the date of initial application. This guidance is effective for fiscal years, and interim periods within those fiscal years, beginning after December 15, 2017 and early adoption is permitted for fiscal years beginning after December 15, 2016. We have not yet selected a transition method and are currently evaluating the effect that the updated standard will have on our consolidated financial statements and related disclosures.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In March 2016, the FASB issued new accounting guidance on stock compensation, or ASU 2016-09, which changes how companies account for certain aspects of stock-based payment awards to employees, including the accounting for income taxes, forfeitures, and statutory tax withholding requirements, as well as classification in the statement of cash flows. The new guidance permits recognizing the impact of forfeitures on stock-based compensation as they occur or to recognize stock-based compensation expense net of expected forfeitures, requires companies to record excess tax benefits and tax deficiencies as income tax benefit or expense in the consolidated statement of operations when the awards vest or are settled, and eliminates the requirement to reclassify cash flows related to excess tax benefits from operating activities to financing activities on the consolidated statement of cash flows.</w:t>
      </w:r>
    </w:p>
    <w:p>
      <w:pPr>
        <w:spacing w:after="0" w:line="8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elected to early adopt the new guidance in the third quarter of 2016, which requires us to reflect any adjustments as of January 1, 2016, the beginning of the annual period that includes the interim period of adoption. The primary impact of adoption was the recognition of excess tax benefits and tax deficiencies in our provision for income taxes rather than additional paid-in capital for all periods in 2016. There was no impact to our provision for income taxes as previously reported for 2015. Additionally, our consolidated statement of cash flows now present excess tax benefits as an operating activity on a retrospective basis. As a result of the retrospective implementation of this guidance, the impact on the statement of cash flows for the nine months ended September 30, 2015 was an increase of $32 million in cash flows from operating activities with an offsetting reduction in cash flows from financing activities. Finally, we have elected to account for forfeitures as they occur, rather than estimate expected forfeitures. The net cumulative effect of this change was recognized as a $1 million reduction to retained earnings as of January 1, 2016.</w:t>
      </w:r>
    </w:p>
    <w:p>
      <w:pPr>
        <w:spacing w:after="0" w:line="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Adoption of the new guidance resulted in the recognition of net excess tax expense and benefit in our provision for income taxes rather than additional paid-in capital. As a result, we recorded $1 million of income tax expense and $2 million of income tax benefit for the three and nine months ended September 30, 2016, respectively, and impacted our previously reported quarterly results for the three months ended March 31, 2016 and June 30, 2016,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 March 31, 2016</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As Reported</w:t>
            </w:r>
          </w:p>
        </w:tc>
        <w:tc>
          <w:tcPr>
            <w:tcW w:w="540" w:type="dxa"/>
            <w:vAlign w:val="bottom"/>
          </w:tcPr>
          <w:p>
            <w:pPr>
              <w:spacing w:after="0"/>
              <w:rPr>
                <w:sz w:val="19"/>
                <w:szCs w:val="19"/>
                <w:color w:val="auto"/>
              </w:rPr>
            </w:pPr>
          </w:p>
        </w:tc>
        <w:tc>
          <w:tcPr>
            <w:tcW w:w="1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20" w:type="dxa"/>
            <w:vAlign w:val="bottom"/>
            <w:tcBorders>
              <w:top w:val="single" w:sz="8" w:color="auto"/>
            </w:tcBorders>
            <w:gridSpan w:val="3"/>
          </w:tcPr>
          <w:p>
            <w:pPr>
              <w:jc w:val="right"/>
              <w:ind w:right="133"/>
              <w:spacing w:after="0" w:line="155" w:lineRule="exact"/>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Basic EPS</w:t>
            </w:r>
          </w:p>
        </w:tc>
        <w:tc>
          <w:tcPr>
            <w:tcW w:w="304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0.19</w:t>
            </w:r>
          </w:p>
        </w:tc>
        <w:tc>
          <w:tcPr>
            <w:tcW w:w="124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 EPS</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6"/>
              </w:rPr>
              <w:t>0.18</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8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04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1240" w:type="dxa"/>
            <w:vAlign w:val="bottom"/>
          </w:tcPr>
          <w:p>
            <w:pPr>
              <w:jc w:val="right"/>
              <w:ind w:right="953"/>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04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c>
          <w:tcPr>
            <w:tcW w:w="124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00" w:type="dxa"/>
            <w:vAlign w:val="bottom"/>
          </w:tcPr>
          <w:p>
            <w:pPr>
              <w:jc w:val="right"/>
              <w:ind w:right="810"/>
              <w:spacing w:after="0"/>
              <w:rPr>
                <w:sz w:val="20"/>
                <w:szCs w:val="20"/>
                <w:color w:val="auto"/>
              </w:rPr>
            </w:pPr>
            <w:r>
              <w:rPr>
                <w:rFonts w:ascii="Arial" w:cs="Arial" w:eastAsia="Arial" w:hAnsi="Arial"/>
                <w:sz w:val="18"/>
                <w:szCs w:val="18"/>
                <w:color w:val="auto"/>
              </w:rPr>
              <w:t>29</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29" w:name="page30"/>
    <w:bookmarkEnd w:id="2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1"/>
              </w:rPr>
              <w:t>Three months ended June 30, 2016</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(1)</w:t>
            </w:r>
          </w:p>
        </w:tc>
        <w:tc>
          <w:tcPr>
            <w:tcW w:w="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260" w:type="dxa"/>
            <w:vAlign w:val="bottom"/>
          </w:tcPr>
          <w:p>
            <w:pPr>
              <w:spacing w:after="0"/>
              <w:rPr>
                <w:sz w:val="15"/>
                <w:szCs w:val="15"/>
                <w:color w:val="auto"/>
              </w:rPr>
            </w:pPr>
          </w:p>
        </w:tc>
        <w:tc>
          <w:tcPr>
            <w:tcW w:w="316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2"/>
              </w:rPr>
              <w:t>(in millions, except per share data)</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3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EPS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0.23</w:t>
            </w:r>
          </w:p>
        </w:tc>
        <w:tc>
          <w:tcPr>
            <w:tcW w:w="1380" w:type="dxa"/>
            <w:vAlign w:val="bottom"/>
            <w:shd w:val="clear" w:color="auto" w:fill="CFF0FC"/>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Diluted EPS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0.23</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160" w:type="dxa"/>
            <w:vAlign w:val="bottom"/>
            <w:gridSpan w:val="3"/>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31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0"/>
              </w:rPr>
              <w:t>Six months ended June 30, 2016</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As Reported</w:t>
            </w:r>
          </w:p>
        </w:tc>
        <w:tc>
          <w:tcPr>
            <w:tcW w:w="5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 xml:space="preserve">As Adjusted </w:t>
            </w:r>
            <w:r>
              <w:rPr>
                <w:rFonts w:ascii="Arial" w:cs="Arial" w:eastAsia="Arial" w:hAnsi="Arial"/>
                <w:sz w:val="12"/>
                <w:szCs w:val="12"/>
                <w:b w:val="1"/>
                <w:bCs w:val="1"/>
                <w:color w:val="auto"/>
              </w:rPr>
              <w:t>(2)</w:t>
            </w:r>
          </w:p>
        </w:tc>
        <w:tc>
          <w:tcPr>
            <w:tcW w:w="3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40" w:type="dxa"/>
            <w:vAlign w:val="bottom"/>
            <w:gridSpan w:val="2"/>
          </w:tcPr>
          <w:p>
            <w:pPr>
              <w:jc w:val="center"/>
              <w:ind w:right="795"/>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8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357</w:t>
            </w:r>
          </w:p>
        </w:tc>
        <w:tc>
          <w:tcPr>
            <w:tcW w:w="1380" w:type="dxa"/>
            <w:vAlign w:val="bottom"/>
          </w:tcPr>
          <w:p>
            <w:pPr>
              <w:jc w:val="right"/>
              <w:ind w:right="109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4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9"/>
              </w:rPr>
              <w:t>(123)</w:t>
            </w:r>
          </w:p>
        </w:tc>
        <w:tc>
          <w:tcPr>
            <w:tcW w:w="1380" w:type="dxa"/>
            <w:vAlign w:val="bottom"/>
            <w:shd w:val="clear" w:color="auto" w:fill="CFF0FC"/>
          </w:tcPr>
          <w:p>
            <w:pPr>
              <w:jc w:val="right"/>
              <w:ind w:right="109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60" w:right="1120" w:hanging="461"/>
        <w:spacing w:after="0" w:line="256" w:lineRule="auto"/>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to account for forfeitures as they occur did not have a material impact for the three months ended March 31, 2016 and resulted in an increase to stock-based compensation expense of approximately $1 million for the three months ended June 30, 2016.</w:t>
      </w:r>
    </w:p>
    <w:p>
      <w:pPr>
        <w:ind w:left="1560" w:right="1300" w:hanging="461"/>
        <w:spacing w:after="0" w:line="323" w:lineRule="auto"/>
        <w:tabs>
          <w:tab w:leader="none" w:pos="1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the reclassification of cash flows related to excess tax benefits from financing activities to operating activities of $4 million and $2 million for the three months ending March 31, 2016 and June 30, 2016, respectively.</w:t>
      </w:r>
    </w:p>
    <w:p>
      <w:pPr>
        <w:spacing w:after="0" w:line="17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In September 2015, the FASB issued new accounting guidance which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that would have been recorded in previous periods if the accounting had been completed at the acquisition date. The Company adopted this guidance in the first quarter of 2016. The adoption of this guidance did not have a material impact on our consolidated financial statements and related disclosures.</w:t>
      </w:r>
    </w:p>
    <w:p>
      <w:pPr>
        <w:spacing w:after="0" w:line="6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April 2015, the FASB issued new accounting guidance which clarifies the accounting for fees paid by a customer in a cloud computing arrangement. This standard clarified whether a customer should account for a cloud computing arrangement as an acquisition of a software license or as a service arrangement by providing characteristics that a cloud computing arrangement must have in order to be accounted for as a software license acquisition. If a cloud computing arrangement includes a software license, the customer should account for the software license element of the arrangement consistent with the acquisition of other software licenses. If the arrangement does not include a software license, the customer should account for a cloud computing arrangement as a service contract. The company prospectively adopted this guidance in the first quarter of 2016. The adoption of this guidance did not have a material impact on our consolidated financial statements and related disclosures.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80" w:type="dxa"/>
            <w:vAlign w:val="bottom"/>
            <w:gridSpan w:val="4"/>
          </w:tcPr>
          <w:p>
            <w:pPr>
              <w:jc w:val="right"/>
              <w:ind w:right="4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 Change</w:t>
            </w:r>
          </w:p>
        </w:tc>
        <w:tc>
          <w:tcPr>
            <w:tcW w:w="23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gridSpan w:val="3"/>
          </w:tcPr>
          <w:p>
            <w:pPr>
              <w:jc w:val="right"/>
              <w:ind w:right="226"/>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380" w:type="dxa"/>
            <w:vAlign w:val="bottom"/>
            <w:gridSpan w:val="7"/>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421</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415</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210</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197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355</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327</w:t>
            </w:r>
          </w:p>
        </w:tc>
        <w:tc>
          <w:tcPr>
            <w:tcW w:w="2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Financial Data:</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600" w:type="dxa"/>
            <w:vAlign w:val="bottom"/>
            <w:shd w:val="clear" w:color="auto" w:fill="CFF0FC"/>
          </w:tcPr>
          <w:p>
            <w:pPr>
              <w:jc w:val="right"/>
              <w:ind w:right="44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114</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130</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See “Adjusted EBITDA” discussion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the first quarter of 2016 we began providing additional disclosure on our revenue sources within our Hotel segment, which are TripAdvisor-branded click-based and transaction revenue, TripAdvisor-branded display-based advertising and subscription revenue, and other hotel revenue. The purpose of this additional disclosure is to provide further understanding of our hotel revenue sources and allow for additional insight into the calculation of one of our key operating performance metrics, revenue per hotel shopper. In conjunction with providing these additional revenue disclosures, we will no longer provide our historically reported revenue disclosure of click-based advertising, display-based advertising, and subscription, transaction and other revenues. This change had no effect on our consolidated financial statements in any period or with the composition of our operating or reportable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Nine months ended</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20" w:type="dxa"/>
            <w:vAlign w:val="bottom"/>
          </w:tcPr>
          <w:p>
            <w:pPr>
              <w:spacing w:after="0"/>
              <w:rPr>
                <w:sz w:val="14"/>
                <w:szCs w:val="14"/>
                <w:color w:val="auto"/>
              </w:rPr>
            </w:pPr>
          </w:p>
        </w:tc>
      </w:tr>
      <w:tr>
        <w:trPr>
          <w:trHeight w:val="156"/>
        </w:trPr>
        <w:tc>
          <w:tcPr>
            <w:tcW w:w="27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 vs. 2015</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2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ind w:left="760"/>
              <w:spacing w:after="0"/>
              <w:rPr>
                <w:sz w:val="20"/>
                <w:szCs w:val="20"/>
                <w:color w:val="auto"/>
              </w:rPr>
            </w:pPr>
            <w:r>
              <w:rPr>
                <w:rFonts w:ascii="Arial" w:cs="Arial" w:eastAsia="Arial" w:hAnsi="Arial"/>
                <w:sz w:val="14"/>
                <w:szCs w:val="14"/>
                <w:b w:val="1"/>
                <w:bCs w:val="1"/>
                <w:color w:val="auto"/>
              </w:rPr>
              <w:t>(in millions)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Hotel</w:t>
            </w:r>
          </w:p>
        </w:tc>
        <w:tc>
          <w:tcPr>
            <w:tcW w:w="94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320</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1,003</w:t>
            </w:r>
          </w:p>
        </w:tc>
        <w:tc>
          <w:tcPr>
            <w:tcW w:w="3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2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63"/>
        </w:trPr>
        <w:tc>
          <w:tcPr>
            <w:tcW w:w="2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42"/>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3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32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Hotel</w:t>
            </w:r>
          </w:p>
        </w:tc>
        <w:tc>
          <w:tcPr>
            <w:tcW w:w="94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3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94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Adjusted EBITDA Margin by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4"/>
                <w:szCs w:val="14"/>
                <w:color w:val="auto"/>
              </w:rPr>
              <w:t>(2)</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Non-Hotel</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968"/>
              <w:spacing w:after="0"/>
              <w:rPr>
                <w:sz w:val="20"/>
                <w:szCs w:val="20"/>
                <w:color w:val="auto"/>
              </w:rPr>
            </w:pPr>
            <w:r>
              <w:rPr>
                <w:rFonts w:ascii="Arial" w:cs="Arial" w:eastAsia="Arial" w:hAnsi="Arial"/>
                <w:sz w:val="18"/>
                <w:szCs w:val="18"/>
                <w:color w:val="auto"/>
                <w:w w:val="89"/>
              </w:rPr>
              <w:t>31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31" w:name="page32"/>
    <w:bookmarkEnd w:id="31"/>
    <w:p>
      <w:pPr>
        <w:ind w:left="1180" w:right="880" w:hanging="361"/>
        <w:spacing w:after="0" w:line="248"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Included in Adjusted EBITDA by Segment is a general and administrative expense allocation for each segment, which is based on the segment’s percentage of our total personnel costs. See “Note 12: Segment Information,” in the notes to our unaudited condensed consolidated financial statements for more information.</w:t>
      </w:r>
    </w:p>
    <w:p>
      <w:pPr>
        <w:ind w:left="1180" w:hanging="3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“Adjusted EBITDA by Segment margin”,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-294640</wp:posOffset>
            </wp:positionV>
            <wp:extent cx="6277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7761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Our Hotel segment revenue decreased by $20 million and $64 million during the three and nine months ended September 30, 2016, respectively, when compared to the same periods in 2015, primarily due to a $22 million and $87 million decrease in TripAdvisor-branded click-based and transaction revenue, which is primarily due to a decline in revenue per hotel shopper of 12% and 18% during both the three and nine months ended September 30, 2016, respectively, partially offset by growth of $1 million and $13 million in TripAdvisor-branded display-based advertising and subscription revenue, and $1 million and $10 million in other hotel revenue, during the three and nine months ended September 30, 2016, respectively, all of which are discussed below.</w:t>
      </w:r>
    </w:p>
    <w:p>
      <w:pPr>
        <w:spacing w:after="0" w:line="50"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Adjusted EBITDA in our Hotel segment decreased $22 million and $68 million during the three and nine months ended September 30, 2016, respectively, when compared to the same periods in 2015, primarily due to a decrease in Hotel segment revenue and increased personnel and overhead costs as well as online traffic acquisition costs, partially offset by lower television advertising costs due to the cessation of our television advertising campaign in 2016. Our Hotel segment Adjusted EBITDA margin declined during the three and nine months ended September 30, 2016, respectively, when compared to the same periods in 2015, primarily due to an overall decrease in Hotel segment revenue, and to a lesser extent increased investment levels to support future growth.</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8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5"/>
        </w:trPr>
        <w:tc>
          <w:tcPr>
            <w:tcW w:w="2580" w:type="dxa"/>
            <w:vAlign w:val="bottom"/>
          </w:tcPr>
          <w:p>
            <w:pPr>
              <w:spacing w:after="0"/>
              <w:rPr>
                <w:sz w:val="20"/>
                <w:szCs w:val="20"/>
                <w:color w:val="auto"/>
              </w:rPr>
            </w:pPr>
            <w:r>
              <w:rPr>
                <w:rFonts w:ascii="Arial" w:cs="Arial" w:eastAsia="Arial" w:hAnsi="Arial"/>
                <w:sz w:val="18"/>
                <w:szCs w:val="18"/>
                <w:color w:val="auto"/>
                <w:w w:val="99"/>
              </w:rPr>
              <w:t>TripAdvisor-branded click-based</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and transaction</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206</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based advertising and</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subscription</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5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2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520" w:type="dxa"/>
            <w:vAlign w:val="bottom"/>
            <w:tcBorders>
              <w:bottom w:val="single" w:sz="8" w:color="CFF0FC"/>
            </w:tcBorders>
            <w:gridSpan w:val="3"/>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80" w:type="dxa"/>
            <w:vAlign w:val="bottom"/>
            <w:tcBorders>
              <w:bottom w:val="single" w:sz="8" w:color="CFF0FC"/>
            </w:tcBorders>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2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Hotel revenue</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320</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52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148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TripAdvisor-branded click-based and transaction revenue includes click-based advertising revenue (or revenue derived from our metasearch auction) from our TripAdvisor-branded websites and revenue from our transaction-based hotel instant booking feature. For the three and nine months ended September 30, 2016, 64% and 63%, respectively, of our total Hotel segment revenue was derived from our TripAdvisor-branded click-based and transaction</w:t>
      </w:r>
    </w:p>
    <w:p>
      <w:pPr>
        <w:ind w:right="40"/>
        <w:spacing w:after="0" w:line="295" w:lineRule="auto"/>
        <w:rPr>
          <w:sz w:val="20"/>
          <w:szCs w:val="20"/>
          <w:color w:val="auto"/>
        </w:rPr>
      </w:pPr>
      <w:r>
        <w:rPr>
          <w:rFonts w:ascii="Arial" w:cs="Arial" w:eastAsia="Arial" w:hAnsi="Arial"/>
          <w:sz w:val="16"/>
          <w:szCs w:val="16"/>
          <w:color w:val="auto"/>
        </w:rPr>
        <w:t>revenue. For the three and nine months ended September 30, 2015, 67% and 68%, respectively, of our total Hotel segment revenue was derived from our TripAdvisor-branded click-based and transaction revenue. TripAdvisor-branded click-based and transaction revenue decreased $22 million and $87 million during the three and nine months ended September 30, 2016, respectively, when compared to the same periods in 2015, primarily due to a decline of 12% and 18%, respectively, in revenue per hotel shopper during the three and nine months ended September 30, 2016, which is explained in further detail below.</w:t>
      </w:r>
    </w:p>
    <w:p>
      <w:pPr>
        <w:spacing w:after="0" w:line="5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largest source of Hotel segment revenue is click-based advertising revenue from our TripAdvisor-branded websites, which includes links to our partners’ sites and contextually-relevant branded and related text links. Our click-based advertising partners are predominantly OTAs, and direct suppliers in the hotel, airline and cruise product categories. Click-based advertising is generally priced on a cost-per-click, or “CPC”, basis, with payments from advertisers based on the number of users who click on each type of link, or in other words a conversion of a hotel shopper to a paid click. CPC is the effective price that partners are willing to pay for a hotel shopper lead, and is determined in a competitive process that allows our partners to use our proprietary, automated bidding system to submit CPC bids to have their rates and availability listed on our site. This process is called our metasearch auction. When a partner submits a CPC bid, they are agreeing to pay the amount of that bid each time a user subsequently clicks on the uniform resource locator, or URL link, to the partner’s website. Bids can be submitted periodically – as often as daily– on a property-by-property basis. The size of the bid relative to other bids received is the primary factor used to determine the placement of partner links on our site, including on hotel comparison search results and on property detail pages. CPCs are generally lower in international markets than in the U.S. market, and, in addition, hotel shoppers visiting via mobile phones generally monetize at a significantly lower rate than hotel shoppers visiting via desktop or tablet.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firstLine="518"/>
        <w:spacing w:after="0" w:line="270" w:lineRule="auto"/>
        <w:rPr>
          <w:sz w:val="20"/>
          <w:szCs w:val="20"/>
          <w:color w:val="auto"/>
        </w:rPr>
      </w:pPr>
      <w:r>
        <w:rPr>
          <w:rFonts w:ascii="Arial" w:cs="Arial" w:eastAsia="Arial" w:hAnsi="Arial"/>
          <w:sz w:val="17"/>
          <w:szCs w:val="17"/>
          <w:color w:val="auto"/>
        </w:rPr>
        <w:t>Our transaction revenue is comprised of revenue from our hotel instant booking feature, which allows the merchant of record, generally an OTA or hotel partner, to pay a commission to TripAdvisor for a user that completes a hotel reservation on our 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cancellation risk. When a traveler makes a hotel reservation on our site with one of our consumption partners, revenue is not recorded until the traveler completes the stay as our consumption partners are liable for commission payment only upon the completion of stay by the traveler. OTA and hotel partner placement, as well as comparative hotel prices available to the traveler in the booking process under both models, are determined by a bidding process within our proprietary automated bidding system, based on a number of variables including commission rates, depending on the specific hotel selected. Instant booking commissions are primarily a function of average gross booking value generated from hotel reservations, cancellations rates experienced, and commission rates negotiated with each of our partners.</w:t>
      </w:r>
    </w:p>
    <w:p>
      <w:pPr>
        <w:spacing w:after="0" w:line="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the growth in average monthly unique hotel shoppers and particularly revenue per hotel shopper, which measures how effectively we convert our hotel shoppers into revenue. We measure performance by calculating revenue per hotel shopper on an aggregate basis, dividing total TripAdvisor-branded click-based and transaction revenue by total average monthly unique hotel shoppers on TripAdvisor-branded websites for the periods presented.</w:t>
      </w:r>
    </w:p>
    <w:p>
      <w:pPr>
        <w:spacing w:after="0" w:line="79"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a key indicator of revenue growth. Hotel shoppers are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growth, quarterly and annual hotel shopper growth is a difficult metric to forecast.</w:t>
      </w:r>
    </w:p>
    <w:p>
      <w:pPr>
        <w:spacing w:after="0" w:line="5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aggregate average monthly unique hotel shoppers on TripAdvisor-branded websites increased 3% and 5% during the three and nine months ended September 30, 2016, respectively, when compared to the same periods in 2015, according to our log files. The increase in hotel shoppers for the three and nine months ended September 30, 2016, respectively, was primarily due to growth in our online marketing channels as well as the general trend of an increasing number of hotel shoppers visiting our websites on mobile phones, which more than offset headwinds experienced in hotel shopper growth on desktop devices during these periods. While increasing the absolute number of hotel shoppers on our sites remains a top strategic priority, our ability to grow through paid traffic channels has been negatively impacted by lower revenue per hotel shopper.</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5"/>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bottom w:val="single" w:sz="8" w:color="auto"/>
            </w:tcBorders>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c>
          <w:tcPr>
            <w:tcW w:w="0" w:type="dxa"/>
            <w:vAlign w:val="bottom"/>
          </w:tcPr>
          <w:p>
            <w:pPr>
              <w:spacing w:after="0"/>
              <w:rPr>
                <w:sz w:val="1"/>
                <w:szCs w:val="1"/>
                <w:color w:val="auto"/>
              </w:rPr>
            </w:pPr>
          </w:p>
        </w:tc>
      </w:tr>
      <w:tr>
        <w:trPr>
          <w:trHeight w:val="156"/>
        </w:trPr>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right="22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240"/>
              <w:spacing w:after="0"/>
              <w:rPr>
                <w:sz w:val="20"/>
                <w:szCs w:val="20"/>
                <w:color w:val="auto"/>
              </w:rPr>
            </w:pPr>
            <w:r>
              <w:rPr>
                <w:rFonts w:ascii="Arial" w:cs="Arial" w:eastAsia="Arial" w:hAnsi="Arial"/>
                <w:sz w:val="18"/>
                <w:szCs w:val="18"/>
                <w:color w:val="auto"/>
              </w:rPr>
              <w:t>TripAdvisor-branded click-</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240"/>
              <w:spacing w:after="0"/>
              <w:rPr>
                <w:sz w:val="20"/>
                <w:szCs w:val="20"/>
                <w:color w:val="auto"/>
              </w:rPr>
            </w:pPr>
            <w:r>
              <w:rPr>
                <w:rFonts w:ascii="Arial" w:cs="Arial" w:eastAsia="Arial" w:hAnsi="Arial"/>
                <w:sz w:val="18"/>
                <w:szCs w:val="18"/>
                <w:color w:val="auto"/>
              </w:rPr>
              <w:t>based and transaction</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40"/>
              <w:spacing w:after="0"/>
              <w:rPr>
                <w:sz w:val="20"/>
                <w:szCs w:val="20"/>
                <w:color w:val="auto"/>
              </w:rPr>
            </w:pPr>
            <w:r>
              <w:rPr>
                <w:rFonts w:ascii="Arial" w:cs="Arial" w:eastAsia="Arial" w:hAnsi="Arial"/>
                <w:sz w:val="18"/>
                <w:szCs w:val="18"/>
                <w:color w:val="auto"/>
              </w:rPr>
              <w:t>revenue</w:t>
            </w:r>
          </w:p>
        </w:tc>
        <w:tc>
          <w:tcPr>
            <w:tcW w:w="9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206</w:t>
            </w:r>
          </w:p>
        </w:tc>
        <w:tc>
          <w:tcPr>
            <w:tcW w:w="84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228</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20"/>
                <w:szCs w:val="20"/>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Divided by: Total average</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monthly unique hotel</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shoppers for the quarter</w:t>
            </w:r>
          </w:p>
        </w:tc>
        <w:tc>
          <w:tcPr>
            <w:tcW w:w="320" w:type="dxa"/>
            <w:vAlign w:val="bottom"/>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0.45</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0.51</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overall revenue per hotel shopper decreased 12% and 18%, respectively, during the three and nine months ended September 30, 2016 when compared to the same periods in 2015, according to our log files. We believe the primary drivers of this decrease are a result of our global launch of our hotel instant booking feature, challenging metasearch comparatives for the same periods in 2015, a greater percentage of hotel shoppers visiting TripAdvisor websites via mobile phones, which monetize at a significantly lower rate than hotel shoppers that visit TripAdvisor websites via desktop or tablet, and competitive and other travel market dynamics.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For both the three and nine months ended September 30, 2016, 23% of our Hotel segment revenue was derived from our TripAdvisor-branded display based advertising and subscription revenue, which consists of revenue from display-based advertising, subscription-based hotel advertising revenue (or Business Listings), as well as content licensing with third party websites. For the three and nine months ended September 30, 2015, 21% and 20%, respectively, of our Hotel segment revenue was derived from our TripAdvisor-branded display based advertising and subscription revenue.</w:t>
      </w:r>
    </w:p>
    <w:p>
      <w:pPr>
        <w:spacing w:after="0" w:line="6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Our TripAdvisor-branded display-based advertising and subscription revenue increased by $1 million or 1%, and $13 million or 6%, during the three and nine months ended September 30, 2016, respectively, when compared to the same periods in 2015. The increase in display-based advertising revenue was primarily due to an increase in pricing, while the increase in subscription revenue was a result of both increased pricing and sales productivity.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For the three and nine months ended September 30, 2016, 13% and 14%, respectively, of our Hotel segment revenue was derived from other hotel revenues. For both the three and nine months ended September 30, 2015, 12% of our Hotel segment revenue was derived from other hotel revenues. Our other hotel revenue primarily includes revenue from non-TripAdvisor branded websites, including click-based advertising revenue, display-based advertising revenue and room reservations sold through these websites. Our other hotel revenue increased by $1 million and $10 million during the three and nine months ended September 30, 2016, respectively, when compared to the same periods in 2015.</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Our Non-Hotel segment revenue increased by $26 million or 35%, and $45 million or 25% during the three and nine months ended September 30, 2016, respectively, when compared to the same periods in 2015, primarily driven by increased bookings in 2016 across all businesses.</w:t>
      </w:r>
    </w:p>
    <w:p>
      <w:pPr>
        <w:spacing w:after="0" w:line="16"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Our Attractions business has benefitted in 2016 from an increase in supply of attraction listings and attraction partners, continued growth in our user base globally, and enhanced user experience from the introduction of new features, such as attractions on instant booking for mobile, which enables users to purchase tickets and tours seamlessly without leaving the mobile app. These factors are all contributing to more consumer choice, increased conversion, and continued revenue growth due to increased bookings. In our Restaurants business, we saw growth in our restaurant listings of 40% during the nine months ended September 30, 2016, when compared to the same period in 2015, and continued revenue growth due to increased bookings in our more established markets, and additionally from expansion into new markets. In our Vacation Rentals business we continued to see an increase in property listings, as well as increased revenue during the three and nine months ended September 30, 2016, when compared to the same periods in 2015, primarily due to increased revenue recognized at time of stay in our third quarter seasonal peak, due to the continued shift to our free-to-list model, and increased bookings during the year.</w:t>
      </w:r>
    </w:p>
    <w:p>
      <w:pPr>
        <w:spacing w:after="0" w:line="89"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Adjusted EBITDA in our Non-Hotel segment increased $6 million and decreased $17 million during the three and nine months ended September 30, 2016, respectively, when compared to the same periods in 2015. The increase during the three months ended September 30, 2016, when compared to the same period in 2015, was primarily due to an increase in revenue offset by an increase in personnel and overhead costs of $12 million and online traffic acquisition costs of $5 million. The decrease during the nine months ended September 30, 2016, when compared to the same period in 2015, was primarily due to increased personnel and overhead costs of $37 million, and also increased online traffic acquisition costs of $15 million, which more than offset the increase in revenue. The Attractions, Restaurant and Vacation Rental businesses are all at the earlier stages of their growth and business life cycle which require early investment to fund growth initiatives, and a contributing factor to this reportable segment operating at a loss.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 by Geography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our revenue by geographic region. Revenue by geography is based on the geographic location of our websites.</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4"/>
          </w:tcPr>
          <w:p>
            <w:pPr>
              <w:jc w:val="center"/>
              <w:ind w:left="207"/>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Pr>
          <w:p>
            <w:pPr>
              <w:spacing w:after="0"/>
              <w:rPr>
                <w:sz w:val="14"/>
                <w:szCs w:val="14"/>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bottom w:val="single" w:sz="8" w:color="auto"/>
            </w:tcBorders>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2016 vs. 2015</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3"/>
          </w:tcPr>
          <w:p>
            <w:pPr>
              <w:jc w:val="center"/>
              <w:ind w:right="26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w:t>
            </w:r>
          </w:p>
        </w:tc>
        <w:tc>
          <w:tcPr>
            <w:tcW w:w="5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region:</w:t>
            </w:r>
          </w:p>
        </w:tc>
        <w:tc>
          <w:tcPr>
            <w:tcW w:w="5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11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233</w:t>
            </w:r>
          </w:p>
        </w:tc>
        <w:tc>
          <w:tcPr>
            <w:tcW w:w="86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219</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611</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5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136</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135</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300" w:type="dxa"/>
            <w:vAlign w:val="bottom"/>
          </w:tcPr>
          <w:p>
            <w:pPr>
              <w:ind w:left="240"/>
              <w:spacing w:after="0"/>
              <w:rPr>
                <w:sz w:val="20"/>
                <w:szCs w:val="20"/>
                <w:color w:val="auto"/>
              </w:rPr>
            </w:pPr>
            <w:r>
              <w:rPr>
                <w:rFonts w:ascii="Arial" w:cs="Arial" w:eastAsia="Arial" w:hAnsi="Arial"/>
                <w:sz w:val="18"/>
                <w:szCs w:val="18"/>
                <w:color w:val="auto"/>
              </w:rPr>
              <w:t>APAC (3)</w:t>
            </w: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54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5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300" w:type="dxa"/>
            <w:vAlign w:val="bottom"/>
          </w:tcPr>
          <w:p>
            <w:pPr>
              <w:ind w:left="38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421</w:t>
            </w: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415</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United States and Canada</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 Middle East and Africa</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Asia-Pacific</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21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Revenue outside of North America, or international revenue, decreased $8 million, or 4%, and $49 million or 9%, respectively, during the three and nine months ended September 30, 2016, when compared to the same periods in 2015. International revenue represented 45% of total revenue during both the three and nine months ended September 30, 2016, respectively, and represented 47% and 48% of total revenue during the three and nine months ended September 30, 2015, respectively. Our international revenue growth rate decelerated during the three and nine months ended September 30, 2016 when compared to the same periods in 2015, primarily due to the overall decrease in revenue per hotel shopper, which is explained above. Our international revenue also declined as a percentage of total revenue during the three and nine months ended September 30, 2016 when compared to the same periods in 2015. We believe this was largely due to the timing of our instant booking feature rollout in international markets during the first half of this year, and its associated dilutive impact to TripAdvisor-branded click-based and transaction revenue, as compared to the rollout in our U.S market, which took place in the third quarter of 2015, and to a lesser extent the negative impact to total revenue from the fluctuation of foreign exchange rates. In addition, our international hotel shoppers generally monetize at lower revenue per hotel shopper rates than hotel shoppers in the U.S. market.</w:t>
      </w:r>
    </w:p>
    <w:p>
      <w:pPr>
        <w:spacing w:after="0" w:line="273"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5"/>
          </w:tcPr>
          <w:p>
            <w:pPr>
              <w:jc w:val="center"/>
              <w:ind w:left="147"/>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Borders>
              <w:bottom w:val="single" w:sz="8" w:color="auto"/>
            </w:tcBorders>
            <w:gridSpan w:val="5"/>
          </w:tcPr>
          <w:p>
            <w:pPr>
              <w:jc w:val="center"/>
              <w:ind w:left="167"/>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4"/>
          </w:tcPr>
          <w:p>
            <w:pPr>
              <w:jc w:val="center"/>
              <w:ind w:right="26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86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Cost of revenue increased $3 million and $9 million during the three and nine months ended September 30, 2016, respectively, when compared to the same periods in 2015, primarily due to increased merchant credit card and transaction fees, and personnel costs from increased headcount needed to support business growth and customer support.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Selling and marketing expenses primarily consist of direct costs, including traffic generation costs from search engine marketing, or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0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marketing</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52"/>
        <w:spacing w:after="0" w:line="293" w:lineRule="auto"/>
        <w:rPr>
          <w:sz w:val="20"/>
          <w:szCs w:val="20"/>
          <w:color w:val="auto"/>
        </w:rPr>
      </w:pPr>
      <w:r>
        <w:rPr>
          <w:rFonts w:ascii="Arial" w:cs="Arial" w:eastAsia="Arial" w:hAnsi="Arial"/>
          <w:sz w:val="16"/>
          <w:szCs w:val="16"/>
          <w:color w:val="auto"/>
        </w:rPr>
        <w:t>Direct selling and marketing costs increased $7 million and $17 million during the three and nine months ended September 30, 2016, respectively, when compared to the same periods in 2015, primarily due to increased online traffic acquisition costs and to a lesser extent social media costs, offset by a decrease in costs related to the cessation of our television advertising campaign. We spent $21 million and $50 million on our television advertising campaign during the three and nine months ended September 30, 2015, respectively, which we did not incur in the three and nine months ended September 30, 2016. Personnel and overhead costs increased $6 million and $21 million during the three and nine months ended September 30, 2016, respectively, when compared to the same periods in 2015, primarily due to an increase in headcount needed to support business growth, including international expansion.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2"/>
              </w:rPr>
              <w:t>Nine months ended</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9"/>
              </w:rPr>
              <w:t>September 30,</w:t>
            </w: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1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tcPr>
          <w:p>
            <w:pPr>
              <w:jc w:val="center"/>
              <w:ind w:left="2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center"/>
              <w:ind w:left="3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technology and</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content</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Technology and content costs increased $8 million and $33 million during the three and nine months ended September 30, 2016, respectively, when compared to the same periods in 2015, primarily due to increased personnel costs, including an increase of $3 million and $10 million, respectively, in stock-based compensation, from increased headcount needed to support business growth, including international expansion and enhanced site features.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General and administrative expenses consist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5"/>
          </w:tcPr>
          <w:p>
            <w:pPr>
              <w:jc w:val="center"/>
              <w:ind w:left="148"/>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bottom w:val="single" w:sz="8" w:color="auto"/>
            </w:tcBorders>
            <w:gridSpan w:val="5"/>
          </w:tcPr>
          <w:p>
            <w:pPr>
              <w:jc w:val="center"/>
              <w:ind w:left="168"/>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2016 vs. 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4"/>
          </w:tcPr>
          <w:p>
            <w:pPr>
              <w:jc w:val="center"/>
              <w:ind w:right="3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center"/>
              <w:ind w:left="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86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w:t>
            </w: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Professional service fees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and other</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w:t>
            </w:r>
          </w:p>
        </w:tc>
        <w:tc>
          <w:tcPr>
            <w:tcW w:w="3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administrative</w:t>
            </w:r>
          </w:p>
        </w:tc>
        <w:tc>
          <w:tcPr>
            <w:tcW w:w="86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38</w:t>
            </w:r>
          </w:p>
        </w:tc>
        <w:tc>
          <w:tcPr>
            <w:tcW w:w="2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114</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3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52"/>
        <w:spacing w:after="0" w:line="255" w:lineRule="auto"/>
        <w:rPr>
          <w:sz w:val="20"/>
          <w:szCs w:val="20"/>
          <w:color w:val="auto"/>
        </w:rPr>
      </w:pPr>
      <w:r>
        <w:rPr>
          <w:rFonts w:ascii="Arial" w:cs="Arial" w:eastAsia="Arial" w:hAnsi="Arial"/>
          <w:sz w:val="18"/>
          <w:szCs w:val="18"/>
          <w:color w:val="auto"/>
        </w:rPr>
        <w:t>General and administrative costs increased $1 million and decreased $4 million during the three and nine months ended September 30, 2016, respectively, when compared to the same periods in 2015. Personnel and overhead costs increased $1 million and decreased $3 million during the three and nine months ended September 30, 2016, respectively, when compared to the same periods in 2015. Professional service fees and other were flat during the three months ended September 30, 2016 and decreased by $1 million during the nine months ended September 30, 2016, when compared to the same period in 2015, partially due to a decrease in consulting costs and charitable foundation costs, primarily offset by an increase in non-income taxes and bad debt expense.</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left="5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0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Depreciation expense increased $5 million during the three months ended September 30, 2016, when compared to the same period in 2015, primarily due to increased amortization related to capitalized software and website development costs. Depreciation expense increased $9 million during the nine months ended September 30, 2016, when compared to the same period in 2015 primarily due to increased amortization related to capitalized software and website development costs, and $2 million of depreciation on our corporate headquarters building during the first six months of 2016, which we did not incur in the same period in 2015.</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left="54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w w:val="98"/>
              </w:rPr>
              <w:t>Amortization of intangible assets</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160" w:lineRule="exact"/>
        <w:rPr>
          <w:sz w:val="20"/>
          <w:szCs w:val="20"/>
          <w:color w:val="auto"/>
        </w:rPr>
      </w:pPr>
    </w:p>
    <w:p>
      <w:pPr>
        <w:ind w:firstLine="589"/>
        <w:spacing w:after="0" w:line="264" w:lineRule="auto"/>
        <w:rPr>
          <w:sz w:val="20"/>
          <w:szCs w:val="20"/>
          <w:color w:val="auto"/>
        </w:rPr>
      </w:pPr>
      <w:r>
        <w:rPr>
          <w:rFonts w:ascii="Arial" w:cs="Arial" w:eastAsia="Arial" w:hAnsi="Arial"/>
          <w:sz w:val="18"/>
          <w:szCs w:val="18"/>
          <w:color w:val="auto"/>
        </w:rPr>
        <w:t>Amortization related to purchased definite lived intangibles from recent business acquisitions was more than offset by the completion of amortization related to certain intangible assets from prior years during the three and nine months ended September 30, 2016, respectively, when compared to the same periods in 2015.</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Interest expense primarily consists of interest incurred, commitment fees and debt issuance cost amortization related to our 2011 Credit Facility, 2015 Credit Facility, 2016 Credit Facility, and Chinese Credit Facilities, as well as interest on our financing obligation related to our corporate headquarters.</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ind w:left="72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right="100" w:firstLine="552"/>
        <w:spacing w:after="0" w:line="286" w:lineRule="auto"/>
        <w:rPr>
          <w:sz w:val="20"/>
          <w:szCs w:val="20"/>
          <w:color w:val="auto"/>
        </w:rPr>
      </w:pPr>
      <w:r>
        <w:rPr>
          <w:rFonts w:ascii="Arial" w:cs="Arial" w:eastAsia="Arial" w:hAnsi="Arial"/>
          <w:sz w:val="17"/>
          <w:szCs w:val="17"/>
          <w:color w:val="auto"/>
        </w:rPr>
        <w:t>Interest expense remained flat during the three months ended September 30, 2016, when compared to the same period in 2015. Interest expense increased $3 million during the nine months ended September 30, 2016, when compared to the same period in 2015, primarily due to interest imputed on our financing obligation related to our corporate headquarters, which we did not incur in the first six months of 2015.</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8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4"/>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r>
      <w:tr>
        <w:trPr>
          <w:trHeight w:val="156"/>
        </w:trPr>
        <w:tc>
          <w:tcPr>
            <w:tcW w:w="2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left="5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center"/>
              <w:ind w:left="584"/>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Interest income and other, net decreased $13 million and $15 million during the three and nine months ended September 30, 2016, respectively, when compared to the same periods in 2015, primarily due to a $17 million gain from sale of business of one of our Chinese subsidiaries in the third quarter of 2015 that did not reoccur in 2016 and, to a lesser extent, the fluctuation of foreign exchange rates and settlements of our forward contracts. Refer to “Note 14: Interest income and other, net” in the notes to our unaudited consolidated financial statements in this Quarterly Report on Form 10-Q for additional information.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29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Three months ended September 30,</w:t>
            </w:r>
          </w:p>
        </w:tc>
        <w:tc>
          <w:tcPr>
            <w:tcW w:w="2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56"/>
        </w:trPr>
        <w:tc>
          <w:tcPr>
            <w:tcW w:w="26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6"/>
        </w:trPr>
        <w:tc>
          <w:tcPr>
            <w:tcW w:w="2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gridSpan w:val="2"/>
          </w:tcPr>
          <w:p>
            <w:pPr>
              <w:jc w:val="center"/>
              <w:ind w:left="36"/>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lef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shd w:val="clear" w:color="auto" w:fill="CFF0FC"/>
          </w:tcPr>
          <w:p>
            <w:pPr>
              <w:jc w:val="right"/>
              <w:ind w:right="4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rPr>
              <w:t>8</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r>
      <w:tr>
        <w:trPr>
          <w:trHeight w:val="230"/>
        </w:trPr>
        <w:tc>
          <w:tcPr>
            <w:tcW w:w="260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640" w:type="dxa"/>
            <w:vAlign w:val="bottom"/>
          </w:tcPr>
          <w:p>
            <w:pPr>
              <w:spacing w:after="0"/>
              <w:rPr>
                <w:sz w:val="20"/>
                <w:szCs w:val="20"/>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w w:val="93"/>
              </w:rPr>
              <w:t>12.7%</w:t>
            </w:r>
          </w:p>
        </w:tc>
        <w:tc>
          <w:tcPr>
            <w:tcW w:w="4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bl>
    <w:p>
      <w:pPr>
        <w:spacing w:after="0" w:line="20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For the three and nine months ended September 30, 2016, respectively, the effective tax rate is lower than the federal statutory tax rate primarily due to earnings in jurisdictions outside the United States, where our effective tax rate is lower, increased research and development tax credits, and the recognition of excess tax benefits related to stock-based payments resulting from the adoption of ASU 2016-09 as of January 1, 2016, as described in “Note 2: Significant Accounting Policies.” These drivers also caused a decrease in the effective tax rate for the three and nine months ended September 30, 2016, respectively, when compared to the same periods in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information on our relationship with Liberty TripAdvisor Holdings, Inc., refer to “Note 13: Related Party Transactions” in the notes to our unaudited condensed consolidated financial statements in this Quarterly Report on Form 10-Q. We had no related party transactions with LTRIP during the three and nine months ended September 30, 2016 and 2015,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Refer to “Note 4: Stock Based Awards and Other Equity Instruments” in the notes to our unaudited condensed consolidated financial statements in this Quarterly Report on Form 10-Q for further information on current year equity award activity, including the issuance of 1,050,842 service-based stock options with a weighted average grant-date fair value per option of $22.95, and 1,886,536 service-based RSUs with a weighted average grant-date fair value of $63.96 during the nine months ended September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during the nine months period ended September 30, 2016, and as compared to the same period in 2015, describes our current capital resources and discusses our future financial commitments.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1"/>
              </w:rPr>
              <w:t>Nine months ended September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80" w:type="dxa"/>
            <w:vAlign w:val="bottom"/>
            <w:gridSpan w:val="2"/>
          </w:tcPr>
          <w:p>
            <w:pPr>
              <w:jc w:val="center"/>
              <w:ind w:right="5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9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160" w:type="dxa"/>
            <w:vAlign w:val="bottom"/>
            <w:gridSpan w:val="2"/>
          </w:tcPr>
          <w:p>
            <w:pPr>
              <w:jc w:val="right"/>
              <w:ind w:right="10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4"/>
              <w:spacing w:after="0"/>
              <w:rPr>
                <w:sz w:val="20"/>
                <w:szCs w:val="20"/>
                <w:color w:val="auto"/>
              </w:rPr>
            </w:pPr>
            <w:r>
              <w:rPr>
                <w:rFonts w:ascii="Arial" w:cs="Arial" w:eastAsia="Arial" w:hAnsi="Arial"/>
                <w:sz w:val="18"/>
                <w:szCs w:val="18"/>
                <w:color w:val="auto"/>
              </w:rPr>
              <w:t>277</w:t>
            </w:r>
          </w:p>
        </w:tc>
        <w:tc>
          <w:tcPr>
            <w:tcW w:w="1280" w:type="dxa"/>
            <w:vAlign w:val="bottom"/>
          </w:tcPr>
          <w:p>
            <w:pPr>
              <w:jc w:val="right"/>
              <w:ind w:right="99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r>
      <w:tr>
        <w:trPr>
          <w:trHeight w:val="230"/>
        </w:trPr>
        <w:tc>
          <w:tcPr>
            <w:tcW w:w="3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w:t>
            </w:r>
          </w:p>
        </w:tc>
        <w:tc>
          <w:tcPr>
            <w:tcW w:w="1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2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bl>
    <w:p>
      <w:pPr>
        <w:spacing w:after="0" w:line="22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Our principal source of liquidity is cash flow generated from operations, although liquidity needs can also be met through drawdowns under our 2015 Credit Facility, 2016 Credit Facility and Chinese Credit Facilities. As of September 30, 2016 and December 31, 2015, we had $756 million and $698 million, respectively, of cash, cash equivalents and short and long-term available-for-sale marketable securities. As of September 30, 2016, approximately $607 million of our cash, cash equivalents, and short and long-term marketable securities are held by our international subsidiaries, primarily in the United Kingdom. Cumulative undistributed earnings of foreign subsidiaries that we intend to indefinitely reinvest outside of the United States totaled approximately $860 million as of September 30, 2016.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97"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As of September 30, 2016, we had outstanding borrowings of $20 million in long-term debt and approximately $978 million of borrowing capacity available under our 2015 Credit Facility, which we are currently borrowing under a one-month interest period at 1.8% per annum, which will reset periodically. In addition, we had outstanding borrowings of $73 million in short-term debt and no additional borrowing capacity available under our new 2016 Credit Facility, which we are currently borrowing under a one-month interest period at 1.7% per annum, which will reset periodically. The Company entered into the 2016 Credit Facility during the three months ended September 30, 2016, which provides for a $73 million unsecured revolving credit facility with no specific expiration date. We borrowed $73 million from this uncommitted credit facility in September 2016. These funds were used towards general working capital needs of the Company, primarily for partial repayment of our long term debt, and the liability is recorded in short-term liabilities on our unaudited condensed consolidated balance sheet as of September 30, 2016. The 2016 Credit Facility is available at the Lender’s absolute discretion and can be canceled at any time. Repayment terms for borrowings under the 2016 Credit Facility are generally one to six month periods and bear interest at LIBOR plus 112.5 basis points. The Company may borrow from the 2016 Credit Facility in U.S dollars only and we may voluntarily repay any outstanding borrowing at any time without premium or penalty. Finally, as of September 30, 2016, we had current borrowings of $3 million and approximately $38 million of available borrowing capacity under our Chinese Credit Facilities, which currently bear interest at a rate based on 100% of the People’s Bank of China’s base rate, or</w:t>
      </w:r>
    </w:p>
    <w:p>
      <w:pPr>
        <w:spacing w:after="0" w:line="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4.35%. For further discussion on our credit facilities refer to “Note 7: Debt” in the notes to our unaudited condensed consolidated financial statements in this Quarterly Report on Form 10-Q.</w:t>
      </w:r>
    </w:p>
    <w:p>
      <w:pPr>
        <w:spacing w:after="0" w:line="184"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short and long term debt obligations and other financial commitments; and fund any potential share repurchases and acquisitions for at least the next twelve months. However, if during that period or thereafter, we are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spacing w:after="0" w:line="286" w:lineRule="auto"/>
        <w:rPr>
          <w:sz w:val="20"/>
          <w:szCs w:val="20"/>
          <w:color w:val="auto"/>
        </w:rPr>
      </w:pPr>
      <w:r>
        <w:rPr>
          <w:rFonts w:ascii="Arial" w:cs="Arial" w:eastAsia="Arial" w:hAnsi="Arial"/>
          <w:sz w:val="17"/>
          <w:szCs w:val="17"/>
          <w:color w:val="auto"/>
        </w:rPr>
        <w:t>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the nine months ended September 30, 2016, net cash provided by operating activities decreased by $62 million, or 18%, when compared to the same period in 2015, primarily due to a decrease in net income of $76 million, partially offset by a gain on sale of business of $17 million in 2015 that did not reoccur in 2016.</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For the nine months ended September 30, 2016, net cash used in investing activities increased by $15 million when compared to the same period in 2015, primarily due to a net increase in cash used in the purchases, sales and maturities of our marketable securities of $35 million and net proceeds from the sale of one of our Chinese subsidiaries of $22 million in 2015 which did not reoccur in 2016, offset by a decrease in capital expenditures of $36 million, primarily related to the completion of our corporate headquarters building in 2015, and a decrease in cash paid for business acquisitions of $6 million, net of cash acquired.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For the nine months ended September 30, 2016, net cash used in financing activities increased by $40 million when compared to the same period in 2015, primarily due to net repayments of our outstanding borrowings under our 2015 Credit Facility of $180 million in 2016, payments of $21 million for common stock share repurchases under our authorized share repurchase program in 2016, and $12 million in lease incentive payments received related to our new corporate headquarters in 2015 that did not reoccur in 2016, offset by net new borrowings on our 2016 Credit Facility of $73 million, repayment of our Term Loan of $300 million and net borrowings on our 2015 Credit Facility of $287 million in 2015, incremental repayments of our outstanding borrowings related to our Chinese Credit Facility of $41 million in 2015, a decrease in tax withholding payments of $53 million in 2016 primarily related to a decrease in the number of stock options exercised and lower average stock price in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other than our 2016 Credit Facility, as noted above, since December 31, 2015. Refer to “Liquidity and Capital Resources” in Part II, Item 7. —Management’s Discussion and Analysis of Financial Condition and Results of Operations of our Annual Report on Form 10-K for the year ended December 31, 2015.</w:t>
      </w:r>
    </w:p>
    <w:p>
      <w:pPr>
        <w:spacing w:after="0" w:line="166"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As of September 30, 2016,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There may be claims or actions pending or threatened against us of which we are currently not aware and the ultimate disposition of which would have a material adverse effect on us.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0" w:name="page41"/>
    <w:bookmarkEnd w:id="40"/>
    <w:p>
      <w:pPr>
        <w:ind w:right="2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 xml:space="preserve">Additionally, we earn an increasing portion of our income, and accumulate a greater portion of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8: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unaudited condensed consolidated financial statements in this Quarterly Report on Form 10-Q for additional information on potential contingencies surrounding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and (7) other non-recurring expenses and income.</w:t>
      </w:r>
    </w:p>
    <w:p>
      <w:pPr>
        <w:spacing w:after="0" w:line="184"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20" w:hanging="384"/>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1" w:name="page42"/>
    <w:bookmarkEnd w:id="41"/>
    <w:p>
      <w:pPr>
        <w:ind w:right="42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 above.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6"/>
        </w:trPr>
        <w:tc>
          <w:tcPr>
            <w:tcW w:w="46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6"/>
        </w:trPr>
        <w:tc>
          <w:tcPr>
            <w:tcW w:w="4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gridSpan w:val="3"/>
          </w:tcPr>
          <w:p>
            <w:pPr>
              <w:jc w:val="right"/>
              <w:ind w:right="85"/>
              <w:spacing w:after="0" w:line="155"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non-recurring expenses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September 30, 2016. For additional information, see “Quantitative and Qualitative Disclosures About Market Risk” in Item 7A. in Part II of our Annual Report on Form 10-K for the year ended December 31, 2015.</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September 30, 2016,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September 30, 2016,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5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contributors and/or shoppers, our revenue could decline.</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The primary asset that we use to attract visitors to our websites and convert these visitors into repeat users, contributors and/or shoppers is our ability to collect, create, organize and distribute high-quality, commercially valuable content that meets users’ specific interests and enables them to use the content and interact with the supporting communities. There can be no assurances that we will continue to obtain content in a cost-effective manner or in a manner that meets rapidly changing consumer demand. Any failure to obtain and manage such content in a manner that will engage users, or a failure to provide content and products that are perceived as useful, reliable and trustworthy, could adversely affect user experiences and reduce traffic to our websites, which would make our websites less attractive to advertisers. Any change in the cost structure pursuant to which we obtain our content, in travelers’ relative appreciation of user-based versus expert content, in the quality of our content versus other sites’ content or any other changes that could reduce traffic to our websites would negatively impact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a substantial portion of our revenue from advertising and any significant reduction in spending by advertisers could harm our business.</w:t>
      </w:r>
    </w:p>
    <w:p>
      <w:pPr>
        <w:spacing w:after="0" w:line="14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derive a substantial portion of our revenue from the sale of advertising. We enter into master advertising contracts with our advertising partners, however, these agreements are generally limited to matters such as privacy and compliance, payment terms, termination and indemnities and most contracts can be terminated by our partners at will or on short notice. Our ability to grow advertising revenue with our existing or new advertising partners is dependent in large part on our ability to generate revenue for them. Advertisers will not continue to do business with us if their investment in such advertising does not generate sales leads, customers, bookings, or revenue and profit on a cost-effective basis. If we are unable to provide value to our advertising partners, they will likely stop placing ads on our websites, which would harm our revenues and business. We cannot guarantee that our current advertisers will fulfill their obligations under existing contracts, continue to advertise beyond the terms of existing contracts or enter into any additional contracts with us.</w:t>
      </w:r>
    </w:p>
    <w:p>
      <w:pPr>
        <w:spacing w:after="0" w:line="16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Click-based advertising accounts for the majority of our advertising revenue. Any changes we make to our business model may impact our advertising revenue in ways that we do not expect. In addition, if new, more effective advertising models were to emerge, there can be no assurance that we will be able to offer these models or offer them in an effective manner.</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8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a relatively small number of significant partners and any reduction in spending by or loss of these partners could seriously harm our business.</w:t>
      </w:r>
    </w:p>
    <w:p>
      <w:pPr>
        <w:spacing w:after="0" w:line="15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derive a substantial portion of our revenue from a relatively small number of partners and rely significantly on these relationships. For example, for the year ended December 31, 2015, our two most significant advertising partners, Expedia and Priceline (and their subsidiaries), accounted for a combined 46% of total revenue. While we enter into contracts with our partners, the terms of these agreements generally address matters such as privacy and compliance, payment terms, termination and indemnities and most of these contracts can be terminated by our partners at will or on short notice. If any of our significant partners were to cease or significantly curtail their business with us, we could experience a rapid decline in our revenue over a relatively short period of time which would have a material impact on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Internet search engine algorithms and dynamics, or search engine disintermediation.</w:t>
      </w:r>
    </w:p>
    <w:p>
      <w:pPr>
        <w:spacing w:after="0" w:line="14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rely heavily on Internet search engines, such as Google, to generate traffic to our websites, principally through the purchase of travel-related keywords. Search engines, including Google,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7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addition, to the extent that Google or other leading search or metasearch engines that have a significant presence in our key markets, disintermediate OTA’s or travel content providers by offering comprehensive travel planning or shopping capabilities, or refer those leads to suppliers directly, or to other favored partners, there could be a material adverse impact on our business and financial performance. To the extent these actions have a negative effect on our search traffic, whether on desktop, tablet or mobile phones, our business and financial performance could be adversely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effectively optimize results from our instant booking feature could have a negative impact on our business and financial performance.</w:t>
      </w:r>
    </w:p>
    <w:p>
      <w:pPr>
        <w:spacing w:after="0" w:line="24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Instant booking is a feature that enables users to book a hotel reservation directly with a hotel or online travel agency partner while remaining on the TripAdvisor website. We believe that allowing users to book directly online without leaving the TripAdvisor site will result in a better user experience as well as, ultimately, additional revenue to the Company. As of June 30, 2016, we completed our global rollout of our instant booking feature and are now focused on optimizing the results of this feature.</w:t>
      </w:r>
    </w:p>
    <w:p>
      <w:pPr>
        <w:spacing w:after="0" w:line="18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continue to work to close the monetization gap between instant book and our metasearch feature, primarily by streamlining our booking path to optimize user experience, seeking partners with strong branding and supply channels in order to try and achieve higher conversion rates and revenue per hotel shopper, persistently promoting the TripAdvisor brand as the place to plan a trip, compare prices, and book travel and develop additional opportunities to engage with our users. However, there is no guarantee that these initiatives will ultimately be successful. If these initiatives are not successful, and we fail to effectively optimize the results of this feature, our revenue may be materially adversely affected.</w:t>
      </w:r>
    </w:p>
    <w:p>
      <w:pPr>
        <w:spacing w:after="0" w:line="173"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success depends in large part on our ability to maintain and expand relationships with partners in the travel industry, including hotel chains, online travel agencies and travel suppliers and other online travel partners. We have worked with, and continue to work with, some of these partners to “power” the instant booking function on our website and believe that these partners will also benefit from this feature, through increased reservations and more direct relationships with travelers. Some partners, however, may view this new functionality as directly competitive and take action that could adversely affect our business and financial performance. They could reduce or eliminate advertising revenue paid to us, charge for or otherwise restrict access to content, further reduce their average daily rates, decide not to make their travel inventory available to us, or decide not to provide accurate booking information. Any of these actions could have an adverse impact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instant booking feature may subject us to additional and ongoing operational risks.</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expect the instant booking functionality to significantly increase the number of transactions that will occur on our website. Even though the transaction and customer care associated with these transactions are provided by our partners, each reservation is completed on TripAdvisor’s instant booking platform. Failure to effectively manage the process for instantly booking on our website, and to safeguard data that is obtained during the course of arranging for such bookings, could negatively impact our reputation and, consequently,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use of devices other than desktop computers may negatively affect our revenue and financial results.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content was originally designed for users accessing the Internet on a desktop computer. The number of people who access the Internet through devices other than desktop computers, including mobile phones and tablets, has increased substantially in the last few years. We anticipate that the rate of use of these devices will continue to grow. To address these growing user demands, we continue to extend our platform to develop mobile phone and tablet applications. However, currently, we monetize users of mobile phone devices at a significantly lower rate compared to users who access our websites through desktop computers and tablets. In addition, given the size and technical limitations of these mobile phone devices, mobile consumers may not be willing to download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ind w:right="440"/>
        <w:spacing w:after="0" w:line="342" w:lineRule="auto"/>
        <w:rPr>
          <w:sz w:val="20"/>
          <w:szCs w:val="20"/>
          <w:color w:val="auto"/>
        </w:rPr>
      </w:pPr>
      <w:r>
        <w:rPr>
          <w:rFonts w:ascii="Arial" w:cs="Arial" w:eastAsia="Arial" w:hAnsi="Arial"/>
          <w:sz w:val="16"/>
          <w:szCs w:val="16"/>
          <w:color w:val="auto"/>
        </w:rPr>
        <w:t>multiple apps from multiple companies providing similar service and instead prefer to use one or a limited number of apps for their hotel, restaurant and attractions activity. The consumer experience with mobile apps as well as brand recognition and loyalty are likely to become increasingly important.</w:t>
      </w:r>
    </w:p>
    <w:p>
      <w:pPr>
        <w:spacing w:after="0" w:line="16"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As a result, we continue to develop and improve upon our mobile app and websites and mobile phone monetization strategies. If we are unable to continue to rapidly innovate and create new, user-friendly and differentiated mobile offerings and efficiently and effectively advertise and distribute on these platforms, or if our mobile offerings are not used by consumers, our future growth and results of operations could be negatively impacted.</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14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inflation, have reduced access to credit or experience other concerns that reduce their ability or willingness to travel. The global economy may be adversely impacted by unforeseen events beyond our control including acts of terrorism, unusual weather patterns, natural disasters, political instability and health concerns (including epidemics or pandemics such as Zika virus, Ebola, H1N1 and SARS),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thereby causing a reduction in revenue.</w:t>
      </w:r>
    </w:p>
    <w:p>
      <w:pPr>
        <w:spacing w:after="0" w:line="192" w:lineRule="exact"/>
        <w:rPr>
          <w:sz w:val="20"/>
          <w:szCs w:val="20"/>
          <w:color w:val="auto"/>
        </w:rPr>
      </w:pPr>
    </w:p>
    <w:p>
      <w:pPr>
        <w:ind w:right="20" w:firstLine="471"/>
        <w:spacing w:after="0" w:line="264"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1" w:lineRule="exact"/>
        <w:rPr>
          <w:sz w:val="20"/>
          <w:szCs w:val="20"/>
          <w:color w:val="auto"/>
        </w:rPr>
      </w:pPr>
    </w:p>
    <w:p>
      <w:pPr>
        <w:ind w:right="20" w:firstLine="471"/>
        <w:spacing w:after="0" w:line="273" w:lineRule="auto"/>
        <w:rPr>
          <w:sz w:val="20"/>
          <w:szCs w:val="20"/>
          <w:color w:val="auto"/>
        </w:rPr>
      </w:pPr>
      <w:r>
        <w:rPr>
          <w:rFonts w:ascii="Arial" w:cs="Arial" w:eastAsia="Arial" w:hAnsi="Arial"/>
          <w:sz w:val="17"/>
          <w:szCs w:val="17"/>
          <w:color w:val="auto"/>
        </w:rPr>
        <w:t>On June 23, 2016, the United Kingdom held a referendum in which a majority of voters voted to exit the European Union (“Brexit”). Negotiations are expected to commence to determine the future terms of the United Kingdom’s relationship with the European Union, including, among other things, the terms of trade between the United Kingdom and the European Union. The effects of Brexit will depend on any agreements the United Kingdom makes to retain access to European Union markets either during a transitional period or more permanently. Brexit could adversely affect European and global economic or market conditions and could contribute to instability in global financial markets. Any of these effects of Brexit, and others we cannot anticipate, may have a negative effect on the travel industry and may adversely affect our business.</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rely on the value of our brand and consumer trust in our brand. If we are not able to maintain and enhance our brand, or if events occur that damage our reputation and brand, our business may be harmed.</w:t>
      </w:r>
    </w:p>
    <w:p>
      <w:pPr>
        <w:spacing w:after="0" w:line="62"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We believe that the TripAdvisor brand has contributed significantly to our success and that maintaining and enhancing our brand is critical to expanding our base of users, to creating content and to attracting advertisers. As a result, we invest significantly in brand marketing. We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92"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We receive significant media coverage in our various geographic markets. Unfavorable publicity regarding, for example, our practices relating to privacy and data protection, product changes, competitive pressures, the accuracy of user-generated content, product quality,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face competition for content, users, advertisers, online travel search and price comparison services (or hotel metasearch) and online reservations. We also face competition from large companies that also offer comprehensive on-line resources for destinations, lodging, attractions and restaurants. Many of our competitors have significantly greater and more diversified resources than we do and may be able to leverage other aspects of their business to enable them to compete more effectively against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color w:val="auto"/>
        </w:rPr>
        <w:t>More specifically:</w:t>
      </w:r>
    </w:p>
    <w:p>
      <w:pPr>
        <w:spacing w:after="0" w:line="117" w:lineRule="exact"/>
        <w:rPr>
          <w:sz w:val="20"/>
          <w:szCs w:val="20"/>
          <w:color w:val="auto"/>
        </w:rPr>
      </w:pPr>
    </w:p>
    <w:p>
      <w:pPr>
        <w:ind w:left="1040" w:right="40" w:hanging="384"/>
        <w:spacing w:after="0" w:line="255"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content, we face competition from large online portals, social networking sites and search engines, such as Google, Facebook, Yahoo and Baidu, which competition will only increase should they choose to compete more directly with us in the travel review space, and create commercially valuable online content at significant scale. For example, Google + Local, with its aggregated reviews and local recommendations, competes with us and Google’s access to more comprehensive data regarding user search queries through its search algorithms gives it a significant competitive advantage over other companies in the industry, including us. In addition, if significant numbers of users adopt Facebook’s newly released Graph Search to get travel recommendations, it could have the effect of reducing traffic and user engagement on TripAdvisor.</w:t>
      </w:r>
    </w:p>
    <w:p>
      <w:pPr>
        <w:spacing w:after="0" w:line="81" w:lineRule="exact"/>
        <w:rPr>
          <w:rFonts w:ascii="Arial" w:cs="Arial" w:eastAsia="Arial" w:hAnsi="Arial"/>
          <w:sz w:val="18"/>
          <w:szCs w:val="18"/>
          <w:color w:val="auto"/>
        </w:rPr>
      </w:pPr>
    </w:p>
    <w:p>
      <w:pPr>
        <w:ind w:left="1040" w:right="100" w:hanging="384"/>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face competition from online travel agents, such as Expedia and Priceline (and their subsidiaries), and this competition may increase to the extent that these online travel agents accumulate and develop a comprehensive offering of travel-related reviews and resources.</w:t>
      </w:r>
    </w:p>
    <w:p>
      <w:pPr>
        <w:spacing w:after="0" w:line="38" w:lineRule="exact"/>
        <w:rPr>
          <w:rFonts w:ascii="Arial" w:cs="Arial" w:eastAsia="Arial" w:hAnsi="Arial"/>
          <w:sz w:val="17"/>
          <w:szCs w:val="17"/>
          <w:color w:val="auto"/>
        </w:rPr>
      </w:pPr>
    </w:p>
    <w:p>
      <w:pPr>
        <w:jc w:val="both"/>
        <w:ind w:left="1040" w:right="100" w:hanging="384"/>
        <w:spacing w:after="0" w:line="286"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face competition from travel service providers such as major hotel companies, many of which have their own websites to which they drive business. Major hotel companies may also attempt to improve their competitive position by offering lower room rates, better room availability or additional features or amenities through their reservation service than are available through services like ours.</w:t>
      </w:r>
    </w:p>
    <w:p>
      <w:pPr>
        <w:spacing w:after="0" w:line="57" w:lineRule="exact"/>
        <w:rPr>
          <w:rFonts w:ascii="Arial" w:cs="Arial" w:eastAsia="Arial" w:hAnsi="Arial"/>
          <w:sz w:val="17"/>
          <w:szCs w:val="17"/>
          <w:color w:val="auto"/>
        </w:rPr>
      </w:pPr>
    </w:p>
    <w:p>
      <w:pPr>
        <w:ind w:left="1040" w:right="54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also face competition from wholesalers, tour operators, traditional offline travel agencies and operators of travel industry reservation databases such as Galileo, Travelport, Amadeus and Sabre.</w:t>
      </w:r>
    </w:p>
    <w:p>
      <w:pPr>
        <w:spacing w:after="0" w:line="62" w:lineRule="exact"/>
        <w:rPr>
          <w:rFonts w:ascii="Arial" w:cs="Arial" w:eastAsia="Arial" w:hAnsi="Arial"/>
          <w:sz w:val="18"/>
          <w:szCs w:val="18"/>
          <w:color w:val="auto"/>
        </w:rPr>
      </w:pPr>
    </w:p>
    <w:p>
      <w:pPr>
        <w:ind w:left="1040" w:right="64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we compete with newspapers, magazines and other traditional media companies that provide offline and online advertising opportunities.</w:t>
      </w:r>
    </w:p>
    <w:p>
      <w:pPr>
        <w:spacing w:after="0" w:line="62"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our vacation rental business, we face competition from several companies, including HomeAway (a subsidiary of Expedia) and Airbnb, Inc., both of whom have a larger inventory of rooms available.</w:t>
      </w:r>
    </w:p>
    <w:p>
      <w:pPr>
        <w:spacing w:after="0" w:line="62" w:lineRule="exact"/>
        <w:rPr>
          <w:rFonts w:ascii="Arial" w:cs="Arial" w:eastAsia="Arial" w:hAnsi="Arial"/>
          <w:sz w:val="18"/>
          <w:szCs w:val="18"/>
          <w:color w:val="auto"/>
        </w:rPr>
      </w:pPr>
    </w:p>
    <w:p>
      <w:pPr>
        <w:jc w:val="both"/>
        <w:ind w:left="1040" w:right="140" w:hanging="384"/>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our restaurant reservation and attractions business, we face competition from certain companies like OpenTable (a subsidiary of Priceline), SeatMe (which is owned by Yelp) and Table8 (which was launched by Amazon) as well as other regional players operating in various parts of the world.</w:t>
      </w:r>
    </w:p>
    <w:p>
      <w:pPr>
        <w:spacing w:after="0" w:line="181"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We expect to face additional competition as other established and emerging companies enter the travel advertising market.</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Certain of the companies we do business with, including some of our partners, are also our competitors. The consolidation of our competitors and partners, including Expedia (through its acquisitions of Trivago,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has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7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Such claims, suits, and government investigations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6" w:name="page47"/>
    <w:bookmarkEnd w:id="46"/>
    <w:p>
      <w:pPr>
        <w:ind w:right="320"/>
        <w:spacing w:after="0" w:line="277" w:lineRule="auto"/>
        <w:rPr>
          <w:sz w:val="20"/>
          <w:szCs w:val="20"/>
          <w:color w:val="auto"/>
        </w:rPr>
      </w:pPr>
      <w:r>
        <w:rPr>
          <w:rFonts w:ascii="Arial" w:cs="Arial" w:eastAsia="Arial" w:hAnsi="Arial"/>
          <w:sz w:val="18"/>
          <w:szCs w:val="18"/>
          <w:color w:val="auto"/>
        </w:rPr>
        <w:t>practices or other field action, or requiring development of non-infringing or otherwise altered products or technologies. Any of these consequences could adversely affect our business and results of operations.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62"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use technology and processes to monitor the quality of, and to identify metrics associated with, the Internet traffic that we deliver to online advertisers.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rely on assumptions, estimates and data to calculate certain of our key metrics, and real or perceived inaccuracies in such metrics may harm our reputation and negatively affect our business.</w:t>
      </w:r>
    </w:p>
    <w:p>
      <w:pPr>
        <w:spacing w:after="0" w:line="6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7"/>
          <w:szCs w:val="17"/>
          <w:color w:val="auto"/>
        </w:rPr>
        <w:t>We believe that certain metrics are key to our business, including unique visitors, hotel shoppers, revenue per hotel shopper, mobile usage and engagement metrics, and number of reviews and opinions. As the industry in which we operate continues to evolve and as our business continues to evolve, so too might the metrics by which we evaluate our business. While these numbers are based on what we believe to be reasonable estimates, there are inherent challenges in calculating these metrics and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Also if the internal tools we use to track these metrics under-count or over-count performance or contain algorithm or other technical errors, the data we report may not be accurate. Finally, we regularly review and may adjust our methodologies for calculating our internal metrics to improve their accuracy. Accordingly readers should not place undue reliance on these numbers.</w:t>
      </w:r>
    </w:p>
    <w:p>
      <w:pPr>
        <w:spacing w:after="0" w:line="124"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We calculate our metrics, primarily using internal tools, which are not independently verified by a third party. We continue to improve upon our tools and methodologies to capture data and believe that our current metrics are accurate; however, ongoing improvement of our tools and methodologies could cause inconsistency between current data and previously reported data, which could confuse investors or lead to questions about the integrity of our data.</w:t>
      </w: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mobile phone and tablet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2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success depends in part on continued innovation to provide features and services that make our websites and mobile phone and tablet applications useful for travelers. Our competitors are continually developing innovations in online travel-related services and features. As a result, we are continually working to improve our business model and user experience in order to drive user traffic and conversion dates.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We operate in a culture that encourages rapid development and release of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conversion rates and/or pricing, thereby ultimately improving our financial performance over the long-term.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62"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offer vacation rental services on our TripAdvisor-branded sites as well as through our U.S.-based FlipKey and Vacation Home Rentals and European-based Holiday Lettings, HouseTrip and Niumba businesses. The online vacation rental market is rapidly evolving in many respects, including from a business and marketing perspective as well as the regulatory environment. We operate in various disparate jurisdictions and markets and have limited insight into trends that may develop in those markets and may affect our business. Since we began offering such services, there have been and continue to be significant business, marketing and regulatory developments. Operating in new and untested jurisdictions requires significant management attention and financial resources. We cannot assure that our expansion efforts will be successful, and the investment and additional resources required to establish operations and manage growth may not produce the desired levels of revenue or profitability.</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fail to attract and maintain a critical mass of vacation rental listings and travelers, our vacation rental marketplaces will become less valuable and this may have a negative impact on our business.</w:t>
      </w:r>
    </w:p>
    <w:p>
      <w:pPr>
        <w:spacing w:after="0" w:line="62"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our vacation rental business, revenue is generated when owners and/or travelers pay us fees upon booking a transaction, owners or managers pay us fees to list and market vacation rental properties to users who visit the websites comprising our marketplace and property managers pay us fees for email and telephone leads from potential travelers or fees upon booking a transaction. As a result, our success in this area primarily depends on our ability to attract owners, managers, travelers and advertisers to our marketplace. If property owners and managers do not perceive the benefits of marketing their properties through our websites, or elect to list them with a competitor instead of listing with us, our volume of new listings and listing renewals may suffer. As a result, we may be unable to offer a sufficient supply and variety of vacation properties to attract travelers to our websites. Larger competitors already exist in the vacation rental space, with significantly more users, listed properties and financial resources.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those intellectual property rights. We have received in the past, and may in the future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Investment in new business strategies and acquisitions could disrupt our ongoing business and present new challenges and risks.</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have invested, and in the future may invest, in new business strategies or acquisitions. Such endeavors may involve significant risks and uncertainties, including distraction of management from current operations, greater than expected liabilities and expenses, inadequate return of capital, and issues not discovered in our investigations and evaluations of those strategies and acquisitions. We may decide to make minority investments, including through joint ventures, in which we have limited or no management or operational control. The controlling person in such case may have business interests, strategies or goals that are inconsistent with ours, and decisions of the company or venture in which we invested may result in harm to our reputation or adversely affect the value of our investment. Further, we may issue shares of our common stock in these transactions, which could result in dilution to our stockholders.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the businesses we have acquired or invested in do not perform as expected or we are unable to effectively integrate acquired businesses, our operating results and prospects could be harmed.</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There are certain financial and operational risks related to acquisitions that may have a material impact on our business including, but not limited to, the following:</w:t>
      </w:r>
    </w:p>
    <w:p>
      <w:pPr>
        <w:spacing w:after="0" w:line="73" w:lineRule="exact"/>
        <w:rPr>
          <w:sz w:val="20"/>
          <w:szCs w:val="20"/>
          <w:color w:val="auto"/>
        </w:rPr>
      </w:pPr>
    </w:p>
    <w:p>
      <w:pPr>
        <w:ind w:left="1040" w:right="8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62"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that may limit other potential uses of our cash, including stock repurchases, dividend payments and retirement of outstanding indebtedness;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16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62"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and other claims relating to the acquired company;</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of any acquired company to achieve anticipated revenues, earnings or cash flows or to retain key management or employees;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demands on management and our operational infrastructure. We continue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involve additional risks and our exposure to these risks increases as our business continues to expand globally.</w:t>
      </w:r>
    </w:p>
    <w:p>
      <w:pPr>
        <w:spacing w:after="0" w:line="14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operate in a number of jurisdictions outside of the United States and continue to expand our international operations. Many of these regions have different economic conditions, languages, currencies, consumer expectations, levels of consumer acceptance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9" w:name="page50"/>
    <w:bookmarkEnd w:id="49"/>
    <w:p>
      <w:pPr>
        <w:ind w:right="160"/>
        <w:spacing w:after="0" w:line="277" w:lineRule="auto"/>
        <w:rPr>
          <w:sz w:val="20"/>
          <w:szCs w:val="20"/>
          <w:color w:val="auto"/>
        </w:rPr>
      </w:pPr>
      <w:r>
        <w:rPr>
          <w:rFonts w:ascii="Arial" w:cs="Arial" w:eastAsia="Arial" w:hAnsi="Arial"/>
          <w:sz w:val="18"/>
          <w:szCs w:val="18"/>
          <w:color w:val="auto"/>
        </w:rPr>
        <w:t>use of the Internet for commerce, legislation, regulatory environments (including labors laws and customs), tax laws and levels of political stability. We are subject to associated risks typical of international businesses, including, but not limited to, the following:</w:t>
      </w:r>
    </w:p>
    <w:p>
      <w:pPr>
        <w:spacing w:after="0" w:line="62"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117" w:lineRule="exact"/>
        <w:rPr>
          <w:rFonts w:ascii="Arial" w:cs="Arial" w:eastAsia="Arial" w:hAnsi="Arial"/>
          <w:sz w:val="18"/>
          <w:szCs w:val="18"/>
          <w:color w:val="auto"/>
        </w:rPr>
      </w:pPr>
    </w:p>
    <w:p>
      <w:pPr>
        <w:ind w:left="1040" w:right="280" w:hanging="384"/>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Ability to comply with additional laws applicable to companies operating internationally as well as local laws and regulations, including the Foreign Corrupt Practices Act and U.K. Bribery Act, data privacy requirements, labor laws and anti-competition regulations;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currency exchange restrictions;</w:t>
      </w:r>
    </w:p>
    <w:p>
      <w:pPr>
        <w:spacing w:after="0" w:line="117" w:lineRule="exact"/>
        <w:rPr>
          <w:rFonts w:ascii="Arial" w:cs="Arial" w:eastAsia="Arial" w:hAnsi="Arial"/>
          <w:sz w:val="18"/>
          <w:szCs w:val="18"/>
          <w:color w:val="auto"/>
        </w:rPr>
      </w:pPr>
    </w:p>
    <w:p>
      <w:pPr>
        <w:ind w:left="1040" w:right="4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Slower adoption of the Internet as an advertising, broadcast and commerce medium in certain of those markets as compared to the United States;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 and</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170"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loss of one or more of our key personnel, or our failure to attract and retain other highly qualified personnel in the future, could harm our business.</w:t>
      </w:r>
    </w:p>
    <w:p>
      <w:pPr>
        <w:spacing w:after="0" w:line="15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Unfavorable changes could decrease demand for products and services, limit marketing methods and capabilities, increase costs and/or subject us to additional liabilities.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0" w:name="page51"/>
    <w:bookmarkEnd w:id="50"/>
    <w:p>
      <w:pPr>
        <w:ind w:right="20" w:firstLine="518"/>
        <w:spacing w:after="0" w:line="254"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92" w:lineRule="exact"/>
        <w:rPr>
          <w:sz w:val="20"/>
          <w:szCs w:val="20"/>
          <w:color w:val="auto"/>
        </w:rPr>
      </w:pPr>
    </w:p>
    <w:p>
      <w:pPr>
        <w:ind w:right="140" w:firstLine="487"/>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5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 content or brands without authorization or to develop similar technology, content or brands independently.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Any misappropriation or violation of our rights could have a material adverse effect on our business.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cost-efficient or effective manner could have a material adverse effect on our business and ability to protect our technology, content and brands.</w:t>
      </w:r>
    </w:p>
    <w:p>
      <w:pPr>
        <w:spacing w:after="0" w:line="16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 and brand could be harmed.</w:t>
      </w:r>
    </w:p>
    <w:p>
      <w:pPr>
        <w:spacing w:after="0" w:line="17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do not have a completely formalized or comprehensive disaster recovery plan in every geographic region in which we conduct business and our backup systems and disaster recovery, business continuity /or contingency plans for certain critical aspects of our operations or business processes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right="100"/>
        <w:spacing w:after="0" w:line="257" w:lineRule="auto"/>
        <w:rPr>
          <w:sz w:val="20"/>
          <w:szCs w:val="20"/>
          <w:color w:val="auto"/>
        </w:rPr>
      </w:pPr>
      <w:r>
        <w:rPr>
          <w:rFonts w:ascii="Arial" w:cs="Arial" w:eastAsia="Arial" w:hAnsi="Arial"/>
          <w:sz w:val="18"/>
          <w:szCs w:val="18"/>
          <w:color w:val="auto"/>
        </w:rPr>
        <w:t>events could cause system interruption, delays and loss of critical data, and could prevent us from providing content and services to users, travelers and/or third parties for a significant period of time. If we experience frequent or persistent system failures, our reputation and brand could be permanently and significantly harmed.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62"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an increasing number of our users are providing consumer data (including credit card data). The security of data when engaging in electronic commerce is essential to maintaining consumer and travel service provider confidences in our services. 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9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The European Union has recently adopted a new data protection legal framework which will become applicable by May 2018. We continue to evaluate this new framework and its impact on our business but we currently believe that this will result in a greater compliance burden and increased costs of compliance.</w:t>
      </w:r>
    </w:p>
    <w:p>
      <w:pPr>
        <w:spacing w:after="0" w:line="16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our financial performance.</w:t>
      </w:r>
    </w:p>
    <w:p>
      <w:pPr>
        <w:spacing w:after="0" w:line="175"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We also face risks associated with security breaches affecting third parties conducting business over the Internet. Much of our business is conducted with third party marketing affiliates or, more recently, though business partners powering our instant booking feature. In addition, we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risks as the level of our debt increases.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June 26, 2015, we entered into a new credit agreement with respect to a $1 billion five-year revolving credit facility. This arrangement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2" w:name="page53"/>
    <w:bookmarkEnd w:id="52"/>
    <w:p>
      <w:pPr>
        <w:ind w:right="20"/>
        <w:spacing w:after="0" w:line="286" w:lineRule="auto"/>
        <w:rPr>
          <w:sz w:val="20"/>
          <w:szCs w:val="20"/>
          <w:color w:val="auto"/>
        </w:rPr>
      </w:pPr>
      <w:r>
        <w:rPr>
          <w:rFonts w:ascii="Arial" w:cs="Arial" w:eastAsia="Arial" w:hAnsi="Arial"/>
          <w:sz w:val="17"/>
          <w:szCs w:val="17"/>
          <w:color w:val="auto"/>
        </w:rPr>
        <w:t>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currently have outstanding approximately $20 million in long-term debt and approximately $978 million of available borrowing capacity on our revolving credit facility. Risks relating to our indebtedness include:</w:t>
      </w:r>
    </w:p>
    <w:p>
      <w:pPr>
        <w:spacing w:after="0" w:line="62"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revolving credit facility will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7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agreements that govern our revolving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spacing w:after="0" w:line="73"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are party to a credit agreement providing for the revolving credit facility. The agreements that govern the revolving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400" w:firstLine="518"/>
        <w:spacing w:after="0" w:line="302" w:lineRule="auto"/>
        <w:rPr>
          <w:sz w:val="20"/>
          <w:szCs w:val="20"/>
          <w:color w:val="auto"/>
        </w:rPr>
      </w:pPr>
      <w:r>
        <w:rPr>
          <w:rFonts w:ascii="Arial" w:cs="Arial" w:eastAsia="Arial" w:hAnsi="Arial"/>
          <w:sz w:val="16"/>
          <w:szCs w:val="16"/>
          <w:color w:val="auto"/>
        </w:rPr>
        <w:t>These covenants may limit our ability to optimally operate our business. In addition, our revolving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53" w:name="page54"/>
    <w:bookmarkEnd w:id="53"/>
    <w:p>
      <w:pPr>
        <w:ind w:right="40"/>
        <w:spacing w:after="0" w:line="259" w:lineRule="auto"/>
        <w:rPr>
          <w:sz w:val="20"/>
          <w:szCs w:val="20"/>
          <w:color w:val="auto"/>
        </w:rPr>
      </w:pPr>
      <w:r>
        <w:rPr>
          <w:rFonts w:ascii="Arial" w:cs="Arial" w:eastAsia="Arial" w:hAnsi="Arial"/>
          <w:sz w:val="18"/>
          <w:szCs w:val="18"/>
          <w:color w:val="auto"/>
        </w:rPr>
        <w:t>calculations where the ultimate tax determination is uncertain.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8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Additionally, we earn an increasing portion of our income, and accumulate a greater portion of cash flow,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currency exchange rates, particularly those related to the Euro, British pound sterling, Singapore dollar, Australian dollar, and Chinese renminbi.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there has been, and may continue to be, volatility in currency exchange rates as a result of Brexit.</w:t>
      </w:r>
    </w:p>
    <w:p>
      <w:pPr>
        <w:spacing w:after="0" w:line="178"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consolidated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178"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Significant fluctuations in currency exchange rates can affect consumer travel behavior. Volatility in foreign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be subject to significant tax liabilities, any of which could have a material adverse effect on our business, results of operations and financial condition.</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application of various domestic and international tax laws, rules and regulations to our historical and new products and services is subject to interpretation by the applicable taxing authorities. These taxing authorities have become more aggressive in their interpretation and/or enforcement of such laws, rules and regulations over time, as governments are increasingly focused on ways to increase revenues. This has contributed to an increase in audit activity and harsher stances by tax authorities. While we believe we comply with applicable tax laws, rules and regulations in the jurisdictions we operate, tax authorities may determine that we owe additional taxes. Additional taxes or other assessments may be in excess of our current tax reserves or may require us to modify our business practices to reduce our exposure to additional taxes going forward, any of which could have a material adverse effect on our business, results of operations and financial condition.</w:t>
      </w:r>
    </w:p>
    <w:p>
      <w:pPr>
        <w:spacing w:after="0" w:line="18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Significant judgment and estimation is required in determining our worldwide tax liabilities. In the ordinary course of our business, there are transactions and calculations, including intercompany transactions and cross-jurisdictional transfer pricing, for which the ultimate tax determination is uncertain or otherwise subject to interpretation. Tax authorities may disagree with our intercompany charges, including the amount of or basis for such charges, cross-jurisdictional transfer pricing or other matters and assess additional taxes. Although we believe our tax estimates are reasonable, the final determination of tax audits could be materially different from our historical income tax provisions and accruals in which case we may be subject to additional tax liabilities, possibly including interest and penalties, which could have a material adverse effect on our cash flows, financial condition and results of operations.</w:t>
      </w:r>
    </w:p>
    <w:p>
      <w:pPr>
        <w:spacing w:after="0" w:line="18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In addition, under the Tax Sharing Agreement between us and Expedia entered into in connection with the spin-off of TripAdvisor from Expedia (the “Spin-Off”), we are generally required to indemnify Expedia for any taxes resulting from the Spin-Off (and any related interest, penalties, legal and professional fees, and all costs and damages associated with related stockholder litigation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both"/>
        <w:ind w:right="140"/>
        <w:spacing w:after="0" w:line="259" w:lineRule="auto"/>
        <w:rPr>
          <w:sz w:val="20"/>
          <w:szCs w:val="20"/>
          <w:color w:val="auto"/>
        </w:rPr>
      </w:pPr>
      <w:r>
        <w:rPr>
          <w:rFonts w:ascii="Arial" w:cs="Arial" w:eastAsia="Arial" w:hAnsi="Arial"/>
          <w:sz w:val="18"/>
          <w:szCs w:val="18"/>
          <w:color w:val="auto"/>
        </w:rPr>
        <w:t>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We are currently under an IRS audit for the 2009 and 2010 tax years, and have various ongoing state income tax audits. These audits include questioning of the timing and the amount of income and deductions and the allocation of income among various tax jurisdictions. The outcome of these matters or any other audits could subject us to significant tax liabilities.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Amendment to existing tax laws, rules or regulations or enactment of new unfavorable tax laws, rules or regulations could have an adverse effect on our business and financial performance.</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Many of the underlying laws, rules or regulations imposing taxes and other obligations were established before the growth of the internet and e-commerce. If the tax or other laws, rules or regulations were amended, or if new unfavorable laws, rules or regulations were enacted, particularly with respect to occupancy, sales, value-added taxes, or unclaimed property, the results could increase our tax payments or other obligations, prospectively or retrospectively, subject us to interest and penalties, decrease the demand for our products and services if we pass on such costs to the consumer, result in increased costs to update or expand our technical or administrative infrastructure or effectively limit the scope of our business activities if we decided not to conduct business in particular jurisdictions. As a result, these changes could have an adverse effect on our business or financial performance.</w:t>
      </w:r>
    </w:p>
    <w:p>
      <w:pPr>
        <w:spacing w:after="0" w:line="16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addition, in the past U.S. and foreign governments have introduced proposals for tax legislation, or have adopted tax laws, that could have a significant adverse effect on our tax rate, or increase our tax liabilities, the carrying value of deferred tax assets, or our deferred tax liabilities. For example, in October 2015, the Organization for Economic Co-Operation and Development (“OECD”) released a final package of measures to be implemented by member nations in response to a 2013 action plan calling for a coordinated multi-jurisdictional approach to “base erosion and profit shifting” (“BEPS”) by multinational companies. Multiple member jurisdictions, including the United States, have begun implementing recommended changes such as proposed country by country reporting beginning as early as 2016. Additional multilateral changes are anticipated in upcoming years. Any changes to national or international tax laws could impact the tax treatment of our earnings and adversely affect our profitability. Our effective tax rate in the future could also be adversely affected by changes to our operating structure, changes in the mix of earnings in countries with differing statutory tax rates, changes in the valuation of deferred tax assets and liabilities, or the discontinuance of beneficial tax arrangements in certain jurisdictions.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continue to work with relevant authorities and legislators to clarify our obligations under existing, new and emerging tax laws and regulations.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of us, which may reduce the market price of our common stock.</w:t>
      </w:r>
    </w:p>
    <w:p>
      <w:pPr>
        <w:spacing w:after="0" w:line="2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3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5620" w:right="5360" w:hanging="4964"/>
        <w:spacing w:after="0" w:line="624" w:lineRule="auto"/>
        <w:tabs>
          <w:tab w:leader="none" w:pos="10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1040" w:right="82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80" w:hanging="384"/>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have in the past, currently and may in the future rely on the controlled company exemption for some of these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62" w:lineRule="exact"/>
        <w:rPr>
          <w:sz w:val="20"/>
          <w:szCs w:val="20"/>
          <w:color w:val="auto"/>
        </w:rPr>
      </w:pPr>
    </w:p>
    <w:p>
      <w:pPr>
        <w:ind w:right="14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international currency fluctuations, may negatively impact the market price of our common stock regardless of our actual operating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129"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For the nine months ended September 30, 2016, the average daily trading volume of our common stock on NASDAQ was approximately 2.1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6" w:name="page57"/>
    <w:bookmarkEnd w:id="56"/>
    <w:p>
      <w:pPr>
        <w:ind w:right="120"/>
        <w:spacing w:after="0" w:line="308" w:lineRule="auto"/>
        <w:rPr>
          <w:sz w:val="20"/>
          <w:szCs w:val="20"/>
          <w:color w:val="auto"/>
        </w:rPr>
      </w:pPr>
      <w:r>
        <w:rPr>
          <w:rFonts w:ascii="Arial" w:cs="Arial" w:eastAsia="Arial" w:hAnsi="Arial"/>
          <w:sz w:val="17"/>
          <w:szCs w:val="17"/>
          <w:color w:val="auto"/>
        </w:rPr>
        <w:t>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5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73" w:lineRule="exact"/>
        <w:rPr>
          <w:sz w:val="20"/>
          <w:szCs w:val="20"/>
          <w:color w:val="auto"/>
        </w:rPr>
      </w:pPr>
    </w:p>
    <w:p>
      <w:pPr>
        <w:jc w:val="both"/>
        <w:ind w:right="40"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62" w:lineRule="exact"/>
        <w:rPr>
          <w:sz w:val="20"/>
          <w:szCs w:val="20"/>
          <w:color w:val="auto"/>
        </w:rPr>
      </w:pPr>
    </w:p>
    <w:p>
      <w:pPr>
        <w:ind w:left="1040" w:right="220" w:hanging="384"/>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 and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225"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During the quarter ended September 30, 2016,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21" w:lineRule="exact"/>
        <w:rPr>
          <w:sz w:val="20"/>
          <w:szCs w:val="20"/>
          <w:color w:val="auto"/>
        </w:rPr>
      </w:pPr>
    </w:p>
    <w:p>
      <w:pPr>
        <w:ind w:right="140" w:firstLine="552"/>
        <w:spacing w:after="0" w:line="257"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During the three months ended September 30, 2016, we repurchased 142,262 shares of outstanding common stock under the share repurchase program at an average price of $59.94 per share. Below is a summary of our common stock repurchases during the third quarter of 2016, the average price paid as well as the dollar value of shares that may still be purchased as of September 30, 2016: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54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5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9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50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Average Price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5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500" w:type="dxa"/>
            <w:vAlign w:val="bottom"/>
          </w:tcPr>
          <w:p>
            <w:pPr>
              <w:spacing w:after="0"/>
              <w:rPr>
                <w:sz w:val="18"/>
                <w:szCs w:val="18"/>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Paid per Share</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9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500" w:type="dxa"/>
            <w:vAlign w:val="bottom"/>
          </w:tcPr>
          <w:p>
            <w:pPr>
              <w:spacing w:after="0"/>
              <w:rPr>
                <w:sz w:val="20"/>
                <w:szCs w:val="20"/>
                <w:color w:val="auto"/>
              </w:rPr>
            </w:pPr>
          </w:p>
        </w:tc>
        <w:tc>
          <w:tcPr>
            <w:tcW w:w="158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54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or Programs</w:t>
            </w: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July 1 to July 31</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92,334,719</w:t>
            </w: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August 1 to August 31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92,334,719</w:t>
            </w: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1 to September 30</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142,262</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59.94</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142,262</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83,808,163</w:t>
            </w:r>
          </w:p>
        </w:tc>
      </w:tr>
      <w:tr>
        <w:trPr>
          <w:trHeight w:val="244"/>
        </w:trPr>
        <w:tc>
          <w:tcPr>
            <w:tcW w:w="516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142,262</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142,262</w:t>
            </w: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amounts include fees and commissions associated with the share repurchase.</w:t>
      </w:r>
    </w:p>
    <w:p>
      <w:pPr>
        <w:spacing w:after="0" w:line="23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15"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8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24"/>
                <w:szCs w:val="24"/>
                <w:color w:val="auto"/>
              </w:rPr>
            </w:pPr>
          </w:p>
        </w:tc>
        <w:tc>
          <w:tcPr>
            <w:tcW w:w="7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2011 Stock and Annual Incentive Plan</w:t>
            </w:r>
          </w:p>
        </w:tc>
        <w:tc>
          <w:tcPr>
            <w:tcW w:w="100" w:type="dxa"/>
            <w:vAlign w:val="bottom"/>
          </w:tcPr>
          <w:p>
            <w:pPr>
              <w:spacing w:after="0"/>
              <w:rPr>
                <w:sz w:val="24"/>
                <w:szCs w:val="24"/>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6"/>
              </w:rPr>
              <w:t>Certification of the Chief Executive Officer pursuant to Section 302 of the Sarbanes-Oxley Act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7"/>
              </w:rPr>
              <w:t>Certification of the Chief Financial Officer pursuant to Section 302 of the Sarbanes-Oxley Act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6"/>
              </w:rPr>
              <w:t>Certification of the Chief Executive Officer pursuant to Section 906 of the Sarbanes-Oxley Act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7"/>
              </w:rPr>
              <w:t>Certification of the Chief Financial Officer pursuant to Section 906 of the Sarbanes-Oxley Act of</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0"/>
                <w:szCs w:val="20"/>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8"/>
              </w:rPr>
              <w:t>The following financial statements from the Company’s Quarterly Report on Form 10-Q for the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7"/>
              </w:rPr>
              <w:t>quarter ended September 30, 2016, formatted in XBRL: (i) Unaudited Condensed Consolidated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4"/>
              </w:rPr>
              <w:t>Statements of Operations, (ii) Unaudited Condensed Consolidated Statements of Comprehensive</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9"/>
              </w:rPr>
              <w:t>Income, (iii) Unaudited Condensed Consolidated Balance Sheets, (iv) Unaudited Condensed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w w:val="91"/>
              </w:rPr>
              <w:t>Consolidated Statement of Changes in Stockholders’ Equity, (v) Unaudited Condensed Consolidated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Statements of Cash Flows, and (vi) Notes to Unaudited Condensed Consolidated Financial</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Indicates a management contract or a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88"/>
              </w:rPr>
              <w:t>/s/ Ernst Teunissen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Chief Financial Officer</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Noel Watson</w:t>
            </w:r>
          </w:p>
        </w:tc>
      </w:tr>
      <w:tr>
        <w:trPr>
          <w:trHeight w:val="191"/>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91" w:lineRule="exact"/>
              <w:rPr>
                <w:sz w:val="20"/>
                <w:szCs w:val="20"/>
                <w:color w:val="auto"/>
              </w:rPr>
            </w:pPr>
            <w:r>
              <w:rPr>
                <w:rFonts w:ascii="Arial" w:cs="Arial" w:eastAsia="Arial" w:hAnsi="Arial"/>
                <w:sz w:val="18"/>
                <w:szCs w:val="18"/>
                <w:b w:val="1"/>
                <w:bCs w:val="1"/>
                <w:color w:val="auto"/>
                <w:w w:val="88"/>
              </w:rPr>
              <w:t>Noel Watson</w:t>
            </w:r>
          </w:p>
        </w:tc>
      </w:t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November 8,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TRIPADVISOR, INC.</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AMENDED &amp; RESTATED</w:t>
      </w:r>
    </w:p>
    <w:p>
      <w:pPr>
        <w:spacing w:after="0" w:line="14" w:lineRule="exact"/>
        <w:rPr>
          <w:sz w:val="20"/>
          <w:szCs w:val="20"/>
          <w:color w:val="auto"/>
        </w:rPr>
      </w:pPr>
    </w:p>
    <w:p>
      <w:pPr>
        <w:ind w:right="3380" w:firstLine="3382"/>
        <w:spacing w:after="0" w:line="388" w:lineRule="auto"/>
        <w:rPr>
          <w:sz w:val="20"/>
          <w:szCs w:val="20"/>
          <w:color w:val="auto"/>
        </w:rPr>
      </w:pPr>
      <w:r>
        <w:rPr>
          <w:rFonts w:ascii="Arial" w:cs="Arial" w:eastAsia="Arial" w:hAnsi="Arial"/>
          <w:sz w:val="22"/>
          <w:szCs w:val="22"/>
          <w:b w:val="1"/>
          <w:bCs w:val="1"/>
          <w:color w:val="auto"/>
        </w:rPr>
        <w:t>2011 STOCK AND ANNUAL INCENTIVE PLAN SECTION 1. PURPOSE; DEFINITIONS</w:t>
      </w:r>
    </w:p>
    <w:p>
      <w:pPr>
        <w:spacing w:after="0" w:line="1" w:lineRule="exact"/>
        <w:rPr>
          <w:sz w:val="20"/>
          <w:szCs w:val="20"/>
          <w:color w:val="auto"/>
        </w:rPr>
      </w:pPr>
    </w:p>
    <w:p>
      <w:pPr>
        <w:ind w:right="160" w:firstLine="859"/>
        <w:spacing w:after="0" w:line="234" w:lineRule="auto"/>
        <w:rPr>
          <w:sz w:val="20"/>
          <w:szCs w:val="20"/>
          <w:color w:val="auto"/>
        </w:rPr>
      </w:pPr>
      <w:r>
        <w:rPr>
          <w:rFonts w:ascii="Arial" w:cs="Arial" w:eastAsia="Arial" w:hAnsi="Arial"/>
          <w:sz w:val="22"/>
          <w:szCs w:val="22"/>
          <w:color w:val="auto"/>
        </w:rPr>
        <w:t>The purposes of this Plan are to give the Company a competitive advantage in attracting, retaining and motivating officers, employees, directors and/or consultants and to provide the Company and its Subsidiaries and Affiliates with a stock and incentive plan providing incentives directly linked to stockholder value and to assume and govern other awards pursuant to the adjustment of awards granted under the Expedia Long-Term Incentive Plan (as defined in the Employee Matters Agreement) in accordance with the terms of the Employee Matters Agreement (“</w:t>
      </w:r>
      <w:r>
        <w:rPr>
          <w:rFonts w:ascii="Arial" w:cs="Arial" w:eastAsia="Arial" w:hAnsi="Arial"/>
          <w:sz w:val="22"/>
          <w:szCs w:val="22"/>
          <w:u w:val="single" w:color="auto"/>
          <w:color w:val="auto"/>
        </w:rPr>
        <w:t>Adjusted Awards</w:t>
      </w:r>
      <w:r>
        <w:rPr>
          <w:rFonts w:ascii="Arial" w:cs="Arial" w:eastAsia="Arial" w:hAnsi="Arial"/>
          <w:sz w:val="22"/>
          <w:szCs w:val="22"/>
          <w:color w:val="auto"/>
        </w:rPr>
        <w:t>”). Certain terms used herein have definitions given to them in the first place in which they are used. In addition, for purposes of this Plan, the following terms are defined as set forth below:</w:t>
      </w:r>
    </w:p>
    <w:p>
      <w:pPr>
        <w:spacing w:after="0" w:line="191" w:lineRule="exact"/>
        <w:rPr>
          <w:sz w:val="20"/>
          <w:szCs w:val="20"/>
          <w:color w:val="auto"/>
        </w:rPr>
      </w:pPr>
    </w:p>
    <w:p>
      <w:pPr>
        <w:ind w:left="1760" w:hanging="893"/>
        <w:spacing w:after="0"/>
        <w:tabs>
          <w:tab w:leader="none" w:pos="17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“Affiliate” means a corporation or other entity controlled by, controlling or under common control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188" w:lineRule="exact"/>
        <w:rPr>
          <w:rFonts w:ascii="Arial" w:cs="Arial" w:eastAsia="Arial" w:hAnsi="Arial"/>
          <w:sz w:val="19"/>
          <w:szCs w:val="19"/>
          <w:color w:val="auto"/>
        </w:rPr>
      </w:pPr>
    </w:p>
    <w:p>
      <w:pPr>
        <w:ind w:left="1760" w:hanging="893"/>
        <w:spacing w:after="0"/>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“Adjusted Awards” has the meaning set forth in the preamble to Section 1.</w:t>
      </w:r>
    </w:p>
    <w:p>
      <w:pPr>
        <w:spacing w:after="0" w:line="206" w:lineRule="exact"/>
        <w:rPr>
          <w:rFonts w:ascii="Arial" w:cs="Arial" w:eastAsia="Arial" w:hAnsi="Arial"/>
          <w:sz w:val="22"/>
          <w:szCs w:val="22"/>
          <w:color w:val="auto"/>
        </w:rPr>
      </w:pPr>
    </w:p>
    <w:p>
      <w:pPr>
        <w:ind w:right="240" w:firstLine="867"/>
        <w:spacing w:after="0" w:line="251" w:lineRule="auto"/>
        <w:tabs>
          <w:tab w:leader="none" w:pos="1747" w:val="left"/>
        </w:tabs>
        <w:numPr>
          <w:ilvl w:val="0"/>
          <w:numId w:val="34"/>
        </w:numPr>
        <w:rPr>
          <w:rFonts w:ascii="Arial" w:cs="Arial" w:eastAsia="Arial" w:hAnsi="Arial"/>
          <w:sz w:val="22"/>
          <w:szCs w:val="22"/>
          <w:color w:val="auto"/>
        </w:rPr>
      </w:pPr>
      <w:r>
        <w:rPr>
          <w:rFonts w:ascii="Arial" w:cs="Arial" w:eastAsia="Arial" w:hAnsi="Arial"/>
          <w:sz w:val="22"/>
          <w:szCs w:val="22"/>
          <w:color w:val="auto"/>
        </w:rPr>
        <w:t>“Applicable Exchange” means the NASDAQ or such other securities exchange as may at the applicable time be the principal market for the Common Stock.</w:t>
      </w:r>
    </w:p>
    <w:p>
      <w:pPr>
        <w:spacing w:after="0" w:line="173" w:lineRule="exact"/>
        <w:rPr>
          <w:rFonts w:ascii="Arial" w:cs="Arial" w:eastAsia="Arial" w:hAnsi="Arial"/>
          <w:sz w:val="22"/>
          <w:szCs w:val="22"/>
          <w:color w:val="auto"/>
        </w:rPr>
      </w:pPr>
    </w:p>
    <w:p>
      <w:pPr>
        <w:ind w:right="420" w:firstLine="867"/>
        <w:spacing w:after="0" w:line="328" w:lineRule="auto"/>
        <w:tabs>
          <w:tab w:leader="none" w:pos="17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“Award” means an Option, Stock Appreciation Right, Restricted Stock, Restricted Stock Unit, other stock-based award or Bonus Award granted or assumed pursuant to the terms of this Plan, including Adjusted Awards.</w:t>
      </w:r>
    </w:p>
    <w:p>
      <w:pPr>
        <w:spacing w:after="0" w:line="105" w:lineRule="exact"/>
        <w:rPr>
          <w:rFonts w:ascii="Arial" w:cs="Arial" w:eastAsia="Arial" w:hAnsi="Arial"/>
          <w:sz w:val="19"/>
          <w:szCs w:val="19"/>
          <w:color w:val="auto"/>
        </w:rPr>
      </w:pPr>
    </w:p>
    <w:p>
      <w:pPr>
        <w:ind w:right="920" w:firstLine="867"/>
        <w:spacing w:after="0" w:line="251" w:lineRule="auto"/>
        <w:tabs>
          <w:tab w:leader="none" w:pos="1747" w:val="left"/>
        </w:tabs>
        <w:numPr>
          <w:ilvl w:val="0"/>
          <w:numId w:val="34"/>
        </w:numPr>
        <w:rPr>
          <w:rFonts w:ascii="Arial" w:cs="Arial" w:eastAsia="Arial" w:hAnsi="Arial"/>
          <w:sz w:val="22"/>
          <w:szCs w:val="22"/>
          <w:color w:val="auto"/>
        </w:rPr>
      </w:pPr>
      <w:r>
        <w:rPr>
          <w:rFonts w:ascii="Arial" w:cs="Arial" w:eastAsia="Arial" w:hAnsi="Arial"/>
          <w:sz w:val="22"/>
          <w:szCs w:val="22"/>
          <w:color w:val="auto"/>
        </w:rPr>
        <w:t>“Award Agreement” means a written or electronic document or agreement setting forth the terms and conditions of a specific Award.</w:t>
      </w:r>
    </w:p>
    <w:p>
      <w:pPr>
        <w:spacing w:after="0" w:line="173" w:lineRule="exact"/>
        <w:rPr>
          <w:rFonts w:ascii="Arial" w:cs="Arial" w:eastAsia="Arial" w:hAnsi="Arial"/>
          <w:sz w:val="22"/>
          <w:szCs w:val="22"/>
          <w:color w:val="auto"/>
        </w:rPr>
      </w:pPr>
    </w:p>
    <w:p>
      <w:pPr>
        <w:ind w:left="1740" w:hanging="873"/>
        <w:spacing w:after="0"/>
        <w:tabs>
          <w:tab w:leader="none" w:pos="17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06" w:lineRule="exact"/>
        <w:rPr>
          <w:rFonts w:ascii="Arial" w:cs="Arial" w:eastAsia="Arial" w:hAnsi="Arial"/>
          <w:sz w:val="22"/>
          <w:szCs w:val="22"/>
          <w:color w:val="auto"/>
        </w:rPr>
      </w:pPr>
    </w:p>
    <w:p>
      <w:pPr>
        <w:ind w:left="1760" w:hanging="893"/>
        <w:spacing w:after="0"/>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“Bonus Award” means a bonus award made pursuant to Section 9.</w:t>
      </w:r>
    </w:p>
    <w:p>
      <w:pPr>
        <w:spacing w:after="0" w:line="206" w:lineRule="exact"/>
        <w:rPr>
          <w:rFonts w:ascii="Arial" w:cs="Arial" w:eastAsia="Arial" w:hAnsi="Arial"/>
          <w:sz w:val="22"/>
          <w:szCs w:val="22"/>
          <w:color w:val="auto"/>
        </w:rPr>
      </w:pPr>
    </w:p>
    <w:p>
      <w:pPr>
        <w:ind w:right="120" w:firstLine="867"/>
        <w:spacing w:after="0" w:line="233" w:lineRule="auto"/>
        <w:tabs>
          <w:tab w:leader="none" w:pos="17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“Cause”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nolo contendere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owed to the Company or any of its Affiliates; or (E) before a Change in Control, such other events as shall be determined by the Committee and set forth in a Participant’s Award Agreement. Notwithstanding the general rule of Section 2(c), following a Change in Control, any determination by the Committee as to whether “Cause” exists shall be subject to de novo review.</w:t>
      </w:r>
    </w:p>
    <w:p>
      <w:pPr>
        <w:spacing w:after="0" w:line="193" w:lineRule="exact"/>
        <w:rPr>
          <w:rFonts w:ascii="Arial" w:cs="Arial" w:eastAsia="Arial" w:hAnsi="Arial"/>
          <w:sz w:val="22"/>
          <w:szCs w:val="22"/>
          <w:color w:val="auto"/>
        </w:rPr>
      </w:pPr>
    </w:p>
    <w:p>
      <w:pPr>
        <w:ind w:left="1720" w:hanging="853"/>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“Change in Control” has the meaning set forth in Section 10(b).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61" w:name="page62"/>
    <w:bookmarkEnd w:id="61"/>
    <w:p>
      <w:pPr>
        <w:ind w:left="-8" w:right="140" w:firstLine="867"/>
        <w:spacing w:after="0" w:line="238" w:lineRule="auto"/>
        <w:tabs>
          <w:tab w:leader="none" w:pos="1703"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85" w:lineRule="exact"/>
        <w:rPr>
          <w:rFonts w:ascii="Arial" w:cs="Arial" w:eastAsia="Arial" w:hAnsi="Arial"/>
          <w:sz w:val="22"/>
          <w:szCs w:val="22"/>
          <w:color w:val="auto"/>
        </w:rPr>
      </w:pPr>
    </w:p>
    <w:p>
      <w:pPr>
        <w:ind w:left="1752" w:hanging="893"/>
        <w:spacing w:after="0"/>
        <w:tabs>
          <w:tab w:leader="none" w:pos="1752"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“Commission” means the Securities and Exchange Commission or any successor agency.</w:t>
      </w:r>
    </w:p>
    <w:p>
      <w:pPr>
        <w:spacing w:after="0" w:line="206" w:lineRule="exact"/>
        <w:rPr>
          <w:rFonts w:ascii="Arial" w:cs="Arial" w:eastAsia="Arial" w:hAnsi="Arial"/>
          <w:sz w:val="22"/>
          <w:szCs w:val="22"/>
          <w:color w:val="auto"/>
        </w:rPr>
      </w:pPr>
    </w:p>
    <w:p>
      <w:pPr>
        <w:ind w:left="1712" w:hanging="853"/>
        <w:spacing w:after="0"/>
        <w:tabs>
          <w:tab w:leader="none" w:pos="1712"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“Committee” has the meaning set forth in Section 2(a).</w:t>
      </w:r>
    </w:p>
    <w:p>
      <w:pPr>
        <w:spacing w:after="0" w:line="206" w:lineRule="exact"/>
        <w:rPr>
          <w:rFonts w:ascii="Arial" w:cs="Arial" w:eastAsia="Arial" w:hAnsi="Arial"/>
          <w:sz w:val="22"/>
          <w:szCs w:val="22"/>
          <w:color w:val="auto"/>
        </w:rPr>
      </w:pPr>
    </w:p>
    <w:p>
      <w:pPr>
        <w:ind w:left="1812" w:hanging="953"/>
        <w:spacing w:after="0"/>
        <w:tabs>
          <w:tab w:leader="none" w:pos="1812"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“Common Stock” means common stock, par value $0.001 per share, of the Company.</w:t>
      </w:r>
    </w:p>
    <w:p>
      <w:pPr>
        <w:spacing w:after="0" w:line="206" w:lineRule="exact"/>
        <w:rPr>
          <w:rFonts w:ascii="Arial" w:cs="Arial" w:eastAsia="Arial" w:hAnsi="Arial"/>
          <w:sz w:val="22"/>
          <w:szCs w:val="22"/>
          <w:color w:val="auto"/>
        </w:rPr>
      </w:pPr>
    </w:p>
    <w:p>
      <w:pPr>
        <w:ind w:left="1752" w:hanging="893"/>
        <w:spacing w:after="0"/>
        <w:tabs>
          <w:tab w:leader="none" w:pos="1752"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“Company” means TripAdvisor, Inc., a Delaware corporation or its successor.</w:t>
      </w:r>
    </w:p>
    <w:p>
      <w:pPr>
        <w:spacing w:after="0" w:line="206" w:lineRule="exact"/>
        <w:rPr>
          <w:rFonts w:ascii="Arial" w:cs="Arial" w:eastAsia="Arial" w:hAnsi="Arial"/>
          <w:sz w:val="22"/>
          <w:szCs w:val="22"/>
          <w:color w:val="auto"/>
        </w:rPr>
      </w:pPr>
    </w:p>
    <w:p>
      <w:pPr>
        <w:ind w:left="-8" w:right="40" w:firstLine="867"/>
        <w:spacing w:after="0" w:line="277" w:lineRule="auto"/>
        <w:tabs>
          <w:tab w:leader="none" w:pos="1752" w:val="left"/>
        </w:tabs>
        <w:numPr>
          <w:ilvl w:val="1"/>
          <w:numId w:val="35"/>
        </w:numPr>
        <w:rPr>
          <w:rFonts w:ascii="Arial" w:cs="Arial" w:eastAsia="Arial" w:hAnsi="Arial"/>
          <w:sz w:val="19"/>
          <w:szCs w:val="19"/>
          <w:color w:val="auto"/>
        </w:rPr>
      </w:pPr>
      <w:r>
        <w:rPr>
          <w:rFonts w:ascii="Arial" w:cs="Arial" w:eastAsia="Arial" w:hAnsi="Arial"/>
          <w:sz w:val="19"/>
          <w:szCs w:val="19"/>
          <w:color w:val="auto"/>
        </w:rPr>
        <w:t>“Disability” means (i) “Disability” as defined in any Individual Agreement to which the Participant is a party, or (ii) if there is no such Individual Agreement or it does not define “Disability,” (A) permanent and total disability as determined under the Company’s long- 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all Awards, to the extent required by Section 409A of the Code, Disability shall mean “disability” within the meaning of Section 409A of the Code.</w:t>
      </w:r>
    </w:p>
    <w:p>
      <w:pPr>
        <w:spacing w:after="0" w:line="152" w:lineRule="exact"/>
        <w:rPr>
          <w:rFonts w:ascii="Arial" w:cs="Arial" w:eastAsia="Arial" w:hAnsi="Arial"/>
          <w:sz w:val="19"/>
          <w:szCs w:val="19"/>
          <w:color w:val="auto"/>
        </w:rPr>
      </w:pPr>
    </w:p>
    <w:p>
      <w:pPr>
        <w:ind w:left="-8" w:firstLine="867"/>
        <w:spacing w:after="0"/>
        <w:tabs>
          <w:tab w:leader="none" w:pos="1752" w:val="left"/>
        </w:tabs>
        <w:numPr>
          <w:ilvl w:val="1"/>
          <w:numId w:val="35"/>
        </w:numPr>
        <w:rPr>
          <w:rFonts w:ascii="Arial" w:cs="Arial" w:eastAsia="Arial" w:hAnsi="Arial"/>
          <w:sz w:val="22"/>
          <w:szCs w:val="22"/>
          <w:color w:val="auto"/>
        </w:rPr>
      </w:pPr>
      <w:r>
        <w:rPr>
          <w:rFonts w:ascii="Arial" w:cs="Arial" w:eastAsia="Arial" w:hAnsi="Arial"/>
          <w:sz w:val="22"/>
          <w:szCs w:val="22"/>
          <w:color w:val="auto"/>
        </w:rPr>
        <w:t>“Disaffiliation”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86" w:lineRule="exact"/>
        <w:rPr>
          <w:rFonts w:ascii="Arial" w:cs="Arial" w:eastAsia="Arial" w:hAnsi="Arial"/>
          <w:sz w:val="22"/>
          <w:szCs w:val="22"/>
          <w:color w:val="auto"/>
        </w:rPr>
      </w:pPr>
    </w:p>
    <w:p>
      <w:pPr>
        <w:ind w:left="1752" w:hanging="893"/>
        <w:spacing w:after="0"/>
        <w:tabs>
          <w:tab w:leader="none" w:pos="1752" w:val="left"/>
        </w:tabs>
        <w:numPr>
          <w:ilvl w:val="1"/>
          <w:numId w:val="35"/>
        </w:numPr>
        <w:rPr>
          <w:rFonts w:ascii="Arial" w:cs="Arial" w:eastAsia="Arial" w:hAnsi="Arial"/>
          <w:sz w:val="19"/>
          <w:szCs w:val="19"/>
          <w:color w:val="auto"/>
        </w:rPr>
      </w:pPr>
      <w:r>
        <w:rPr>
          <w:rFonts w:ascii="Arial" w:cs="Arial" w:eastAsia="Arial" w:hAnsi="Arial"/>
          <w:sz w:val="19"/>
          <w:szCs w:val="19"/>
          <w:color w:val="auto"/>
        </w:rPr>
        <w:t>“EBITA” means for any period, operating profit (loss) plus (i) amortization, including goodwill impairment,</w:t>
      </w:r>
    </w:p>
    <w:p>
      <w:pPr>
        <w:spacing w:after="0" w:line="42" w:lineRule="exact"/>
        <w:rPr>
          <w:rFonts w:ascii="Arial" w:cs="Arial" w:eastAsia="Arial" w:hAnsi="Arial"/>
          <w:sz w:val="19"/>
          <w:szCs w:val="19"/>
          <w:color w:val="auto"/>
        </w:rPr>
      </w:pPr>
    </w:p>
    <w:p>
      <w:pPr>
        <w:ind w:left="-8" w:right="320" w:firstLine="8"/>
        <w:spacing w:after="0" w:line="287" w:lineRule="auto"/>
        <w:tabs>
          <w:tab w:leader="none" w:pos="31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amortization of non-cash distribution and marketing expense and non-cash compensation expense, (iii) disengagement expenses, (iv) restructuring charges, (v) non cash write-downs of assets or goodwill, (vi) charges relating to disposal of lines of business, (vii) litigation settlement amounts and (viii) costs incurred for proposed and completed acquisitions.</w:t>
      </w:r>
    </w:p>
    <w:p>
      <w:pPr>
        <w:spacing w:after="0" w:line="143" w:lineRule="exact"/>
        <w:rPr>
          <w:rFonts w:ascii="Arial" w:cs="Arial" w:eastAsia="Arial" w:hAnsi="Arial"/>
          <w:sz w:val="19"/>
          <w:szCs w:val="19"/>
          <w:color w:val="auto"/>
        </w:rPr>
      </w:pPr>
    </w:p>
    <w:p>
      <w:pPr>
        <w:ind w:left="-8" w:right="120" w:firstLine="867"/>
        <w:spacing w:after="0" w:line="287" w:lineRule="auto"/>
        <w:tabs>
          <w:tab w:leader="none" w:pos="1715" w:val="left"/>
        </w:tabs>
        <w:numPr>
          <w:ilvl w:val="1"/>
          <w:numId w:val="36"/>
        </w:numPr>
        <w:rPr>
          <w:rFonts w:ascii="Arial" w:cs="Arial" w:eastAsia="Arial" w:hAnsi="Arial"/>
          <w:sz w:val="19"/>
          <w:szCs w:val="19"/>
          <w:color w:val="auto"/>
        </w:rPr>
      </w:pPr>
      <w:r>
        <w:rPr>
          <w:rFonts w:ascii="Arial" w:cs="Arial" w:eastAsia="Arial" w:hAnsi="Arial"/>
          <w:sz w:val="19"/>
          <w:szCs w:val="19"/>
          <w:color w:val="auto"/>
        </w:rPr>
        <w:t>“EBITDA” means for any period, operating profit (loss) plus (i) depreciation and amortization, including goodwill impairment, (ii) amortization of non-cash distribution and marketing expense and non-cash compensation expense, (iii) disengagement expenses, (iv) restructuring charges, (v) non cash write-downs of assets or goodwill, (vi) charges relating to disposal of lines of business, (vii) litigation settlement amounts and (viii) costs incurred for proposed and completed acquisitions.</w:t>
      </w:r>
    </w:p>
    <w:p>
      <w:pPr>
        <w:spacing w:after="0" w:line="143" w:lineRule="exact"/>
        <w:rPr>
          <w:rFonts w:ascii="Arial" w:cs="Arial" w:eastAsia="Arial" w:hAnsi="Arial"/>
          <w:sz w:val="19"/>
          <w:szCs w:val="19"/>
          <w:color w:val="auto"/>
        </w:rPr>
      </w:pPr>
    </w:p>
    <w:p>
      <w:pPr>
        <w:ind w:left="-8" w:right="540" w:firstLine="867"/>
        <w:spacing w:after="0" w:line="251" w:lineRule="auto"/>
        <w:tabs>
          <w:tab w:leader="none" w:pos="1727" w:val="left"/>
        </w:tabs>
        <w:numPr>
          <w:ilvl w:val="1"/>
          <w:numId w:val="36"/>
        </w:numPr>
        <w:rPr>
          <w:rFonts w:ascii="Arial" w:cs="Arial" w:eastAsia="Arial" w:hAnsi="Arial"/>
          <w:sz w:val="22"/>
          <w:szCs w:val="22"/>
          <w:color w:val="auto"/>
        </w:rPr>
      </w:pPr>
      <w:r>
        <w:rPr>
          <w:rFonts w:ascii="Arial" w:cs="Arial" w:eastAsia="Arial" w:hAnsi="Arial"/>
          <w:sz w:val="22"/>
          <w:szCs w:val="22"/>
          <w:color w:val="auto"/>
        </w:rPr>
        <w:t>“Eligible Individuals” means directors, officers, employees and consultants of the Company or any of its Subsidiaries or Affiliates.</w:t>
      </w:r>
    </w:p>
    <w:p>
      <w:pPr>
        <w:spacing w:after="0" w:line="173" w:lineRule="exact"/>
        <w:rPr>
          <w:rFonts w:ascii="Arial" w:cs="Arial" w:eastAsia="Arial" w:hAnsi="Arial"/>
          <w:sz w:val="22"/>
          <w:szCs w:val="22"/>
          <w:color w:val="auto"/>
        </w:rPr>
      </w:pPr>
    </w:p>
    <w:p>
      <w:pPr>
        <w:ind w:left="1712" w:hanging="853"/>
        <w:spacing w:after="0"/>
        <w:tabs>
          <w:tab w:leader="none" w:pos="1712" w:val="left"/>
        </w:tabs>
        <w:numPr>
          <w:ilvl w:val="1"/>
          <w:numId w:val="36"/>
        </w:numPr>
        <w:rPr>
          <w:rFonts w:ascii="Arial" w:cs="Arial" w:eastAsia="Arial" w:hAnsi="Arial"/>
          <w:sz w:val="22"/>
          <w:szCs w:val="22"/>
          <w:color w:val="auto"/>
        </w:rPr>
      </w:pPr>
      <w:r>
        <w:rPr>
          <w:rFonts w:ascii="Arial" w:cs="Arial" w:eastAsia="Arial" w:hAnsi="Arial"/>
          <w:sz w:val="22"/>
          <w:szCs w:val="22"/>
          <w:color w:val="auto"/>
        </w:rPr>
        <w:t>“Employee Matters Agreement” means the Employee Matters Agreement by and</w:t>
      </w:r>
    </w:p>
    <w:p>
      <w:pPr>
        <w:spacing w:after="0" w:line="211" w:lineRule="exact"/>
        <w:rPr>
          <w:sz w:val="20"/>
          <w:szCs w:val="20"/>
          <w:color w:val="auto"/>
        </w:rPr>
      </w:pPr>
    </w:p>
    <w:p>
      <w:pPr>
        <w:jc w:val="center"/>
        <w:ind w:right="-91"/>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564"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between Expedia and the Company dated as of December 20, 2011.</w:t>
      </w:r>
    </w:p>
    <w:p>
      <w:pPr>
        <w:spacing w:after="0" w:line="206" w:lineRule="exact"/>
        <w:rPr>
          <w:sz w:val="20"/>
          <w:szCs w:val="20"/>
          <w:color w:val="auto"/>
        </w:rPr>
      </w:pPr>
    </w:p>
    <w:p>
      <w:pPr>
        <w:ind w:left="1760" w:hanging="893"/>
        <w:spacing w:after="0"/>
        <w:tabs>
          <w:tab w:leader="none" w:pos="17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“Exchange Act” means the Securities Exchange Act of 1934, as amended from time to time, and any successor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8" w:lineRule="exact"/>
        <w:rPr>
          <w:sz w:val="20"/>
          <w:szCs w:val="20"/>
          <w:color w:val="auto"/>
        </w:rPr>
      </w:pPr>
    </w:p>
    <w:p>
      <w:pPr>
        <w:ind w:left="1760" w:hanging="893"/>
        <w:spacing w:after="0"/>
        <w:tabs>
          <w:tab w:leader="none" w:pos="17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“Expedia” means Expedia, Inc., a Delaware corporation.</w:t>
      </w:r>
    </w:p>
    <w:p>
      <w:pPr>
        <w:spacing w:after="0" w:line="206" w:lineRule="exact"/>
        <w:rPr>
          <w:rFonts w:ascii="Arial" w:cs="Arial" w:eastAsia="Arial" w:hAnsi="Arial"/>
          <w:sz w:val="22"/>
          <w:szCs w:val="22"/>
          <w:color w:val="auto"/>
        </w:rPr>
      </w:pPr>
    </w:p>
    <w:p>
      <w:pPr>
        <w:ind w:right="120" w:firstLine="867"/>
        <w:spacing w:after="0" w:line="248" w:lineRule="auto"/>
        <w:tabs>
          <w:tab w:leader="none" w:pos="1807" w:val="left"/>
        </w:tabs>
        <w:numPr>
          <w:ilvl w:val="0"/>
          <w:numId w:val="38"/>
        </w:numPr>
        <w:rPr>
          <w:rFonts w:ascii="Arial" w:cs="Arial" w:eastAsia="Arial" w:hAnsi="Arial"/>
          <w:sz w:val="21"/>
          <w:szCs w:val="21"/>
          <w:color w:val="auto"/>
        </w:rPr>
      </w:pPr>
      <w:r>
        <w:rPr>
          <w:rFonts w:ascii="Arial" w:cs="Arial" w:eastAsia="Arial" w:hAnsi="Arial"/>
          <w:sz w:val="21"/>
          <w:szCs w:val="21"/>
          <w:color w:val="auto"/>
        </w:rPr>
        <w:t>“Fair Market Value” means, unless otherwise determined by the Committee, the closing price of a share of Common Stock on the Applicable Exchange on the date of measurement, or if Shares were not traded on the Applicable Exchange on such measurement date, then on the next preceding date on which Shares were traded, all as reported by such source as the Committee may select. If the Common Stock is not listed on a national securities exchange, Fair Market Value shall be determined by the Committee in its good faith discretion, provided that such determination shall be made in a manner consistent with any applicable requirements of Section 409A of the Code.</w:t>
      </w:r>
    </w:p>
    <w:p>
      <w:pPr>
        <w:spacing w:after="0" w:line="177" w:lineRule="exact"/>
        <w:rPr>
          <w:rFonts w:ascii="Arial" w:cs="Arial" w:eastAsia="Arial" w:hAnsi="Arial"/>
          <w:sz w:val="21"/>
          <w:szCs w:val="21"/>
          <w:color w:val="auto"/>
        </w:rPr>
      </w:pPr>
    </w:p>
    <w:p>
      <w:pPr>
        <w:ind w:left="1760" w:hanging="893"/>
        <w:spacing w:after="0"/>
        <w:tabs>
          <w:tab w:leader="none" w:pos="17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“Free-Standing SAR” has the meaning set forth in Section 5(b).</w:t>
      </w:r>
    </w:p>
    <w:p>
      <w:pPr>
        <w:spacing w:after="0" w:line="206" w:lineRule="exact"/>
        <w:rPr>
          <w:rFonts w:ascii="Arial" w:cs="Arial" w:eastAsia="Arial" w:hAnsi="Arial"/>
          <w:sz w:val="22"/>
          <w:szCs w:val="22"/>
          <w:color w:val="auto"/>
        </w:rPr>
      </w:pPr>
    </w:p>
    <w:p>
      <w:pPr>
        <w:jc w:val="both"/>
        <w:ind w:firstLine="867"/>
        <w:spacing w:after="0" w:line="238" w:lineRule="auto"/>
        <w:tabs>
          <w:tab w:leader="none" w:pos="17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“Grant Date” means (i) the date on which the Committee by resolution selects an Eligible Individual to receive a grant of an Award and determines the number of Shares to be subject to such Award or the formula for earning a number of shares or cash amount, (ii) such later date as the Committee shall provide in such resolution or (iii) the initial date on which an Adjusted Award was granted under the Expedia Long-Term Incentive Plan.</w:t>
      </w:r>
    </w:p>
    <w:p>
      <w:pPr>
        <w:spacing w:after="0" w:line="185" w:lineRule="exact"/>
        <w:rPr>
          <w:rFonts w:ascii="Arial" w:cs="Arial" w:eastAsia="Arial" w:hAnsi="Arial"/>
          <w:sz w:val="22"/>
          <w:szCs w:val="22"/>
          <w:color w:val="auto"/>
        </w:rPr>
      </w:pPr>
    </w:p>
    <w:p>
      <w:pPr>
        <w:ind w:right="680" w:firstLine="867"/>
        <w:spacing w:after="0" w:line="328" w:lineRule="auto"/>
        <w:tabs>
          <w:tab w:leader="none" w:pos="1747"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“Incentive Stock Option” means any Option that is designated in the applicable Award Agreement as an “incentive stock option” within the meaning of Section 422 of the Code, and that in fact so qualifies.</w:t>
      </w:r>
    </w:p>
    <w:p>
      <w:pPr>
        <w:spacing w:after="0" w:line="105" w:lineRule="exact"/>
        <w:rPr>
          <w:sz w:val="20"/>
          <w:szCs w:val="20"/>
          <w:color w:val="auto"/>
        </w:rPr>
      </w:pPr>
    </w:p>
    <w:p>
      <w:pPr>
        <w:ind w:right="20" w:firstLine="867"/>
        <w:spacing w:after="0" w:line="251" w:lineRule="auto"/>
        <w:tabs>
          <w:tab w:leader="none" w:pos="18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Agreement</w:t>
      </w:r>
      <w:r>
        <w:rPr>
          <w:rFonts w:ascii="Arial" w:cs="Arial" w:eastAsia="Arial" w:hAnsi="Arial"/>
          <w:sz w:val="22"/>
          <w:szCs w:val="22"/>
          <w:color w:val="auto"/>
        </w:rPr>
        <w:t>” means an employment, consulting or similar agreement between a Participant and the Company or one of its Subsidiaries or Affiliates.</w:t>
      </w:r>
    </w:p>
    <w:p>
      <w:pPr>
        <w:spacing w:after="0" w:line="173" w:lineRule="exact"/>
        <w:rPr>
          <w:rFonts w:ascii="Arial" w:cs="Arial" w:eastAsia="Arial" w:hAnsi="Arial"/>
          <w:sz w:val="22"/>
          <w:szCs w:val="22"/>
          <w:color w:val="auto"/>
        </w:rPr>
      </w:pPr>
    </w:p>
    <w:p>
      <w:pPr>
        <w:ind w:left="1880" w:hanging="1013"/>
        <w:spacing w:after="0"/>
        <w:tabs>
          <w:tab w:leader="none" w:pos="18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National Association of Securities Dealers Inc.</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Automated Quotation System.</w:t>
      </w:r>
    </w:p>
    <w:p>
      <w:pPr>
        <w:spacing w:after="0" w:line="188" w:lineRule="exact"/>
        <w:rPr>
          <w:sz w:val="20"/>
          <w:szCs w:val="20"/>
          <w:color w:val="auto"/>
        </w:rPr>
      </w:pPr>
    </w:p>
    <w:p>
      <w:pPr>
        <w:ind w:left="1860" w:hanging="993"/>
        <w:spacing w:after="0"/>
        <w:tabs>
          <w:tab w:leader="none" w:pos="18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Option</w:t>
      </w:r>
      <w:r>
        <w:rPr>
          <w:rFonts w:ascii="Arial" w:cs="Arial" w:eastAsia="Arial" w:hAnsi="Arial"/>
          <w:sz w:val="22"/>
          <w:szCs w:val="22"/>
          <w:color w:val="auto"/>
        </w:rPr>
        <w:t>” means any Option that is not an Incentive Stock Option.</w:t>
      </w:r>
    </w:p>
    <w:p>
      <w:pPr>
        <w:spacing w:after="0" w:line="206" w:lineRule="exact"/>
        <w:rPr>
          <w:rFonts w:ascii="Arial" w:cs="Arial" w:eastAsia="Arial" w:hAnsi="Arial"/>
          <w:sz w:val="22"/>
          <w:szCs w:val="22"/>
          <w:color w:val="auto"/>
        </w:rPr>
      </w:pPr>
    </w:p>
    <w:p>
      <w:pPr>
        <w:ind w:left="1880" w:hanging="1013"/>
        <w:spacing w:after="0"/>
        <w:tabs>
          <w:tab w:leader="none" w:pos="1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an Award described under Section 5.</w:t>
      </w:r>
    </w:p>
    <w:p>
      <w:pPr>
        <w:spacing w:after="0" w:line="206" w:lineRule="exact"/>
        <w:rPr>
          <w:rFonts w:ascii="Arial" w:cs="Arial" w:eastAsia="Arial" w:hAnsi="Arial"/>
          <w:sz w:val="22"/>
          <w:szCs w:val="22"/>
          <w:color w:val="auto"/>
        </w:rPr>
      </w:pPr>
    </w:p>
    <w:p>
      <w:pPr>
        <w:ind w:left="1860" w:hanging="993"/>
        <w:spacing w:after="0"/>
        <w:tabs>
          <w:tab w:leader="none" w:pos="18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Directors</w:t>
      </w:r>
      <w:r>
        <w:rPr>
          <w:rFonts w:ascii="Arial" w:cs="Arial" w:eastAsia="Arial" w:hAnsi="Arial"/>
          <w:sz w:val="22"/>
          <w:szCs w:val="22"/>
          <w:color w:val="auto"/>
        </w:rPr>
        <w:t>” has the meaning set forth in Section 11(a).</w:t>
      </w:r>
    </w:p>
    <w:p>
      <w:pPr>
        <w:spacing w:after="0" w:line="206" w:lineRule="exact"/>
        <w:rPr>
          <w:rFonts w:ascii="Arial" w:cs="Arial" w:eastAsia="Arial" w:hAnsi="Arial"/>
          <w:sz w:val="22"/>
          <w:szCs w:val="22"/>
          <w:color w:val="auto"/>
        </w:rPr>
      </w:pPr>
    </w:p>
    <w:p>
      <w:pPr>
        <w:ind w:left="1800" w:hanging="933"/>
        <w:spacing w:after="0"/>
        <w:tabs>
          <w:tab w:leader="none" w:pos="18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Eligible Individual to whom an Award is or has been granted.</w:t>
      </w:r>
    </w:p>
    <w:p>
      <w:pPr>
        <w:spacing w:after="0" w:line="206" w:lineRule="exact"/>
        <w:rPr>
          <w:rFonts w:ascii="Arial" w:cs="Arial" w:eastAsia="Arial" w:hAnsi="Arial"/>
          <w:sz w:val="22"/>
          <w:szCs w:val="22"/>
          <w:color w:val="auto"/>
        </w:rPr>
      </w:pPr>
    </w:p>
    <w:p>
      <w:pPr>
        <w:ind w:right="20" w:firstLine="867"/>
        <w:spacing w:after="0" w:line="235" w:lineRule="auto"/>
        <w:tabs>
          <w:tab w:leader="none" w:pos="1868"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Goals</w:t>
      </w:r>
      <w:r>
        <w:rPr>
          <w:rFonts w:ascii="Arial" w:cs="Arial" w:eastAsia="Arial" w:hAnsi="Arial"/>
          <w:sz w:val="22"/>
          <w:szCs w:val="22"/>
          <w:color w:val="auto"/>
        </w:rPr>
        <w:t>” means the performance goals established by the Committee in connection with the grant of Restricted Stock, Restricted Stock Units or Bonus Awards or other stock-based awards. In the case of Qualified-Performance Based Awards that are intended to qualify under Section 162(m)(4)(C) of the Code, (i) such goals shall be based on the attainment of one or any combination of the following: specified levels of earnings per share from continuing operations, net profit after tax, EBITDA, EBITA, gross profit, cash generation, unit volume, market share, sales, asset quality, earnings per share, operating income, revenues, return on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3" w:name="page64"/>
    <w:bookmarkEnd w:id="63"/>
    <w:p>
      <w:pPr>
        <w:ind w:right="20"/>
        <w:spacing w:after="0" w:line="277" w:lineRule="auto"/>
        <w:rPr>
          <w:sz w:val="20"/>
          <w:szCs w:val="20"/>
          <w:color w:val="auto"/>
        </w:rPr>
      </w:pPr>
      <w:r>
        <w:rPr>
          <w:rFonts w:ascii="Arial" w:cs="Arial" w:eastAsia="Arial" w:hAnsi="Arial"/>
          <w:sz w:val="19"/>
          <w:szCs w:val="19"/>
          <w:color w:val="auto"/>
        </w:rPr>
        <w:t>return on operating assets, return on equity, profits, total stockholder return (measured in terms of stock price appreciation and/or dividend growth), cost saving levels, marketing- spending efficiency, core non-interest income, change in working capital, return on capital, and/or stock price, with respect to the Company or any subsidiary, division or department of the Company that are intended to qualify under Section 162(m)(4)(C) of the Code and (ii) such Performance Goals shall be set by the Committee within the time period prescribed by Section 162(m) of the Code and related regulations. Such Performance Goals also may be based upon the attaining of specified levels of Company, Subsidiary, Affiliate or divisional performance under one or more of the measures described above relative to the performance of other entities, divisions or subsidiaries.</w:t>
      </w:r>
    </w:p>
    <w:p>
      <w:pPr>
        <w:spacing w:after="0" w:line="153" w:lineRule="exact"/>
        <w:rPr>
          <w:sz w:val="20"/>
          <w:szCs w:val="20"/>
          <w:color w:val="auto"/>
        </w:rPr>
      </w:pPr>
    </w:p>
    <w:p>
      <w:pPr>
        <w:ind w:firstLine="867"/>
        <w:spacing w:after="0" w:line="251" w:lineRule="auto"/>
        <w:tabs>
          <w:tab w:leader="none" w:pos="18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this TripAdvisor, Inc. 2011 Stock and Annual Incentive Plan, as set forth herein and as hereafter amended from time to time.</w:t>
      </w:r>
    </w:p>
    <w:p>
      <w:pPr>
        <w:spacing w:after="0" w:line="173" w:lineRule="exact"/>
        <w:rPr>
          <w:rFonts w:ascii="Arial" w:cs="Arial" w:eastAsia="Arial" w:hAnsi="Arial"/>
          <w:sz w:val="22"/>
          <w:szCs w:val="22"/>
          <w:color w:val="auto"/>
        </w:rPr>
      </w:pPr>
    </w:p>
    <w:p>
      <w:pPr>
        <w:ind w:left="1780" w:hanging="913"/>
        <w:spacing w:after="0"/>
        <w:tabs>
          <w:tab w:leader="none" w:pos="1780"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 or, with respect to Bonus Awards, the Company’s fiscal year if different.</w:t>
      </w:r>
    </w:p>
    <w:p>
      <w:pPr>
        <w:spacing w:after="0" w:line="240" w:lineRule="exact"/>
        <w:rPr>
          <w:rFonts w:ascii="Arial" w:cs="Arial" w:eastAsia="Arial" w:hAnsi="Arial"/>
          <w:sz w:val="19"/>
          <w:szCs w:val="19"/>
          <w:color w:val="auto"/>
        </w:rPr>
      </w:pPr>
    </w:p>
    <w:p>
      <w:pPr>
        <w:ind w:firstLine="867"/>
        <w:spacing w:after="0" w:line="251" w:lineRule="auto"/>
        <w:tabs>
          <w:tab w:leader="none" w:pos="1772"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Performance-Based Award</w:t>
      </w:r>
      <w:r>
        <w:rPr>
          <w:rFonts w:ascii="Arial" w:cs="Arial" w:eastAsia="Arial" w:hAnsi="Arial"/>
          <w:sz w:val="22"/>
          <w:szCs w:val="22"/>
          <w:color w:val="auto"/>
        </w:rPr>
        <w:t>” means an Award intended to qualify for the Section 162(m) Exemption, as provided in Section 11.</w:t>
      </w:r>
    </w:p>
    <w:p>
      <w:pPr>
        <w:spacing w:after="0" w:line="173" w:lineRule="exact"/>
        <w:rPr>
          <w:rFonts w:ascii="Arial" w:cs="Arial" w:eastAsia="Arial" w:hAnsi="Arial"/>
          <w:sz w:val="22"/>
          <w:szCs w:val="22"/>
          <w:color w:val="auto"/>
        </w:rPr>
      </w:pPr>
    </w:p>
    <w:p>
      <w:pPr>
        <w:ind w:left="1880" w:hanging="1013"/>
        <w:spacing w:after="0"/>
        <w:tabs>
          <w:tab w:leader="none" w:pos="1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an Award described under Section 6.</w:t>
      </w:r>
    </w:p>
    <w:p>
      <w:pPr>
        <w:spacing w:after="0" w:line="206" w:lineRule="exact"/>
        <w:rPr>
          <w:rFonts w:ascii="Arial" w:cs="Arial" w:eastAsia="Arial" w:hAnsi="Arial"/>
          <w:sz w:val="22"/>
          <w:szCs w:val="22"/>
          <w:color w:val="auto"/>
        </w:rPr>
      </w:pPr>
    </w:p>
    <w:p>
      <w:pPr>
        <w:ind w:left="1780" w:hanging="913"/>
        <w:spacing w:after="0"/>
        <w:tabs>
          <w:tab w:leader="none" w:pos="17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means an Award described under Section 7.</w:t>
      </w:r>
    </w:p>
    <w:p>
      <w:pPr>
        <w:spacing w:after="0" w:line="206" w:lineRule="exact"/>
        <w:rPr>
          <w:rFonts w:ascii="Arial" w:cs="Arial" w:eastAsia="Arial" w:hAnsi="Arial"/>
          <w:sz w:val="22"/>
          <w:szCs w:val="22"/>
          <w:color w:val="auto"/>
        </w:rPr>
      </w:pPr>
    </w:p>
    <w:p>
      <w:pPr>
        <w:ind w:right="260" w:firstLine="867"/>
        <w:spacing w:after="0" w:line="251" w:lineRule="auto"/>
        <w:tabs>
          <w:tab w:leader="none" w:pos="19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retirement from active employment with the Company, a Subsidiary or Affiliate at or after the Participant’s attainment of age 65.</w:t>
      </w:r>
    </w:p>
    <w:p>
      <w:pPr>
        <w:spacing w:after="0" w:line="173" w:lineRule="exact"/>
        <w:rPr>
          <w:rFonts w:ascii="Arial" w:cs="Arial" w:eastAsia="Arial" w:hAnsi="Arial"/>
          <w:sz w:val="22"/>
          <w:szCs w:val="22"/>
          <w:color w:val="auto"/>
        </w:rPr>
      </w:pPr>
    </w:p>
    <w:p>
      <w:pPr>
        <w:ind w:left="1880" w:hanging="1013"/>
        <w:spacing w:after="0"/>
        <w:tabs>
          <w:tab w:leader="none" w:pos="1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 Restriction Period</w:t>
      </w:r>
      <w:r>
        <w:rPr>
          <w:rFonts w:ascii="Arial" w:cs="Arial" w:eastAsia="Arial" w:hAnsi="Arial"/>
          <w:sz w:val="22"/>
          <w:szCs w:val="22"/>
          <w:color w:val="auto"/>
        </w:rPr>
        <w:t>” has the meaning set forth in Section 6(b)(ii).</w:t>
      </w:r>
    </w:p>
    <w:p>
      <w:pPr>
        <w:spacing w:after="0" w:line="206" w:lineRule="exact"/>
        <w:rPr>
          <w:rFonts w:ascii="Arial" w:cs="Arial" w:eastAsia="Arial" w:hAnsi="Arial"/>
          <w:sz w:val="22"/>
          <w:szCs w:val="22"/>
          <w:color w:val="auto"/>
        </w:rPr>
      </w:pPr>
    </w:p>
    <w:p>
      <w:pPr>
        <w:ind w:left="1880" w:hanging="1013"/>
        <w:spacing w:after="0"/>
        <w:tabs>
          <w:tab w:leader="none" w:pos="1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 Restriction Period</w:t>
      </w:r>
      <w:r>
        <w:rPr>
          <w:rFonts w:ascii="Arial" w:cs="Arial" w:eastAsia="Arial" w:hAnsi="Arial"/>
          <w:sz w:val="22"/>
          <w:szCs w:val="22"/>
          <w:color w:val="auto"/>
        </w:rPr>
        <w:t>” has the meaning set forth in Section 7(b)(ii).</w:t>
      </w:r>
    </w:p>
    <w:p>
      <w:pPr>
        <w:spacing w:after="0" w:line="206" w:lineRule="exact"/>
        <w:rPr>
          <w:rFonts w:ascii="Arial" w:cs="Arial" w:eastAsia="Arial" w:hAnsi="Arial"/>
          <w:sz w:val="22"/>
          <w:szCs w:val="22"/>
          <w:color w:val="auto"/>
        </w:rPr>
      </w:pPr>
    </w:p>
    <w:p>
      <w:pPr>
        <w:ind w:right="260" w:firstLine="867"/>
        <w:spacing w:after="0" w:line="251" w:lineRule="auto"/>
        <w:tabs>
          <w:tab w:leader="none" w:pos="186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162(m) Exemption</w:t>
      </w:r>
      <w:r>
        <w:rPr>
          <w:rFonts w:ascii="Arial" w:cs="Arial" w:eastAsia="Arial" w:hAnsi="Arial"/>
          <w:sz w:val="22"/>
          <w:szCs w:val="22"/>
          <w:color w:val="auto"/>
        </w:rPr>
        <w:t>” means the exemption from the limitation on deductibility imposed by Section 162(m) of the Code that is set forth in Section 162(m)(4)(C) of the Code.</w:t>
      </w:r>
    </w:p>
    <w:p>
      <w:pPr>
        <w:spacing w:after="0" w:line="173" w:lineRule="exact"/>
        <w:rPr>
          <w:rFonts w:ascii="Arial" w:cs="Arial" w:eastAsia="Arial" w:hAnsi="Arial"/>
          <w:sz w:val="22"/>
          <w:szCs w:val="22"/>
          <w:color w:val="auto"/>
        </w:rPr>
      </w:pPr>
    </w:p>
    <w:p>
      <w:pPr>
        <w:ind w:left="1880" w:hanging="1013"/>
        <w:spacing w:after="0"/>
        <w:tabs>
          <w:tab w:leader="none" w:pos="1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has the meaning set forth in the Employee Matters Agreement.</w:t>
      </w:r>
    </w:p>
    <w:p>
      <w:pPr>
        <w:spacing w:after="0" w:line="206" w:lineRule="exact"/>
        <w:rPr>
          <w:rFonts w:ascii="Arial" w:cs="Arial" w:eastAsia="Arial" w:hAnsi="Arial"/>
          <w:sz w:val="22"/>
          <w:szCs w:val="22"/>
          <w:color w:val="auto"/>
        </w:rPr>
      </w:pPr>
    </w:p>
    <w:p>
      <w:pPr>
        <w:ind w:left="1800" w:hanging="933"/>
        <w:spacing w:after="0"/>
        <w:tabs>
          <w:tab w:leader="none" w:pos="18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w:t>
      </w:r>
      <w:r>
        <w:rPr>
          <w:rFonts w:ascii="Arial" w:cs="Arial" w:eastAsia="Arial" w:hAnsi="Arial"/>
          <w:sz w:val="22"/>
          <w:szCs w:val="22"/>
          <w:color w:val="auto"/>
        </w:rPr>
        <w:t>” means a share of Common Stock.</w:t>
      </w:r>
    </w:p>
    <w:p>
      <w:pPr>
        <w:spacing w:after="0" w:line="206" w:lineRule="exact"/>
        <w:rPr>
          <w:rFonts w:ascii="Arial" w:cs="Arial" w:eastAsia="Arial" w:hAnsi="Arial"/>
          <w:sz w:val="22"/>
          <w:szCs w:val="22"/>
          <w:color w:val="auto"/>
        </w:rPr>
      </w:pPr>
    </w:p>
    <w:p>
      <w:pPr>
        <w:ind w:left="1820" w:hanging="953"/>
        <w:spacing w:after="0"/>
        <w:tabs>
          <w:tab w:leader="none" w:pos="182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has the meaning set forth in Section 5(b).</w:t>
      </w:r>
    </w:p>
    <w:p>
      <w:pPr>
        <w:spacing w:after="0" w:line="206" w:lineRule="exact"/>
        <w:rPr>
          <w:rFonts w:ascii="Arial" w:cs="Arial" w:eastAsia="Arial" w:hAnsi="Arial"/>
          <w:sz w:val="22"/>
          <w:szCs w:val="22"/>
          <w:color w:val="auto"/>
        </w:rPr>
      </w:pPr>
    </w:p>
    <w:p>
      <w:pPr>
        <w:jc w:val="both"/>
        <w:ind w:right="20" w:firstLine="867"/>
        <w:spacing w:after="0"/>
        <w:tabs>
          <w:tab w:leader="none" w:pos="1772"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86" w:lineRule="exact"/>
        <w:rPr>
          <w:rFonts w:ascii="Arial" w:cs="Arial" w:eastAsia="Arial" w:hAnsi="Arial"/>
          <w:sz w:val="22"/>
          <w:szCs w:val="22"/>
          <w:color w:val="auto"/>
        </w:rPr>
      </w:pPr>
    </w:p>
    <w:p>
      <w:pPr>
        <w:ind w:left="1880" w:hanging="1013"/>
        <w:spacing w:after="0"/>
        <w:tabs>
          <w:tab w:leader="none" w:pos="18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Tandem SAR</w:t>
      </w:r>
      <w:r>
        <w:rPr>
          <w:rFonts w:ascii="Arial" w:cs="Arial" w:eastAsia="Arial" w:hAnsi="Arial"/>
          <w:sz w:val="22"/>
          <w:szCs w:val="22"/>
          <w:color w:val="auto"/>
        </w:rPr>
        <w:t>” has the meaning set forth in Section 5(b).</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64" w:name="page65"/>
    <w:bookmarkEnd w:id="64"/>
    <w:p>
      <w:pPr>
        <w:ind w:left="-40" w:right="420" w:firstLine="867"/>
        <w:spacing w:after="0"/>
        <w:tabs>
          <w:tab w:leader="none" w:pos="18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w:t>
      </w:r>
      <w:r>
        <w:rPr>
          <w:rFonts w:ascii="Arial" w:cs="Arial" w:eastAsia="Arial" w:hAnsi="Arial"/>
          <w:sz w:val="22"/>
          <w:szCs w:val="22"/>
          <w:color w:val="auto"/>
        </w:rPr>
        <w:t>” means the maximum period during which an Option or Stock Appreciation Right may remain outstanding, subject to earlier termination upon Termination of Employment or otherwise, as specified in the applicable Award Agreement.</w:t>
      </w:r>
    </w:p>
    <w:p>
      <w:pPr>
        <w:spacing w:after="0" w:line="186" w:lineRule="exact"/>
        <w:rPr>
          <w:rFonts w:ascii="Arial" w:cs="Arial" w:eastAsia="Arial" w:hAnsi="Arial"/>
          <w:sz w:val="22"/>
          <w:szCs w:val="22"/>
          <w:color w:val="auto"/>
        </w:rPr>
      </w:pPr>
    </w:p>
    <w:p>
      <w:pPr>
        <w:ind w:left="-40" w:right="20" w:firstLine="867"/>
        <w:spacing w:after="0" w:line="271" w:lineRule="auto"/>
        <w:tabs>
          <w:tab w:leader="none" w:pos="1924"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means the termination of the applicable Participant’s employment with, or performance of services for, 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director capacity or as an employee, as applicable, such change in status shall not be deemed a Termination of Employment. A Participant employed by, or performing services for, a Subsidiary or an Affiliate or a division 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of ninety (90) days or less because of illness, vacation or leave of absence and transfers among the Company and its Subsidiaries and Affiliates shall not be considered Termination of Employment. For the avoidance of doubt, the Separation shall not constitute a Termination of Employment for purposes of any Adjusted Award. Notwithstanding the foregoing, with respect to any Award that constitutes “nonqualified deferred compensation” within the meaning of Section 409A of the Code, “Termination of Employment” shall mean a “separation from service” as defined under Section 409A of the Code.</w:t>
      </w:r>
    </w:p>
    <w:p>
      <w:pPr>
        <w:spacing w:after="0" w:line="159"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SECTION 2. ADMINISTRATION</w:t>
      </w:r>
    </w:p>
    <w:p>
      <w:pPr>
        <w:spacing w:after="0" w:line="212" w:lineRule="exact"/>
        <w:rPr>
          <w:sz w:val="20"/>
          <w:szCs w:val="20"/>
          <w:color w:val="auto"/>
        </w:rPr>
      </w:pPr>
    </w:p>
    <w:p>
      <w:pPr>
        <w:ind w:left="-40" w:firstLine="867"/>
        <w:spacing w:after="0" w:line="235" w:lineRule="auto"/>
        <w:tabs>
          <w:tab w:leader="none" w:pos="17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Committee. The Plan shall be administered by the Compensation Committee of the Board or such other committee of the Board as the Board may from time to time designate (the “Committee”), which shall be composed of not less than two directors, and shall be appointed by and serve at the pleasure of the Board. The Committee shall, subject to Section 11, have plenary authority to grant Awards pursuant to the terms of the Plan to Eligible Individuals. Among other things, the Committee shall have the authority, subject to the terms of the Plan and the Employee Matters Agreement (including the original terms of the grant of the Adjusted Award):</w:t>
      </w:r>
    </w:p>
    <w:p>
      <w:pPr>
        <w:spacing w:after="0" w:line="188" w:lineRule="exact"/>
        <w:rPr>
          <w:rFonts w:ascii="Arial" w:cs="Arial" w:eastAsia="Arial" w:hAnsi="Arial"/>
          <w:sz w:val="22"/>
          <w:szCs w:val="22"/>
          <w:color w:val="auto"/>
        </w:rPr>
      </w:pPr>
    </w:p>
    <w:p>
      <w:pPr>
        <w:ind w:left="2480" w:hanging="858"/>
        <w:spacing w:after="0"/>
        <w:tabs>
          <w:tab w:leader="none" w:pos="24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select the Eligible Individuals to whom Awards may from time to time be granted;</w:t>
      </w:r>
    </w:p>
    <w:p>
      <w:pPr>
        <w:spacing w:after="0" w:line="206" w:lineRule="exact"/>
        <w:rPr>
          <w:rFonts w:ascii="Arial" w:cs="Arial" w:eastAsia="Arial" w:hAnsi="Arial"/>
          <w:sz w:val="22"/>
          <w:szCs w:val="22"/>
          <w:color w:val="auto"/>
        </w:rPr>
      </w:pPr>
    </w:p>
    <w:p>
      <w:pPr>
        <w:ind w:left="820" w:right="600" w:firstLine="802"/>
        <w:spacing w:after="0"/>
        <w:tabs>
          <w:tab w:leader="none" w:pos="2527"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determine whether and to what extent Incentive Stock Options, Nonqualified Options, Stock Appreciation Rights, Restricted Stock, Restricted Stock Units, other stock-based awards, Bonus Awards or any combination thereof, are to be granted hereunder;</w:t>
      </w:r>
    </w:p>
    <w:p>
      <w:pPr>
        <w:spacing w:after="0" w:line="186" w:lineRule="exact"/>
        <w:rPr>
          <w:rFonts w:ascii="Arial" w:cs="Arial" w:eastAsia="Arial" w:hAnsi="Arial"/>
          <w:sz w:val="22"/>
          <w:szCs w:val="22"/>
          <w:color w:val="auto"/>
        </w:rPr>
      </w:pPr>
    </w:p>
    <w:p>
      <w:pPr>
        <w:ind w:left="2600" w:hanging="978"/>
        <w:spacing w:after="0"/>
        <w:tabs>
          <w:tab w:leader="none" w:pos="26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to determine the number of Shares to be covered by each Award granted hereunder or the amount of</w:t>
      </w:r>
    </w:p>
    <w:p>
      <w:pPr>
        <w:spacing w:after="0" w:line="42" w:lineRule="exact"/>
        <w:rPr>
          <w:rFonts w:ascii="Arial" w:cs="Arial" w:eastAsia="Arial" w:hAnsi="Arial"/>
          <w:sz w:val="19"/>
          <w:szCs w:val="19"/>
          <w:color w:val="auto"/>
        </w:rPr>
      </w:pPr>
    </w:p>
    <w:p>
      <w:pPr>
        <w:ind w:left="820"/>
        <w:spacing w:after="0"/>
        <w:rPr>
          <w:rFonts w:ascii="Arial" w:cs="Arial" w:eastAsia="Arial" w:hAnsi="Arial"/>
          <w:sz w:val="19"/>
          <w:szCs w:val="19"/>
          <w:color w:val="auto"/>
        </w:rPr>
      </w:pPr>
      <w:r>
        <w:rPr>
          <w:rFonts w:ascii="Arial" w:cs="Arial" w:eastAsia="Arial" w:hAnsi="Arial"/>
          <w:sz w:val="22"/>
          <w:szCs w:val="22"/>
          <w:color w:val="auto"/>
        </w:rPr>
        <w:t>any Bonus Award;</w:t>
      </w:r>
    </w:p>
    <w:p>
      <w:pPr>
        <w:spacing w:after="0" w:line="188" w:lineRule="exact"/>
        <w:rPr>
          <w:rFonts w:ascii="Arial" w:cs="Arial" w:eastAsia="Arial" w:hAnsi="Arial"/>
          <w:sz w:val="19"/>
          <w:szCs w:val="19"/>
          <w:color w:val="auto"/>
        </w:rPr>
      </w:pPr>
    </w:p>
    <w:p>
      <w:pPr>
        <w:ind w:left="820" w:right="60" w:firstLine="802"/>
        <w:spacing w:after="0" w:line="251" w:lineRule="auto"/>
        <w:tabs>
          <w:tab w:leader="none" w:pos="2575" w:val="left"/>
        </w:tabs>
        <w:numPr>
          <w:ilvl w:val="1"/>
          <w:numId w:val="43"/>
        </w:numPr>
        <w:rPr>
          <w:rFonts w:ascii="Arial" w:cs="Arial" w:eastAsia="Arial" w:hAnsi="Arial"/>
          <w:sz w:val="22"/>
          <w:szCs w:val="22"/>
          <w:color w:val="auto"/>
        </w:rPr>
      </w:pPr>
      <w:r>
        <w:rPr>
          <w:rFonts w:ascii="Arial" w:cs="Arial" w:eastAsia="Arial" w:hAnsi="Arial"/>
          <w:sz w:val="22"/>
          <w:szCs w:val="22"/>
          <w:color w:val="auto"/>
        </w:rPr>
        <w:t>to determine the terms and conditions of each Award granted hereunder, based on such factors as the Committee shall determine;</w:t>
      </w:r>
    </w:p>
    <w:p>
      <w:pPr>
        <w:spacing w:after="0" w:line="173" w:lineRule="exact"/>
        <w:rPr>
          <w:rFonts w:ascii="Arial" w:cs="Arial" w:eastAsia="Arial" w:hAnsi="Arial"/>
          <w:sz w:val="22"/>
          <w:szCs w:val="22"/>
          <w:color w:val="auto"/>
        </w:rPr>
      </w:pPr>
    </w:p>
    <w:p>
      <w:pPr>
        <w:ind w:left="2520" w:hanging="898"/>
        <w:spacing w:after="0"/>
        <w:tabs>
          <w:tab w:leader="none" w:pos="2520" w:val="left"/>
        </w:tabs>
        <w:numPr>
          <w:ilvl w:val="1"/>
          <w:numId w:val="43"/>
        </w:numPr>
        <w:rPr>
          <w:rFonts w:ascii="Arial" w:cs="Arial" w:eastAsia="Arial" w:hAnsi="Arial"/>
          <w:sz w:val="22"/>
          <w:szCs w:val="22"/>
          <w:color w:val="auto"/>
        </w:rPr>
      </w:pPr>
      <w:r>
        <w:rPr>
          <w:rFonts w:ascii="Arial" w:cs="Arial" w:eastAsia="Arial" w:hAnsi="Arial"/>
          <w:sz w:val="22"/>
          <w:szCs w:val="22"/>
          <w:color w:val="auto"/>
        </w:rPr>
        <w:t>subject to Section 12, to modify, amend or adjust the terms and conditions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203835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402" w:right="279" w:bottom="1440" w:gutter="0" w:footer="0" w:header="0"/>
        </w:sectPr>
      </w:pPr>
    </w:p>
    <w:bookmarkStart w:id="65" w:name="page66"/>
    <w:bookmarkEnd w:id="65"/>
    <w:p>
      <w:pPr>
        <w:ind w:left="840"/>
        <w:spacing w:after="0"/>
        <w:rPr>
          <w:sz w:val="20"/>
          <w:szCs w:val="20"/>
          <w:color w:val="auto"/>
        </w:rPr>
      </w:pPr>
      <w:r>
        <w:rPr>
          <w:rFonts w:ascii="Arial" w:cs="Arial" w:eastAsia="Arial" w:hAnsi="Arial"/>
          <w:sz w:val="22"/>
          <w:szCs w:val="22"/>
          <w:color w:val="auto"/>
        </w:rPr>
        <w:t>any Award, at any time or from time to time;</w:t>
      </w:r>
    </w:p>
    <w:p>
      <w:pPr>
        <w:spacing w:after="0" w:line="206" w:lineRule="exact"/>
        <w:rPr>
          <w:sz w:val="20"/>
          <w:szCs w:val="20"/>
          <w:color w:val="auto"/>
        </w:rPr>
      </w:pPr>
    </w:p>
    <w:p>
      <w:pPr>
        <w:ind w:left="840" w:right="140" w:firstLine="802"/>
        <w:spacing w:after="0" w:line="251" w:lineRule="auto"/>
        <w:tabs>
          <w:tab w:leader="none" w:pos="2595"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adopt, alter and repeal such administrative rules, guidelines and practices governing the Plan as it shall from time to time deem advisable;</w:t>
      </w:r>
    </w:p>
    <w:p>
      <w:pPr>
        <w:spacing w:after="0" w:line="173" w:lineRule="exact"/>
        <w:rPr>
          <w:rFonts w:ascii="Arial" w:cs="Arial" w:eastAsia="Arial" w:hAnsi="Arial"/>
          <w:sz w:val="22"/>
          <w:szCs w:val="22"/>
          <w:color w:val="auto"/>
        </w:rPr>
      </w:pPr>
    </w:p>
    <w:p>
      <w:pPr>
        <w:ind w:left="840" w:firstLine="802"/>
        <w:spacing w:after="0" w:line="251" w:lineRule="auto"/>
        <w:tabs>
          <w:tab w:leader="none" w:pos="2655" w:val="left"/>
        </w:tabs>
        <w:numPr>
          <w:ilvl w:val="1"/>
          <w:numId w:val="44"/>
        </w:numPr>
        <w:rPr>
          <w:rFonts w:ascii="Arial" w:cs="Arial" w:eastAsia="Arial" w:hAnsi="Arial"/>
          <w:sz w:val="22"/>
          <w:szCs w:val="22"/>
          <w:color w:val="auto"/>
        </w:rPr>
      </w:pPr>
      <w:r>
        <w:rPr>
          <w:rFonts w:ascii="Arial" w:cs="Arial" w:eastAsia="Arial" w:hAnsi="Arial"/>
          <w:sz w:val="22"/>
          <w:szCs w:val="22"/>
          <w:color w:val="auto"/>
        </w:rPr>
        <w:t>subject to Section 11, to accelerate the vesting or lapse of restrictions of any outstanding Award, based in each case on such considerations as the Committee in its sole discretion determines;</w:t>
      </w:r>
    </w:p>
    <w:p>
      <w:pPr>
        <w:spacing w:after="0" w:line="173" w:lineRule="exact"/>
        <w:rPr>
          <w:rFonts w:ascii="Arial" w:cs="Arial" w:eastAsia="Arial" w:hAnsi="Arial"/>
          <w:sz w:val="22"/>
          <w:szCs w:val="22"/>
          <w:color w:val="auto"/>
        </w:rPr>
      </w:pPr>
    </w:p>
    <w:p>
      <w:pPr>
        <w:ind w:left="840" w:right="480" w:firstLine="802"/>
        <w:spacing w:after="0" w:line="251" w:lineRule="auto"/>
        <w:tabs>
          <w:tab w:leader="none" w:pos="2715"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interpret the terms and provisions of the Plan and any Award issued under the Plan (and any agreement relating thereto);</w:t>
      </w:r>
    </w:p>
    <w:p>
      <w:pPr>
        <w:spacing w:after="0" w:line="173" w:lineRule="exact"/>
        <w:rPr>
          <w:rFonts w:ascii="Arial" w:cs="Arial" w:eastAsia="Arial" w:hAnsi="Arial"/>
          <w:sz w:val="22"/>
          <w:szCs w:val="22"/>
          <w:color w:val="auto"/>
        </w:rPr>
      </w:pPr>
    </w:p>
    <w:p>
      <w:pPr>
        <w:ind w:left="2600" w:hanging="958"/>
        <w:spacing w:after="0"/>
        <w:tabs>
          <w:tab w:leader="none" w:pos="260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to establish any “blackout” period that the Committee in its sole discretion deems necessary or</w:t>
      </w:r>
    </w:p>
    <w:p>
      <w:pPr>
        <w:spacing w:after="0" w:line="19" w:lineRule="exact"/>
        <w:rPr>
          <w:rFonts w:ascii="Arial" w:cs="Arial" w:eastAsia="Arial" w:hAnsi="Arial"/>
          <w:sz w:val="21"/>
          <w:szCs w:val="21"/>
          <w:color w:val="auto"/>
        </w:rPr>
      </w:pPr>
    </w:p>
    <w:p>
      <w:pPr>
        <w:ind w:left="840"/>
        <w:spacing w:after="0"/>
        <w:rPr>
          <w:rFonts w:ascii="Arial" w:cs="Arial" w:eastAsia="Arial" w:hAnsi="Arial"/>
          <w:sz w:val="21"/>
          <w:szCs w:val="21"/>
          <w:color w:val="auto"/>
        </w:rPr>
      </w:pPr>
      <w:r>
        <w:rPr>
          <w:rFonts w:ascii="Arial" w:cs="Arial" w:eastAsia="Arial" w:hAnsi="Arial"/>
          <w:sz w:val="22"/>
          <w:szCs w:val="22"/>
          <w:color w:val="auto"/>
        </w:rPr>
        <w:t>advisable;</w:t>
      </w:r>
    </w:p>
    <w:p>
      <w:pPr>
        <w:spacing w:after="0" w:line="188" w:lineRule="exact"/>
        <w:rPr>
          <w:rFonts w:ascii="Arial" w:cs="Arial" w:eastAsia="Arial" w:hAnsi="Arial"/>
          <w:sz w:val="21"/>
          <w:szCs w:val="21"/>
          <w:color w:val="auto"/>
        </w:rPr>
      </w:pPr>
    </w:p>
    <w:p>
      <w:pPr>
        <w:ind w:left="2540" w:hanging="898"/>
        <w:spacing w:after="0"/>
        <w:tabs>
          <w:tab w:leader="none" w:pos="25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decide all other matters that must be determined in connection with an Award; and</w:t>
      </w:r>
    </w:p>
    <w:p>
      <w:pPr>
        <w:spacing w:after="0" w:line="206" w:lineRule="exact"/>
        <w:rPr>
          <w:rFonts w:ascii="Arial" w:cs="Arial" w:eastAsia="Arial" w:hAnsi="Arial"/>
          <w:sz w:val="22"/>
          <w:szCs w:val="22"/>
          <w:color w:val="auto"/>
        </w:rPr>
      </w:pPr>
    </w:p>
    <w:p>
      <w:pPr>
        <w:ind w:left="2600" w:hanging="958"/>
        <w:spacing w:after="0"/>
        <w:tabs>
          <w:tab w:leader="none" w:pos="26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otherwise administer the Plan.</w:t>
      </w:r>
    </w:p>
    <w:p>
      <w:pPr>
        <w:spacing w:after="0" w:line="206" w:lineRule="exact"/>
        <w:rPr>
          <w:rFonts w:ascii="Arial" w:cs="Arial" w:eastAsia="Arial" w:hAnsi="Arial"/>
          <w:sz w:val="22"/>
          <w:szCs w:val="22"/>
          <w:color w:val="auto"/>
        </w:rPr>
      </w:pPr>
    </w:p>
    <w:p>
      <w:pPr>
        <w:ind w:left="1740" w:hanging="893"/>
        <w:spacing w:after="0"/>
        <w:tabs>
          <w:tab w:leader="none" w:pos="17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Procedures.</w:t>
      </w:r>
    </w:p>
    <w:p>
      <w:pPr>
        <w:spacing w:after="0" w:line="206" w:lineRule="exact"/>
        <w:rPr>
          <w:rFonts w:ascii="Arial" w:cs="Arial" w:eastAsia="Arial" w:hAnsi="Arial"/>
          <w:sz w:val="22"/>
          <w:szCs w:val="22"/>
          <w:color w:val="auto"/>
        </w:rPr>
      </w:pPr>
    </w:p>
    <w:p>
      <w:pPr>
        <w:ind w:left="840" w:right="120" w:firstLine="802"/>
        <w:spacing w:after="0" w:line="287" w:lineRule="auto"/>
        <w:tabs>
          <w:tab w:leader="none" w:pos="2486"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Committee may act only by a majority of its members then in office, except that the Committee may, except to the extent prohibited by applicable law or the listing standards of the Applicable Exchange and subject to Section 11, allocate all or any portion of its responsibilities and powers to any one or more of its members and may delegate all or any part of its responsibilities and powers to any person or persons selected by it.</w:t>
      </w:r>
    </w:p>
    <w:p>
      <w:pPr>
        <w:spacing w:after="0" w:line="143" w:lineRule="exact"/>
        <w:rPr>
          <w:rFonts w:ascii="Arial" w:cs="Arial" w:eastAsia="Arial" w:hAnsi="Arial"/>
          <w:sz w:val="19"/>
          <w:szCs w:val="19"/>
          <w:color w:val="auto"/>
        </w:rPr>
      </w:pPr>
    </w:p>
    <w:p>
      <w:pPr>
        <w:ind w:left="840" w:right="340" w:firstLine="802"/>
        <w:spacing w:after="0"/>
        <w:tabs>
          <w:tab w:leader="none" w:pos="2547" w:val="left"/>
        </w:tabs>
        <w:numPr>
          <w:ilvl w:val="1"/>
          <w:numId w:val="45"/>
        </w:numPr>
        <w:rPr>
          <w:rFonts w:ascii="Arial" w:cs="Arial" w:eastAsia="Arial" w:hAnsi="Arial"/>
          <w:sz w:val="22"/>
          <w:szCs w:val="22"/>
          <w:color w:val="auto"/>
        </w:rPr>
      </w:pPr>
      <w:r>
        <w:rPr>
          <w:rFonts w:ascii="Arial" w:cs="Arial" w:eastAsia="Arial" w:hAnsi="Arial"/>
          <w:sz w:val="22"/>
          <w:szCs w:val="22"/>
          <w:color w:val="auto"/>
        </w:rPr>
        <w:t>Subject to Section 11(c), any authority granted to the Committee may also be exercised by the full Board. To the extent that any permitted action taken by the Board conflicts with action taken by the Committee, the Board action shall control.</w:t>
      </w:r>
    </w:p>
    <w:p>
      <w:pPr>
        <w:spacing w:after="0" w:line="186" w:lineRule="exact"/>
        <w:rPr>
          <w:rFonts w:ascii="Arial" w:cs="Arial" w:eastAsia="Arial" w:hAnsi="Arial"/>
          <w:sz w:val="22"/>
          <w:szCs w:val="22"/>
          <w:color w:val="auto"/>
        </w:rPr>
      </w:pPr>
    </w:p>
    <w:p>
      <w:pPr>
        <w:ind w:left="-20" w:right="160" w:firstLine="867"/>
        <w:spacing w:after="0" w:line="235" w:lineRule="auto"/>
        <w:tabs>
          <w:tab w:leader="none" w:pos="1727" w:val="left"/>
        </w:tabs>
        <w:numPr>
          <w:ilvl w:val="0"/>
          <w:numId w:val="45"/>
        </w:numPr>
        <w:rPr>
          <w:rFonts w:ascii="Arial" w:cs="Arial" w:eastAsia="Arial" w:hAnsi="Arial"/>
          <w:sz w:val="22"/>
          <w:szCs w:val="22"/>
          <w:color w:val="auto"/>
        </w:rPr>
      </w:pPr>
      <w:r>
        <w:rPr>
          <w:rFonts w:ascii="Arial" w:cs="Arial" w:eastAsia="Arial" w:hAnsi="Arial"/>
          <w:sz w:val="22"/>
          <w:szCs w:val="22"/>
          <w:color w:val="auto"/>
        </w:rPr>
        <w:t>Discretion of Committee. Subject to Section 1(h), any determination made by the Committee or by an appropriately delegated officer pursuant to delegated authority under the provisions of the Plan with respect to any Award shall be made in the sole discretion of the Committee or such delegate at the time of the grant of the Award or, unless in contravention of any express term of the Plan, at any time thereafter. All decisions made by the Committee or any appropriately delegated officer pursuant to the provisions of the Plan shall be final and binding on all persons, including the Company, Participants, and Eligible Individuals.</w:t>
      </w:r>
    </w:p>
    <w:p>
      <w:pPr>
        <w:spacing w:after="0" w:line="188" w:lineRule="exact"/>
        <w:rPr>
          <w:rFonts w:ascii="Arial" w:cs="Arial" w:eastAsia="Arial" w:hAnsi="Arial"/>
          <w:sz w:val="22"/>
          <w:szCs w:val="22"/>
          <w:color w:val="auto"/>
        </w:rPr>
      </w:pPr>
    </w:p>
    <w:p>
      <w:pPr>
        <w:ind w:left="-20" w:firstLine="867"/>
        <w:spacing w:after="0" w:line="282" w:lineRule="auto"/>
        <w:tabs>
          <w:tab w:leader="none" w:pos="17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Award Agreements. The terms and conditions of each Award (other than any Bonus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12 hereof.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8" w:right="25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SECTION 3. COMMON STOCK SUBJECT TO PLAN</w:t>
      </w:r>
    </w:p>
    <w:p>
      <w:pPr>
        <w:spacing w:after="0" w:line="212" w:lineRule="exact"/>
        <w:rPr>
          <w:sz w:val="20"/>
          <w:szCs w:val="20"/>
          <w:color w:val="auto"/>
        </w:rPr>
      </w:pPr>
    </w:p>
    <w:p>
      <w:pPr>
        <w:ind w:right="40" w:firstLine="867"/>
        <w:spacing w:after="0" w:line="287" w:lineRule="auto"/>
        <w:tabs>
          <w:tab w:leader="none" w:pos="1747" w:val="left"/>
        </w:tabs>
        <w:numPr>
          <w:ilvl w:val="0"/>
          <w:numId w:val="46"/>
        </w:numPr>
        <w:rPr>
          <w:rFonts w:ascii="Arial" w:cs="Arial" w:eastAsia="Arial" w:hAnsi="Arial"/>
          <w:sz w:val="19"/>
          <w:szCs w:val="19"/>
          <w:color w:val="auto"/>
        </w:rPr>
      </w:pPr>
      <w:r>
        <w:rPr>
          <w:rFonts w:ascii="Arial" w:cs="Arial" w:eastAsia="Arial" w:hAnsi="Arial"/>
          <w:sz w:val="19"/>
          <w:szCs w:val="19"/>
          <w:color w:val="auto"/>
        </w:rPr>
        <w:t>Plan Maximums. The maximum number of Shares that may be delivered pursuant to Awards under the Plan shall be the sum of (i) the number of Shares that may be issuable upon exercise or vesting of the Adjusted Awards and (ii) 25,000,000. The maximum number of Shares that may be granted pursuant to Options intended to be Incentive Stock Options shall be 7,000,000 Shares. Shares subject to an Award under the Plan may be authorized and unissued Shares or may be treasury Shares.</w:t>
      </w:r>
    </w:p>
    <w:p>
      <w:pPr>
        <w:spacing w:after="0" w:line="143" w:lineRule="exact"/>
        <w:rPr>
          <w:rFonts w:ascii="Arial" w:cs="Arial" w:eastAsia="Arial" w:hAnsi="Arial"/>
          <w:sz w:val="19"/>
          <w:szCs w:val="19"/>
          <w:color w:val="auto"/>
        </w:rPr>
      </w:pPr>
    </w:p>
    <w:p>
      <w:pPr>
        <w:ind w:left="1700" w:hanging="841"/>
        <w:spacing w:after="0"/>
        <w:tabs>
          <w:tab w:leader="none" w:pos="17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Individual Limits. During a calendar year,</w:t>
      </w:r>
    </w:p>
    <w:p>
      <w:pPr>
        <w:spacing w:after="0" w:line="179" w:lineRule="exact"/>
        <w:rPr>
          <w:rFonts w:ascii="Arial" w:cs="Arial" w:eastAsia="Arial" w:hAnsi="Arial"/>
          <w:sz w:val="22"/>
          <w:szCs w:val="22"/>
          <w:color w:val="auto"/>
        </w:rPr>
      </w:pPr>
    </w:p>
    <w:p>
      <w:pPr>
        <w:ind w:left="860" w:right="120" w:firstLine="802"/>
        <w:spacing w:after="0" w:line="251" w:lineRule="auto"/>
        <w:tabs>
          <w:tab w:leader="none" w:pos="2506"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 single Participant may be granted Options and/or Stock Appreciation Rights covering in excess of 3,000,000 shares; or</w:t>
      </w:r>
    </w:p>
    <w:p>
      <w:pPr>
        <w:spacing w:after="0" w:line="173" w:lineRule="exact"/>
        <w:rPr>
          <w:rFonts w:ascii="Arial" w:cs="Arial" w:eastAsia="Arial" w:hAnsi="Arial"/>
          <w:sz w:val="22"/>
          <w:szCs w:val="22"/>
          <w:color w:val="auto"/>
        </w:rPr>
      </w:pPr>
    </w:p>
    <w:p>
      <w:pPr>
        <w:ind w:left="860" w:right="140" w:firstLine="802"/>
        <w:spacing w:after="0" w:line="251" w:lineRule="auto"/>
        <w:tabs>
          <w:tab w:leader="none" w:pos="2567"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 single Participant may be granted Qualified Performance Based Awards in the form of Restricted Stock Units or Restricted Stock covering in excess of 2,000,000 Shares in the aggregate; and</w:t>
      </w:r>
    </w:p>
    <w:p>
      <w:pPr>
        <w:spacing w:after="0" w:line="173" w:lineRule="exact"/>
        <w:rPr>
          <w:rFonts w:ascii="Arial" w:cs="Arial" w:eastAsia="Arial" w:hAnsi="Arial"/>
          <w:sz w:val="22"/>
          <w:szCs w:val="22"/>
          <w:color w:val="auto"/>
        </w:rPr>
      </w:pPr>
    </w:p>
    <w:p>
      <w:pPr>
        <w:ind w:left="860" w:right="180" w:firstLine="802"/>
        <w:spacing w:after="0" w:line="328" w:lineRule="auto"/>
        <w:tabs>
          <w:tab w:leader="none" w:pos="2627" w:val="left"/>
        </w:tabs>
        <w:numPr>
          <w:ilvl w:val="1"/>
          <w:numId w:val="46"/>
        </w:numPr>
        <w:rPr>
          <w:rFonts w:ascii="Arial" w:cs="Arial" w:eastAsia="Arial" w:hAnsi="Arial"/>
          <w:sz w:val="19"/>
          <w:szCs w:val="19"/>
          <w:color w:val="auto"/>
        </w:rPr>
      </w:pPr>
      <w:r>
        <w:rPr>
          <w:rFonts w:ascii="Arial" w:cs="Arial" w:eastAsia="Arial" w:hAnsi="Arial"/>
          <w:sz w:val="19"/>
          <w:szCs w:val="19"/>
          <w:color w:val="auto"/>
        </w:rPr>
        <w:t>no non-employee Director may be granted any compensation (including cash and an Award) with a fair value, as determined under accounting rules, as of the Grant Date, of greater than $1,000,000.</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Provided, however, that Adjusted Awards shall not be subject to the limitations set forth in this Section 3(b).</w:t>
      </w:r>
    </w:p>
    <w:p>
      <w:pPr>
        <w:spacing w:after="0" w:line="206" w:lineRule="exact"/>
        <w:rPr>
          <w:sz w:val="20"/>
          <w:szCs w:val="20"/>
          <w:color w:val="auto"/>
        </w:rPr>
      </w:pPr>
    </w:p>
    <w:p>
      <w:pPr>
        <w:ind w:left="1700" w:hanging="841"/>
        <w:spacing w:after="0"/>
        <w:tabs>
          <w:tab w:leader="none" w:pos="17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Rules for Calculating Shares Delivered.</w:t>
      </w:r>
    </w:p>
    <w:p>
      <w:pPr>
        <w:spacing w:after="0" w:line="179" w:lineRule="exact"/>
        <w:rPr>
          <w:rFonts w:ascii="Arial" w:cs="Arial" w:eastAsia="Arial" w:hAnsi="Arial"/>
          <w:sz w:val="22"/>
          <w:szCs w:val="22"/>
          <w:color w:val="auto"/>
        </w:rPr>
      </w:pPr>
    </w:p>
    <w:p>
      <w:pPr>
        <w:ind w:left="860" w:firstLine="802"/>
        <w:spacing w:after="0" w:line="238" w:lineRule="auto"/>
        <w:tabs>
          <w:tab w:leader="none" w:pos="2506"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Awards other than Adjusted Awards, to the extent that any Award is forfeited, or any Option and the related Tandem SAR (if any) or Free-Standing SAR terminates, expires or lapses without being exercised, or any Award is settled for cash, the Shares subject to such Awards not delivered as a result thereof shall again be available for Awards under the Plan.</w:t>
      </w:r>
    </w:p>
    <w:p>
      <w:pPr>
        <w:spacing w:after="0" w:line="185" w:lineRule="exact"/>
        <w:rPr>
          <w:rFonts w:ascii="Arial" w:cs="Arial" w:eastAsia="Arial" w:hAnsi="Arial"/>
          <w:sz w:val="22"/>
          <w:szCs w:val="22"/>
          <w:color w:val="auto"/>
        </w:rPr>
      </w:pPr>
    </w:p>
    <w:p>
      <w:pPr>
        <w:ind w:left="860" w:right="20" w:firstLine="802"/>
        <w:spacing w:after="0" w:line="238" w:lineRule="auto"/>
        <w:tabs>
          <w:tab w:leader="none" w:pos="2567"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Awards other than Adjusted Awards, if the exercise price of any Option and/or the tax withholding obligations relating to any Award are satisfied by delivering Shares to the Company (by either actual delivery or by attestation), only the number of Shares issued net of the Shares delivered or attested to shall be deemed delivered for purposes of the limits set forth in Section 3(a).</w:t>
      </w:r>
    </w:p>
    <w:p>
      <w:pPr>
        <w:spacing w:after="0" w:line="185" w:lineRule="exact"/>
        <w:rPr>
          <w:rFonts w:ascii="Arial" w:cs="Arial" w:eastAsia="Arial" w:hAnsi="Arial"/>
          <w:sz w:val="22"/>
          <w:szCs w:val="22"/>
          <w:color w:val="auto"/>
        </w:rPr>
      </w:pPr>
    </w:p>
    <w:p>
      <w:pPr>
        <w:ind w:left="860" w:firstLine="802"/>
        <w:spacing w:after="0" w:line="297" w:lineRule="auto"/>
        <w:tabs>
          <w:tab w:leader="none" w:pos="2627" w:val="left"/>
        </w:tabs>
        <w:numPr>
          <w:ilvl w:val="1"/>
          <w:numId w:val="47"/>
        </w:numPr>
        <w:rPr>
          <w:rFonts w:ascii="Arial" w:cs="Arial" w:eastAsia="Arial" w:hAnsi="Arial"/>
          <w:sz w:val="19"/>
          <w:szCs w:val="19"/>
          <w:color w:val="auto"/>
        </w:rPr>
      </w:pPr>
      <w:r>
        <w:rPr>
          <w:rFonts w:ascii="Arial" w:cs="Arial" w:eastAsia="Arial" w:hAnsi="Arial"/>
          <w:sz w:val="19"/>
          <w:szCs w:val="19"/>
          <w:color w:val="auto"/>
        </w:rPr>
        <w:t>With respect to Awards other than Adjusted Awards, to the extent any Shares subject to an Award are withheld to satisfy the exercise price (in the case of an Option) and/or the tax withholding obligations relating to such Award, such Shares shall not be deemed to have been delivered for purposes of the limits set forth in Section 3(a).</w:t>
      </w:r>
    </w:p>
    <w:p>
      <w:pPr>
        <w:spacing w:after="0" w:line="134" w:lineRule="exact"/>
        <w:rPr>
          <w:rFonts w:ascii="Arial" w:cs="Arial" w:eastAsia="Arial" w:hAnsi="Arial"/>
          <w:sz w:val="19"/>
          <w:szCs w:val="19"/>
          <w:color w:val="auto"/>
        </w:rPr>
      </w:pPr>
    </w:p>
    <w:p>
      <w:pPr>
        <w:ind w:left="1700" w:hanging="841"/>
        <w:spacing w:after="0"/>
        <w:tabs>
          <w:tab w:leader="none" w:pos="17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Adjustment Provisions.</w:t>
      </w:r>
    </w:p>
    <w:p>
      <w:pPr>
        <w:spacing w:after="0" w:line="179" w:lineRule="exact"/>
        <w:rPr>
          <w:rFonts w:ascii="Arial" w:cs="Arial" w:eastAsia="Arial" w:hAnsi="Arial"/>
          <w:sz w:val="22"/>
          <w:szCs w:val="22"/>
          <w:color w:val="auto"/>
        </w:rPr>
      </w:pPr>
    </w:p>
    <w:p>
      <w:pPr>
        <w:ind w:left="860" w:right="540" w:firstLine="802"/>
        <w:spacing w:after="0" w:line="238" w:lineRule="auto"/>
        <w:tabs>
          <w:tab w:leader="none" w:pos="2506" w:val="left"/>
        </w:tabs>
        <w:numPr>
          <w:ilvl w:val="1"/>
          <w:numId w:val="47"/>
        </w:numPr>
        <w:rPr>
          <w:rFonts w:ascii="Arial" w:cs="Arial" w:eastAsia="Arial" w:hAnsi="Arial"/>
          <w:sz w:val="22"/>
          <w:szCs w:val="22"/>
          <w:color w:val="auto"/>
        </w:rPr>
      </w:pPr>
      <w:r>
        <w:rPr>
          <w:rFonts w:ascii="Arial" w:cs="Arial" w:eastAsia="Arial" w:hAnsi="Arial"/>
          <w:sz w:val="22"/>
          <w:szCs w:val="22"/>
          <w:color w:val="auto"/>
        </w:rPr>
        <w:t>In the event of a merger, consolidation, acquisition of property or shares, stock rights offering, liquidation, Disaffiliation, or similar event affecting the Company or any of its Subsidiaries (each, a “Corporate Transaction”), the Committee or the Board may in its discretion make such substitutions or adjustments as it deems appropriate and</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67" w:name="page68"/>
    <w:bookmarkEnd w:id="67"/>
    <w:p>
      <w:pPr>
        <w:ind w:right="100"/>
        <w:spacing w:after="0" w:line="287" w:lineRule="auto"/>
        <w:rPr>
          <w:sz w:val="20"/>
          <w:szCs w:val="20"/>
          <w:color w:val="auto"/>
        </w:rPr>
      </w:pPr>
      <w:r>
        <w:rPr>
          <w:rFonts w:ascii="Arial" w:cs="Arial" w:eastAsia="Arial" w:hAnsi="Arial"/>
          <w:sz w:val="19"/>
          <w:szCs w:val="19"/>
          <w:color w:val="auto"/>
        </w:rPr>
        <w:t>equitable to (A) the aggregate number and kind of Shares or other securities reserved for issuance and delivery under the Plan, (B) the various maximum limitations set forth in Sections 3(a) and 3(b) upon certain types of Awards and upon the grants to individuals of certain types of Awards, (C) the number and kind of Shares or other securities subject to outstanding Awards; and (D) the exercise price of outstanding Options and Stock Appreciation Rights.</w:t>
      </w:r>
    </w:p>
    <w:p>
      <w:pPr>
        <w:spacing w:after="0" w:line="143" w:lineRule="exact"/>
        <w:rPr>
          <w:sz w:val="20"/>
          <w:szCs w:val="20"/>
          <w:color w:val="auto"/>
        </w:rPr>
      </w:pPr>
    </w:p>
    <w:p>
      <w:pPr>
        <w:ind w:firstLine="802"/>
        <w:spacing w:after="0" w:line="246" w:lineRule="auto"/>
        <w:tabs>
          <w:tab w:leader="none" w:pos="1707" w:val="left"/>
        </w:tabs>
        <w:numPr>
          <w:ilvl w:val="1"/>
          <w:numId w:val="48"/>
        </w:numPr>
        <w:rPr>
          <w:rFonts w:ascii="Arial" w:cs="Arial" w:eastAsia="Arial" w:hAnsi="Arial"/>
          <w:sz w:val="21"/>
          <w:szCs w:val="21"/>
          <w:color w:val="auto"/>
        </w:rPr>
      </w:pPr>
      <w:r>
        <w:rPr>
          <w:rFonts w:ascii="Arial" w:cs="Arial" w:eastAsia="Arial" w:hAnsi="Arial"/>
          <w:sz w:val="21"/>
          <w:szCs w:val="21"/>
          <w:color w:val="auto"/>
        </w:rPr>
        <w:t>In the event of a stock dividend, stock split, reverse stock split, separation, spinoff, reorganization, extraordinary dividend of cash or other property, share combination, or recapitalization or similar event affecting the capital structure of the Company (each, a “Share Change”), the Committee or the Board shall make such substitutions or adjustments as it deems appropriate and equitable to (A) the aggregate number and kind of Shares or other securities reserved for issuance and delivery under the Plan, (B) the various maximum limitations set forth in Sections 3(a) and 3(b) upon certain types of Awards and upon the grants to individuals of certain types of Awards, the number and kind of Shares or other securities subject to outstanding Awards; and (C) the exercise price of outstanding Options and Stock Appreciation Rights.</w:t>
      </w:r>
    </w:p>
    <w:p>
      <w:pPr>
        <w:spacing w:after="0" w:line="180" w:lineRule="exact"/>
        <w:rPr>
          <w:rFonts w:ascii="Arial" w:cs="Arial" w:eastAsia="Arial" w:hAnsi="Arial"/>
          <w:sz w:val="21"/>
          <w:szCs w:val="21"/>
          <w:color w:val="auto"/>
        </w:rPr>
      </w:pPr>
    </w:p>
    <w:p>
      <w:pPr>
        <w:ind w:left="1780" w:hanging="978"/>
        <w:spacing w:after="0"/>
        <w:tabs>
          <w:tab w:leader="none" w:pos="1780"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the case of Corporate Transactions, the adjustments contemplated by clause (i) of this paragraph</w:t>
      </w:r>
    </w:p>
    <w:p>
      <w:pPr>
        <w:spacing w:after="0" w:line="42" w:lineRule="exact"/>
        <w:rPr>
          <w:rFonts w:ascii="Arial" w:cs="Arial" w:eastAsia="Arial" w:hAnsi="Arial"/>
          <w:sz w:val="19"/>
          <w:szCs w:val="19"/>
          <w:color w:val="auto"/>
        </w:rPr>
      </w:pPr>
    </w:p>
    <w:p>
      <w:pPr>
        <w:ind w:firstLine="7"/>
        <w:spacing w:after="0" w:line="270" w:lineRule="auto"/>
        <w:tabs>
          <w:tab w:leader="none" w:pos="306" w:val="left"/>
        </w:tabs>
        <w:numPr>
          <w:ilvl w:val="0"/>
          <w:numId w:val="49"/>
        </w:numPr>
        <w:rPr>
          <w:rFonts w:ascii="Arial" w:cs="Arial" w:eastAsia="Arial" w:hAnsi="Arial"/>
          <w:sz w:val="19"/>
          <w:szCs w:val="19"/>
          <w:color w:val="auto"/>
        </w:rPr>
      </w:pPr>
      <w:r>
        <w:rPr>
          <w:rFonts w:ascii="Arial" w:cs="Arial" w:eastAsia="Arial" w:hAnsi="Arial"/>
          <w:sz w:val="19"/>
          <w:szCs w:val="19"/>
          <w:color w:val="auto"/>
        </w:rPr>
        <w:t>may include, without limitation,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conclusively be deemed valid); (B) the substitution of other property (including, without limitation, cash or other securities of the Company and securities of entities other than the Company) for the Shares subject to outstanding Awards; and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60" w:hanging="958"/>
        <w:spacing w:after="0"/>
        <w:tabs>
          <w:tab w:leader="none" w:pos="17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adjustment under this Section 3(d) need not be the same for all Participants.</w:t>
      </w:r>
    </w:p>
    <w:p>
      <w:pPr>
        <w:spacing w:after="0" w:line="206" w:lineRule="exact"/>
        <w:rPr>
          <w:rFonts w:ascii="Arial" w:cs="Arial" w:eastAsia="Arial" w:hAnsi="Arial"/>
          <w:sz w:val="22"/>
          <w:szCs w:val="22"/>
          <w:color w:val="auto"/>
        </w:rPr>
      </w:pPr>
    </w:p>
    <w:p>
      <w:pPr>
        <w:ind w:right="60" w:firstLine="802"/>
        <w:spacing w:after="0" w:line="235" w:lineRule="auto"/>
        <w:tabs>
          <w:tab w:leader="none" w:pos="1695"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adjustments made pursuant to this Section 3(d) to Awards that are considered “deferred compensation” within the meaning of Section 409A of the Code shall be made in compliance with the requirements of Section 409A of the Code. Any adjustments made pursuant to this Section 3(d)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203835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00" w:top="402" w:right="259" w:bottom="1440" w:gutter="0" w:footer="0" w:header="0"/>
        </w:sectPr>
      </w:pPr>
    </w:p>
    <w:bookmarkStart w:id="68" w:name="page69"/>
    <w:bookmarkEnd w:id="68"/>
    <w:p>
      <w:pPr>
        <w:ind w:left="860" w:right="200"/>
        <w:spacing w:after="0" w:line="258" w:lineRule="auto"/>
        <w:rPr>
          <w:sz w:val="20"/>
          <w:szCs w:val="20"/>
          <w:color w:val="auto"/>
        </w:rPr>
      </w:pPr>
      <w:r>
        <w:rPr>
          <w:rFonts w:ascii="Arial" w:cs="Arial" w:eastAsia="Arial" w:hAnsi="Arial"/>
          <w:sz w:val="21"/>
          <w:szCs w:val="21"/>
          <w:color w:val="auto"/>
        </w:rPr>
        <w:t>Code. In any event, neither the Committee nor the Board shall have the authority to make any adjustments pursuant to this Section 3(d) to the extent the existence of such authority would cause an Award that is not intended to be subject to Section 409A of the Code at the Grant Date to be subject thereto.</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4. ELIGIBILITY</w:t>
      </w:r>
    </w:p>
    <w:p>
      <w:pPr>
        <w:spacing w:after="0" w:line="212" w:lineRule="exact"/>
        <w:rPr>
          <w:sz w:val="20"/>
          <w:szCs w:val="20"/>
          <w:color w:val="auto"/>
        </w:rPr>
      </w:pPr>
    </w:p>
    <w:p>
      <w:pPr>
        <w:ind w:right="60" w:firstLine="858"/>
        <w:spacing w:after="0" w:line="249" w:lineRule="auto"/>
        <w:rPr>
          <w:sz w:val="20"/>
          <w:szCs w:val="20"/>
          <w:color w:val="auto"/>
        </w:rPr>
      </w:pPr>
      <w:r>
        <w:rPr>
          <w:rFonts w:ascii="Arial" w:cs="Arial" w:eastAsia="Arial" w:hAnsi="Arial"/>
          <w:sz w:val="21"/>
          <w:szCs w:val="21"/>
          <w:color w:val="auto"/>
        </w:rPr>
        <w:t xml:space="preserve">Awards may be granted under the Plan to Eligible Individuals and, with respect to Adjusted Awards, in accordance with the terms of the Employee Matters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Incentive Stock Options may be granted only to employees of the Company and its subsidiaries or parent corporation (within the meaning of Section 424(f) of the Code) and, with respect to Adjusted Awards that are intended to qualify as incentive stock options within the meaning of Section 421 of the Code, in accordance with the terms of the Employee Matters Agreement.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5. OPTIONS AND STOCK APPRECIATION RIGHTS</w:t>
      </w:r>
    </w:p>
    <w:p>
      <w:pPr>
        <w:spacing w:after="0" w:line="212" w:lineRule="exact"/>
        <w:rPr>
          <w:sz w:val="20"/>
          <w:szCs w:val="20"/>
          <w:color w:val="auto"/>
        </w:rPr>
      </w:pPr>
    </w:p>
    <w:p>
      <w:pPr>
        <w:ind w:right="80" w:firstLine="858"/>
        <w:spacing w:after="0"/>
        <w:rPr>
          <w:sz w:val="20"/>
          <w:szCs w:val="20"/>
          <w:color w:val="auto"/>
        </w:rPr>
      </w:pPr>
      <w:r>
        <w:rPr>
          <w:rFonts w:ascii="Arial" w:cs="Arial" w:eastAsia="Arial" w:hAnsi="Arial"/>
          <w:sz w:val="22"/>
          <w:szCs w:val="22"/>
          <w:color w:val="auto"/>
        </w:rPr>
        <w:t>With respect to Adjusted Awards, the provisions below will be applicable only to the extent that they are not inconsistent with the Employee Matters Agreement and the terms of the applicable Adjusted Award assumed under the Employee Matters Agreement:</w:t>
      </w:r>
    </w:p>
    <w:p>
      <w:pPr>
        <w:spacing w:after="0" w:line="186" w:lineRule="exact"/>
        <w:rPr>
          <w:sz w:val="20"/>
          <w:szCs w:val="20"/>
          <w:color w:val="auto"/>
        </w:rPr>
      </w:pPr>
    </w:p>
    <w:p>
      <w:pPr>
        <w:ind w:firstLine="867"/>
        <w:spacing w:after="0" w:line="328" w:lineRule="auto"/>
        <w:tabs>
          <w:tab w:leader="none" w:pos="1747" w:val="left"/>
        </w:tabs>
        <w:numPr>
          <w:ilvl w:val="0"/>
          <w:numId w:val="50"/>
        </w:numPr>
        <w:rPr>
          <w:rFonts w:ascii="Arial" w:cs="Arial" w:eastAsia="Arial" w:hAnsi="Arial"/>
          <w:sz w:val="19"/>
          <w:szCs w:val="19"/>
          <w:color w:val="auto"/>
        </w:rPr>
      </w:pPr>
      <w:r>
        <w:rPr>
          <w:rFonts w:ascii="Arial" w:cs="Arial" w:eastAsia="Arial" w:hAnsi="Arial"/>
          <w:sz w:val="19"/>
          <w:szCs w:val="19"/>
          <w:color w:val="auto"/>
        </w:rPr>
        <w:t>Types of Options. Options may be of two types: Incentive Stock Options and Nonqualified Options. The Award Agreement for an Option shall indicate whether the Option is intended to be an Incentive Stock Option or a Nonqualified Option.</w:t>
      </w:r>
    </w:p>
    <w:p>
      <w:pPr>
        <w:spacing w:after="0" w:line="105" w:lineRule="exact"/>
        <w:rPr>
          <w:rFonts w:ascii="Arial" w:cs="Arial" w:eastAsia="Arial" w:hAnsi="Arial"/>
          <w:sz w:val="19"/>
          <w:szCs w:val="19"/>
          <w:color w:val="auto"/>
        </w:rPr>
      </w:pPr>
    </w:p>
    <w:p>
      <w:pPr>
        <w:ind w:firstLine="867"/>
        <w:spacing w:after="0" w:line="277" w:lineRule="auto"/>
        <w:tabs>
          <w:tab w:leader="none" w:pos="17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Types and Nature of Stock Appreciation Rights. Stock Appreciation Rights may be “Tandem SARs,” which are granted in conjunction with an Option, or “Free-Standing SARs,” which are not granted in conjunction with an Option. Upon the exercise of a Stock Appreciation Right, the Participant shall be entitled to receive an amount in cash, Shares, or both, in value equal to the product of (i) the excess of the Fair Market Value of one Share over the exercise price of the applicable Stock Appreciation Right, multiplied by (ii) the number of Shares in respect of which the Stock Appreciation Right has been exercised. The applicable Award Agreement shall specify whether such payment is to be made in cash or Common Stock or both, or shall reserve to the Committee or the Participant the right to make that determination prior to or upon the exercise of the Stock Appreciation Right.</w:t>
      </w:r>
    </w:p>
    <w:p>
      <w:pPr>
        <w:spacing w:after="0" w:line="152" w:lineRule="exact"/>
        <w:rPr>
          <w:rFonts w:ascii="Arial" w:cs="Arial" w:eastAsia="Arial" w:hAnsi="Arial"/>
          <w:sz w:val="19"/>
          <w:szCs w:val="19"/>
          <w:color w:val="auto"/>
        </w:rPr>
      </w:pPr>
    </w:p>
    <w:p>
      <w:pPr>
        <w:jc w:val="both"/>
        <w:ind w:right="80" w:firstLine="867"/>
        <w:spacing w:after="0" w:line="236" w:lineRule="auto"/>
        <w:tabs>
          <w:tab w:leader="none" w:pos="174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Tandem SARs. A Tandem SAR may be granted at the Grant Date of the related Option. A Tandem SAR shall be exercisable only at such time or times and to the extent that the related Option is exercisable in accordance with the provisions of this Section 5,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87" w:lineRule="exact"/>
        <w:rPr>
          <w:rFonts w:ascii="Arial" w:cs="Arial" w:eastAsia="Arial" w:hAnsi="Arial"/>
          <w:sz w:val="22"/>
          <w:szCs w:val="22"/>
          <w:color w:val="auto"/>
        </w:rPr>
      </w:pPr>
    </w:p>
    <w:p>
      <w:pPr>
        <w:ind w:right="220" w:firstLine="867"/>
        <w:spacing w:after="0" w:line="249" w:lineRule="auto"/>
        <w:tabs>
          <w:tab w:leader="none" w:pos="1760" w:val="left"/>
        </w:tabs>
        <w:numPr>
          <w:ilvl w:val="0"/>
          <w:numId w:val="50"/>
        </w:numPr>
        <w:rPr>
          <w:rFonts w:ascii="Arial" w:cs="Arial" w:eastAsia="Arial" w:hAnsi="Arial"/>
          <w:sz w:val="21"/>
          <w:szCs w:val="21"/>
          <w:color w:val="auto"/>
        </w:rPr>
      </w:pPr>
      <w:r>
        <w:rPr>
          <w:rFonts w:ascii="Arial" w:cs="Arial" w:eastAsia="Arial" w:hAnsi="Arial"/>
          <w:sz w:val="21"/>
          <w:szCs w:val="21"/>
          <w:color w:val="auto"/>
        </w:rPr>
        <w:t>Exercise Price. The exercise price per Share subject to an Option or Free- Standing SAR shall be determined by the Committee and set forth in the applicable Award Agreement, and shall not be less than the Fair Market Value of a share of the Common Stock on the applicable Grant Date. In no event may any Option or Free-Standing SAR granted under this Plan be amended, other than pursuant to Section 3(d), to decrease the exercise price thereof, be cancelled in conjunction with the grant of any new Option or Free-Standing SAR with a lower exercise price,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69" w:name="page70"/>
    <w:bookmarkEnd w:id="69"/>
    <w:p>
      <w:pPr>
        <w:ind w:right="240"/>
        <w:spacing w:after="0"/>
        <w:rPr>
          <w:sz w:val="20"/>
          <w:szCs w:val="20"/>
          <w:color w:val="auto"/>
        </w:rPr>
      </w:pPr>
      <w:r>
        <w:rPr>
          <w:rFonts w:ascii="Arial" w:cs="Arial" w:eastAsia="Arial" w:hAnsi="Arial"/>
          <w:sz w:val="22"/>
          <w:szCs w:val="22"/>
          <w:color w:val="auto"/>
        </w:rPr>
        <w:t>be cancelled for cash or other Awardor otherwise be subject to any action that would be treated, for accounting purposes, as a “repricing” of such Option or Free-Standing SAR, unless such amendment, cancellation, or action is approved by the Company’s stockholders.</w:t>
      </w:r>
    </w:p>
    <w:p>
      <w:pPr>
        <w:spacing w:after="0" w:line="186" w:lineRule="exact"/>
        <w:rPr>
          <w:sz w:val="20"/>
          <w:szCs w:val="20"/>
          <w:color w:val="auto"/>
        </w:rPr>
      </w:pPr>
    </w:p>
    <w:p>
      <w:pPr>
        <w:ind w:right="340" w:firstLine="867"/>
        <w:spacing w:after="0" w:line="251" w:lineRule="auto"/>
        <w:tabs>
          <w:tab w:leader="none" w:pos="174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Term. The Term of each Option and each Free-Standing SAR shall be fixed by the Committee, but shall not exceed ten years from the Grant Date in the case of an Incentive Stock Option.</w:t>
      </w:r>
    </w:p>
    <w:p>
      <w:pPr>
        <w:spacing w:after="0" w:line="173" w:lineRule="exact"/>
        <w:rPr>
          <w:rFonts w:ascii="Arial" w:cs="Arial" w:eastAsia="Arial" w:hAnsi="Arial"/>
          <w:sz w:val="22"/>
          <w:szCs w:val="22"/>
          <w:color w:val="auto"/>
        </w:rPr>
      </w:pPr>
    </w:p>
    <w:p>
      <w:pPr>
        <w:ind w:right="20" w:firstLine="867"/>
        <w:spacing w:after="0" w:line="277" w:lineRule="auto"/>
        <w:tabs>
          <w:tab w:leader="none" w:pos="1723" w:val="left"/>
        </w:tabs>
        <w:numPr>
          <w:ilvl w:val="0"/>
          <w:numId w:val="51"/>
        </w:numPr>
        <w:rPr>
          <w:rFonts w:ascii="Arial" w:cs="Arial" w:eastAsia="Arial" w:hAnsi="Arial"/>
          <w:sz w:val="19"/>
          <w:szCs w:val="19"/>
          <w:color w:val="auto"/>
        </w:rPr>
      </w:pPr>
      <w:r>
        <w:rPr>
          <w:rFonts w:ascii="Arial" w:cs="Arial" w:eastAsia="Arial" w:hAnsi="Arial"/>
          <w:sz w:val="19"/>
          <w:szCs w:val="19"/>
          <w:color w:val="auto"/>
        </w:rPr>
        <w:t>Vesting and Exercisability. Except as otherwise provided herein, Options and Free-Standing SARs shall be exercisable at such time or 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 In the event of a temporary absence exceeding ninety (90) days, the Company shall have authority to suspend the vesting period for such period of time and on such terms as management of the Company shall deem appropriate.</w:t>
      </w:r>
    </w:p>
    <w:p>
      <w:pPr>
        <w:spacing w:after="0" w:line="152" w:lineRule="exact"/>
        <w:rPr>
          <w:rFonts w:ascii="Arial" w:cs="Arial" w:eastAsia="Arial" w:hAnsi="Arial"/>
          <w:sz w:val="19"/>
          <w:szCs w:val="19"/>
          <w:color w:val="auto"/>
        </w:rPr>
      </w:pPr>
    </w:p>
    <w:p>
      <w:pPr>
        <w:ind w:firstLine="867"/>
        <w:spacing w:after="0" w:line="274" w:lineRule="auto"/>
        <w:tabs>
          <w:tab w:leader="none" w:pos="17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Method of Exercise. Subject to the provisions of this Section 5, Options and Free- Standing SARs may be exercised, in whole or in part, at any time during the applicable Term by giving written notice of exercise to the Company or through the procedures established with the Company’s appointed third-party Option administrator specifying the number of Shares as to which the Option or Free-Standing SAR is being exercised; provided, however, that, unless otherwise permitted by the Committee, any such exercise must be with respect to a portion of the applicable Option or Free-Standing SAR relating to no less than the lesser of the number of 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158" w:lineRule="exact"/>
        <w:rPr>
          <w:rFonts w:ascii="Arial" w:cs="Arial" w:eastAsia="Arial" w:hAnsi="Arial"/>
          <w:sz w:val="19"/>
          <w:szCs w:val="19"/>
          <w:color w:val="auto"/>
        </w:rPr>
      </w:pPr>
    </w:p>
    <w:p>
      <w:pPr>
        <w:ind w:left="860" w:right="120" w:firstLine="802"/>
        <w:spacing w:after="0" w:line="282" w:lineRule="auto"/>
        <w:tabs>
          <w:tab w:leader="none" w:pos="2506" w:val="left"/>
        </w:tabs>
        <w:numPr>
          <w:ilvl w:val="1"/>
          <w:numId w:val="51"/>
        </w:numPr>
        <w:rPr>
          <w:rFonts w:ascii="Arial" w:cs="Arial" w:eastAsia="Arial" w:hAnsi="Arial"/>
          <w:sz w:val="19"/>
          <w:szCs w:val="19"/>
          <w:color w:val="auto"/>
        </w:rPr>
      </w:pPr>
      <w:r>
        <w:rPr>
          <w:rFonts w:ascii="Arial" w:cs="Arial" w:eastAsia="Arial" w:hAnsi="Arial"/>
          <w:sz w:val="19"/>
          <w:szCs w:val="19"/>
          <w:color w:val="auto"/>
        </w:rPr>
        <w:t>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provided, however, that, in the case of an Incentive Stock Option, the right to make a payment in the form of already owned Shares of the same class as the Common Stock subject to the Option may be authorized only at the time the Option is granted.</w:t>
      </w:r>
    </w:p>
    <w:p>
      <w:pPr>
        <w:spacing w:after="0" w:line="147" w:lineRule="exact"/>
        <w:rPr>
          <w:rFonts w:ascii="Arial" w:cs="Arial" w:eastAsia="Arial" w:hAnsi="Arial"/>
          <w:sz w:val="19"/>
          <w:szCs w:val="19"/>
          <w:color w:val="auto"/>
        </w:rPr>
      </w:pPr>
    </w:p>
    <w:p>
      <w:pPr>
        <w:ind w:left="860" w:right="40" w:firstLine="802"/>
        <w:spacing w:after="0" w:line="234" w:lineRule="auto"/>
        <w:tabs>
          <w:tab w:leader="none" w:pos="2567" w:val="left"/>
        </w:tabs>
        <w:numPr>
          <w:ilvl w:val="1"/>
          <w:numId w:val="51"/>
        </w:numPr>
        <w:rPr>
          <w:rFonts w:ascii="Arial" w:cs="Arial" w:eastAsia="Arial" w:hAnsi="Arial"/>
          <w:sz w:val="22"/>
          <w:szCs w:val="22"/>
          <w:color w:val="auto"/>
        </w:rPr>
      </w:pPr>
      <w:r>
        <w:rPr>
          <w:rFonts w:ascii="Arial" w:cs="Arial" w:eastAsia="Arial" w:hAnsi="Arial"/>
          <w:sz w:val="22"/>
          <w:szCs w:val="22"/>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0" w:name="page71"/>
    <w:bookmarkEnd w:id="70"/>
    <w:p>
      <w:pPr>
        <w:ind w:left="840" w:firstLine="802"/>
        <w:spacing w:after="0" w:line="238" w:lineRule="auto"/>
        <w:tabs>
          <w:tab w:leader="none" w:pos="2583" w:val="left"/>
        </w:tabs>
        <w:numPr>
          <w:ilvl w:val="1"/>
          <w:numId w:val="52"/>
        </w:numPr>
        <w:rPr>
          <w:rFonts w:ascii="Arial" w:cs="Arial" w:eastAsia="Arial" w:hAnsi="Arial"/>
          <w:sz w:val="22"/>
          <w:szCs w:val="22"/>
          <w:color w:val="auto"/>
        </w:rPr>
      </w:pPr>
      <w:r>
        <w:rPr>
          <w:rFonts w:ascii="Arial" w:cs="Arial" w:eastAsia="Arial" w:hAnsi="Arial"/>
          <w:sz w:val="22"/>
          <w:szCs w:val="22"/>
          <w:color w:val="auto"/>
        </w:rPr>
        <w:t>Payment may be made by instructing the Committee to withhold a number of Shares having a Fair Market Value (based on the Fair Market Value of the Common Stock on the date the applicable Option is exercised) equal to the product of (A) the exercise price multiplied by (B) the number of Shares in respect of which the Option shall have been exercised.</w:t>
      </w:r>
    </w:p>
    <w:p>
      <w:pPr>
        <w:spacing w:after="0" w:line="185" w:lineRule="exact"/>
        <w:rPr>
          <w:rFonts w:ascii="Arial" w:cs="Arial" w:eastAsia="Arial" w:hAnsi="Arial"/>
          <w:sz w:val="22"/>
          <w:szCs w:val="22"/>
          <w:color w:val="auto"/>
        </w:rPr>
      </w:pPr>
    </w:p>
    <w:p>
      <w:pPr>
        <w:ind w:left="-20" w:firstLine="867"/>
        <w:spacing w:after="0" w:line="248" w:lineRule="auto"/>
        <w:tabs>
          <w:tab w:leader="none" w:pos="17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Delivery; Rights of Stockholders. No Shares shall be delivered pursuant to the exercise of an Option until the exercise price therefor has been fully paid and applicable taxes have been withheld. The applicable Participant shall have all of the rights of a stockholder of the Company holding the class or series of Common Stock that is subject to the Option or Stock Appreciation Right (including, if applicable, the right to vote the applicable Shares and the right to receive dividends), when the Participant (i) has given written notice of exercise, (ii) if requested, has given the representation described in Section 14(a), and (iii) in the case of an Option, has paid in full for such Shares.</w:t>
      </w:r>
    </w:p>
    <w:p>
      <w:pPr>
        <w:spacing w:after="0" w:line="177" w:lineRule="exact"/>
        <w:rPr>
          <w:rFonts w:ascii="Arial" w:cs="Arial" w:eastAsia="Arial" w:hAnsi="Arial"/>
          <w:sz w:val="21"/>
          <w:szCs w:val="21"/>
          <w:color w:val="auto"/>
        </w:rPr>
      </w:pPr>
    </w:p>
    <w:p>
      <w:pPr>
        <w:ind w:left="-20" w:right="160" w:firstLine="867"/>
        <w:spacing w:after="0" w:line="274" w:lineRule="auto"/>
        <w:tabs>
          <w:tab w:leader="none" w:pos="1691" w:val="left"/>
        </w:tabs>
        <w:numPr>
          <w:ilvl w:val="0"/>
          <w:numId w:val="53"/>
        </w:numPr>
        <w:rPr>
          <w:rFonts w:ascii="Arial" w:cs="Arial" w:eastAsia="Arial" w:hAnsi="Arial"/>
          <w:sz w:val="21"/>
          <w:szCs w:val="21"/>
          <w:color w:val="auto"/>
        </w:rPr>
      </w:pPr>
      <w:r>
        <w:rPr>
          <w:rFonts w:ascii="Arial" w:cs="Arial" w:eastAsia="Arial" w:hAnsi="Arial"/>
          <w:sz w:val="21"/>
          <w:szCs w:val="21"/>
          <w:color w:val="auto"/>
        </w:rPr>
        <w:t>Terminations of Employment. Subject to Section 10(c), a Participant’s Options and Stock Appreciation Rights shall be forfeited upon such Participant’s Termination of Employment, except as set forth below:</w:t>
      </w:r>
    </w:p>
    <w:p>
      <w:pPr>
        <w:spacing w:after="0" w:line="151" w:lineRule="exact"/>
        <w:rPr>
          <w:sz w:val="20"/>
          <w:szCs w:val="20"/>
          <w:color w:val="auto"/>
        </w:rPr>
      </w:pPr>
    </w:p>
    <w:p>
      <w:pPr>
        <w:ind w:left="840" w:firstLine="802"/>
        <w:spacing w:after="0" w:line="238" w:lineRule="auto"/>
        <w:tabs>
          <w:tab w:leader="none" w:pos="2486" w:val="left"/>
        </w:tabs>
        <w:numPr>
          <w:ilvl w:val="0"/>
          <w:numId w:val="54"/>
        </w:numPr>
        <w:rPr>
          <w:rFonts w:ascii="Arial" w:cs="Arial" w:eastAsia="Arial" w:hAnsi="Arial"/>
          <w:sz w:val="22"/>
          <w:szCs w:val="22"/>
          <w:color w:val="auto"/>
        </w:rPr>
      </w:pPr>
      <w:r>
        <w:rPr>
          <w:rFonts w:ascii="Arial" w:cs="Arial" w:eastAsia="Arial" w:hAnsi="Arial"/>
          <w:sz w:val="22"/>
          <w:szCs w:val="22"/>
          <w:color w:val="auto"/>
        </w:rPr>
        <w:t>Upon a Participant’s Termination of Employment by reason of death, any Option or Stock Appreciation Right that was unvested at the time of death shall automatically vest and all Options or Stock Appreciation Rights held by the Participant may be exercised at any time until the earlier of (A) the first anniversary of the date of such death and (B) the expiration of the Term thereof;</w:t>
      </w:r>
    </w:p>
    <w:p>
      <w:pPr>
        <w:spacing w:after="0" w:line="185" w:lineRule="exact"/>
        <w:rPr>
          <w:rFonts w:ascii="Arial" w:cs="Arial" w:eastAsia="Arial" w:hAnsi="Arial"/>
          <w:sz w:val="22"/>
          <w:szCs w:val="22"/>
          <w:color w:val="auto"/>
        </w:rPr>
      </w:pPr>
    </w:p>
    <w:p>
      <w:pPr>
        <w:ind w:left="840" w:right="200" w:firstLine="802"/>
        <w:spacing w:after="0" w:line="238" w:lineRule="auto"/>
        <w:tabs>
          <w:tab w:leader="none" w:pos="2547" w:val="left"/>
        </w:tabs>
        <w:numPr>
          <w:ilvl w:val="0"/>
          <w:numId w:val="54"/>
        </w:numPr>
        <w:rPr>
          <w:rFonts w:ascii="Arial" w:cs="Arial" w:eastAsia="Arial" w:hAnsi="Arial"/>
          <w:sz w:val="22"/>
          <w:szCs w:val="22"/>
          <w:color w:val="auto"/>
        </w:rPr>
      </w:pPr>
      <w:r>
        <w:rPr>
          <w:rFonts w:ascii="Arial" w:cs="Arial" w:eastAsia="Arial" w:hAnsi="Arial"/>
          <w:sz w:val="22"/>
          <w:szCs w:val="22"/>
          <w:color w:val="auto"/>
        </w:rPr>
        <w:t>Upon a Participant’s Termination of Employment by reason of Disability or Retirement, any Option or Stock Appreciation Right held by the Participant that was exercisable immediately before the Termination of Employment may be exercised at any time until the earlier of (A) the first anniversary of such Termination of Employment and the expiration of the Term thereof;</w:t>
      </w:r>
    </w:p>
    <w:p>
      <w:pPr>
        <w:spacing w:after="0" w:line="185" w:lineRule="exact"/>
        <w:rPr>
          <w:rFonts w:ascii="Arial" w:cs="Arial" w:eastAsia="Arial" w:hAnsi="Arial"/>
          <w:sz w:val="22"/>
          <w:szCs w:val="22"/>
          <w:color w:val="auto"/>
        </w:rPr>
      </w:pPr>
    </w:p>
    <w:p>
      <w:pPr>
        <w:ind w:left="840" w:right="40" w:firstLine="802"/>
        <w:spacing w:after="0" w:line="274" w:lineRule="auto"/>
        <w:tabs>
          <w:tab w:leader="none" w:pos="2607" w:val="left"/>
        </w:tabs>
        <w:numPr>
          <w:ilvl w:val="0"/>
          <w:numId w:val="54"/>
        </w:numPr>
        <w:rPr>
          <w:rFonts w:ascii="Arial" w:cs="Arial" w:eastAsia="Arial" w:hAnsi="Arial"/>
          <w:sz w:val="21"/>
          <w:szCs w:val="21"/>
          <w:color w:val="auto"/>
        </w:rPr>
      </w:pPr>
      <w:r>
        <w:rPr>
          <w:rFonts w:ascii="Arial" w:cs="Arial" w:eastAsia="Arial" w:hAnsi="Arial"/>
          <w:sz w:val="21"/>
          <w:szCs w:val="21"/>
          <w:color w:val="auto"/>
        </w:rPr>
        <w:t>Upon a Participant’s Termination of Employment for Cause, any Option or Stock Appreciation Right held by the Participant shall be forfeited, effective as of such Termination of Employment;</w:t>
      </w:r>
    </w:p>
    <w:p>
      <w:pPr>
        <w:spacing w:after="0" w:line="150" w:lineRule="exact"/>
        <w:rPr>
          <w:rFonts w:ascii="Arial" w:cs="Arial" w:eastAsia="Arial" w:hAnsi="Arial"/>
          <w:sz w:val="21"/>
          <w:szCs w:val="21"/>
          <w:color w:val="auto"/>
        </w:rPr>
      </w:pPr>
    </w:p>
    <w:p>
      <w:pPr>
        <w:ind w:left="840" w:right="360" w:firstLine="802"/>
        <w:spacing w:after="0" w:line="252" w:lineRule="auto"/>
        <w:tabs>
          <w:tab w:leader="none" w:pos="2595" w:val="left"/>
        </w:tabs>
        <w:numPr>
          <w:ilvl w:val="0"/>
          <w:numId w:val="54"/>
        </w:numPr>
        <w:rPr>
          <w:rFonts w:ascii="Arial" w:cs="Arial" w:eastAsia="Arial" w:hAnsi="Arial"/>
          <w:sz w:val="21"/>
          <w:szCs w:val="21"/>
          <w:color w:val="auto"/>
        </w:rPr>
      </w:pPr>
      <w:r>
        <w:rPr>
          <w:rFonts w:ascii="Arial" w:cs="Arial" w:eastAsia="Arial" w:hAnsi="Arial"/>
          <w:sz w:val="21"/>
          <w:szCs w:val="21"/>
          <w:color w:val="auto"/>
        </w:rPr>
        <w:t>Upon a Participant’s Termination of Employment for any reason other than death, Disability, Retirement or for Cause, any Option or Stock Appreciation Right held by the Participant that was exercisable immediately before the Termination of Employment may be exercised at any time until the earlier of (A) the 90th day following such Termination of Employment and (B) expiration of the Term thereof; and</w:t>
      </w:r>
    </w:p>
    <w:p>
      <w:pPr>
        <w:spacing w:after="0" w:line="174" w:lineRule="exact"/>
        <w:rPr>
          <w:rFonts w:ascii="Arial" w:cs="Arial" w:eastAsia="Arial" w:hAnsi="Arial"/>
          <w:sz w:val="21"/>
          <w:szCs w:val="21"/>
          <w:color w:val="auto"/>
        </w:rPr>
      </w:pPr>
    </w:p>
    <w:p>
      <w:pPr>
        <w:ind w:left="840" w:right="40" w:firstLine="802"/>
        <w:spacing w:after="0" w:line="249" w:lineRule="auto"/>
        <w:tabs>
          <w:tab w:leader="none" w:pos="2535"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Notwithstanding the above provisions of this Section 5(i), if a Participant dies after such Participant’s Termination of Employment but while any Option or Stock Appreciation Right remains exercisable as set forth above, such Option or Stock Appreciation Right may be exercised at any time until the later of (A) the earlier of (1) the first anniversary of the date of such death and (2) expiration of the Term thereof and (B) the last date on which such Option or Stock Appreciation Right would have been exercisable, absent this Section 5(i)(v).</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8" w:right="259" w:bottom="1440" w:gutter="0" w:footer="0" w:header="0"/>
        </w:sectPr>
      </w:pPr>
    </w:p>
    <w:bookmarkStart w:id="71" w:name="page72"/>
    <w:bookmarkEnd w:id="71"/>
    <w:p>
      <w:pPr>
        <w:ind w:right="20"/>
        <w:spacing w:after="0" w:line="236" w:lineRule="auto"/>
        <w:rPr>
          <w:sz w:val="20"/>
          <w:szCs w:val="20"/>
          <w:color w:val="auto"/>
        </w:rPr>
      </w:pPr>
      <w:r>
        <w:rPr>
          <w:rFonts w:ascii="Arial" w:cs="Arial" w:eastAsia="Arial" w:hAnsi="Arial"/>
          <w:sz w:val="22"/>
          <w:szCs w:val="22"/>
          <w:color w:val="auto"/>
        </w:rPr>
        <w:t xml:space="preserve">Notwithstanding the foregoing, the Committee shall have the power, in its discretion, to apply different rules concerning the consequences of a Termination of Employment;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Option.</w:t>
      </w:r>
    </w:p>
    <w:p>
      <w:pPr>
        <w:spacing w:after="0" w:line="188" w:lineRule="exact"/>
        <w:rPr>
          <w:sz w:val="20"/>
          <w:szCs w:val="20"/>
          <w:color w:val="auto"/>
        </w:rPr>
      </w:pPr>
    </w:p>
    <w:p>
      <w:pPr>
        <w:ind w:left="120" w:right="60" w:firstLine="740"/>
        <w:spacing w:after="0" w:line="272" w:lineRule="auto"/>
        <w:tabs>
          <w:tab w:leader="none" w:pos="1705"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Nontransferability of Options and Stock Appreciation Rights. No Option or Free- Standing SAR shall be transferable by a Participant other than (i) by will or by the laws of descent and distribution, or (ii) in the case of a Nonqualified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S- 8 under the Securities Act of 1933, as amended, and any successor thereto. A Tandem SAR shall be transferable only with the related Option as permitted by the preceding sentence. Any Option or Stock Appreciation Right shall be exercisable, subject to the terms of this Plan, only by the applicable Participant, the guardian or legal representative of such Participant, or any person to whom such Option or Stock Appreciation Right is permissibly transferred pursuant to this Section 5(j), it being understood that the term “Participant” includes such guardian, legal representative and other transferee; provided, however, that the term “Termination of Employment” shall continue to refer to the Termination of Employment of the original Participant.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6. RESTRICTED STOCK</w:t>
      </w:r>
    </w:p>
    <w:p>
      <w:pPr>
        <w:spacing w:after="0" w:line="212" w:lineRule="exact"/>
        <w:rPr>
          <w:sz w:val="20"/>
          <w:szCs w:val="20"/>
          <w:color w:val="auto"/>
        </w:rPr>
      </w:pPr>
    </w:p>
    <w:p>
      <w:pPr>
        <w:ind w:right="100" w:firstLine="859"/>
        <w:spacing w:after="0" w:line="328" w:lineRule="auto"/>
        <w:rPr>
          <w:sz w:val="20"/>
          <w:szCs w:val="20"/>
          <w:color w:val="auto"/>
        </w:rPr>
      </w:pPr>
      <w:r>
        <w:rPr>
          <w:rFonts w:ascii="Arial" w:cs="Arial" w:eastAsia="Arial" w:hAnsi="Arial"/>
          <w:sz w:val="19"/>
          <w:szCs w:val="19"/>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05" w:lineRule="exact"/>
        <w:rPr>
          <w:sz w:val="20"/>
          <w:szCs w:val="20"/>
          <w:color w:val="auto"/>
        </w:rPr>
      </w:pPr>
    </w:p>
    <w:p>
      <w:pPr>
        <w:ind w:right="60" w:firstLine="867"/>
        <w:spacing w:after="0" w:line="236" w:lineRule="auto"/>
        <w:tabs>
          <w:tab w:leader="none" w:pos="1747" w:val="left"/>
        </w:tabs>
        <w:numPr>
          <w:ilvl w:val="0"/>
          <w:numId w:val="56"/>
        </w:numPr>
        <w:rPr>
          <w:rFonts w:ascii="Arial" w:cs="Arial" w:eastAsia="Arial" w:hAnsi="Arial"/>
          <w:sz w:val="22"/>
          <w:szCs w:val="22"/>
          <w:color w:val="auto"/>
        </w:rPr>
      </w:pPr>
      <w:r>
        <w:rPr>
          <w:rFonts w:ascii="Arial" w:cs="Arial" w:eastAsia="Arial" w:hAnsi="Arial"/>
          <w:sz w:val="22"/>
          <w:szCs w:val="22"/>
          <w:color w:val="auto"/>
        </w:rPr>
        <w:t>Nature of Awards and Certificates.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 substantially in the following form:</w:t>
      </w:r>
    </w:p>
    <w:p>
      <w:pPr>
        <w:spacing w:after="0" w:line="188" w:lineRule="exact"/>
        <w:rPr>
          <w:sz w:val="20"/>
          <w:szCs w:val="20"/>
          <w:color w:val="auto"/>
        </w:rPr>
      </w:pPr>
    </w:p>
    <w:p>
      <w:pPr>
        <w:jc w:val="both"/>
        <w:ind w:left="980" w:right="120"/>
        <w:spacing w:after="0"/>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TripAdvisor, Inc. 2011 Stock and Annual Incentive Plan and an Award Agreement. Copies of such Plan and Agreement are on file at the offices of TripAdvisor, Inc.”</w:t>
      </w:r>
    </w:p>
    <w:p>
      <w:pPr>
        <w:spacing w:after="0" w:line="1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blank, relating to the Common Stock covered by such Award.</w:t>
      </w:r>
    </w:p>
    <w:p>
      <w:pPr>
        <w:spacing w:after="0" w:line="188" w:lineRule="exact"/>
        <w:rPr>
          <w:sz w:val="20"/>
          <w:szCs w:val="20"/>
          <w:color w:val="auto"/>
        </w:rPr>
      </w:pPr>
    </w:p>
    <w:p>
      <w:pPr>
        <w:ind w:left="1760" w:hanging="893"/>
        <w:spacing w:after="0"/>
        <w:tabs>
          <w:tab w:leader="none" w:pos="1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Terms and Conditions. Shares of Restricted Stock shall be subject to the following terms and conditions:</w:t>
      </w:r>
    </w:p>
    <w:p>
      <w:pPr>
        <w:spacing w:after="0" w:line="245" w:lineRule="exact"/>
        <w:rPr>
          <w:rFonts w:ascii="Arial" w:cs="Arial" w:eastAsia="Arial" w:hAnsi="Arial"/>
          <w:sz w:val="19"/>
          <w:szCs w:val="19"/>
          <w:color w:val="auto"/>
        </w:rPr>
      </w:pPr>
    </w:p>
    <w:p>
      <w:pPr>
        <w:ind w:left="5620"/>
        <w:spacing w:after="0"/>
        <w:rPr>
          <w:rFonts w:ascii="Arial" w:cs="Arial" w:eastAsia="Arial" w:hAnsi="Arial"/>
          <w:sz w:val="19"/>
          <w:szCs w:val="19"/>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72" w:name="page73"/>
    <w:bookmarkEnd w:id="72"/>
    <w:p>
      <w:pPr>
        <w:ind w:left="-340" w:right="20" w:firstLine="802"/>
        <w:spacing w:after="0" w:line="275" w:lineRule="auto"/>
        <w:tabs>
          <w:tab w:leader="none" w:pos="1306"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Qualified Performance-Based Award. The conditions for grant, vesting, or transferability and the other provisions of Restricted Stock Awards (including without limitation any Performance Goals) need not be the same with respect to each Participant.</w:t>
      </w:r>
    </w:p>
    <w:p>
      <w:pPr>
        <w:spacing w:after="0" w:line="158" w:lineRule="exact"/>
        <w:rPr>
          <w:rFonts w:ascii="Arial" w:cs="Arial" w:eastAsia="Arial" w:hAnsi="Arial"/>
          <w:sz w:val="19"/>
          <w:szCs w:val="19"/>
          <w:color w:val="auto"/>
        </w:rPr>
      </w:pPr>
    </w:p>
    <w:p>
      <w:pPr>
        <w:ind w:left="-340" w:right="180" w:firstLine="802"/>
        <w:spacing w:after="0" w:line="287" w:lineRule="auto"/>
        <w:tabs>
          <w:tab w:leader="none" w:pos="1367"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the provisions of the Plan and the applicable Award Agreement, during the period, if any, set by the Committee, commencing with the date of such Restricted Stock Award for which such vesting restrictions apply and until the expiration of such vesting restrictions (the “RS Restriction Period”), the Participant shall not be permitted to sell, assign, transfer, pledge or otherwise encumber Shares of Restricted Stock.</w:t>
      </w:r>
    </w:p>
    <w:p>
      <w:pPr>
        <w:spacing w:after="0" w:line="143" w:lineRule="exact"/>
        <w:rPr>
          <w:rFonts w:ascii="Arial" w:cs="Arial" w:eastAsia="Arial" w:hAnsi="Arial"/>
          <w:sz w:val="19"/>
          <w:szCs w:val="19"/>
          <w:color w:val="auto"/>
        </w:rPr>
      </w:pPr>
    </w:p>
    <w:p>
      <w:pPr>
        <w:ind w:left="-340" w:right="20" w:firstLine="802"/>
        <w:spacing w:after="0" w:line="274" w:lineRule="auto"/>
        <w:tabs>
          <w:tab w:leader="none" w:pos="1427"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provided in this Section 6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14(e), (A) cash dividends on the class or series of Common Stock that is the subject of the Restricted Stock Award shall be automatically reinvested in additional Restricted Stock, held subject to the vesting of the underlying Restricted Stock, and (B) subject to any adjustment pursuant to Section 3(d), dividends payable in Common Stock shall be paid in the form of Restricted Stock of the same class as the Common Stock with which such dividend was paid, held subject to the vesting of the underlying Restricted Stock.</w:t>
      </w:r>
    </w:p>
    <w:p>
      <w:pPr>
        <w:spacing w:after="0" w:line="158" w:lineRule="exact"/>
        <w:rPr>
          <w:rFonts w:ascii="Arial" w:cs="Arial" w:eastAsia="Arial" w:hAnsi="Arial"/>
          <w:sz w:val="19"/>
          <w:szCs w:val="19"/>
          <w:color w:val="auto"/>
        </w:rPr>
      </w:pPr>
    </w:p>
    <w:p>
      <w:pPr>
        <w:ind w:left="-340" w:firstLine="802"/>
        <w:spacing w:after="0" w:line="277" w:lineRule="auto"/>
        <w:tabs>
          <w:tab w:leader="none" w:pos="1415"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otherwise set forth in the applicable Award Agreement and subject to Section 10(c), upon a Participant’s Termination of Employment for any reason (other than death) during the RS Restriction Period or before the applicable Performance Goals are satisfied, all Shares of Restricted Stock still subject to restriction shall be forfeited by such Participant; provided, however, that subject to Section 11(b), the Committee shall have the discretion to waive, in whole or in part, any or all remaining restrictions with respect to any or all of such Participant’s Shares of Restricted Stock. Upon a Participant’s Termination of Employment by reason of death, during the RS Restriction Period or before the applicable Performance Goals are satisfied, all Shares of Restricted Stock shall immediately and automatically vest.</w:t>
      </w:r>
    </w:p>
    <w:p>
      <w:pPr>
        <w:spacing w:after="0" w:line="152" w:lineRule="exact"/>
        <w:rPr>
          <w:rFonts w:ascii="Arial" w:cs="Arial" w:eastAsia="Arial" w:hAnsi="Arial"/>
          <w:sz w:val="19"/>
          <w:szCs w:val="19"/>
          <w:color w:val="auto"/>
        </w:rPr>
      </w:pPr>
    </w:p>
    <w:p>
      <w:pPr>
        <w:ind w:left="-340" w:right="140" w:firstLine="802"/>
        <w:spacing w:after="0" w:line="297" w:lineRule="auto"/>
        <w:tabs>
          <w:tab w:leader="none" w:pos="1355" w:val="left"/>
        </w:tabs>
        <w:numPr>
          <w:ilvl w:val="0"/>
          <w:numId w:val="58"/>
        </w:numPr>
        <w:rPr>
          <w:rFonts w:ascii="Arial" w:cs="Arial" w:eastAsia="Arial" w:hAnsi="Arial"/>
          <w:sz w:val="19"/>
          <w:szCs w:val="19"/>
          <w:color w:val="auto"/>
        </w:rPr>
      </w:pPr>
      <w:r>
        <w:rPr>
          <w:rFonts w:ascii="Arial" w:cs="Arial" w:eastAsia="Arial" w:hAnsi="Arial"/>
          <w:sz w:val="19"/>
          <w:szCs w:val="19"/>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35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203835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564" w:right="259" w:bottom="1440" w:gutter="0" w:footer="0" w:header="0"/>
        </w:sectPr>
      </w:pPr>
    </w:p>
    <w:bookmarkStart w:id="73" w:name="page74"/>
    <w:bookmarkEnd w:id="73"/>
    <w:p>
      <w:pPr>
        <w:ind w:left="120"/>
        <w:spacing w:after="0"/>
        <w:rPr>
          <w:sz w:val="20"/>
          <w:szCs w:val="20"/>
          <w:color w:val="auto"/>
        </w:rPr>
      </w:pPr>
      <w:r>
        <w:rPr>
          <w:rFonts w:ascii="Arial" w:cs="Arial" w:eastAsia="Arial" w:hAnsi="Arial"/>
          <w:sz w:val="22"/>
          <w:szCs w:val="22"/>
          <w:b w:val="1"/>
          <w:bCs w:val="1"/>
          <w:color w:val="auto"/>
        </w:rPr>
        <w:t>SECTION 7. RESTRICTED STOCK UNITS</w:t>
      </w:r>
    </w:p>
    <w:p>
      <w:pPr>
        <w:spacing w:after="0" w:line="212" w:lineRule="exact"/>
        <w:rPr>
          <w:sz w:val="20"/>
          <w:szCs w:val="20"/>
          <w:color w:val="auto"/>
        </w:rPr>
      </w:pPr>
    </w:p>
    <w:p>
      <w:pPr>
        <w:ind w:right="100" w:firstLine="859"/>
        <w:spacing w:after="0" w:line="328" w:lineRule="auto"/>
        <w:rPr>
          <w:sz w:val="20"/>
          <w:szCs w:val="20"/>
          <w:color w:val="auto"/>
        </w:rPr>
      </w:pPr>
      <w:r>
        <w:rPr>
          <w:rFonts w:ascii="Arial" w:cs="Arial" w:eastAsia="Arial" w:hAnsi="Arial"/>
          <w:sz w:val="19"/>
          <w:szCs w:val="19"/>
          <w:color w:val="auto"/>
        </w:rPr>
        <w:t>With respect to Adjusted Awards, the provisions below will be applicable only to the extent that they are not inconsistent with the Employee Matters Agreement and the terms of the Adjusted Award assumed under the Employee Matters Agreement:</w:t>
      </w:r>
    </w:p>
    <w:p>
      <w:pPr>
        <w:spacing w:after="0" w:line="105" w:lineRule="exact"/>
        <w:rPr>
          <w:sz w:val="20"/>
          <w:szCs w:val="20"/>
          <w:color w:val="auto"/>
        </w:rPr>
      </w:pPr>
    </w:p>
    <w:p>
      <w:pPr>
        <w:jc w:val="both"/>
        <w:ind w:firstLine="867"/>
        <w:spacing w:after="0"/>
        <w:tabs>
          <w:tab w:leader="none" w:pos="1747" w:val="left"/>
        </w:tabs>
        <w:numPr>
          <w:ilvl w:val="0"/>
          <w:numId w:val="59"/>
        </w:numPr>
        <w:rPr>
          <w:rFonts w:ascii="Arial" w:cs="Arial" w:eastAsia="Arial" w:hAnsi="Arial"/>
          <w:sz w:val="22"/>
          <w:szCs w:val="22"/>
          <w:color w:val="auto"/>
        </w:rPr>
      </w:pPr>
      <w:r>
        <w:rPr>
          <w:rFonts w:ascii="Arial" w:cs="Arial" w:eastAsia="Arial" w:hAnsi="Arial"/>
          <w:sz w:val="22"/>
          <w:szCs w:val="22"/>
          <w:color w:val="auto"/>
        </w:rPr>
        <w:t>Nature of Awards. Restricted Stock Units are Awards denominated in Shares that will be settled, subject to the terms and conditions of the Restricted Stock Units, in an amount in cash, Shares or both, based upon the Fair Market Value of a specified number of Shares.</w:t>
      </w:r>
    </w:p>
    <w:p>
      <w:pPr>
        <w:spacing w:after="0" w:line="186" w:lineRule="exact"/>
        <w:rPr>
          <w:rFonts w:ascii="Arial" w:cs="Arial" w:eastAsia="Arial" w:hAnsi="Arial"/>
          <w:sz w:val="22"/>
          <w:szCs w:val="22"/>
          <w:color w:val="auto"/>
        </w:rPr>
      </w:pPr>
    </w:p>
    <w:p>
      <w:pPr>
        <w:ind w:left="1760" w:hanging="893"/>
        <w:spacing w:after="0"/>
        <w:tabs>
          <w:tab w:leader="none" w:pos="17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Terms and Conditions. Restricted Stock Units shall be subject to the following terms and conditions:</w:t>
      </w:r>
    </w:p>
    <w:p>
      <w:pPr>
        <w:spacing w:after="0" w:line="217" w:lineRule="exact"/>
        <w:rPr>
          <w:rFonts w:ascii="Arial" w:cs="Arial" w:eastAsia="Arial" w:hAnsi="Arial"/>
          <w:sz w:val="21"/>
          <w:szCs w:val="21"/>
          <w:color w:val="auto"/>
        </w:rPr>
      </w:pPr>
    </w:p>
    <w:p>
      <w:pPr>
        <w:ind w:left="860" w:right="100" w:firstLine="802"/>
        <w:spacing w:after="0" w:line="273" w:lineRule="auto"/>
        <w:tabs>
          <w:tab w:leader="none" w:pos="2506"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Committee shall, prior to or at the time of grant, condition the grant, vesting, or transferability of Restricted Stock Units upon the continued service of the applicable Participant or the attainment of Performance Goals, or the attainment of Performance Goals and the continued service of the applicable Participant. In the event that the Committee conditions the grant or vesting of Restricted Stock Units upon the attainment of Performance Goals or the attainment of Performance Goals and the continued service of the applicable Participant, the Committee may, prior to or at the time of grant, designate such Awards as Qualified Performance-Based Awards. The conditions for grant, vesting or transferability and the other provisions of Restricted Stock Units (including without limitation any Performance Goals) need not be the same with respect to each Participant. In the event of a temporary absence exceeding ninety (90) days, the Company shall have authority to suspend the vesting of such Restricted Stock Units for such period of time and on such terms as management of the Company shall deem appropriate.</w:t>
      </w:r>
    </w:p>
    <w:p>
      <w:pPr>
        <w:spacing w:after="0" w:line="161" w:lineRule="exact"/>
        <w:rPr>
          <w:rFonts w:ascii="Arial" w:cs="Arial" w:eastAsia="Arial" w:hAnsi="Arial"/>
          <w:sz w:val="19"/>
          <w:szCs w:val="19"/>
          <w:color w:val="auto"/>
        </w:rPr>
      </w:pPr>
    </w:p>
    <w:p>
      <w:pPr>
        <w:ind w:left="860" w:right="60" w:firstLine="802"/>
        <w:spacing w:after="0" w:line="252" w:lineRule="auto"/>
        <w:tabs>
          <w:tab w:leader="none" w:pos="2567" w:val="left"/>
        </w:tabs>
        <w:numPr>
          <w:ilvl w:val="1"/>
          <w:numId w:val="59"/>
        </w:numPr>
        <w:rPr>
          <w:rFonts w:ascii="Arial" w:cs="Arial" w:eastAsia="Arial" w:hAnsi="Arial"/>
          <w:sz w:val="21"/>
          <w:szCs w:val="21"/>
          <w:color w:val="auto"/>
        </w:rPr>
      </w:pPr>
      <w:r>
        <w:rPr>
          <w:rFonts w:ascii="Arial" w:cs="Arial" w:eastAsia="Arial" w:hAnsi="Arial"/>
          <w:sz w:val="21"/>
          <w:szCs w:val="21"/>
          <w:color w:val="auto"/>
        </w:rPr>
        <w:t>Subject to the provisions of the Plan and the applicable Award Agreement, during the period, if any, set by the Committee, commencing with the date of such Restricted Stock Units for which such vesting restrictions apply and until the expiration of such vesting restrictions (the “RSU Restriction Period”), the Participant shall not be permitted to sell, assign, transfer, pledge or otherwise encumber Restricted Stock Units.</w:t>
      </w:r>
    </w:p>
    <w:p>
      <w:pPr>
        <w:spacing w:after="0" w:line="174" w:lineRule="exact"/>
        <w:rPr>
          <w:rFonts w:ascii="Arial" w:cs="Arial" w:eastAsia="Arial" w:hAnsi="Arial"/>
          <w:sz w:val="21"/>
          <w:szCs w:val="21"/>
          <w:color w:val="auto"/>
        </w:rPr>
      </w:pPr>
    </w:p>
    <w:p>
      <w:pPr>
        <w:ind w:left="860" w:right="80" w:firstLine="802"/>
        <w:spacing w:after="0" w:line="297" w:lineRule="auto"/>
        <w:tabs>
          <w:tab w:leader="none" w:pos="2627"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Award Agreement for Restricted Stock Units shall specify whether, to what extent and on what terms and conditions the applicable Participant shall be entitled to receive current or delayed payments of cash, Common Stock or other property corresponding to the dividends payable on the Common Stock (subject to Section 14(e) below).</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4" w:name="page75"/>
    <w:bookmarkEnd w:id="74"/>
    <w:p>
      <w:pPr>
        <w:ind w:left="860" w:firstLine="802"/>
        <w:spacing w:after="0" w:line="234" w:lineRule="auto"/>
        <w:tabs>
          <w:tab w:leader="none" w:pos="2615" w:val="left"/>
        </w:tabs>
        <w:numPr>
          <w:ilvl w:val="0"/>
          <w:numId w:val="60"/>
        </w:numPr>
        <w:rPr>
          <w:rFonts w:ascii="Arial" w:cs="Arial" w:eastAsia="Arial" w:hAnsi="Arial"/>
          <w:sz w:val="22"/>
          <w:szCs w:val="22"/>
          <w:color w:val="auto"/>
        </w:rPr>
      </w:pPr>
      <w:r>
        <w:rPr>
          <w:rFonts w:ascii="Arial" w:cs="Arial" w:eastAsia="Arial" w:hAnsi="Arial"/>
          <w:sz w:val="22"/>
          <w:szCs w:val="22"/>
          <w:color w:val="auto"/>
        </w:rPr>
        <w:t>Except as otherwise set forth in the applicable Award Agreement and subject to Section 10(c), upon a Participant’s Termination of Employment for any reason during the RSU Restriction Period or before the applicable Performance Goals are satisfied, all Restricted Stock Units still subject to restriction shall be forfeited by such Participant; provided, however, that subject to Section 11(b), the Committee shall have the discretion to waive, in whole or in part, any or all remaining restrictions with respect to any or all of such Participant’s Restricted Stock Units; and; provided, further, upon a Participant’s Termination of Employment by reason of death, during the RSU Restriction Period or before the applicable Performance Goals are satisfied, all Restricted Stock Units shall immediately and automatically vest.</w:t>
      </w:r>
    </w:p>
    <w:p>
      <w:pPr>
        <w:spacing w:after="0" w:line="187" w:lineRule="exact"/>
        <w:rPr>
          <w:rFonts w:ascii="Arial" w:cs="Arial" w:eastAsia="Arial" w:hAnsi="Arial"/>
          <w:sz w:val="22"/>
          <w:szCs w:val="22"/>
          <w:color w:val="auto"/>
        </w:rPr>
      </w:pPr>
    </w:p>
    <w:p>
      <w:pPr>
        <w:ind w:left="860" w:right="220" w:firstLine="802"/>
        <w:spacing w:after="0" w:line="258" w:lineRule="auto"/>
        <w:tabs>
          <w:tab w:leader="none" w:pos="2555" w:val="left"/>
        </w:tabs>
        <w:numPr>
          <w:ilvl w:val="0"/>
          <w:numId w:val="60"/>
        </w:numPr>
        <w:rPr>
          <w:rFonts w:ascii="Arial" w:cs="Arial" w:eastAsia="Arial" w:hAnsi="Arial"/>
          <w:sz w:val="21"/>
          <w:szCs w:val="21"/>
          <w:color w:val="auto"/>
        </w:rPr>
      </w:pPr>
      <w:r>
        <w:rPr>
          <w:rFonts w:ascii="Arial" w:cs="Arial" w:eastAsia="Arial" w:hAnsi="Arial"/>
          <w:sz w:val="21"/>
          <w:szCs w:val="21"/>
          <w:color w:val="auto"/>
        </w:rPr>
        <w:t>Except to the extent otherwise provided in the applicable Award Agreement, an award of Restricted Stock Units shall be settled as and when the Restricted Stock Units vest (but in no event later than March 15 of the calendar year following the end of the calendar year in which the Restricted Stock Units vest).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8. OTHER STOCK-BASED AWARDS</w:t>
      </w:r>
    </w:p>
    <w:p>
      <w:pPr>
        <w:spacing w:after="0" w:line="212" w:lineRule="exact"/>
        <w:rPr>
          <w:sz w:val="20"/>
          <w:szCs w:val="20"/>
          <w:color w:val="auto"/>
        </w:rPr>
      </w:pPr>
    </w:p>
    <w:p>
      <w:pPr>
        <w:ind w:right="300" w:firstLine="859"/>
        <w:spacing w:after="0"/>
        <w:rPr>
          <w:sz w:val="20"/>
          <w:szCs w:val="20"/>
          <w:color w:val="auto"/>
        </w:rPr>
      </w:pPr>
      <w:r>
        <w:rPr>
          <w:rFonts w:ascii="Arial" w:cs="Arial" w:eastAsia="Arial" w:hAnsi="Arial"/>
          <w:sz w:val="22"/>
          <w:szCs w:val="22"/>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the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9. BONUS AWARDS</w:t>
      </w:r>
    </w:p>
    <w:p>
      <w:pPr>
        <w:spacing w:after="0" w:line="212" w:lineRule="exact"/>
        <w:rPr>
          <w:sz w:val="20"/>
          <w:szCs w:val="20"/>
          <w:color w:val="auto"/>
        </w:rPr>
      </w:pPr>
    </w:p>
    <w:p>
      <w:pPr>
        <w:ind w:right="20" w:firstLine="867"/>
        <w:spacing w:after="0" w:line="282" w:lineRule="auto"/>
        <w:tabs>
          <w:tab w:leader="none" w:pos="1747"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Determination of Awards. The Committee shall determine the total amount of Bonus Awards for each Plan Year or such shorter performance period as the Committee may establish in its sole discretion. Bonus amounts payable to any individual Participant with respect to a Plan Year will be limited to a maximum of $10 million. For performance periods that are shorter than a Plan Year, such $10 million maximum may be pro-rated to the extent provided by the Committee. Bonus Awards that are Qualified Performance-Based Awards shall be subject to the provisions of Section 11 of this Plan.</w:t>
      </w:r>
    </w:p>
    <w:p>
      <w:pPr>
        <w:spacing w:after="0" w:line="147" w:lineRule="exact"/>
        <w:rPr>
          <w:rFonts w:ascii="Arial" w:cs="Arial" w:eastAsia="Arial" w:hAnsi="Arial"/>
          <w:sz w:val="19"/>
          <w:szCs w:val="19"/>
          <w:color w:val="auto"/>
        </w:rPr>
      </w:pPr>
    </w:p>
    <w:p>
      <w:pPr>
        <w:ind w:right="60" w:firstLine="867"/>
        <w:spacing w:after="0" w:line="275" w:lineRule="auto"/>
        <w:tabs>
          <w:tab w:leader="none" w:pos="1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Payment of Awards. Bonus Awards under the Plan shall be paid in cash or in Shares (valued at Fair Market Value as of the date of payment) as determined by the Committee, as soon as practicable following the close of the Plan Year or such shorter performance period as the Committee may establish.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The Committee may at its option establish procedures pursuant to which Participants are permitted to defer the receipt of Bonus Awards payable hereunder. The Bonus Award to any Participant for any Plan Year or such shorter performance period may be reduced or eliminated by the Committee in its discretion.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10. CHANGE IN CONTROL PROVISIONS</w:t>
      </w:r>
    </w:p>
    <w:p>
      <w:pPr>
        <w:spacing w:after="0" w:line="212" w:lineRule="exact"/>
        <w:rPr>
          <w:sz w:val="20"/>
          <w:szCs w:val="20"/>
          <w:color w:val="auto"/>
        </w:rPr>
      </w:pPr>
    </w:p>
    <w:p>
      <w:pPr>
        <w:ind w:right="120" w:firstLine="867"/>
        <w:spacing w:after="0" w:line="251" w:lineRule="auto"/>
        <w:tabs>
          <w:tab w:leader="none" w:pos="1747"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Definition of Change in Control. Except as otherwise may be provided in an applicable Award Agreement, for purposes of the Plan, a “Change in Control” shall mean any 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the following events:</w:t>
      </w:r>
    </w:p>
    <w:p>
      <w:pPr>
        <w:spacing w:after="0" w:line="206" w:lineRule="exact"/>
        <w:rPr>
          <w:sz w:val="20"/>
          <w:szCs w:val="20"/>
          <w:color w:val="auto"/>
        </w:rPr>
      </w:pPr>
    </w:p>
    <w:p>
      <w:pPr>
        <w:ind w:left="860" w:right="20" w:firstLine="802"/>
        <w:spacing w:after="0" w:line="274" w:lineRule="auto"/>
        <w:tabs>
          <w:tab w:leader="none" w:pos="2506"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Exchange Act), other than Liberty TripAdvisor Holdings, Inc., and its Affiliates (a “Person”)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“Outstanding Company Voting Securities”); provided, however, that for purposes of this subsection (i), the following acquisitions shall not constitute a Change in Control: (A) any acquisition by the Company, (B) any acquisition directly from the Company, (C) any acquisition by any employee benefit plan (or related trust) sponsored or maintained by the Company or any corporation controlled by the Company, or (D) any acquisition pursuant to a transaction which complies with clauses (A), (B) and (C) of subsection (iii); or</w:t>
      </w:r>
    </w:p>
    <w:p>
      <w:pPr>
        <w:spacing w:after="0" w:line="158" w:lineRule="exact"/>
        <w:rPr>
          <w:rFonts w:ascii="Arial" w:cs="Arial" w:eastAsia="Arial" w:hAnsi="Arial"/>
          <w:sz w:val="19"/>
          <w:szCs w:val="19"/>
          <w:color w:val="auto"/>
        </w:rPr>
      </w:pPr>
    </w:p>
    <w:p>
      <w:pPr>
        <w:ind w:left="860" w:firstLine="802"/>
        <w:spacing w:after="0" w:line="234" w:lineRule="auto"/>
        <w:tabs>
          <w:tab w:leader="none" w:pos="2567"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7" w:lineRule="exact"/>
        <w:rPr>
          <w:rFonts w:ascii="Arial" w:cs="Arial" w:eastAsia="Arial" w:hAnsi="Arial"/>
          <w:sz w:val="22"/>
          <w:szCs w:val="22"/>
          <w:color w:val="auto"/>
        </w:rPr>
      </w:pPr>
    </w:p>
    <w:p>
      <w:pPr>
        <w:ind w:left="860" w:firstLine="802"/>
        <w:spacing w:after="0" w:line="270" w:lineRule="auto"/>
        <w:tabs>
          <w:tab w:leader="none" w:pos="2627" w:val="left"/>
        </w:tabs>
        <w:numPr>
          <w:ilvl w:val="0"/>
          <w:numId w:val="63"/>
        </w:numPr>
        <w:rPr>
          <w:rFonts w:ascii="Arial" w:cs="Arial" w:eastAsia="Arial" w:hAnsi="Arial"/>
          <w:sz w:val="19"/>
          <w:szCs w:val="19"/>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or the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Liberty TripAdvisor Holdings, Inc., and its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8" w:right="279" w:bottom="1440" w:gutter="0" w:footer="0" w:header="0"/>
        </w:sectPr>
      </w:pPr>
    </w:p>
    <w:bookmarkStart w:id="76" w:name="page77"/>
    <w:bookmarkEnd w:id="76"/>
    <w:p>
      <w:pPr>
        <w:ind w:left="2540" w:hanging="958"/>
        <w:spacing w:after="0"/>
        <w:tabs>
          <w:tab w:leader="none" w:pos="2540" w:val="left"/>
        </w:tabs>
        <w:numPr>
          <w:ilvl w:val="1"/>
          <w:numId w:val="64"/>
        </w:numPr>
        <w:rPr>
          <w:rFonts w:ascii="Arial" w:cs="Arial" w:eastAsia="Arial" w:hAnsi="Arial"/>
          <w:sz w:val="21"/>
          <w:szCs w:val="21"/>
          <w:color w:val="auto"/>
        </w:rPr>
      </w:pPr>
      <w:r>
        <w:rPr>
          <w:rFonts w:ascii="Arial" w:cs="Arial" w:eastAsia="Arial" w:hAnsi="Arial"/>
          <w:sz w:val="21"/>
          <w:szCs w:val="21"/>
          <w:color w:val="auto"/>
        </w:rPr>
        <w:t>Approval by the stockholders of the Company of a complete liquidation or dissolution of the</w:t>
      </w:r>
    </w:p>
    <w:p>
      <w:pPr>
        <w:spacing w:after="0" w:line="19" w:lineRule="exact"/>
        <w:rPr>
          <w:rFonts w:ascii="Arial" w:cs="Arial" w:eastAsia="Arial" w:hAnsi="Arial"/>
          <w:sz w:val="21"/>
          <w:szCs w:val="21"/>
          <w:color w:val="auto"/>
        </w:rPr>
      </w:pPr>
    </w:p>
    <w:p>
      <w:pPr>
        <w:ind w:left="780"/>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88" w:lineRule="exact"/>
        <w:rPr>
          <w:rFonts w:ascii="Arial" w:cs="Arial" w:eastAsia="Arial" w:hAnsi="Arial"/>
          <w:sz w:val="21"/>
          <w:szCs w:val="21"/>
          <w:color w:val="auto"/>
        </w:rPr>
      </w:pPr>
    </w:p>
    <w:p>
      <w:pPr>
        <w:ind w:left="-80" w:right="120" w:firstLine="867"/>
        <w:spacing w:after="0" w:line="236" w:lineRule="auto"/>
        <w:tabs>
          <w:tab w:leader="none" w:pos="16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Impact of Event/Double Trigger. Unless otherwise provided in the applicable Award Agreement, subject to Sections 3(d), 10(d) and 14(k), and with respect to Adjusted Awards only, to the extent specified in an Award Agreement, notwithstanding any other provision of this Plan to the contrary, upon a Participant’s Termination of Employment, during the two-year period following a Change in Control, by the Company other than for Cause or Disability or by the Participant for Good Reason (as defined below):</w:t>
      </w:r>
    </w:p>
    <w:p>
      <w:pPr>
        <w:spacing w:after="0" w:line="187" w:lineRule="exact"/>
        <w:rPr>
          <w:rFonts w:ascii="Arial" w:cs="Arial" w:eastAsia="Arial" w:hAnsi="Arial"/>
          <w:sz w:val="22"/>
          <w:szCs w:val="22"/>
          <w:color w:val="auto"/>
        </w:rPr>
      </w:pPr>
    </w:p>
    <w:p>
      <w:pPr>
        <w:ind w:left="780" w:firstLine="802"/>
        <w:spacing w:after="0" w:line="248" w:lineRule="auto"/>
        <w:tabs>
          <w:tab w:leader="none" w:pos="2426" w:val="left"/>
        </w:tabs>
        <w:numPr>
          <w:ilvl w:val="1"/>
          <w:numId w:val="65"/>
        </w:numPr>
        <w:rPr>
          <w:rFonts w:ascii="Arial" w:cs="Arial" w:eastAsia="Arial" w:hAnsi="Arial"/>
          <w:sz w:val="21"/>
          <w:szCs w:val="21"/>
          <w:color w:val="auto"/>
        </w:rPr>
      </w:pPr>
      <w:r>
        <w:rPr>
          <w:rFonts w:ascii="Arial" w:cs="Arial" w:eastAsia="Arial" w:hAnsi="Arial"/>
          <w:sz w:val="21"/>
          <w:szCs w:val="21"/>
          <w:color w:val="auto"/>
        </w:rPr>
        <w:t>any Options and Stock Appreciation Rights outstanding as of such Termination of Employment which were outstanding as of the date of such Change in Control (including any Options and Stock Appreciation Rights that became vested pursuant to Section 10(a)) shall be fully exercisable and vested and shall remain exercisable until the later of (i) the last date on which such Option or Stock Appreciation Right would be exercisable in the absence of this Section 10(c) and (ii) the earlier of (A) the first anniversary of such Change in Control and (B) expiration of the Term of such Option or Stock Appreciation Right;</w:t>
      </w:r>
    </w:p>
    <w:p>
      <w:pPr>
        <w:spacing w:after="0" w:line="177" w:lineRule="exact"/>
        <w:rPr>
          <w:rFonts w:ascii="Arial" w:cs="Arial" w:eastAsia="Arial" w:hAnsi="Arial"/>
          <w:sz w:val="21"/>
          <w:szCs w:val="21"/>
          <w:color w:val="auto"/>
        </w:rPr>
      </w:pPr>
    </w:p>
    <w:p>
      <w:pPr>
        <w:ind w:left="780" w:right="20" w:firstLine="802"/>
        <w:spacing w:after="0" w:line="328" w:lineRule="auto"/>
        <w:tabs>
          <w:tab w:leader="none" w:pos="2487" w:val="left"/>
        </w:tabs>
        <w:numPr>
          <w:ilvl w:val="1"/>
          <w:numId w:val="65"/>
        </w:numPr>
        <w:rPr>
          <w:rFonts w:ascii="Arial" w:cs="Arial" w:eastAsia="Arial" w:hAnsi="Arial"/>
          <w:sz w:val="19"/>
          <w:szCs w:val="19"/>
          <w:color w:val="auto"/>
        </w:rPr>
      </w:pPr>
      <w:r>
        <w:rPr>
          <w:rFonts w:ascii="Arial" w:cs="Arial" w:eastAsia="Arial" w:hAnsi="Arial"/>
          <w:sz w:val="19"/>
          <w:szCs w:val="19"/>
          <w:color w:val="auto"/>
        </w:rPr>
        <w:t>all Restricted Stock outstanding as of such Termination of Employment which were outstanding as of the date of such Change in Control shall become free of all restrictions and become fully vested and transferable; and</w:t>
      </w:r>
    </w:p>
    <w:p>
      <w:pPr>
        <w:spacing w:after="0" w:line="105" w:lineRule="exact"/>
        <w:rPr>
          <w:rFonts w:ascii="Arial" w:cs="Arial" w:eastAsia="Arial" w:hAnsi="Arial"/>
          <w:sz w:val="19"/>
          <w:szCs w:val="19"/>
          <w:color w:val="auto"/>
        </w:rPr>
      </w:pPr>
    </w:p>
    <w:p>
      <w:pPr>
        <w:ind w:left="780" w:right="40" w:firstLine="802"/>
        <w:spacing w:after="0" w:line="287" w:lineRule="auto"/>
        <w:tabs>
          <w:tab w:leader="none" w:pos="2547" w:val="left"/>
        </w:tabs>
        <w:numPr>
          <w:ilvl w:val="1"/>
          <w:numId w:val="65"/>
        </w:numPr>
        <w:rPr>
          <w:rFonts w:ascii="Arial" w:cs="Arial" w:eastAsia="Arial" w:hAnsi="Arial"/>
          <w:sz w:val="19"/>
          <w:szCs w:val="19"/>
          <w:color w:val="auto"/>
        </w:rPr>
      </w:pPr>
      <w:r>
        <w:rPr>
          <w:rFonts w:ascii="Arial" w:cs="Arial" w:eastAsia="Arial" w:hAnsi="Arial"/>
          <w:sz w:val="19"/>
          <w:szCs w:val="19"/>
          <w:color w:val="auto"/>
        </w:rPr>
        <w:t>all Restricted Stock Units outstanding as of such Termination of Employment which were outstanding as of the date of such Change in Control shall be considered to be earned and payable in full, and any restrictions shall lapse and such Restricted Stock Units shall be settled as promptly as is practicable (but in no event later than March 15 of the calendar year following the end of the calendar year in which the Restricted Stock Units vest).</w:t>
      </w:r>
    </w:p>
    <w:p>
      <w:pPr>
        <w:spacing w:after="0" w:line="143" w:lineRule="exact"/>
        <w:rPr>
          <w:rFonts w:ascii="Arial" w:cs="Arial" w:eastAsia="Arial" w:hAnsi="Arial"/>
          <w:sz w:val="19"/>
          <w:szCs w:val="19"/>
          <w:color w:val="auto"/>
        </w:rPr>
      </w:pPr>
    </w:p>
    <w:p>
      <w:pPr>
        <w:ind w:left="-80" w:right="20" w:firstLine="867"/>
        <w:spacing w:after="0" w:line="272" w:lineRule="auto"/>
        <w:tabs>
          <w:tab w:leader="none" w:pos="1667" w:val="left"/>
        </w:tabs>
        <w:numPr>
          <w:ilvl w:val="0"/>
          <w:numId w:val="65"/>
        </w:numPr>
        <w:rPr>
          <w:rFonts w:ascii="Arial" w:cs="Arial" w:eastAsia="Arial" w:hAnsi="Arial"/>
          <w:sz w:val="19"/>
          <w:szCs w:val="19"/>
          <w:color w:val="auto"/>
        </w:rPr>
      </w:pPr>
      <w:r>
        <w:rPr>
          <w:rFonts w:ascii="Arial" w:cs="Arial" w:eastAsia="Arial" w:hAnsi="Arial"/>
          <w:sz w:val="19"/>
          <w:szCs w:val="19"/>
          <w:color w:val="auto"/>
        </w:rPr>
        <w:t>For purposes of this Section 10, “Good Reason” means (i) “Good Reason” as defined in any Individual Agreement or Award Agreement to which the applicable Participant is a party, or (ii) if there is no such Individual Agreement or if it does not define Good Reason, without the Participant’s prior written consent: (A) a material reduction in the Participant’s rate of annual base salary from the rate of annual base salary in effect for such Participant immediately prior to the Change in Control, (B) a relocation of the Participant’s principal place of business more than 35 miles from the city in which such Participant’s principal place of business was located immediately prior to the Change in Control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“Cure Period”)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203835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347" w:right="299" w:bottom="1440" w:gutter="0" w:footer="0" w:header="0"/>
        </w:sectPr>
      </w:pPr>
    </w:p>
    <w:bookmarkStart w:id="77" w:name="page78"/>
    <w:bookmarkEnd w:id="77"/>
    <w:p>
      <w:pPr>
        <w:ind w:firstLine="867"/>
        <w:spacing w:after="0" w:line="251" w:lineRule="auto"/>
        <w:tabs>
          <w:tab w:leader="none" w:pos="1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Notwithstanding the foregoing, if any Award is subject to Section 409A of the Code, this Section 10 shall be applicable only to the extent specifically provided in the Award Agreement or in the Individual Agreement.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11. QUALIFIED PERFORMANCE-BASED AWARDS; SECTION 16(b)</w:t>
      </w:r>
    </w:p>
    <w:p>
      <w:pPr>
        <w:spacing w:after="0" w:line="212" w:lineRule="exact"/>
        <w:rPr>
          <w:sz w:val="20"/>
          <w:szCs w:val="20"/>
          <w:color w:val="auto"/>
        </w:rPr>
      </w:pPr>
    </w:p>
    <w:p>
      <w:pPr>
        <w:ind w:right="20" w:firstLine="867"/>
        <w:spacing w:after="0" w:line="272" w:lineRule="auto"/>
        <w:tabs>
          <w:tab w:leader="none" w:pos="1747"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provisions of this Plan are intended to ensure that all Options and Stock Appreciation Rights granted hereunder to any Participant who is or may be a “covered employee” (within the meaning of Section 162(m)(3) of the Code) in the tax year in which such Option or Stock Appreciation Right is expected to be deductible to the Company qualify for the Section 162(m) Exemption, and all such Awards shall therefore be considered Qualified Performance-Based Awards and this Plan shall be interpreted and operated consistent with that intention (including, without limitation, to require that all such Awards be granted by a committee composed solely of members who satisfy the requirements for being “outside directors” for purposes of the Section 162(m) Exemption (“Outside Directors”)). When granting any Award other than an Option or Stock Appreciation Right, the Committee may designate such Award as a Qualified Performance-Based Award, based upon a determination that (i) the recipient is or may be a “covered employee” (within the meaning of Section 162(m)(3) of the Code) with respect to such Award, and (ii) the Committee wishes such Award to qualify for the Section 162(m) Exemption, and the terms of any such Award (and of the grant thereof) shall be consistent with such designation (including, without limitation, that all such Awards be granted by a committee composed solely of Outside Directors).</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firstLine="867"/>
        <w:spacing w:after="0" w:line="273" w:lineRule="auto"/>
        <w:tabs>
          <w:tab w:leader="none" w:pos="17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Qualified Performance-Based Award (other than an Option or Stock Appreciation Right) shall be earned, vested and payable (as applicable) only upon the achievement of one or more Performance Goals, together with the satisfaction of any other conditions, such as continued employment, as the Committee may determine to be appropriate, and no Qualified Performance-Based Award may be amended, nor may the Committee exercise any discretionary authority it may otherwise have under this Plan with respect to a Qualified Performance-Based Award under this Plan, in any manner that would cause the Qualified Performance-Based Award to cease to qualify for the Section 162(m) Exemption; provided, however, that (i) the Committee may provide, either in connection with the grant of the applicable Award or by amendment thereafter, that achievement of such Performance Goals will be waived upon the death or Disability of the Participant or under any other circumstance with respect to which the existence of such possible waiver will not cause the Award to fail to qualify for the Section 162(m) Exemption as of the Grant Date, and (ii) the provisions of Section 10 shall apply notwithstanding this Section 11(b).</w:t>
      </w:r>
    </w:p>
    <w:p>
      <w:pPr>
        <w:spacing w:after="0" w:line="161" w:lineRule="exact"/>
        <w:rPr>
          <w:rFonts w:ascii="Arial" w:cs="Arial" w:eastAsia="Arial" w:hAnsi="Arial"/>
          <w:sz w:val="19"/>
          <w:szCs w:val="19"/>
          <w:color w:val="auto"/>
        </w:rPr>
      </w:pPr>
    </w:p>
    <w:p>
      <w:pPr>
        <w:ind w:right="60" w:firstLine="867"/>
        <w:spacing w:after="0"/>
        <w:tabs>
          <w:tab w:leader="none" w:pos="1747"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full Board shall not be permitted to exercise authority granted to the Committee to the extent that the grant or exercise of such authority would cause an Award designated as a Qualified Performance-Based Award not to qualify for, or to cease to qualify for, the Section 162(m) Exemption.</w:t>
      </w:r>
    </w:p>
    <w:p>
      <w:pPr>
        <w:spacing w:after="0" w:line="186" w:lineRule="exact"/>
        <w:rPr>
          <w:rFonts w:ascii="Arial" w:cs="Arial" w:eastAsia="Arial" w:hAnsi="Arial"/>
          <w:sz w:val="22"/>
          <w:szCs w:val="22"/>
          <w:color w:val="auto"/>
        </w:rPr>
      </w:pPr>
    </w:p>
    <w:p>
      <w:pPr>
        <w:ind w:right="160" w:firstLine="867"/>
        <w:spacing w:after="0" w:line="235" w:lineRule="auto"/>
        <w:tabs>
          <w:tab w:leader="none" w:pos="17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provisions of this Plan are intended to ensure that no transaction under the Plan is subject to (and all such transactions will be exempt from) the short-swing recovery rules of Section 16(b) of the Exchange Act (“Section 16(b)”).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from) Section 16(b).</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TERM, AMENDMENT AND TERMINATION</w:t>
      </w:r>
    </w:p>
    <w:p>
      <w:pPr>
        <w:spacing w:after="0" w:line="212" w:lineRule="exact"/>
        <w:rPr>
          <w:sz w:val="20"/>
          <w:szCs w:val="20"/>
          <w:color w:val="auto"/>
        </w:rPr>
      </w:pPr>
    </w:p>
    <w:p>
      <w:pPr>
        <w:ind w:left="1760" w:hanging="893"/>
        <w:spacing w:after="0"/>
        <w:tabs>
          <w:tab w:leader="none" w:pos="17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Effectiveness. The Plan shall be effective as of December 20, 2011 (the “Effective Date”).</w:t>
      </w:r>
    </w:p>
    <w:p>
      <w:pPr>
        <w:spacing w:after="0" w:line="206" w:lineRule="exact"/>
        <w:rPr>
          <w:rFonts w:ascii="Arial" w:cs="Arial" w:eastAsia="Arial" w:hAnsi="Arial"/>
          <w:sz w:val="22"/>
          <w:szCs w:val="22"/>
          <w:color w:val="auto"/>
        </w:rPr>
      </w:pPr>
    </w:p>
    <w:p>
      <w:pPr>
        <w:ind w:right="120" w:firstLine="867"/>
        <w:spacing w:after="0" w:line="251" w:lineRule="auto"/>
        <w:tabs>
          <w:tab w:leader="none" w:pos="17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Termination. The Plan will terminate on the tenth anniversary of the Effective Date. Awards outstanding as of such date shall not be affected or impaired by the termination of the Plan.</w:t>
      </w:r>
    </w:p>
    <w:p>
      <w:pPr>
        <w:spacing w:after="0" w:line="173" w:lineRule="exact"/>
        <w:rPr>
          <w:rFonts w:ascii="Arial" w:cs="Arial" w:eastAsia="Arial" w:hAnsi="Arial"/>
          <w:sz w:val="22"/>
          <w:szCs w:val="22"/>
          <w:color w:val="auto"/>
        </w:rPr>
      </w:pPr>
    </w:p>
    <w:p>
      <w:pPr>
        <w:ind w:right="320" w:firstLine="867"/>
        <w:spacing w:after="0" w:line="235" w:lineRule="auto"/>
        <w:tabs>
          <w:tab w:leader="none" w:pos="1747" w:val="left"/>
        </w:tabs>
        <w:numPr>
          <w:ilvl w:val="0"/>
          <w:numId w:val="68"/>
        </w:numPr>
        <w:rPr>
          <w:rFonts w:ascii="Arial" w:cs="Arial" w:eastAsia="Arial" w:hAnsi="Arial"/>
          <w:sz w:val="22"/>
          <w:szCs w:val="22"/>
          <w:color w:val="auto"/>
        </w:rPr>
      </w:pPr>
      <w:r>
        <w:rPr>
          <w:rFonts w:ascii="Arial" w:cs="Arial" w:eastAsia="Arial" w:hAnsi="Arial"/>
          <w:sz w:val="22"/>
          <w:szCs w:val="22"/>
          <w:color w:val="auto"/>
        </w:rPr>
        <w:t>Amendment of Plan. The Board may amend, alter, or discontinue the Plan, but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w:t>
      </w:r>
    </w:p>
    <w:p>
      <w:pPr>
        <w:spacing w:after="0" w:line="188" w:lineRule="exact"/>
        <w:rPr>
          <w:rFonts w:ascii="Arial" w:cs="Arial" w:eastAsia="Arial" w:hAnsi="Arial"/>
          <w:sz w:val="22"/>
          <w:szCs w:val="22"/>
          <w:color w:val="auto"/>
        </w:rPr>
      </w:pPr>
    </w:p>
    <w:p>
      <w:pPr>
        <w:ind w:right="480" w:firstLine="867"/>
        <w:spacing w:after="0" w:line="287" w:lineRule="auto"/>
        <w:tabs>
          <w:tab w:leader="none" w:pos="17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Amendment of Awards. Subject to Section 5(d), the Committee may unilaterally amend the terms of any Award theretofore granted, prospectively or retroactively, but no such amendment shall, without the Participant’s consent, materially impair the rights of any Participant with respect to an Award, except such an amendment made to cause the Plan or Award to comply with applicable law, stock exchange rules or accounting rules.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13. UNFUNDED STATUS OF PLAN</w:t>
      </w:r>
    </w:p>
    <w:p>
      <w:pPr>
        <w:spacing w:after="0" w:line="212" w:lineRule="exact"/>
        <w:rPr>
          <w:sz w:val="20"/>
          <w:szCs w:val="20"/>
          <w:color w:val="auto"/>
        </w:rPr>
      </w:pPr>
    </w:p>
    <w:p>
      <w:pPr>
        <w:ind w:firstLine="859"/>
        <w:spacing w:after="0" w:line="246" w:lineRule="auto"/>
        <w:rPr>
          <w:sz w:val="20"/>
          <w:szCs w:val="20"/>
          <w:color w:val="auto"/>
        </w:rPr>
      </w:pPr>
      <w:r>
        <w:rPr>
          <w:rFonts w:ascii="Arial" w:cs="Arial" w:eastAsia="Arial" w:hAnsi="Arial"/>
          <w:sz w:val="21"/>
          <w:szCs w:val="21"/>
          <w:color w:val="auto"/>
        </w:rPr>
        <w:t xml:space="preserve">It is presently intended that the Plan constitute an “unfunded” plan. Solely to the extent permitted under Section 409A, the Committee may authorize the creation of trusts or other arrangements to meet the obligations created under the Plan to deliver Common Stock or make payments;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existence of such trusts or other arrangements is consistent with the “unfunded” status of the Plan. Notwithstanding any other provision of this 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SECTION 14. GENERAL PROVISIONS</w:t>
      </w:r>
    </w:p>
    <w:p>
      <w:pPr>
        <w:spacing w:after="0" w:line="212" w:lineRule="exact"/>
        <w:rPr>
          <w:sz w:val="20"/>
          <w:szCs w:val="20"/>
          <w:color w:val="auto"/>
        </w:rPr>
      </w:pPr>
    </w:p>
    <w:p>
      <w:pPr>
        <w:ind w:firstLine="867"/>
        <w:spacing w:after="0" w:line="275" w:lineRule="auto"/>
        <w:tabs>
          <w:tab w:leader="none" w:pos="1747"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Conditions for Issuance.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the Plan or agreements made pursuant thereto, the Company shall not be required to issue or deliver any certificate or certificates for Shares under the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8" w:right="299" w:bottom="1440" w:gutter="0" w:footer="0" w:header="0"/>
        </w:sectPr>
      </w:pPr>
    </w:p>
    <w:bookmarkStart w:id="79" w:name="page80"/>
    <w:bookmarkEnd w:id="79"/>
    <w:p>
      <w:pPr>
        <w:jc w:val="both"/>
        <w:ind w:right="280"/>
        <w:spacing w:after="0" w:line="258" w:lineRule="auto"/>
        <w:rPr>
          <w:sz w:val="20"/>
          <w:szCs w:val="20"/>
          <w:color w:val="auto"/>
        </w:rPr>
      </w:pPr>
      <w:r>
        <w:rPr>
          <w:rFonts w:ascii="Arial" w:cs="Arial" w:eastAsia="Arial" w:hAnsi="Arial"/>
          <w:sz w:val="21"/>
          <w:szCs w:val="21"/>
          <w:color w:val="auto"/>
        </w:rPr>
        <w:t>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67" w:lineRule="exact"/>
        <w:rPr>
          <w:sz w:val="20"/>
          <w:szCs w:val="20"/>
          <w:color w:val="auto"/>
        </w:rPr>
      </w:pPr>
    </w:p>
    <w:p>
      <w:pPr>
        <w:ind w:right="460" w:firstLine="867"/>
        <w:spacing w:after="0" w:line="274" w:lineRule="auto"/>
        <w:tabs>
          <w:tab w:leader="none" w:pos="17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Additional Compensation Arrangements. Nothing contained in the Plan shall prevent the Company or any Subsidiary or Affiliate from adopting other or additional compensation arrangements for its employees.</w:t>
      </w:r>
    </w:p>
    <w:p>
      <w:pPr>
        <w:spacing w:after="0" w:line="150" w:lineRule="exact"/>
        <w:rPr>
          <w:rFonts w:ascii="Arial" w:cs="Arial" w:eastAsia="Arial" w:hAnsi="Arial"/>
          <w:sz w:val="21"/>
          <w:szCs w:val="21"/>
          <w:color w:val="auto"/>
        </w:rPr>
      </w:pPr>
    </w:p>
    <w:p>
      <w:pPr>
        <w:ind w:right="120" w:firstLine="867"/>
        <w:spacing w:after="0" w:line="258" w:lineRule="auto"/>
        <w:tabs>
          <w:tab w:leader="none" w:pos="1747" w:val="left"/>
        </w:tabs>
        <w:numPr>
          <w:ilvl w:val="0"/>
          <w:numId w:val="70"/>
        </w:numPr>
        <w:rPr>
          <w:rFonts w:ascii="Arial" w:cs="Arial" w:eastAsia="Arial" w:hAnsi="Arial"/>
          <w:sz w:val="21"/>
          <w:szCs w:val="21"/>
          <w:color w:val="auto"/>
        </w:rPr>
      </w:pPr>
      <w:r>
        <w:rPr>
          <w:rFonts w:ascii="Arial" w:cs="Arial" w:eastAsia="Arial" w:hAnsi="Arial"/>
          <w:sz w:val="21"/>
          <w:szCs w:val="21"/>
          <w:color w:val="auto"/>
        </w:rPr>
        <w:t>No Contract of Employment. The Plan shall not constitute a contract of employment, and adoption of the Plan shall not confer upon any employee any right to continued employment, nor shall it interfere in any way with the right of the Company or any Subsidiary or Affiliate to terminate the employment of any employee at any time.</w:t>
      </w:r>
    </w:p>
    <w:p>
      <w:pPr>
        <w:spacing w:after="0" w:line="166" w:lineRule="exact"/>
        <w:rPr>
          <w:rFonts w:ascii="Arial" w:cs="Arial" w:eastAsia="Arial" w:hAnsi="Arial"/>
          <w:sz w:val="21"/>
          <w:szCs w:val="21"/>
          <w:color w:val="auto"/>
        </w:rPr>
      </w:pPr>
    </w:p>
    <w:p>
      <w:pPr>
        <w:ind w:right="20" w:firstLine="867"/>
        <w:spacing w:after="0" w:line="274" w:lineRule="auto"/>
        <w:tabs>
          <w:tab w:leader="none" w:pos="17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Required Taxes. No later than the date as of which an amount first becomes includible in the gross income of a Participant for federal, state, local or foreign income or employment or other tax purposes with respect to any Award under the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The obligations of the Company under the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58" w:lineRule="exact"/>
        <w:rPr>
          <w:rFonts w:ascii="Arial" w:cs="Arial" w:eastAsia="Arial" w:hAnsi="Arial"/>
          <w:sz w:val="19"/>
          <w:szCs w:val="19"/>
          <w:color w:val="auto"/>
        </w:rPr>
      </w:pPr>
    </w:p>
    <w:p>
      <w:pPr>
        <w:ind w:right="80" w:firstLine="867"/>
        <w:spacing w:after="0" w:line="246" w:lineRule="auto"/>
        <w:tabs>
          <w:tab w:leader="none" w:pos="1747" w:val="left"/>
        </w:tabs>
        <w:numPr>
          <w:ilvl w:val="0"/>
          <w:numId w:val="70"/>
        </w:numPr>
        <w:rPr>
          <w:rFonts w:ascii="Arial" w:cs="Arial" w:eastAsia="Arial" w:hAnsi="Arial"/>
          <w:sz w:val="21"/>
          <w:szCs w:val="21"/>
          <w:color w:val="auto"/>
        </w:rPr>
      </w:pPr>
      <w:r>
        <w:rPr>
          <w:rFonts w:ascii="Arial" w:cs="Arial" w:eastAsia="Arial" w:hAnsi="Arial"/>
          <w:sz w:val="21"/>
          <w:szCs w:val="21"/>
          <w:color w:val="auto"/>
        </w:rPr>
        <w:t>Limitation on Dividend Reinvestment and Dividend Equivalents. Reinvestment of dividends in additional Restricted Stock at the time of any dividend payment, and the payment of Shares with respect to dividends to Participants holding Awards of Restricted Stock Units, shall only be permissible if sufficient Shares are available under Section 3 for such reinvestment or payment (taking into account then outstanding Awards). In the event that sufficient Shares are not available for such reinvestment or payment, such reinvestment or payment shall be made in the form of a grant of Restricted Stock Units equal in number to the Shares that would have been obtained by such payment or reinvestment, the terms of which Restricted Stock Units shall provide for settlement in cash and for dividend equivalent reinvestment in further Restricted Stock Units on the terms contemplated by this Section 14(e).</w:t>
      </w:r>
    </w:p>
    <w:p>
      <w:pPr>
        <w:spacing w:after="0" w:line="180" w:lineRule="exact"/>
        <w:rPr>
          <w:rFonts w:ascii="Arial" w:cs="Arial" w:eastAsia="Arial" w:hAnsi="Arial"/>
          <w:sz w:val="21"/>
          <w:szCs w:val="21"/>
          <w:color w:val="auto"/>
        </w:rPr>
      </w:pPr>
    </w:p>
    <w:p>
      <w:pPr>
        <w:ind w:right="40" w:firstLine="867"/>
        <w:spacing w:after="0" w:line="258" w:lineRule="auto"/>
        <w:tabs>
          <w:tab w:leader="none" w:pos="1723" w:val="left"/>
        </w:tabs>
        <w:numPr>
          <w:ilvl w:val="0"/>
          <w:numId w:val="70"/>
        </w:numPr>
        <w:rPr>
          <w:rFonts w:ascii="Arial" w:cs="Arial" w:eastAsia="Arial" w:hAnsi="Arial"/>
          <w:sz w:val="21"/>
          <w:szCs w:val="21"/>
          <w:color w:val="auto"/>
        </w:rPr>
      </w:pPr>
      <w:r>
        <w:rPr>
          <w:rFonts w:ascii="Arial" w:cs="Arial" w:eastAsia="Arial" w:hAnsi="Arial"/>
          <w:sz w:val="21"/>
          <w:szCs w:val="21"/>
          <w:color w:val="auto"/>
        </w:rPr>
        <w:t>Designation of Death Beneficiary. The Committee shall establish such procedures as it deems appropriate for a Participant to designate a beneficiary to whom any amounts payable in the event of such Participant’s death are to be paid or by whom any rights of such eligible Individual, after such Participant’s death, may be exercised.</w:t>
      </w:r>
    </w:p>
    <w:p>
      <w:pPr>
        <w:spacing w:after="0" w:line="166" w:lineRule="exact"/>
        <w:rPr>
          <w:rFonts w:ascii="Arial" w:cs="Arial" w:eastAsia="Arial" w:hAnsi="Arial"/>
          <w:sz w:val="21"/>
          <w:szCs w:val="21"/>
          <w:color w:val="auto"/>
        </w:rPr>
      </w:pPr>
    </w:p>
    <w:p>
      <w:pPr>
        <w:ind w:firstLine="867"/>
        <w:spacing w:after="0" w:line="236" w:lineRule="auto"/>
        <w:tabs>
          <w:tab w:leader="none" w:pos="17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Subsidiary Employees.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the Plan. All Shares underlying Awards that are forfeited or canceled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8" w:right="25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should revert to the Company.</w:t>
      </w:r>
    </w:p>
    <w:p>
      <w:pPr>
        <w:spacing w:after="0" w:line="206" w:lineRule="exact"/>
        <w:rPr>
          <w:sz w:val="20"/>
          <w:szCs w:val="20"/>
          <w:color w:val="auto"/>
        </w:rPr>
      </w:pPr>
    </w:p>
    <w:p>
      <w:pPr>
        <w:ind w:right="20" w:firstLine="867"/>
        <w:spacing w:after="0" w:line="258" w:lineRule="auto"/>
        <w:tabs>
          <w:tab w:leader="none" w:pos="1760" w:val="left"/>
        </w:tabs>
        <w:numPr>
          <w:ilvl w:val="0"/>
          <w:numId w:val="71"/>
        </w:numPr>
        <w:rPr>
          <w:rFonts w:ascii="Arial" w:cs="Arial" w:eastAsia="Arial" w:hAnsi="Arial"/>
          <w:sz w:val="21"/>
          <w:szCs w:val="21"/>
          <w:color w:val="auto"/>
        </w:rPr>
      </w:pPr>
      <w:r>
        <w:rPr>
          <w:rFonts w:ascii="Arial" w:cs="Arial" w:eastAsia="Arial" w:hAnsi="Arial"/>
          <w:sz w:val="21"/>
          <w:szCs w:val="21"/>
          <w:color w:val="auto"/>
        </w:rPr>
        <w:t>Governing Law and Interpretation. The Plan and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166" w:lineRule="exact"/>
        <w:rPr>
          <w:rFonts w:ascii="Arial" w:cs="Arial" w:eastAsia="Arial" w:hAnsi="Arial"/>
          <w:sz w:val="21"/>
          <w:szCs w:val="21"/>
          <w:color w:val="auto"/>
        </w:rPr>
      </w:pPr>
    </w:p>
    <w:p>
      <w:pPr>
        <w:ind w:right="140" w:firstLine="867"/>
        <w:spacing w:after="0" w:line="251" w:lineRule="auto"/>
        <w:tabs>
          <w:tab w:leader="none" w:pos="1711"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Non-Transferability. Except as otherwise provided in Section 5(j) or by the Committee, Awards under the Plan are not transferable except by will or by laws of descent and distribution.</w:t>
      </w:r>
    </w:p>
    <w:p>
      <w:pPr>
        <w:spacing w:after="0" w:line="173" w:lineRule="exact"/>
        <w:rPr>
          <w:rFonts w:ascii="Arial" w:cs="Arial" w:eastAsia="Arial" w:hAnsi="Arial"/>
          <w:sz w:val="22"/>
          <w:szCs w:val="22"/>
          <w:color w:val="auto"/>
        </w:rPr>
      </w:pPr>
    </w:p>
    <w:p>
      <w:pPr>
        <w:ind w:right="60" w:firstLine="867"/>
        <w:spacing w:after="0" w:line="277" w:lineRule="auto"/>
        <w:tabs>
          <w:tab w:leader="none" w:pos="1711"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Foreign Employees and Foreign Law Considerations.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legal or regulatory provisions.</w:t>
      </w:r>
    </w:p>
    <w:p>
      <w:pPr>
        <w:spacing w:after="0" w:line="152" w:lineRule="exact"/>
        <w:rPr>
          <w:rFonts w:ascii="Arial" w:cs="Arial" w:eastAsia="Arial" w:hAnsi="Arial"/>
          <w:sz w:val="19"/>
          <w:szCs w:val="19"/>
          <w:color w:val="auto"/>
        </w:rPr>
      </w:pPr>
    </w:p>
    <w:p>
      <w:pPr>
        <w:ind w:right="20" w:firstLine="867"/>
        <w:spacing w:after="0" w:line="272" w:lineRule="auto"/>
        <w:tabs>
          <w:tab w:leader="none" w:pos="17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Section 409A of the Code. It is the intention of the Company that no Award shall be “deferred compensation” subject to Section 409A of the Code, unless and to the extent that the Committee specifically determines otherwise as provided in this Section 14(k),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 Notwithstanding any other provision of the Plan to the contrary, with respect to any Award that constitutes a “nonqualified deferred compensation plan” subject to Section 409A of the Code, if the Participant is a “specified employee” within the meaning of Section 409A of the Code, any payments (whether in cash, Shares or other property) to be made with respect to the Award upon the Participant’s Termination of Employment shall be delayed until the earlier of (A) the first day of the seventh month following the Participant’s Termination of Employment and (B) the Participant’s death. Each payment under any Award shall be treated as a separate payment for purposes of Section 409A of the Code. In no event may a Participant, directly or indirectly, designate the calendar year of any payment to be made under any Award.</w:t>
      </w:r>
    </w:p>
    <w:p>
      <w:pPr>
        <w:spacing w:after="0" w:line="157" w:lineRule="exact"/>
        <w:rPr>
          <w:rFonts w:ascii="Arial" w:cs="Arial" w:eastAsia="Arial" w:hAnsi="Arial"/>
          <w:sz w:val="19"/>
          <w:szCs w:val="19"/>
          <w:color w:val="auto"/>
        </w:rPr>
      </w:pPr>
    </w:p>
    <w:p>
      <w:pPr>
        <w:ind w:firstLine="867"/>
        <w:spacing w:after="0" w:line="279" w:lineRule="auto"/>
        <w:tabs>
          <w:tab w:leader="none" w:pos="1711" w:val="left"/>
        </w:tabs>
        <w:numPr>
          <w:ilvl w:val="0"/>
          <w:numId w:val="71"/>
        </w:numPr>
        <w:rPr>
          <w:rFonts w:ascii="Arial" w:cs="Arial" w:eastAsia="Arial" w:hAnsi="Arial"/>
          <w:sz w:val="19"/>
          <w:szCs w:val="19"/>
          <w:color w:val="auto"/>
        </w:rPr>
      </w:pPr>
      <w:r>
        <w:rPr>
          <w:rFonts w:ascii="Arial" w:cs="Arial" w:eastAsia="Arial" w:hAnsi="Arial"/>
          <w:sz w:val="19"/>
          <w:szCs w:val="19"/>
          <w:color w:val="auto"/>
        </w:rPr>
        <w:t>Employee Matters Agreement. Notwithstanding anything in this Plan to the contrary, to the extent that the terms of this Plan are inconsistent with the terms of an Adjusted Award, the terms of the Adjusted Award shall be governed by the Employee Matters Agreement, the Expedia Long-Term Incentive Plan and the award agreement granted thereunder; provided, however, that in all events any reference to a “change in control,” “change of control” or similar definition in an Award Agreement or the applicable Expedia Long Term Incentive Plan for any such Adjusted Award shall be deemed to refer to a “change in control,” “change of control” or similar transaction with respect to the Company (as successor to the originally-referenced entity).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348"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2016,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2016,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November 8,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emdash "/>
      <w:numFmt w:val="bullet"/>
      <w:start w:val="1"/>
    </w:lvl>
  </w:abstractNum>
  <w:abstractNum w:abstractNumId="11">
    <w:nsid w:val="1D4ED43B"/>
    <w:multiLevelType w:val="hybridMultilevel"/>
    <w:lvl w:ilvl="0">
      <w:lvlJc w:val="left"/>
      <w:lvlText w:val="(%1)"/>
      <w:numFmt w:val="decimal"/>
      <w:start w:val="3"/>
    </w:lvl>
  </w:abstractNum>
  <w:abstractNum w:abstractNumId="12">
    <w:nsid w:val="725A06FB"/>
    <w:multiLevelType w:val="hybridMultilevel"/>
    <w:lvl w:ilvl="0">
      <w:lvlJc w:val="left"/>
      <w:lvlText w:val="(%1)"/>
      <w:numFmt w:val="decimal"/>
      <w:start w:val="5"/>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3"/>
    </w:lvl>
  </w:abstractNum>
  <w:abstractNum w:abstractNumId="21">
    <w:nsid w:val="32FFF902"/>
    <w:multiLevelType w:val="hybridMultilevel"/>
    <w:lvl w:ilvl="0">
      <w:lvlJc w:val="left"/>
      <w:lvlText w:val="(%1)"/>
      <w:numFmt w:val="decimal"/>
      <w:start w:val="5"/>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1"/>
      <w:numFmt w:val="lowerLetter"/>
      <w:start w:val="1"/>
    </w:lvl>
    <w:lvl w:ilvl="1">
      <w:lvlJc w:val="left"/>
      <w:lvlText w:val="(%2)"/>
      <w:numFmt w:val="lowerLetter"/>
      <w:start w:val="10"/>
    </w:lvl>
  </w:abstractNum>
  <w:abstractNum w:abstractNumId="35">
    <w:nsid w:val="649BB77C"/>
    <w:multiLevelType w:val="hybridMultilevel"/>
    <w:lvl w:ilvl="0">
      <w:lvlJc w:val="left"/>
      <w:lvlText w:val="(%1)"/>
      <w:numFmt w:val="lowerLetter"/>
      <w:start w:val="35"/>
    </w:lvl>
    <w:lvl w:ilvl="1">
      <w:lvlJc w:val="left"/>
      <w:lvlText w:val="(%2)"/>
      <w:numFmt w:val="lowerLetter"/>
      <w:start w:val="18"/>
    </w:lvl>
  </w:abstractNum>
  <w:abstractNum w:abstractNumId="36">
    <w:nsid w:val="275AC794"/>
    <w:multiLevelType w:val="hybridMultilevel"/>
    <w:lvl w:ilvl="0">
      <w:lvlJc w:val="left"/>
      <w:lvlText w:val="(%1)"/>
      <w:numFmt w:val="lowerLetter"/>
      <w:start w:val="21"/>
    </w:lvl>
  </w:abstractNum>
  <w:abstractNum w:abstractNumId="37">
    <w:nsid w:val="39386575"/>
    <w:multiLevelType w:val="hybridMultilevel"/>
    <w:lvl w:ilvl="0">
      <w:lvlJc w:val="left"/>
      <w:lvlText w:val="(%1)"/>
      <w:numFmt w:val="lowerLetter"/>
      <w:start w:val="22"/>
    </w:lvl>
  </w:abstractNum>
  <w:abstractNum w:abstractNumId="38">
    <w:nsid w:val="1CF10FD8"/>
    <w:multiLevelType w:val="hybridMultilevel"/>
    <w:lvl w:ilvl="0">
      <w:lvlJc w:val="left"/>
      <w:lvlText w:val="(%1)"/>
      <w:numFmt w:val="lowerLetter"/>
      <w:start w:val="27"/>
    </w:lvl>
  </w:abstractNum>
  <w:abstractNum w:abstractNumId="39">
    <w:nsid w:val="180115BE"/>
    <w:multiLevelType w:val="hybridMultilevel"/>
    <w:lvl w:ilvl="0">
      <w:lvlJc w:val="left"/>
      <w:lvlText w:val="(%1)"/>
      <w:numFmt w:val="lowerLetter"/>
      <w:start w:val="29"/>
    </w:lvl>
  </w:abstractNum>
  <w:abstractNum w:abstractNumId="40">
    <w:nsid w:val="235BA861"/>
    <w:multiLevelType w:val="hybridMultilevel"/>
    <w:lvl w:ilvl="0">
      <w:lvlJc w:val="left"/>
      <w:lvlText w:val="(%1)"/>
      <w:numFmt w:val="lowerLetter"/>
      <w:start w:val="34"/>
    </w:lvl>
  </w:abstractNum>
  <w:abstractNum w:abstractNumId="41">
    <w:nsid w:val="47398C89"/>
    <w:multiLevelType w:val="hybridMultilevel"/>
    <w:lvl w:ilvl="0">
      <w:lvlJc w:val="left"/>
      <w:lvlText w:val="(%1)"/>
      <w:numFmt w:val="lowerLetter"/>
      <w:start w:val="48"/>
    </w:lvl>
  </w:abstractNum>
  <w:abstractNum w:abstractNumId="42">
    <w:nsid w:val="354FE9F9"/>
    <w:multiLevelType w:val="hybridMultilevel"/>
    <w:lvl w:ilvl="0">
      <w:lvlJc w:val="left"/>
      <w:lvlText w:val="(%1)"/>
      <w:numFmt w:val="lowerLetter"/>
      <w:start w:val="1"/>
    </w:lvl>
    <w:lvl w:ilvl="1">
      <w:lvlJc w:val="left"/>
      <w:lvlText w:val="(%2)"/>
      <w:numFmt w:val="lowerRoman"/>
      <w:start w:val="1"/>
    </w:lvl>
  </w:abstractNum>
  <w:abstractNum w:abstractNumId="43">
    <w:nsid w:val="15B5AF5C"/>
    <w:multiLevelType w:val="hybridMultilevel"/>
    <w:lvl w:ilvl="0">
      <w:lvlJc w:val="left"/>
      <w:lvlText w:val="%1"/>
      <w:numFmt w:val="lowerLetter"/>
      <w:start w:val="1"/>
    </w:lvl>
    <w:lvl w:ilvl="1">
      <w:lvlJc w:val="left"/>
      <w:lvlText w:val="(%2)"/>
      <w:numFmt w:val="lowerRoman"/>
      <w:start w:val="6"/>
    </w:lvl>
  </w:abstractNum>
  <w:abstractNum w:abstractNumId="44">
    <w:nsid w:val="741226BB"/>
    <w:multiLevelType w:val="hybridMultilevel"/>
    <w:lvl w:ilvl="0">
      <w:lvlJc w:val="left"/>
      <w:lvlText w:val="(%1)"/>
      <w:numFmt w:val="lowerLetter"/>
      <w:start w:val="2"/>
    </w:lvl>
    <w:lvl w:ilvl="1">
      <w:lvlJc w:val="left"/>
      <w:lvlText w:val="(%2)"/>
      <w:numFmt w:val="lowerRoman"/>
      <w:start w:val="1"/>
    </w:lvl>
  </w:abstractNum>
  <w:abstractNum w:abstractNumId="45">
    <w:nsid w:val="D34B6A8"/>
    <w:multiLevelType w:val="hybridMultilevel"/>
    <w:lvl w:ilvl="0">
      <w:lvlJc w:val="left"/>
      <w:lvlText w:val="(%1)"/>
      <w:numFmt w:val="lowerLetter"/>
      <w:start w:val="1"/>
    </w:lvl>
    <w:lvl w:ilvl="1">
      <w:lvlJc w:val="left"/>
      <w:lvlText w:val="(%2)"/>
      <w:numFmt w:val="lowerRoman"/>
      <w:start w:val="1"/>
    </w:lvl>
  </w:abstractNum>
  <w:abstractNum w:abstractNumId="46">
    <w:nsid w:val="10233C99"/>
    <w:multiLevelType w:val="hybridMultilevel"/>
    <w:lvl w:ilvl="0">
      <w:lvlJc w:val="left"/>
      <w:lvlText w:val="(%1)"/>
      <w:numFmt w:val="lowerLetter"/>
      <w:start w:val="3"/>
    </w:lvl>
    <w:lvl w:ilvl="1">
      <w:lvlJc w:val="left"/>
      <w:lvlText w:val="(%2)"/>
      <w:numFmt w:val="lowerRoman"/>
      <w:start w:val="1"/>
    </w:lvl>
  </w:abstractNum>
  <w:abstractNum w:abstractNumId="47">
    <w:nsid w:val="3F6AB60F"/>
    <w:multiLevelType w:val="hybridMultilevel"/>
    <w:lvl w:ilvl="0">
      <w:lvlJc w:val="left"/>
      <w:lvlText w:val="%1"/>
      <w:numFmt w:val="lowerLetter"/>
      <w:start w:val="1"/>
    </w:lvl>
    <w:lvl w:ilvl="1">
      <w:lvlJc w:val="left"/>
      <w:lvlText w:val="(%2)"/>
      <w:numFmt w:val="lowerRoman"/>
      <w:start w:val="2"/>
    </w:lvl>
  </w:abstractNum>
  <w:abstractNum w:abstractNumId="48">
    <w:nsid w:val="61574095"/>
    <w:multiLevelType w:val="hybridMultilevel"/>
    <w:lvl w:ilvl="0">
      <w:lvlJc w:val="left"/>
      <w:lvlText w:val="(%1)"/>
      <w:numFmt w:val="lowerLetter"/>
      <w:start w:val="4"/>
    </w:lvl>
    <w:lvl w:ilvl="1">
      <w:lvlJc w:val="left"/>
      <w:lvlText w:val="(%2)"/>
      <w:numFmt w:val="lowerRoman"/>
      <w:start w:val="4"/>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lowerLetter"/>
      <w:start w:val="5"/>
    </w:lvl>
    <w:lvl w:ilvl="1">
      <w:lvlJc w:val="left"/>
      <w:lvlText w:val="(%2)"/>
      <w:numFmt w:val="lowerRoman"/>
      <w:start w:val="1"/>
    </w:lvl>
  </w:abstractNum>
  <w:abstractNum w:abstractNumId="51">
    <w:nsid w:val="579BE4F1"/>
    <w:multiLevelType w:val="hybridMultilevel"/>
    <w:lvl w:ilvl="0">
      <w:lvlJc w:val="left"/>
      <w:lvlText w:val="%1"/>
      <w:numFmt w:val="lowerLetter"/>
      <w:start w:val="1"/>
    </w:lvl>
    <w:lvl w:ilvl="1">
      <w:lvlJc w:val="left"/>
      <w:lvlText w:val="(%2)"/>
      <w:numFmt w:val="upperLetter"/>
      <w:start w:val="1"/>
    </w:lvl>
  </w:abstractNum>
  <w:abstractNum w:abstractNumId="52">
    <w:nsid w:val="310C50B3"/>
    <w:multiLevelType w:val="hybridMultilevel"/>
    <w:lvl w:ilvl="0">
      <w:lvlJc w:val="left"/>
      <w:lvlText w:val="(%1)"/>
      <w:numFmt w:val="lowerLetter"/>
      <w:start w:val="8"/>
    </w:lvl>
    <w:lvl w:ilvl="1">
      <w:lvlJc w:val="left"/>
      <w:lvlText w:val="%2"/>
      <w:numFmt w:val="upperLetter"/>
      <w:start w:val="1"/>
    </w:lvl>
  </w:abstractNum>
  <w:abstractNum w:abstractNumId="53">
    <w:nsid w:val="5FF87E05"/>
    <w:multiLevelType w:val="hybridMultilevel"/>
    <w:lvl w:ilvl="0">
      <w:lvlJc w:val="left"/>
      <w:lvlText w:val="(%1)"/>
      <w:numFmt w:val="lowerRoman"/>
      <w:start w:val="1"/>
    </w:lvl>
  </w:abstractNum>
  <w:abstractNum w:abstractNumId="54">
    <w:nsid w:val="2F305DEF"/>
    <w:multiLevelType w:val="hybridMultilevel"/>
    <w:lvl w:ilvl="0">
      <w:lvlJc w:val="left"/>
      <w:lvlText w:val="(%1)"/>
      <w:numFmt w:val="lowerLetter"/>
      <w:start w:val="10"/>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2"/>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1)"/>
      <w:numFmt w:val="lowerLetter"/>
      <w:start w:val="1"/>
    </w:lvl>
    <w:lvl w:ilvl="1">
      <w:lvlJc w:val="left"/>
      <w:lvlText w:val="(%2)"/>
      <w:numFmt w:val="lowerRoman"/>
      <w:start w:val="1"/>
    </w:lvl>
  </w:abstractNum>
  <w:abstractNum w:abstractNumId="59">
    <w:nsid w:val="1381823A"/>
    <w:multiLevelType w:val="hybridMultilevel"/>
    <w:lvl w:ilvl="0">
      <w:lvlJc w:val="left"/>
      <w:lvlText w:val="(%1)"/>
      <w:numFmt w:val="lowerRoman"/>
      <w:start w:val="4"/>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Roman"/>
      <w:start w:val="1"/>
    </w:lvl>
  </w:abstractNum>
  <w:abstractNum w:abstractNumId="63">
    <w:nsid w:val="15014ACB"/>
    <w:multiLevelType w:val="hybridMultilevel"/>
    <w:lvl w:ilvl="0">
      <w:lvlJc w:val="left"/>
      <w:lvlText w:val="%1"/>
      <w:numFmt w:val="lowerLetter"/>
      <w:start w:val="1"/>
    </w:lvl>
    <w:lvl w:ilvl="1">
      <w:lvlJc w:val="left"/>
      <w:lvlText w:val="(%2)"/>
      <w:numFmt w:val="lowerRoman"/>
      <w:start w:val="4"/>
    </w:lvl>
  </w:abstractNum>
  <w:abstractNum w:abstractNumId="64">
    <w:nsid w:val="5F5E7FD0"/>
    <w:multiLevelType w:val="hybridMultilevel"/>
    <w:lvl w:ilvl="0">
      <w:lvlJc w:val="left"/>
      <w:lvlText w:val="(%1)"/>
      <w:numFmt w:val="lowerLetter"/>
      <w:start w:val="2"/>
    </w:lvl>
    <w:lvl w:ilvl="1">
      <w:lvlJc w:val="left"/>
      <w:lvlText w:val="(%2)"/>
      <w:numFmt w:val="lowerRoman"/>
      <w:start w:val="1"/>
    </w:lvl>
  </w:abstractNum>
  <w:abstractNum w:abstractNumId="65">
    <w:nsid w:val="98A3148"/>
    <w:multiLevelType w:val="hybridMultilevel"/>
    <w:lvl w:ilvl="0">
      <w:lvlJc w:val="left"/>
      <w:lvlText w:val="(%1)"/>
      <w:numFmt w:val="lowerLetter"/>
      <w:start w:val="4"/>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lowerLetter"/>
      <w:start w:val="8"/>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2019-12-29T10:09:47Z</dcterms:created>
  <dcterms:modified xsi:type="dcterms:W3CDTF">2019-12-29T10:09:47Z</dcterms:modified>
</cp:coreProperties>
</file>