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44" w:lineRule="exact"/>
        <w:rPr>
          <w:sz w:val="24"/>
          <w:szCs w:val="24"/>
          <w:color w:val="auto"/>
        </w:rPr>
      </w:pPr>
    </w:p>
    <w:p>
      <w:pPr>
        <w:sectPr>
          <w:pgSz w:w="11900" w:h="16838" w:orient="portrait"/>
          <w:cols w:equalWidth="0" w:num="2">
            <w:col w:w="7500" w:space="720"/>
            <w:col w:w="3200"/>
          </w:cols>
          <w:pgMar w:left="240" w:top="314"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314" w:right="23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141 Needham Street</w:t>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Newton, MA 02464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20"/>
          </w:cols>
          <w:pgMar w:left="240" w:top="314" w:right="239" w:bottom="144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88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gridSpan w:val="2"/>
          </w:tcPr>
          <w:p>
            <w:pPr>
              <w:ind w:left="12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88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80" w:type="dxa"/>
            <w:vAlign w:val="bottom"/>
            <w:gridSpan w:val="2"/>
          </w:tcPr>
          <w:p>
            <w:pPr>
              <w:ind w:left="12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33"/>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00" w:type="dxa"/>
            <w:vAlign w:val="bottom"/>
            <w:gridSpan w:val="2"/>
          </w:tcPr>
          <w:p>
            <w:pPr>
              <w:jc w:val="center"/>
              <w:ind w:right="4512"/>
              <w:spacing w:after="0"/>
              <w:rPr>
                <w:sz w:val="20"/>
                <w:szCs w:val="20"/>
                <w:color w:val="auto"/>
              </w:rPr>
            </w:pPr>
            <w:r>
              <w:rPr>
                <w:rFonts w:ascii="Arial" w:cs="Arial" w:eastAsia="Arial" w:hAnsi="Arial"/>
                <w:sz w:val="14"/>
                <w:szCs w:val="14"/>
                <w:color w:val="auto"/>
                <w:w w:val="85"/>
              </w:rPr>
              <w:t>Class</w:t>
            </w:r>
          </w:p>
        </w:tc>
        <w:tc>
          <w:tcPr>
            <w:tcW w:w="3380" w:type="dxa"/>
            <w:vAlign w:val="bottom"/>
            <w:gridSpan w:val="2"/>
          </w:tcPr>
          <w:p>
            <w:pPr>
              <w:jc w:val="center"/>
              <w:ind w:right="1360"/>
              <w:spacing w:after="0"/>
              <w:rPr>
                <w:sz w:val="20"/>
                <w:szCs w:val="20"/>
                <w:color w:val="auto"/>
              </w:rPr>
            </w:pPr>
            <w:r>
              <w:rPr>
                <w:rFonts w:ascii="Arial" w:cs="Arial" w:eastAsia="Arial" w:hAnsi="Arial"/>
                <w:sz w:val="14"/>
                <w:szCs w:val="14"/>
                <w:color w:val="auto"/>
                <w:w w:val="86"/>
              </w:rPr>
              <w:t>Outstanding Shares at May 2, 2013</w:t>
            </w:r>
          </w:p>
        </w:tc>
        <w:tc>
          <w:tcPr>
            <w:tcW w:w="400" w:type="dxa"/>
            <w:vAlign w:val="bottom"/>
          </w:tcPr>
          <w:p>
            <w:pPr>
              <w:spacing w:after="0"/>
              <w:rPr>
                <w:sz w:val="24"/>
                <w:szCs w:val="24"/>
                <w:color w:val="auto"/>
              </w:rPr>
            </w:pPr>
          </w:p>
        </w:tc>
      </w:tr>
      <w:tr>
        <w:trPr>
          <w:trHeight w:val="201"/>
        </w:trPr>
        <w:tc>
          <w:tcPr>
            <w:tcW w:w="2740" w:type="dxa"/>
            <w:vAlign w:val="bottom"/>
            <w:gridSpan w:val="2"/>
          </w:tcPr>
          <w:p>
            <w:pPr>
              <w:ind w:left="1380"/>
              <w:spacing w:after="0" w:line="201" w:lineRule="exact"/>
              <w:rPr>
                <w:sz w:val="20"/>
                <w:szCs w:val="20"/>
                <w:color w:val="auto"/>
              </w:rPr>
            </w:pPr>
            <w:r>
              <w:rPr>
                <w:rFonts w:ascii="Arial" w:cs="Arial" w:eastAsia="Arial" w:hAnsi="Arial"/>
                <w:sz w:val="18"/>
                <w:szCs w:val="18"/>
                <w:color w:val="auto"/>
                <w:w w:val="93"/>
              </w:rPr>
              <w:t>Common Stock, $</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0.001</w:t>
            </w:r>
          </w:p>
        </w:tc>
        <w:tc>
          <w:tcPr>
            <w:tcW w:w="4600" w:type="dxa"/>
            <w:vAlign w:val="bottom"/>
          </w:tcPr>
          <w:p>
            <w:pPr>
              <w:ind w:left="40"/>
              <w:spacing w:after="0" w:line="201" w:lineRule="exact"/>
              <w:rPr>
                <w:sz w:val="20"/>
                <w:szCs w:val="20"/>
                <w:color w:val="auto"/>
              </w:rPr>
            </w:pPr>
            <w:r>
              <w:rPr>
                <w:rFonts w:ascii="Arial" w:cs="Arial" w:eastAsia="Arial" w:hAnsi="Arial"/>
                <w:sz w:val="18"/>
                <w:szCs w:val="18"/>
                <w:color w:val="auto"/>
              </w:rPr>
              <w:t>par value per share</w:t>
            </w: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130,571,035 shares</w:t>
            </w: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7640" w:type="dxa"/>
            <w:vAlign w:val="bottom"/>
            <w:gridSpan w:val="4"/>
          </w:tcPr>
          <w:p>
            <w:pPr>
              <w:jc w:val="center"/>
              <w:ind w:right="1752"/>
              <w:spacing w:after="0"/>
              <w:rPr>
                <w:sz w:val="20"/>
                <w:szCs w:val="20"/>
                <w:color w:val="auto"/>
              </w:rPr>
            </w:pPr>
            <w:r>
              <w:rPr>
                <w:rFonts w:ascii="Arial" w:cs="Arial" w:eastAsia="Arial" w:hAnsi="Arial"/>
                <w:sz w:val="18"/>
                <w:szCs w:val="18"/>
                <w:color w:val="auto"/>
                <w:w w:val="87"/>
              </w:rPr>
              <w:t>Class B common stock, $0.001 par value per share</w:t>
            </w:r>
          </w:p>
        </w:tc>
        <w:tc>
          <w:tcPr>
            <w:tcW w:w="3380" w:type="dxa"/>
            <w:vAlign w:val="bottom"/>
            <w:gridSpan w:val="2"/>
          </w:tcPr>
          <w:p>
            <w:pPr>
              <w:jc w:val="center"/>
              <w:ind w:right="1360"/>
              <w:spacing w:after="0"/>
              <w:rPr>
                <w:sz w:val="20"/>
                <w:szCs w:val="20"/>
                <w:color w:val="auto"/>
              </w:rPr>
            </w:pPr>
            <w:r>
              <w:rPr>
                <w:rFonts w:ascii="Arial" w:cs="Arial" w:eastAsia="Arial" w:hAnsi="Arial"/>
                <w:sz w:val="18"/>
                <w:szCs w:val="18"/>
                <w:color w:val="auto"/>
                <w:w w:val="84"/>
              </w:rPr>
              <w:t>12,799,999 shares</w:t>
            </w:r>
          </w:p>
        </w:tc>
        <w:tc>
          <w:tcPr>
            <w:tcW w:w="400" w:type="dxa"/>
            <w:vAlign w:val="bottom"/>
          </w:tcPr>
          <w:p>
            <w:pPr>
              <w:spacing w:after="0"/>
              <w:rPr>
                <w:sz w:val="19"/>
                <w:szCs w:val="19"/>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7"/>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40" w:type="dxa"/>
            <w:vAlign w:val="bottom"/>
            <w:gridSpan w:val="17"/>
          </w:tcPr>
          <w:p>
            <w:pPr>
              <w:spacing w:after="0"/>
              <w:rPr>
                <w:sz w:val="20"/>
                <w:szCs w:val="20"/>
                <w:color w:val="auto"/>
              </w:rPr>
            </w:pPr>
            <w:r>
              <w:rPr>
                <w:rFonts w:ascii="Arial" w:cs="Arial" w:eastAsia="Arial" w:hAnsi="Arial"/>
                <w:sz w:val="18"/>
                <w:szCs w:val="18"/>
                <w:color w:val="auto"/>
              </w:rPr>
              <w:t>Item 1. Unaudited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 for the Three Months Ended March 31,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(Unaudited) for the Three Months Ended March 31,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(Unaudited) at March 31, 2013 and December 31, 2012</w:t>
              </w:r>
            </w:hyperlink>
          </w:p>
        </w:tc>
        <w:tc>
          <w:tcPr>
            <w:tcW w:w="21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Stockholders’ Equity (Unaudited) for the Three Months Ended March 31,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tcBorders>
              <w:top w:val="single" w:sz="8" w:color="0000EE"/>
            </w:tcBorders>
            <w:gridSpan w:val="1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Statements of Cash Flows (Unaudited) for the Three Months Ended March 31, 2013 and 2012</w:t>
              </w:r>
            </w:hyperlink>
          </w:p>
        </w:tc>
        <w:tc>
          <w:tcPr>
            <w:tcW w:w="23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29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2. Management’s Discussion and Analysis of Financial Condition and Results of Operations</w:t>
              </w:r>
            </w:hyperlink>
          </w:p>
        </w:tc>
        <w:tc>
          <w:tcPr>
            <w:tcW w:w="41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Item 3. Quantitative and Qualitative Disclosures about Market Risk</w:t>
              </w:r>
            </w:hyperlink>
          </w:p>
        </w:tc>
        <w:tc>
          <w:tcPr>
            <w:tcW w:w="62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040" w:type="dxa"/>
            <w:vAlign w:val="bottom"/>
            <w:gridSpan w:val="1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1. Legal Proceedings</w:t>
              </w:r>
            </w:hyperlink>
          </w:p>
        </w:tc>
        <w:tc>
          <w:tcPr>
            <w:tcW w:w="24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4. Mine Safety Disclosures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 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6">
              <w:r>
                <w:rPr>
                  <w:rFonts w:ascii="Arial" w:cs="Arial" w:eastAsia="Arial" w:hAnsi="Arial"/>
                  <w:sz w:val="18"/>
                  <w:szCs w:val="18"/>
                  <w:b w:val="1"/>
                  <w:bCs w:val="1"/>
                  <w:color w:val="0000EE"/>
                  <w:w w:val="86"/>
                </w:rPr>
                <w:t>Signature</w:t>
              </w:r>
            </w:hyperlink>
          </w:p>
        </w:tc>
        <w:tc>
          <w:tcPr>
            <w:tcW w:w="103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3"/>
        </w:trPr>
        <w:tc>
          <w:tcPr>
            <w:tcW w:w="6420" w:type="dxa"/>
            <w:vAlign w:val="bottom"/>
            <w:gridSpan w:val="11"/>
          </w:tcPr>
          <w:p>
            <w:pPr>
              <w:ind w:left="56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169,408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60,511</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229,919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Selling and marketing(2)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General and administrative(2)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141,616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88,303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(2,406)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66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(3,867)</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(22,137)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(22,970)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TripAdvisor, Inc.:</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144,655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Technology and content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$62,299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Available-for-sale investments: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unrealized gain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(net of tax effect of $32)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8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(3,608)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58,691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jc w:val="center"/>
              <w:ind w:left="149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20" w:type="dxa"/>
            <w:vAlign w:val="bottom"/>
            <w:gridSpan w:val="2"/>
          </w:tcPr>
          <w:p>
            <w:pPr>
              <w:jc w:val="right"/>
              <w:ind w:right="3972"/>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211,867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Short-term marketable securities (note 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Accounts receivable, net of allowance of $2,830 and $2,818 at March 31, 2013 and December 31, 2012,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Receivable from Expedia, net (note 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583,824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marketable securities (note 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1,341,678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1,299,194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10,758</w:t>
            </w:r>
          </w:p>
        </w:tc>
        <w:tc>
          <w:tcPr>
            <w:tcW w:w="2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Credit facility borrowings (note 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current (note 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195,640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net of current portion (note 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stock $0.001 par value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Authorized shares: 100,000,000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Shares issued and outstanding: 0 and 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Common stock $0.001 par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Authorized shares: 1,600,000,000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Shares issued and outstanding: 130,544,816 and 130,060,138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common stock $0.001 par value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Authorized shares 400,000,000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Shares issued and outstanding: 12,799,999 and 12,799,999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545,859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1,341,678</w:t>
            </w:r>
          </w:p>
        </w:tc>
        <w:tc>
          <w:tcPr>
            <w:tcW w:w="20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1,299,194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7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left="404"/>
              <w:spacing w:after="0" w:line="149" w:lineRule="exact"/>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paid-in</w:t>
            </w:r>
          </w:p>
        </w:tc>
        <w:tc>
          <w:tcPr>
            <w:tcW w:w="60" w:type="dxa"/>
            <w:vAlign w:val="bottom"/>
          </w:tcPr>
          <w:p>
            <w:pPr>
              <w:spacing w:after="0"/>
              <w:rPr>
                <w:sz w:val="12"/>
                <w:szCs w:val="12"/>
                <w:color w:val="auto"/>
              </w:rPr>
            </w:pPr>
          </w:p>
        </w:tc>
        <w:tc>
          <w:tcPr>
            <w:tcW w:w="68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80" w:type="dxa"/>
            <w:vAlign w:val="bottom"/>
            <w:gridSpan w:val="3"/>
          </w:tcPr>
          <w:p>
            <w:pPr>
              <w:ind w:left="360"/>
              <w:spacing w:after="0"/>
              <w:rPr>
                <w:sz w:val="20"/>
                <w:szCs w:val="20"/>
                <w:color w:val="auto"/>
              </w:rPr>
            </w:pPr>
            <w:r>
              <w:rPr>
                <w:rFonts w:ascii="Arial" w:cs="Arial" w:eastAsia="Arial" w:hAnsi="Arial"/>
                <w:sz w:val="14"/>
                <w:szCs w:val="14"/>
                <w:b w:val="1"/>
                <w:bCs w:val="1"/>
                <w:color w:val="auto"/>
                <w:w w:val="88"/>
              </w:rPr>
              <w:t>Common stock</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left="184"/>
              <w:spacing w:after="0"/>
              <w:rPr>
                <w:sz w:val="20"/>
                <w:szCs w:val="20"/>
                <w:color w:val="auto"/>
              </w:rPr>
            </w:pPr>
            <w:r>
              <w:rPr>
                <w:rFonts w:ascii="Arial" w:cs="Arial" w:eastAsia="Arial" w:hAnsi="Arial"/>
                <w:sz w:val="14"/>
                <w:szCs w:val="14"/>
                <w:b w:val="1"/>
                <w:bCs w:val="1"/>
                <w:color w:val="auto"/>
                <w:w w:val="84"/>
              </w:rPr>
              <w:t>common 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capital</w:t>
            </w:r>
          </w:p>
        </w:tc>
        <w:tc>
          <w:tcPr>
            <w:tcW w:w="6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earnings</w:t>
            </w:r>
          </w:p>
        </w:tc>
        <w:tc>
          <w:tcPr>
            <w:tcW w:w="1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(loss) income</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130,060,138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130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12,799,999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531,256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196,438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(869)</w:t>
            </w:r>
          </w:p>
        </w:tc>
        <w:tc>
          <w:tcPr>
            <w:tcW w:w="86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726,968</w:t>
            </w:r>
          </w:p>
        </w:tc>
        <w:tc>
          <w:tcPr>
            <w:tcW w:w="0" w:type="dxa"/>
            <w:vAlign w:val="bottom"/>
          </w:tcPr>
          <w:p>
            <w:pPr>
              <w:spacing w:after="0"/>
              <w:rPr>
                <w:sz w:val="1"/>
                <w:szCs w:val="1"/>
                <w:color w:val="auto"/>
              </w:rPr>
            </w:pPr>
          </w:p>
        </w:tc>
      </w:tr>
      <w:tr>
        <w:trPr>
          <w:trHeight w:val="329"/>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attributable to TripAdvisor, Inc.</w:t>
            </w: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62,299</w:t>
            </w: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Unrealized gain on marketable securities, net of tax</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related to exercise of options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vesting of 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484,678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7"/>
              </w:rPr>
              <w:t>Minimum withholding taxes on net share settlements of</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awards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12,606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130,544,816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12,799,999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545,859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258,737</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(4,477)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800,262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62,299</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of property and equipment, including amortization of internal-use software and website development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Amortization of discounts and premiums on marketable securities,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benefit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(recovery)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Foreign currency transaction (gains) losses,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(32,670)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Related parties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(13,961)</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(10,747)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(213,683)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Expedia, Inc related to Spin-Off</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(178,732)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credit facilities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Payments on credit facilities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(14,728)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by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(18,829)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(155,648)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367,515</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183,532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211,867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208,625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32"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During 2011, Expedia, Inc., or Expedia, announced its plan to separate into two independent public companies in order to better achieve certain strategic objectives of its various businesses. We refer to this transaction as the “Spin-Off.” On December 20, 2011, following the close of trading on the NASDAQ Global Select Market (“NASDAQ”), the Spin-Off was completed, and TripAdvisor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 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under the trading symbol “TRIP”.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selling room nights on our transactional sites, including SniqueAway and Tingo, and other revenue including licensing our content to third-parties. We have one reportable segment: TripAdvisor. The segment is determined based on how our chief operating decision maker manages our business, makes operating decisions and evaluates operating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financial statements for the year ended December 31, 2012 filed with the Securities and Exchange Commission (“SEC”) in our Annual Report on Form 10-K on February 15, 2013. The results for interim periods are not necessarily indicative of the results to be expected for the full year. The financial statements and related financial disclosures have been presented on a consolidated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consolidated financial statements include the accounts of TripAdvisor, our wholly owned subsidiaries, and entities we control, or in which we have a variable interest and are the primary beneficiary of expected cash profits or losses. We record noncontrolling interest in our consolidated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Although we currently operate at a loss in the Chinese market our variable interest entities are not material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revenue recognition; recoverability of long-lived assets, valuation and impairment of marketable securities,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February 2013, the Financial Accounting Standards Board, or FASB, issued new accounting guidance which adds new disclosure requirements for items reclassified out of accumulated other comprehensive income. The new guidance requires that companies present, either in a single note or parenthetically on the face of the financial statements, the effect of significant amounts reclassified based on its source and is effective for public companies in interim and annual reporting periods beginning after December 15, 2012. Accordingly, we have adopted these presentation requirements during the first quarter of 2013. The adoption of this new guidance did not have a material impact on our consolidated financial statements or disclosure.</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have been no material changes to our significant accounting policies since December 31, 2012. For additional information about our critical accounting policies and estimates,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filed on February 15, 2013 for the year ended December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BASED AWARDS AND OTHER EQUITY INSTRUMENTS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four years.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the three months ended March 31, 2013 and 2012, we recognized total stock-based compensation expense of $13.6 million and $4.7 million, respectively. The total income tax benefit related to stock-based compensation expense was $5.3 million and $1.6 million for the three months ended March 31, 2013 and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20, 2011, the 2011 Incentive Plan became effective. A summary of certain important features of the 2011 Incentive Plan can be found in “Note 4—</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Consolidated Financial Statements in Item 8 of our Annual Report on Form 10-K filed on February 15, 2013 for the year ended December 31, 2012. The summary of the material terms of the 2011 Incentive Plan is qualified in its entirety by the full text of the 2011 Incentive Plan which is incorporated by reference in our Annual Report on Form 10-K as Exhibit 4.3.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Stock Option Activity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three months of 2013 have a term of ten years from the date of grant and generally vest over a four-year service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2013, we granted 1,414,861 primarily service based stock options under the 2011 Incentive Plan with a weighted average grant-date fair value per option of $22.68.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status and activity for stock option awards relating to our common stock for the three months ended March 31, 2013, is presented below:</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Weighted</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Price Per</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6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8,654</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$ 31.41</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1,415</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45.42</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21.39</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33.34</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31,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9,644</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$ 33.76</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60" w:type="dxa"/>
            <w:vAlign w:val="bottom"/>
            <w:gridSpan w:val="2"/>
          </w:tcPr>
          <w:p>
            <w:pPr>
              <w:spacing w:after="0"/>
              <w:rPr>
                <w:sz w:val="20"/>
                <w:szCs w:val="20"/>
                <w:color w:val="auto"/>
              </w:rPr>
            </w:pPr>
            <w:r>
              <w:rPr>
                <w:rFonts w:ascii="Arial" w:cs="Arial" w:eastAsia="Arial" w:hAnsi="Arial"/>
                <w:sz w:val="18"/>
                <w:szCs w:val="18"/>
                <w:color w:val="auto"/>
              </w:rPr>
              <w:t>Exercisable as of March 31, 2013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4,313</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$ 28.29</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104,492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March 31,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9,010</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$ 33.19</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March 28, 2013 was $52.52.</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to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any dividends on our common stock to date.</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months ended</w:t>
            </w:r>
          </w:p>
        </w:tc>
      </w:tr>
      <w:tr>
        <w:trPr>
          <w:trHeight w:val="161"/>
        </w:trPr>
        <w:tc>
          <w:tcPr>
            <w:tcW w:w="422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2013</w:t>
            </w:r>
          </w:p>
        </w:tc>
        <w:tc>
          <w:tcPr>
            <w:tcW w:w="16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2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51.72%</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were no stock options granted in the first three months ending March 31,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RSU Activity</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During the three months ended March 31, 2013, we granted 860,072 service based RSUs under the 2011 Incentive Plan for which the fair value was measured based on the quoted price of our common stock at the date of grant of $45.26.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RSUs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(In thousands)</w:t>
            </w:r>
          </w:p>
        </w:tc>
        <w:tc>
          <w:tcPr>
            <w:tcW w:w="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Cancelled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March 31, 2013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Inclusive of 111,918 RSUs withheld to satisfy minimum tax withholding requirements.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summary of the unrecognized compensation expense, net of estimated forfeitures, and the weighted average period remaining at March 31, 2013 related to our non-vested stock options and RSU awards is presented below (in thousands, except per year information):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RSUs</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$82,187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All shares of common stock issued in respect of the exercise of options or other equity awards since Spin-Off have been issued from authorized, but unissued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March 31, 2013 and December 31, 2012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March 31, 2013</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Cash and</w:t>
            </w:r>
          </w:p>
        </w:tc>
        <w:tc>
          <w:tcPr>
            <w:tcW w:w="1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Short-Term</w:t>
            </w: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Cash</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Marketable</w:t>
            </w:r>
          </w:p>
        </w:tc>
        <w:tc>
          <w:tcPr>
            <w:tcW w:w="3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Equivalents</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Securities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$153,561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$153,561</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$ 153,561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Level 1:</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15,907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15,907</w:t>
            </w:r>
          </w:p>
        </w:tc>
        <w:tc>
          <w:tcPr>
            <w:tcW w:w="3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15,907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U.S. agency securities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70,941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70,961</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17,017</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Corporate securities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270,988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270,855</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125,782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securities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4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427,651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427,554</w:t>
            </w:r>
          </w:p>
        </w:tc>
        <w:tc>
          <w:tcPr>
            <w:tcW w:w="3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42,399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194,277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190,878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$ 597,119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597,022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$ 211,867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194,277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December 31, 2012</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Cash and</w:t>
            </w:r>
          </w:p>
        </w:tc>
        <w:tc>
          <w:tcPr>
            <w:tcW w:w="1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Short-Term</w:t>
            </w: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Cash</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Marketable</w:t>
            </w:r>
          </w:p>
        </w:tc>
        <w:tc>
          <w:tcPr>
            <w:tcW w:w="3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Equivalents</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Securities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$ 141,460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Level 1:</w:t>
            </w: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356,512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356,512</w:t>
            </w:r>
          </w:p>
        </w:tc>
        <w:tc>
          <w:tcPr>
            <w:tcW w:w="3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356,512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U.S. agency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13,634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13,635</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Corporate securities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162,050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161,882</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securities</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229,397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229,221</w:t>
            </w:r>
          </w:p>
        </w:tc>
        <w:tc>
          <w:tcPr>
            <w:tcW w:w="3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11,003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118,970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99,248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585,909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585,733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$ 367,515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118,970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March 31, 2013.</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Investments in U.S. Treasury securities are considered “Level 2” valuations because we have access to quoted prices, but do not have visibility to the volume and frequency of trading for all investments. Fair values for our U.S. agency securities, commercial paper, corporate securities, certificates of deposit and municipal securities are considered “Level 2” valuations because they are obtained from pricing sources for identical or comparable instruments, rather than direct observations of quoted prices in active markets.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realized gains or losses related to sales of our marketable securities for the three months ended March 31, 2013 and 2012.</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March 31, 2013, we have marketable securities with a total fair value of $214.7 million in a total gross unrealized loss position of $0.2 million.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three months ended March 31, 2013 and 2012, we did not recognize any impairment charges. We did not have any investments in marketable securities that were in a continuous unrealized loss position for 12 months or greater at March 31, 2013 or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net gain in Other, net of $0.8 million for the three months ended March 31, 2013 related to our forward contracts in our consolidated statement of operations. The net cash received or paid related to our derivative instruments are classified as operating in our consolidated statements of cash flows, which is based on the objective of the derivative instruments. No derivative instruments were entered into or settled during the three months ended March 31,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5" w:right="239" w:bottom="1440" w:gutter="0" w:footer="0" w:header="0"/>
        </w:sectPr>
      </w:pPr>
    </w:p>
    <w:bookmarkStart w:id="12" w:name="page13"/>
    <w:bookmarkEnd w:id="12"/>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tables show the fair value and notional principal amounts of our outstanding or unsettled derivative instruments that are not designated as hedging instruments at March 31, 2013 and December 31, 2012 (in thousands):</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March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Balance Sheet Caption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Fair Value of Derivative</w:t>
            </w: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5"/>
              </w:rPr>
              <w:t>Notional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Liability</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exchange-forward contracts (current)</w:t>
            </w:r>
          </w:p>
        </w:tc>
        <w:tc>
          <w:tcPr>
            <w:tcW w:w="352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5"/>
              </w:rPr>
              <w:t>Prepaid expenses and other current assets (1)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302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Balance Sheet Caption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Fair Value of Derivative</w:t>
            </w: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5"/>
              </w:rPr>
              <w:t>Notional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Liability</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exchange-forward contracts (current)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 (1)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15"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our derivatives are measured using Level 2 fair value inputs, as we use a pricing model that takes into account the contract terms as well as current foreign currency exchange rates in active markets.</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96"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Other financial instruments not measured at fair value on a recurring basis include trade receivables, related party receivables, trade payables, short-term debt, accrued and other current liabilities and long-term debt. With the exception of long-term debt, the carrying amount approximates fair value because of the short maturity of these instruments as reported on the unaudited consolidated balance sheet as of March 31, 2013 and December 31, 2012. The carrying value of the long-term borrowings outstanding on our Credit Agreement bear interest at a variable rate and therefore is also considered to approximate fair value.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3 assets or liabilities for the periods ended March 31, 2013 and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2013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Term Loan principal is currently repayable in quarterly installments on the last day of each calendar quarter equal to 2.5% of the original principal amount with the balance due on the final maturity date. A principal payment of $10 million was made during the three months ended March 31, 2013.</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 As of March 31, 2013, there are no outstanding borrowings under our Revolving Credit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2013 and 2012, we recorded total interest and commitment fees on our Credit Agreement of $2.1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$2.3 million, respectively, to interest expense on our consolidated statement of operations. All unpaid interest and commitment fee amounts as of March 31, 2013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2012 were not material.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remaining future minimum principal payment obligations due under the Credit Agreement related to our Term Loan is as follows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2013 (in thousands):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jc w:val="right"/>
              <w:ind w:right="3012"/>
              <w:spacing w:after="0" w:line="202" w:lineRule="exact"/>
              <w:rPr>
                <w:sz w:val="20"/>
                <w:szCs w:val="20"/>
                <w:color w:val="auto"/>
              </w:rPr>
            </w:pPr>
            <w:r>
              <w:rPr>
                <w:rFonts w:ascii="Arial" w:cs="Arial" w:eastAsia="Arial" w:hAnsi="Arial"/>
                <w:sz w:val="18"/>
                <w:szCs w:val="18"/>
                <w:color w:val="auto"/>
              </w:rPr>
              <w:t>2013</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012"/>
              <w:spacing w:after="0"/>
              <w:rPr>
                <w:sz w:val="20"/>
                <w:szCs w:val="20"/>
                <w:color w:val="auto"/>
              </w:rPr>
            </w:pPr>
            <w:r>
              <w:rPr>
                <w:rFonts w:ascii="Arial" w:cs="Arial" w:eastAsia="Arial" w:hAnsi="Arial"/>
                <w:sz w:val="18"/>
                <w:szCs w:val="18"/>
                <w:color w:val="auto"/>
              </w:rPr>
              <w:t>2014</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3012"/>
              <w:spacing w:after="0"/>
              <w:rPr>
                <w:sz w:val="20"/>
                <w:szCs w:val="20"/>
                <w:color w:val="auto"/>
              </w:rPr>
            </w:pPr>
            <w:r>
              <w:rPr>
                <w:rFonts w:ascii="Arial" w:cs="Arial" w:eastAsia="Arial" w:hAnsi="Arial"/>
                <w:sz w:val="18"/>
                <w:szCs w:val="18"/>
                <w:color w:val="auto"/>
              </w:rPr>
              <w:t>2015</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3012"/>
              <w:spacing w:after="0"/>
              <w:rPr>
                <w:sz w:val="20"/>
                <w:szCs w:val="20"/>
                <w:color w:val="auto"/>
              </w:rPr>
            </w:pPr>
            <w:r>
              <w:rPr>
                <w:rFonts w:ascii="Arial" w:cs="Arial" w:eastAsia="Arial" w:hAnsi="Arial"/>
                <w:sz w:val="18"/>
                <w:szCs w:val="18"/>
                <w:color w:val="auto"/>
              </w:rPr>
              <w:t>2016</w:t>
            </w:r>
          </w:p>
        </w:tc>
        <w:tc>
          <w:tcPr>
            <w:tcW w:w="3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jc w:val="right"/>
              <w:ind w:right="3432"/>
              <w:spacing w:after="0"/>
              <w:rPr>
                <w:sz w:val="20"/>
                <w:szCs w:val="20"/>
                <w:color w:val="auto"/>
              </w:rPr>
            </w:pPr>
            <w:r>
              <w:rPr>
                <w:rFonts w:ascii="Arial" w:cs="Arial" w:eastAsia="Arial" w:hAnsi="Arial"/>
                <w:sz w:val="18"/>
                <w:szCs w:val="18"/>
                <w:color w:val="auto"/>
                <w:w w:val="79"/>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2013 we believe we are in compliance with all of our debt covenants.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full text of the Credit Agreement is incorporated by reference to Exhibit 4.2 of our Annual Report on Form 10-K filed on February 15, 2013 for the year ending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March 31, 2013 and December 31, 2012, we had $21.3 million and $32.1 million of short term borrowings outstanding, respectively.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three months ended March 31, 2013, we made a payment inclusive of interest of RMB 68,283,570 (approximately $10.9 million). We currently have $11.0 million of outstanding borrowings from this credit facility as of March 31, 2013. Our Chinese Credit Facility—BOA currently bears interest based at 100% of the People’s Bank of China’s base rate and was 5.6% as of March 31, 2013.</w:t>
      </w:r>
    </w:p>
    <w:p>
      <w:pPr>
        <w:spacing w:after="0" w:line="1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During the three months ended March 31, 2013, we made a payment inclusive of interest of RMB 24,281,546 (approximately $3.9 million). We currently have $10.3 million of outstanding borrowings from this credit facility as of March 31, 2013. Our Chinese Credit Facility—JPM currently bears interest based at 100% of the People’s Bank of China’s base rate and was 5.6% as of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There have been no material changes to our commitments and contingencies since December 31, 2012. (Refer to “Note 12—</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the Notes to our Consolidated Financial Statements in Item 8 of our Annual Report on Form 10-K filed on February 15, 2013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2012.)</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effective tax rate for the three months ended March 31, 2013 and 2012 was 26.2% and 32.3%, respectively. For the three months ended March 31, 2013,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decrease in the effective tax rate for 2013 compared to the 2012 rate was primarily due to an increase in earnings in jurisdictions outside the United States as well as an internal restructuring that occurred during the fourth quarter of 2012. This restructuring was undertaken within our non-US operations to align our global structure for more efficient treasury management and global cash deployment.</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2013, accrued interest is $0.7 million, net of federal benefit, and no penalties have been accrued. We do not anticipate any material releases in the next twelve months.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For all periods prior to and through the Spin-Off date, we were a member of the Expedia consolidated tax group. Accordingly, Expedia filed a consolidated federal income tax return and certain state income tax returns with us for that period. Expedia has paid the entire income tax liability associated with these filings. As such, our income tax liability for this period was transferred to Expedia upon Spin-Off and was not included in income taxes payable as of December 31, 2011. Additionally, due to continuing ownership and business relationships after the Spin-Off, we may be considered to have a unitary relationship with Expedia from January 1, 2012 through December 11, 2012 for state income tax purposes. Consequently, we may file as part of a unitary combined group with Expedia for certain state tax returns for 2012.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2013, the Company’s tax years for 2009 through 2012 are subject to examination by the tax authorities in the United States, various states, and foreign jurisdictions. By virtue of previously filed consolidated income tax returns filed with Expedia, we are routinely under audit. We are currently under an IRS audit for the 2009 and 2010 tax years, and have various ongoing state income tax audits. As of March 31, 2013,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is currently two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130,544,816 shares of common stock and 12,799,999 shares of Class B common stock issued and outstanding at March 31, 2013.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March 31, 2013, no preferred shares had been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February 15, 2013, our Board of Directors authorized the repurchase of $250.0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we have not repurchased any shares of outstanding common stock.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2013 through March 31, 2013, our Board of Directors did not declare any dividends on our outstanding common stock.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40" w:type="dxa"/>
            <w:vAlign w:val="bottom"/>
            <w:gridSpan w:val="4"/>
          </w:tcPr>
          <w:p>
            <w:pPr>
              <w:ind w:left="126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securities, net of tax (1)</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Cumulative foreign currency translation adjustments (2)</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w w:val="91"/>
              </w:rPr>
              <w:t>(4,421)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1"/>
              </w:rPr>
              <w:t>(4,477)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unrealized tax benefits of $40 and $72 at March 31, 2013 and December 31, 2012, respectively.</w:t>
      </w:r>
    </w:p>
    <w:p>
      <w:pPr>
        <w:spacing w:after="0" w:line="15" w:lineRule="exact"/>
        <w:rPr>
          <w:rFonts w:ascii="Arial" w:cs="Arial" w:eastAsia="Arial" w:hAnsi="Arial"/>
          <w:sz w:val="18"/>
          <w:szCs w:val="18"/>
          <w:color w:val="auto"/>
        </w:rPr>
      </w:pPr>
    </w:p>
    <w:p>
      <w:pPr>
        <w:ind w:left="460" w:right="8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 SEGMENT INFORMATION</w:t>
      </w:r>
    </w:p>
    <w:p>
      <w:pPr>
        <w:spacing w:after="0" w:line="9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Such amounts are detailed in our segment reconciliation below. In addition, please see our discussion of Adjusted EBITDA in the section entitled “Management’s Discussion and Analysis of Financial Condition and Results of Operations” below.</w:t>
      </w:r>
    </w:p>
    <w:p>
      <w:pPr>
        <w:spacing w:after="0" w:line="12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$109,347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$ 84,189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 (1)</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(6,324)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(13,611)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(3,867)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(22,137)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62,299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compute basic earnings per share by dividing net income attributable to TripAdvisor by the weighted average number of common shares outstanding during the period. For the three months ended March 31, 2013 and 2012, we computed the weighted average number of common shares outstanding during the period using the total of common stock and Class B common stock outstanding as of December 31, 2012 and 2011, respectively, plus the weighted average of any additional shares issued and outstanding during the three months ended March 31, 2013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compute diluted earnings per share by dividing net income attributable to TripAdvisor by the sum of the weighted average number of common and common equivalent shares outstanding during the period. For the three months ended March 31, 2013 and 2012, we computed the weighted average number of common and common equivalent shares outstanding during the period using the sum of (i) the number of shares of common stock and Class B common stock used in the basic earnings per share calculation as indicated above, (ii) if dilutive, the incremental weighted average common stock that we would issue upon the assumed exercise of common equivalent shares related to stock options and stock warrants and the vesting of restricted stock units using the treasury stock method during the three months ended March 31, 2013 and 2012, respectively, and (iii) if dilutive, performance based awards based on the number of shares that would be issuable as of the end of the reporting period assuming the end of the reporting period was also the end of the contingency period.</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is a reconciliation of the weighted average number of shares of common stock outstanding in calculating diluted earnings per share (in thousands, except for per share information):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76"/>
        </w:trPr>
        <w:tc>
          <w:tcPr>
            <w:tcW w:w="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Numerator:</w:t>
            </w:r>
          </w:p>
        </w:tc>
        <w:tc>
          <w:tcPr>
            <w:tcW w:w="4600" w:type="dxa"/>
            <w:vAlign w:val="bottom"/>
            <w:tcBorders>
              <w:bottom w:val="single" w:sz="8" w:color="CCEEFF"/>
            </w:tcBorders>
            <w:gridSpan w:val="2"/>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550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62,299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48,111</w:t>
            </w:r>
          </w:p>
        </w:tc>
        <w:tc>
          <w:tcPr>
            <w:tcW w:w="100" w:type="dxa"/>
            <w:vAlign w:val="bottom"/>
          </w:tcPr>
          <w:p>
            <w:pPr>
              <w:spacing w:after="0"/>
              <w:rPr>
                <w:sz w:val="18"/>
                <w:szCs w:val="18"/>
                <w:color w:val="auto"/>
              </w:rPr>
            </w:pPr>
          </w:p>
        </w:tc>
      </w:tr>
      <w:tr>
        <w:trPr>
          <w:trHeight w:val="196"/>
        </w:trPr>
        <w:tc>
          <w:tcPr>
            <w:tcW w:w="10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Denominator:</w:t>
            </w:r>
          </w:p>
        </w:tc>
        <w:tc>
          <w:tcPr>
            <w:tcW w:w="44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500" w:type="dxa"/>
            <w:vAlign w:val="bottom"/>
            <w:gridSpan w:val="3"/>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133,754</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effect of dilutive securities: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ind w:left="860"/>
              <w:spacing w:after="0"/>
              <w:rPr>
                <w:sz w:val="20"/>
                <w:szCs w:val="20"/>
                <w:color w:val="auto"/>
              </w:rPr>
            </w:pPr>
            <w:r>
              <w:rPr>
                <w:rFonts w:ascii="Arial" w:cs="Arial" w:eastAsia="Arial" w:hAnsi="Arial"/>
                <w:sz w:val="18"/>
                <w:szCs w:val="18"/>
                <w:color w:val="auto"/>
              </w:rPr>
              <w:t>Stock options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RSUs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gridSpan w:val="3"/>
          </w:tcPr>
          <w:p>
            <w:pPr>
              <w:ind w:left="860"/>
              <w:spacing w:after="0"/>
              <w:rPr>
                <w:sz w:val="20"/>
                <w:szCs w:val="20"/>
                <w:color w:val="auto"/>
              </w:rPr>
            </w:pPr>
            <w:r>
              <w:rPr>
                <w:rFonts w:ascii="Arial" w:cs="Arial" w:eastAsia="Arial" w:hAnsi="Arial"/>
                <w:sz w:val="18"/>
                <w:szCs w:val="18"/>
                <w:color w:val="auto"/>
              </w:rPr>
              <w:t>Stock warrants</w:t>
            </w:r>
          </w:p>
        </w:tc>
        <w:tc>
          <w:tcPr>
            <w:tcW w:w="1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8"/>
                <w:szCs w:val="18"/>
                <w:color w:val="auto"/>
              </w:rPr>
            </w:pPr>
          </w:p>
        </w:tc>
      </w:tr>
      <w:tr>
        <w:trPr>
          <w:trHeight w:val="115"/>
        </w:trPr>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144,655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136,158</w:t>
            </w:r>
          </w:p>
        </w:tc>
        <w:tc>
          <w:tcPr>
            <w:tcW w:w="10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50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4"/>
                <w:szCs w:val="24"/>
                <w:color w:val="auto"/>
              </w:rPr>
            </w:pPr>
          </w:p>
        </w:tc>
      </w:tr>
      <w:tr>
        <w:trPr>
          <w:trHeight w:val="218"/>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net income per share because their effect would have been anti-dilutive for the periods presented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120" w:type="dxa"/>
            <w:vAlign w:val="bottom"/>
          </w:tcPr>
          <w:p>
            <w:pPr>
              <w:spacing w:after="0"/>
              <w:rPr>
                <w:sz w:val="14"/>
                <w:szCs w:val="14"/>
                <w:color w:val="auto"/>
              </w:rPr>
            </w:pPr>
          </w:p>
        </w:tc>
        <w:tc>
          <w:tcPr>
            <w:tcW w:w="156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120" w:type="dxa"/>
            <w:vAlign w:val="bottom"/>
          </w:tcPr>
          <w:p>
            <w:pPr>
              <w:spacing w:after="0"/>
              <w:rPr>
                <w:sz w:val="12"/>
                <w:szCs w:val="12"/>
                <w:color w:val="auto"/>
              </w:rPr>
            </w:pPr>
          </w:p>
        </w:tc>
        <w:tc>
          <w:tcPr>
            <w:tcW w:w="5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5"/>
              </w:rPr>
              <w:t>2013(1)</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2012(2)</w:t>
            </w:r>
          </w:p>
        </w:tc>
        <w:tc>
          <w:tcPr>
            <w:tcW w:w="60" w:type="dxa"/>
            <w:vAlign w:val="bottom"/>
          </w:tcPr>
          <w:p>
            <w:pPr>
              <w:spacing w:after="0"/>
              <w:rPr>
                <w:sz w:val="12"/>
                <w:szCs w:val="12"/>
                <w:color w:val="auto"/>
              </w:rPr>
            </w:pPr>
          </w:p>
        </w:tc>
      </w:tr>
      <w:tr>
        <w:trPr>
          <w:trHeight w:val="210"/>
        </w:trPr>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4,577</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tcBorders>
              <w:top w:val="single" w:sz="8" w:color="CCEEFF"/>
            </w:tcBorders>
            <w:shd w:val="clear" w:color="auto" w:fill="CCEEFF"/>
          </w:tcPr>
          <w:p>
            <w:pPr>
              <w:spacing w:after="0"/>
              <w:rPr>
                <w:sz w:val="18"/>
                <w:szCs w:val="18"/>
                <w:color w:val="auto"/>
              </w:rPr>
            </w:pPr>
          </w:p>
        </w:tc>
      </w:tr>
      <w:tr>
        <w:trPr>
          <w:trHeight w:val="323"/>
        </w:trPr>
        <w:tc>
          <w:tcPr>
            <w:tcW w:w="7120" w:type="dxa"/>
            <w:vAlign w:val="bottom"/>
          </w:tcPr>
          <w:p>
            <w:pPr>
              <w:spacing w:after="0"/>
              <w:rPr>
                <w:sz w:val="20"/>
                <w:szCs w:val="20"/>
                <w:color w:val="auto"/>
              </w:rPr>
            </w:pPr>
            <w:r>
              <w:rPr>
                <w:rFonts w:ascii="Arial" w:cs="Arial" w:eastAsia="Arial" w:hAnsi="Arial"/>
                <w:sz w:val="18"/>
                <w:szCs w:val="18"/>
                <w:color w:val="auto"/>
              </w:rPr>
              <w:t>RSUs</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r>
      <w:tr>
        <w:trPr>
          <w:trHeight w:val="116"/>
        </w:trPr>
        <w:tc>
          <w:tcPr>
            <w:tcW w:w="7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4,577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6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totals do not include performance based options representing the right to acquire 210,000 shares of common stock for which all targets required to trigger vesting have not been achieved as of March 31, 2013; therefore, such awards were excluded from the calculation of weighted average shares used to compute diluted earnings per share for those reporting periods.</w:t>
      </w:r>
    </w:p>
    <w:p>
      <w:pPr>
        <w:ind w:left="460" w:right="10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totals do not include performance based RSUs representing the right to acquire 400,000 shares of common stock for which all targets required to trigger vesting had not been achieved as of March 31, 2012; therefore, such awards were excluded from the calculation of weighted average shares used to compute diluted earnings per share for those reporting periods.</w:t>
      </w:r>
    </w:p>
    <w:p>
      <w:pPr>
        <w:spacing w:after="0" w:line="14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Subsequent to the Spin-Off, we remain a related party with Expedia due to common ownership, and continue to work together pursuant to various commercial agreements between subsidiaries of TripAdvisor, on the one hand, and subsidiaries of Expedia, on the other hand.</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Related-party revenue from Expedia of $60.5 million and $51.6 million for the three months ended March 31, 2013 and 2012, respectively, primarily consists of click-based advertising and other advertising services provided to Expedia and its subsidiaries and is recorded at contract value, which we believe is a reasonable reflection of the value of the services provided. Related-party revenue represented 26.3% and 28.1% of our total revenue for the three months ended March 31, 2013 and 2012, respectively. Other related-party operating expenses which were included within selling and marketing expense were $1.8 million and $2.0 million for the three months ended March 31, 2013 and 2012, respectively, which primarily consisted of marketing expense for exit windows. The net related party receivable balances with Expedia reflected in our consolidated balance sheets as of March 31, 2013 and December 31, 2012 were $37.9 million and $24.0 million,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Liberty Interactive Corporation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2013, Liberty Interactive Corporation, or Liberty, beneficially owned 18,159,752 shares of our common stock and 12,799,999 shares of our Class B common stock, which shares constitute 13.9% of the outstanding shares of Common Stock and 100% of the outstanding shares of Class B Common Stock. Assuming the conversion of all of the Liberty’s shares of Class B common stock into common stock, Liberty would beneficially own 21.6%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56.5% of our voting power.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related party transactions with Liberty during the three months ended March 31, 2013 and 2012,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80" w:right="31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2012,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Securities and Exchange Commission (“SEC”) that attempt to advise interested parties of the risks and factors that may affect our business, prospects and results of operations.</w:t>
      </w:r>
    </w:p>
    <w:p>
      <w:pPr>
        <w:spacing w:after="0" w:line="12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financial statements and the notes included in this Quarterly Report on Form 10-Q, and the audited consolidated financial statements and notes and Management’s Discussion and Analysis of Financial Condition and Results of Operations contained in our Annual Report on Form 10-K filed February 15, 2013 for the year ended December 31,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China under the brand daodao.com. Our branded websites globally averaged more than 200 million monthly unique visitors during the first quarter of 2013, according to Google Analytics, we feature over 100 million reviews and opinions and we have built a base of more than 48 million marketable members, as measured by our own log files. Marketable members are members that have registered on our site and given us permission to email them. While we believe growth in marketable members increases user engagement and traffic to our site we do not consider it to be a key driver of our overall revenue. Beyond travel-related content, our websites also include links to the websites of our customers, including travel advertisers, allowing travelers to directly book their travel arrangements. In addition to the flagship TripAdvisor brand, we now manage and operate 20 other travel brands, connected by the common goal of providing comprehensive travel planning resources across the travel sector.</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about our portfolio of brands, see “Other Travel Brands and Websites” in Part I, Item 1, “Business,” in our Annual Report on Form 10-K filed on February 15, 2013 for the year ended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selling room nights on our transactional sites, including SniqueAway and Tingo, and other revenue including content licensing. For the three months ended March 31, 2013, we earned $179 million of revenue from click-based advertising, $25 million in revenue from display-based advertising and $26 million in revenue from subscription-based offerings, transaction revenue and other revenue.</w:t>
      </w:r>
    </w:p>
    <w:p>
      <w:pPr>
        <w:spacing w:after="0" w:line="62" w:lineRule="exact"/>
        <w:rPr>
          <w:sz w:val="20"/>
          <w:szCs w:val="20"/>
          <w:color w:val="auto"/>
        </w:rPr>
      </w:pPr>
    </w:p>
    <w:p>
      <w:pPr>
        <w:ind w:left="900" w:right="20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links to our partners’ booking sites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Click-based advertising is generally priced on a cost-per-click, or CPC, basis, with payments from advertisers based on the number of users who click on each type of link. Most of our click-based advertising contracts can be terminated by the advertisers at will or on short notice.</w:t>
      </w:r>
    </w:p>
    <w:p>
      <w:pPr>
        <w:spacing w:after="0" w:line="34" w:lineRule="exact"/>
        <w:rPr>
          <w:rFonts w:ascii="Arial" w:cs="Arial" w:eastAsia="Arial" w:hAnsi="Arial"/>
          <w:sz w:val="16"/>
          <w:szCs w:val="16"/>
          <w:color w:val="auto"/>
        </w:rPr>
      </w:pPr>
    </w:p>
    <w:p>
      <w:pPr>
        <w:ind w:left="900" w:right="4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earn revenue from a variety of display-based advertising placements on our websites through which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partners can promote their brands in a contextually-relevant manner. While our display-based advertising clients are predominately direct suppliers in the hotel, airline and cruise categories and online travel agencies, we also accept display advertising from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right="80" w:hanging="325"/>
        <w:spacing w:after="0" w:line="25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Subscription-Based, Transaction and Other Revenue</w:t>
      </w:r>
      <w:r>
        <w:rPr>
          <w:rFonts w:ascii="Arial" w:cs="Arial" w:eastAsia="Arial" w:hAnsi="Arial"/>
          <w:sz w:val="18"/>
          <w:szCs w:val="18"/>
          <w:color w:val="auto"/>
        </w:rPr>
        <w:t>. We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TripAdvisor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product allows individual vacation property owners and property managers to pay a subscription fee or to use a new free-to-list option to list properties on our Holiday Lettings and FlipKey websites, as well as on select TripAdvisor-branded websites. Other sources of revenue include selling room nights on our transactional sites, as well as content licensing arrangements with third-party sites.</w:t>
      </w:r>
    </w:p>
    <w:p>
      <w:pPr>
        <w:sectPr>
          <w:pgSz w:w="11900" w:h="16838" w:orient="portrait"/>
          <w:cols w:equalWidth="0" w:num="1">
            <w:col w:w="11420"/>
          </w:cols>
          <w:pgMar w:left="240" w:top="274"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Summary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financial results are currently principally dependent on our ability to drive our click-based advertising revenue. We continue to invest in areas of potential click-based revenue growth, including our social, mobile and global initiatives, while also focusing on growing both our subscription-based products, such as Vacation Rentals and Business Listings, and our transaction—based businesses, including SniqueAway and Tingo. We have leveraged our position as the largest online travel company to become an important partner for online advertisers—including hotels, online travel agencies and other travel-related service providers—by providing our customers with access to our large audience of highly-qualified, highly-engaged users. The key drivers of our click-based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the three months ended March 31, 2013 and 2012, 78% and 79%, respectively, of our total revenue came from our core cost-per-click, or CPC, based lead generation product. The key drivers of our click-based advertising revenue include the growth in monthly unique hotel shoppers and revenue per hotel shopper.</w:t>
      </w:r>
    </w:p>
    <w:p>
      <w:pPr>
        <w:spacing w:after="0" w:line="59" w:lineRule="exact"/>
        <w:rPr>
          <w:sz w:val="20"/>
          <w:szCs w:val="20"/>
          <w:color w:val="auto"/>
        </w:rPr>
      </w:pPr>
    </w:p>
    <w:p>
      <w:pPr>
        <w:ind w:left="440" w:hanging="324"/>
        <w:spacing w:after="0" w:line="25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Hotel shoppers: </w:t>
      </w:r>
      <w:r>
        <w:rPr>
          <w:rFonts w:ascii="Arial" w:cs="Arial" w:eastAsia="Arial" w:hAnsi="Arial"/>
          <w:sz w:val="18"/>
          <w:szCs w:val="18"/>
          <w:color w:val="auto"/>
        </w:rPr>
        <w:t>Total traffic growth, or growth in monthly visits from unique IP addresses is reflective of our overall brand growth. We track and analyze</w:t>
      </w:r>
      <w:r>
        <w:rPr>
          <w:rFonts w:ascii="Arial" w:cs="Arial" w:eastAsia="Arial" w:hAnsi="Arial"/>
          <w:sz w:val="18"/>
          <w:szCs w:val="18"/>
          <w:i w:val="1"/>
          <w:iCs w:val="1"/>
          <w:color w:val="auto"/>
        </w:rPr>
        <w:t xml:space="preserve"> </w:t>
      </w:r>
      <w:r>
        <w:rPr>
          <w:rFonts w:ascii="Arial" w:cs="Arial" w:eastAsia="Arial" w:hAnsi="Arial"/>
          <w:sz w:val="18"/>
          <w:szCs w:val="18"/>
          <w:color w:val="auto"/>
        </w:rPr>
        <w:t>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41% and 35% for the three months ended March 31, 2013 and 2012, respectively, according to our log files.</w:t>
      </w:r>
    </w:p>
    <w:p>
      <w:pPr>
        <w:spacing w:after="0" w:line="61" w:lineRule="exact"/>
        <w:rPr>
          <w:rFonts w:ascii="Arial" w:cs="Arial" w:eastAsia="Arial" w:hAnsi="Arial"/>
          <w:sz w:val="18"/>
          <w:szCs w:val="18"/>
          <w:color w:val="auto"/>
        </w:rPr>
      </w:pPr>
    </w:p>
    <w:p>
      <w:pPr>
        <w:ind w:left="440" w:right="60" w:hanging="324"/>
        <w:spacing w:after="0" w:line="290"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Revenue per hotel shopper: </w:t>
      </w:r>
      <w:r>
        <w:rPr>
          <w:rFonts w:ascii="Arial" w:cs="Arial" w:eastAsia="Arial" w:hAnsi="Arial"/>
          <w:sz w:val="16"/>
          <w:szCs w:val="16"/>
          <w:color w:val="auto"/>
        </w:rPr>
        <w:t>Revenue per hotel shopper is a metric we use to analyze how effectively we are able to monetize hotel shoppers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user conversion and pricing. User conversion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Pricing is the effective cost-per-click that online travel agencies and hoteliers are willing to pay us for a lead. Revenue per hotel shopper decreased 10% and 7% for the three months ended March 31, 2013 and 2012, respectively.</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can shop around and what our customers are willing to pay us for the lead.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three months ended March 31, 2013 and 2012, 11% and 12%, respectively, of our total revenue came from our display-based advertising product. The key drivers of our display-based advertising revenue include the growth in number of impressions, or the number of times an ad is displayed on our site, and the cost per thousand impressions, or CPM (or pricing). Our number of impressions increased 10% and 21% for the three months ended March 31, 2013 and 2012, respectively, while pricing increased 2% during both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products, such as Vacation Rentals and Business Listings.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improves engagement on our sites and improves the sites’ “stickiness” amongst the users. As a result, we continue to deepen our integration with Facebook. As of March 31, 2013, and according to AppData, an independent application tracking traffic service, TripAdvisor has averaged more than 33 million monthly Facebook users via it’s TripAdvisor Facebook application id. We offer these Facebook users a personalized and social travel planning experience that enables travelers to engage first with their own Facebook friends’ reviews and opinions when planning their perfect trip on TripAdvisor.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right="6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Mobile</w:t>
      </w:r>
      <w:r>
        <w:rPr>
          <w:rFonts w:ascii="Arial" w:cs="Arial" w:eastAsia="Arial" w:hAnsi="Arial"/>
          <w:sz w:val="18"/>
          <w:szCs w:val="18"/>
          <w:color w:val="auto"/>
        </w:rPr>
        <w:t>. Mobile is an investment area that is geared towards creating a more complete user experience by reinforcing the TripAdvisor brand when users are</w:t>
      </w:r>
      <w:r>
        <w:rPr>
          <w:rFonts w:ascii="Arial" w:cs="Arial" w:eastAsia="Arial" w:hAnsi="Arial"/>
          <w:sz w:val="18"/>
          <w:szCs w:val="18"/>
          <w:i w:val="1"/>
          <w:iCs w:val="1"/>
          <w:color w:val="auto"/>
        </w:rPr>
        <w:t xml:space="preserve"> </w:t>
      </w:r>
      <w:r>
        <w:rPr>
          <w:rFonts w:ascii="Arial" w:cs="Arial" w:eastAsia="Arial" w:hAnsi="Arial"/>
          <w:sz w:val="18"/>
          <w:szCs w:val="18"/>
          <w:color w:val="auto"/>
        </w:rPr>
        <w:t>in-market. In the quarter ended March 31, 2013, we saw strong mobile user uptake, as aggregate downloads of our TripAdvisor, City Guides, and SeatGuru apps more than doubled to nearly 36 million and its average monthly unique users on mobile devices grew 300% year over year from 15.5 million to 62.2 million according to company logs. We believe that travelers will increasingly use mobile devices, including smartphones and tablets, to conduct travel research and planning.</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Our Vacation Rentals product addresses a highly-fragmented $85 billion per-year vacation rental industry, according to a 2010 Radius</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Market study. As of December 31, 2012 we had amassed over 300,000 properties, up more than 50% during the year, across our TripAdvisor Vacation Rentals, U.S.-based FlipKey and U.K.-based Holiday Lettings brands, as well as through partnership agreements with other vacation rental businesses. We offer individual property owners and property managers to list using a subscription-based fee structure or a free-to-list, commission-based option and we believe our highly-engaged and motivated user community creates a competitive advantage for us in this market.</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Business Listings product enables hotel and accommodation owners to list pertinent property information on TripAdvisor, bringing them</w:t>
      </w:r>
      <w:r>
        <w:rPr>
          <w:rFonts w:ascii="Arial" w:cs="Arial" w:eastAsia="Arial" w:hAnsi="Arial"/>
          <w:sz w:val="16"/>
          <w:szCs w:val="16"/>
          <w:i w:val="1"/>
          <w:iCs w:val="1"/>
          <w:color w:val="auto"/>
        </w:rPr>
        <w:t xml:space="preserve"> </w:t>
      </w:r>
      <w:r>
        <w:rPr>
          <w:rFonts w:ascii="Arial" w:cs="Arial" w:eastAsia="Arial" w:hAnsi="Arial"/>
          <w:sz w:val="16"/>
          <w:szCs w:val="16"/>
          <w:color w:val="auto"/>
        </w:rPr>
        <w:t>closer to potential customers and thereby increasing direct bookings. In the year ended December 31, 2012, we grew our Business Listings customer base over 40% to 50,000 subscribers, representing just over 7% of our current hotel and accommodation listings on TripAdvisor branded sites. We continue to expand our sales force and introduce new product features and functionality to grow our subscriber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continue to be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Increasing Use of Internet and Social Media to Access Travel Information. </w:t>
      </w:r>
      <w:r>
        <w:rPr>
          <w:rFonts w:ascii="Arial" w:cs="Arial" w:eastAsia="Arial" w:hAnsi="Arial"/>
          <w:sz w:val="16"/>
          <w:szCs w:val="16"/>
          <w:color w:val="auto"/>
        </w:rPr>
        <w:t>Commerce, information and advertising continue to migrate to the Internet and</w:t>
      </w:r>
      <w:r>
        <w:rPr>
          <w:rFonts w:ascii="Arial" w:cs="Arial" w:eastAsia="Arial" w:hAnsi="Arial"/>
          <w:sz w:val="16"/>
          <w:szCs w:val="16"/>
          <w:i w:val="1"/>
          <w:iCs w:val="1"/>
          <w:color w:val="auto"/>
        </w:rPr>
        <w:t xml:space="preserve"> </w:t>
      </w:r>
      <w:r>
        <w:rPr>
          <w:rFonts w:ascii="Arial" w:cs="Arial" w:eastAsia="Arial" w:hAnsi="Arial"/>
          <w:sz w:val="16"/>
          <w:szCs w:val="16"/>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are currently in the process of implementing hotel metasearch functionality on our desktop and tablet platforms. Refer to our metasearch discussion below in “Our Strategy” in this “Management’s Discussion and Analysis of Financial Condition and Results of Operations” section for additional information on our current hotel metasearch transition.</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Consumers are increasingly using smartphone and tablet computing devices to access the Internet. To address these demands, we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extend the platform to develop smartphone and tablet applications to allow greater access to our travel information and resources. Although the substantial majority of our smartphone users also access and engage with our websites on personal computers and tablets where we display advertising, our users could decide to increasingly access our products primarily through smartphone devices. Historically we have not displayed graphic advertising on smartphones and our smartphone monetization strategies are still developing, as smartphone monetization was less than 20% of desktop monetization of hotel shoppers during the three months ended March 31, 2013 while tablets monetize more closely to desktops. Improvement of our mobile offerings is a key company priority which we believe is necessary to help us maintain and grow our user base and engagement over the long term and we will continue to invest and innovate in this growing platform.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are currently introducing metasearch functionality to our hotel shoppers as discussed below in “Our Strategy” in this “Management’s Discussion and Analysis of Financial Condition and Results of Operations” section.</w:t>
      </w:r>
    </w:p>
    <w:p>
      <w:pPr>
        <w:spacing w:after="0" w:line="118"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i w:val="1"/>
          <w:iCs w:val="1"/>
          <w:color w:val="auto"/>
        </w:rPr>
        <w:t xml:space="preserve">Global Economic Conditions. </w:t>
      </w:r>
      <w:r>
        <w:rPr>
          <w:rFonts w:ascii="Arial" w:cs="Arial" w:eastAsia="Arial" w:hAnsi="Arial"/>
          <w:sz w:val="15"/>
          <w:szCs w:val="15"/>
          <w:color w:val="auto"/>
        </w:rPr>
        <w:t>In late 2008 and throughout 2009, weak global economic conditions created uncertainty for travelers and suppliers, and put</w:t>
      </w:r>
      <w:r>
        <w:rPr>
          <w:rFonts w:ascii="Arial" w:cs="Arial" w:eastAsia="Arial" w:hAnsi="Arial"/>
          <w:sz w:val="15"/>
          <w:szCs w:val="15"/>
          <w:i w:val="1"/>
          <w:iCs w:val="1"/>
          <w:color w:val="auto"/>
        </w:rPr>
        <w:t xml:space="preserve"> </w:t>
      </w:r>
      <w:r>
        <w:rPr>
          <w:rFonts w:ascii="Arial" w:cs="Arial" w:eastAsia="Arial" w:hAnsi="Arial"/>
          <w:sz w:val="15"/>
          <w:szCs w:val="15"/>
          <w:color w:val="auto"/>
        </w:rPr>
        <w:t>pressure on discretionary spending on travel and advertising.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Strategy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4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Investment in Technology</w:t>
      </w:r>
      <w:r>
        <w:rPr>
          <w:rFonts w:ascii="Arial" w:cs="Arial" w:eastAsia="Arial" w:hAnsi="Arial"/>
          <w:sz w:val="18"/>
          <w:szCs w:val="18"/>
          <w:color w:val="auto"/>
        </w:rPr>
        <w:t>. We believe that our ability to continue to innovate by providing additional functionality to our main Internet sites, while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time continuing to extend that functionality to additional platforms such as smartphones and tablets, will enable us to continue providing an industry-leading user experience. We have a strong culture of speed-to-market with our innovations. By innovating and releasing updates quickly, we believe that we can continue to grow our site visitors and over 100 million reviews and opinions, increase revenue and effectively compete with our competitors.</w:t>
      </w:r>
    </w:p>
    <w:p>
      <w:pPr>
        <w:spacing w:after="0" w:line="61"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Social Platform</w:t>
      </w:r>
      <w:r>
        <w:rPr>
          <w:rFonts w:ascii="Arial" w:cs="Arial" w:eastAsia="Arial" w:hAnsi="Arial"/>
          <w:sz w:val="16"/>
          <w:szCs w:val="16"/>
          <w:color w:val="auto"/>
        </w:rPr>
        <w:t>. We intend to continue to expand our social integration and member acquisition efforts with social media, including Facebook,</w:t>
      </w:r>
      <w:r>
        <w:rPr>
          <w:rFonts w:ascii="Arial" w:cs="Arial" w:eastAsia="Arial" w:hAnsi="Arial"/>
          <w:sz w:val="16"/>
          <w:szCs w:val="16"/>
          <w:i w:val="1"/>
          <w:iCs w:val="1"/>
          <w:color w:val="auto"/>
        </w:rPr>
        <w:t xml:space="preserve"> </w:t>
      </w:r>
      <w:r>
        <w:rPr>
          <w:rFonts w:ascii="Arial" w:cs="Arial" w:eastAsia="Arial" w:hAnsi="Arial"/>
          <w:sz w:val="16"/>
          <w:szCs w:val="16"/>
          <w:color w:val="auto"/>
        </w:rPr>
        <w:t>Twitter and other social sharing platforms. We believe that this integration will enable us to continue to grow and maintain engagement with our user base and increase our content. For example, when searching for a hotel on TripAdvisor, users can see which hotels their Facebook friends and friends-of-friends have visited and reviewed. Users can share their reviews and ratings with their friends and publish their activity to their timelines. Users can also update their travel map and rate new experiences on Facebook.</w:t>
      </w:r>
    </w:p>
    <w:p>
      <w:pPr>
        <w:spacing w:after="0" w:line="34" w:lineRule="exact"/>
        <w:rPr>
          <w:rFonts w:ascii="Arial" w:cs="Arial" w:eastAsia="Arial" w:hAnsi="Arial"/>
          <w:sz w:val="16"/>
          <w:szCs w:val="16"/>
          <w:color w:val="auto"/>
        </w:rPr>
      </w:pPr>
    </w:p>
    <w:p>
      <w:pPr>
        <w:ind w:left="900" w:right="6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Metasearch</w:t>
      </w:r>
      <w:r>
        <w:rPr>
          <w:rFonts w:ascii="Arial" w:cs="Arial" w:eastAsia="Arial" w:hAnsi="Arial"/>
          <w:sz w:val="16"/>
          <w:szCs w:val="16"/>
          <w:color w:val="auto"/>
        </w:rPr>
        <w:t>. A metasearch display is an interface that shows hotel or flight availability and pricing information from multiple sources,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the user to visit another website. We have offered a flight metasearch product since 2009 expanding internationally to 19 points of sale in 2012. In 2012, we invested in building hotel metasearch functionality for our smartphone platforms and introducing it to 100% of our global smartphone traffic. We are currently in the process of fully implementing hotel metasearch functionality onto our desktop and tablet platforms by the end of the second quarter of 2013. As of May 7, 2013, over 50% of our worldwide traffic experiences metasearch functionality. This includes all traffic from Brazil, Canada, Germany, India, Ireland, Singapore and the United Kingdom, while 19% of our desktop and tablet users from other points of sale are currently experiencing metasearch functionality. The implementation of this functionality is expected to provide a better user experience while delivering more valuable leads to advertising partners, however at a lower volume per session. Over time, these higher converting leads are expected to generate higher pricing with our customers, which we expect will offset the anticipated decrease in volume. We expect to continue to evolve our metasearch functionality, because we believe that by showing users real-time pricing and availability wherever possible it leads to a better user experience.</w:t>
      </w:r>
    </w:p>
    <w:p>
      <w:pPr>
        <w:spacing w:after="0" w:line="46"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Enhance International Offerings</w:t>
      </w:r>
      <w:r>
        <w:rPr>
          <w:rFonts w:ascii="Arial" w:cs="Arial" w:eastAsia="Arial" w:hAnsi="Arial"/>
          <w:sz w:val="18"/>
          <w:szCs w:val="18"/>
          <w:color w:val="auto"/>
        </w:rPr>
        <w:t>. We are focused on strengthening our broad global footprint. We are continuing to improve localization and grow</w:t>
      </w:r>
      <w:r>
        <w:rPr>
          <w:rFonts w:ascii="Arial" w:cs="Arial" w:eastAsia="Arial" w:hAnsi="Arial"/>
          <w:sz w:val="18"/>
          <w:szCs w:val="18"/>
          <w:i w:val="1"/>
          <w:iCs w:val="1"/>
          <w:color w:val="auto"/>
        </w:rPr>
        <w:t xml:space="preserve"> </w:t>
      </w:r>
      <w:r>
        <w:rPr>
          <w:rFonts w:ascii="Arial" w:cs="Arial" w:eastAsia="Arial" w:hAnsi="Arial"/>
          <w:sz w:val="18"/>
          <w:szCs w:val="18"/>
          <w:color w:val="auto"/>
        </w:rPr>
        <w:t>our user base in Europe, Asia and South America, especially in emerging markets, such as Brazil, Russia and China.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1"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As of March 31, 2013, we had 1,632 employees. Of these employees, 964 were based in the United States. None of our employees are represented by a labor union or are subject to a collective bargaining agreement. We believe that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1" w:lineRule="exact"/>
        <w:rPr>
          <w:sz w:val="20"/>
          <w:szCs w:val="20"/>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32"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2012 filed on February 15,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For a discussion of new accounting pronouncements,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1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89"/>
              </w:rPr>
              <w:t>Three Months Ended March 31,</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132,127</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Related-party revenue from Expedia</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60,511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51,588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183,715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3"/>
        </w:trPr>
        <w:tc>
          <w:tcPr>
            <w:tcW w:w="78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Selling and marketing(2)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67,389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16,254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4,281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1,839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110,338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8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88,303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73,377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Other interest (expense) income, net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(2,932)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800" w:type="dxa"/>
            <w:vAlign w:val="bottom"/>
            <w:gridSpan w:val="3"/>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(22,137)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(22,970)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48,171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48,111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attributable to TripAdvisor, Inc: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0.35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143,063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133,754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136,158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Financial Data:</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84,189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182</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2,713</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2,895</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2,315</w:t>
            </w:r>
          </w:p>
        </w:tc>
        <w:tc>
          <w:tcPr>
            <w:tcW w:w="28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1,078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content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2,102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net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our Quarterly Report on Form 10-Q, a non-GAAP financial measure. We have provided reconciliations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non-recurring expenses,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$109,347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$ 84,189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 (1)</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(6,324)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(13,611)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(3,867)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60" w:type="dxa"/>
            <w:vAlign w:val="bottom"/>
            <w:gridSpan w:val="3"/>
          </w:tcPr>
          <w:p>
            <w:pPr>
              <w:jc w:val="right"/>
              <w:ind w:right="220"/>
              <w:spacing w:after="0"/>
              <w:rPr>
                <w:sz w:val="20"/>
                <w:szCs w:val="20"/>
                <w:color w:val="auto"/>
              </w:rPr>
            </w:pPr>
            <w:r>
              <w:rPr>
                <w:rFonts w:ascii="Arial" w:cs="Arial" w:eastAsia="Arial" w:hAnsi="Arial"/>
                <w:sz w:val="18"/>
                <w:szCs w:val="18"/>
                <w:color w:val="auto"/>
              </w:rPr>
              <w:t>(22,137)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62,299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internal use software and website development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including SniqueAway and Tingo, and other revenue including content licensing.</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6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2013</w:t>
            </w: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1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left="241"/>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330"/>
        </w:trPr>
        <w:tc>
          <w:tcPr>
            <w:tcW w:w="63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184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Revenue increased $46 million during the three months ended March 31, 2013 when compared to the same period in 2012, primarily due to an increase in click-based advertising revenue of $34 million. The primary driver of the increase in click-based advertising revenue was an increase in hotel shoppers of 41%, partially offset by lower revenue per hotel shopper of 10% primarily due to a combination of lower user conversion related to our current transition to hotel metasearch, growth in hotel shoppers on smartphones which have a lower monetization rate than desktops and tablets, and growth in emerging international markets that are currently monetizing at lower levels than our mature markets. We expect the lower user conversion trend to continue as we fully transition to hotel metasearch, which we anticipate, will negatively impact revenue growth over the balance of the year. Display-based advertising increased by $3 million primarily as a result of a 10% increase in the number of impressions during the three months ended March 31, 2013 when compared to the same period in 2012. Subscription, transaction and other revenue increased by $9 million in the three months ended March 31, 2013 primarily due to growth in Business Listings.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product revenue discussion above, related-party revenue from Expedia, which consists primarily of click-based advertising, is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4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jc w:val="center"/>
              <w:ind w:left="492"/>
              <w:spacing w:after="0"/>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4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6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14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gridSpan w:val="2"/>
          </w:tcPr>
          <w:p>
            <w:pPr>
              <w:jc w:val="center"/>
              <w:ind w:left="35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30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   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 of revenue</w:t>
            </w:r>
          </w:p>
        </w:tc>
        <w:tc>
          <w:tcPr>
            <w:tcW w:w="3020" w:type="dxa"/>
            <w:vAlign w:val="bottom"/>
            <w:gridSpan w:val="2"/>
          </w:tcPr>
          <w:p>
            <w:pPr>
              <w:jc w:val="right"/>
              <w:ind w:right="472"/>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28.1%</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Related-party revenue from Expedia increased $9 million during the three months ended March 31, 2013 when compared to the same period in 2012, primarily due to higher click volume sent to Expedia and higher CPC pricing paid by Expedia. For information on our relationship with Expedia, including recent material transactions, refer to “Note 11</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financial statements.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16"/>
              <w:spacing w:after="0"/>
              <w:rPr>
                <w:sz w:val="20"/>
                <w:szCs w:val="20"/>
                <w:color w:val="auto"/>
              </w:rPr>
            </w:pPr>
            <w:r>
              <w:rPr>
                <w:rFonts w:ascii="Arial" w:cs="Arial" w:eastAsia="Arial" w:hAnsi="Arial"/>
                <w:sz w:val="14"/>
                <w:szCs w:val="14"/>
                <w:b w:val="1"/>
                <w:bCs w:val="1"/>
                <w:color w:val="auto"/>
                <w:w w:val="87"/>
              </w:rPr>
              <w:t>Three months ended</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left="2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geographic region: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North America (1)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EMEA (2)</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APAC (3)</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LATAM (4)</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tcPr>
          <w:p>
            <w:pPr>
              <w:ind w:left="880"/>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90"/>
              </w:rPr>
              <w:t>(1)</w:t>
            </w:r>
          </w:p>
        </w:tc>
        <w:tc>
          <w:tcPr>
            <w:tcW w:w="5040" w:type="dxa"/>
            <w:vAlign w:val="bottom"/>
            <w:gridSpan w:val="2"/>
            <w:vMerge w:val="restart"/>
          </w:tcPr>
          <w:p>
            <w:pPr>
              <w:ind w:left="120"/>
              <w:spacing w:after="0"/>
              <w:rPr>
                <w:sz w:val="20"/>
                <w:szCs w:val="20"/>
                <w:color w:val="auto"/>
              </w:rPr>
            </w:pPr>
            <w:r>
              <w:rPr>
                <w:rFonts w:ascii="Arial" w:cs="Arial" w:eastAsia="Arial" w:hAnsi="Arial"/>
                <w:sz w:val="18"/>
                <w:szCs w:val="18"/>
                <w:color w:val="auto"/>
              </w:rPr>
              <w:t>United States and Canada*</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40" w:type="dxa"/>
            <w:vAlign w:val="bottom"/>
            <w:vMerge w:val="continue"/>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Europe, Middle East and Africa</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Asia-Pacific</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(4)</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Latin America</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international revenue for discussion purposes.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jc w:val="both"/>
        <w:ind w:right="22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revenue increased $27 million or 31% during the three months ended March 31, 2013 compared to 2012. International revenue represented 50% and 48% of total revenue during the three months ended March 31, 2013 and 2012, respectively. The increase in international revenue, in absolute dollars and as a percentage of total revenue, is primarily due to additional investment in international expansion and growth in international hotel shoppers.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left="326"/>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3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866"/>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2012</w:t>
            </w:r>
          </w:p>
        </w:tc>
        <w:tc>
          <w:tcPr>
            <w:tcW w:w="7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2013 vs 2012</w:t>
            </w:r>
          </w:p>
        </w:tc>
        <w:tc>
          <w:tcPr>
            <w:tcW w:w="14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ind w:left="326"/>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6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 of revenue</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60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Cost of revenue increased $1 million during the three months ended March 31, 2013 when compared to the same period in 2012, primarily due to increased data center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2013</w:t>
            </w: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2013 vs 2012</w:t>
            </w:r>
          </w:p>
        </w:tc>
        <w:tc>
          <w:tcPr>
            <w:tcW w:w="14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115"/>
        </w:trPr>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6"/>
        </w:trPr>
        <w:tc>
          <w:tcPr>
            <w:tcW w:w="626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24"/>
                <w:szCs w:val="24"/>
                <w:color w:val="auto"/>
              </w:rPr>
            </w:pPr>
          </w:p>
        </w:tc>
        <w:tc>
          <w:tcPr>
            <w:tcW w:w="1120" w:type="dxa"/>
            <w:vAlign w:val="bottom"/>
            <w:gridSpan w:val="2"/>
          </w:tcPr>
          <w:p>
            <w:pPr>
              <w:jc w:val="right"/>
              <w:ind w:right="542"/>
              <w:spacing w:after="0"/>
              <w:rPr>
                <w:sz w:val="20"/>
                <w:szCs w:val="20"/>
                <w:color w:val="auto"/>
              </w:rPr>
            </w:pPr>
            <w:r>
              <w:rPr>
                <w:rFonts w:ascii="Arial" w:cs="Arial" w:eastAsia="Arial" w:hAnsi="Arial"/>
                <w:sz w:val="18"/>
                <w:szCs w:val="18"/>
                <w:color w:val="auto"/>
                <w:w w:val="93"/>
              </w:rPr>
              <w:t>34.5%</w:t>
            </w:r>
          </w:p>
        </w:tc>
        <w:tc>
          <w:tcPr>
            <w:tcW w:w="10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36.7%</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5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Direct selling and marketing costs increased $4 million during the three months ended March 31, 2013 when compared to the same period in 2012, primarily due to increased search engine marketing costs and brand advertising costs, partially offset by a decrease in spending in social media costs. Personnel and overhead costs increased $8 million during the three months ended March 31, 2013 when compared to the same period in 2012, primarily due to an increase in headcount to support business growth, including international expansion.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2013</w:t>
            </w:r>
          </w:p>
        </w:tc>
        <w:tc>
          <w:tcPr>
            <w:tcW w:w="7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22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61"/>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115"/>
        </w:trPr>
        <w:tc>
          <w:tcPr>
            <w:tcW w:w="43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6"/>
        </w:trPr>
        <w:tc>
          <w:tcPr>
            <w:tcW w:w="4340" w:type="dxa"/>
            <w:vAlign w:val="bottom"/>
          </w:tcPr>
          <w:p>
            <w:pPr>
              <w:spacing w:after="0"/>
              <w:rPr>
                <w:sz w:val="20"/>
                <w:szCs w:val="20"/>
                <w:color w:val="auto"/>
              </w:rPr>
            </w:pPr>
            <w:r>
              <w:rPr>
                <w:rFonts w:ascii="Arial" w:cs="Arial" w:eastAsia="Arial" w:hAnsi="Arial"/>
                <w:sz w:val="18"/>
                <w:szCs w:val="18"/>
                <w:color w:val="auto"/>
              </w:rPr>
              <w:t>% of revenue</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w w:val="82"/>
              </w:rPr>
              <w:t>9.7%</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5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Technology and content costs increased $11 million during the three months ended March 31, 2013 when compared to the same period in 2012, primarily due to increased personnel costs from increased headcount to support business growth, including international expansion, enhanced site features, extending our products onto smartphone and tablet platforms, and development of our new hotel metasearch product, as well as an increase in stock based compensation primarily related to additional grants subsequent to the Spin-Off.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61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2013 vs 2012</w:t>
            </w:r>
          </w:p>
        </w:tc>
        <w:tc>
          <w:tcPr>
            <w:tcW w:w="14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40" w:type="dxa"/>
            <w:vAlign w:val="bottom"/>
          </w:tcPr>
          <w:p>
            <w:pPr>
              <w:spacing w:after="0"/>
              <w:rPr>
                <w:sz w:val="18"/>
                <w:szCs w:val="18"/>
                <w:color w:val="auto"/>
              </w:rPr>
            </w:pPr>
          </w:p>
        </w:tc>
        <w:tc>
          <w:tcPr>
            <w:tcW w:w="1160" w:type="dxa"/>
            <w:vAlign w:val="bottom"/>
            <w:gridSpan w:val="2"/>
          </w:tcPr>
          <w:p>
            <w:pPr>
              <w:jc w:val="right"/>
              <w:ind w:right="79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115"/>
        </w:trPr>
        <w:tc>
          <w:tcPr>
            <w:tcW w:w="6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6"/>
        </w:trPr>
        <w:tc>
          <w:tcPr>
            <w:tcW w:w="6140" w:type="dxa"/>
            <w:vAlign w:val="bottom"/>
          </w:tcPr>
          <w:p>
            <w:pPr>
              <w:ind w:left="4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4"/>
                <w:szCs w:val="24"/>
                <w:color w:val="auto"/>
              </w:rPr>
            </w:pPr>
          </w:p>
        </w:tc>
        <w:tc>
          <w:tcPr>
            <w:tcW w:w="1160" w:type="dxa"/>
            <w:vAlign w:val="bottom"/>
            <w:gridSpan w:val="2"/>
          </w:tcPr>
          <w:p>
            <w:pPr>
              <w:jc w:val="right"/>
              <w:ind w:right="65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8.8%</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75" w:lineRule="exact"/>
        <w:rPr>
          <w:sz w:val="20"/>
          <w:szCs w:val="20"/>
          <w:color w:val="auto"/>
        </w:rPr>
      </w:pPr>
    </w:p>
    <w:p>
      <w:pPr>
        <w:jc w:val="both"/>
        <w:ind w:left="460" w:firstLine="438"/>
        <w:spacing w:after="0" w:line="335" w:lineRule="auto"/>
        <w:rPr>
          <w:sz w:val="20"/>
          <w:szCs w:val="20"/>
          <w:color w:val="auto"/>
        </w:rPr>
      </w:pPr>
      <w:r>
        <w:rPr>
          <w:rFonts w:ascii="Arial" w:cs="Arial" w:eastAsia="Arial" w:hAnsi="Arial"/>
          <w:sz w:val="15"/>
          <w:szCs w:val="15"/>
          <w:color w:val="auto"/>
        </w:rPr>
        <w:t>General and administrative costs increased $6 million during the three months ended March 31, 2013, when compared to the same periods in 2012, primarily due to increased personnel costs related to an increase in stock based compensation, as well as increased headcount to support business growth and additional professional service fees in order to support our operations as a standalone public company and an increase in our bad debt provision.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5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120" w:type="dxa"/>
            <w:vAlign w:val="bottom"/>
          </w:tcPr>
          <w:p>
            <w:pPr>
              <w:spacing w:after="0"/>
              <w:rPr>
                <w:sz w:val="14"/>
                <w:szCs w:val="14"/>
                <w:color w:val="auto"/>
              </w:rPr>
            </w:pPr>
          </w:p>
        </w:tc>
        <w:tc>
          <w:tcPr>
            <w:tcW w:w="1300" w:type="dxa"/>
            <w:vAlign w:val="bottom"/>
          </w:tcPr>
          <w:p>
            <w:pPr>
              <w:jc w:val="center"/>
              <w:ind w:left="386"/>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42"/>
        </w:trPr>
        <w:tc>
          <w:tcPr>
            <w:tcW w:w="612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88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2013 vs 2012</w:t>
            </w:r>
          </w:p>
        </w:tc>
        <w:tc>
          <w:tcPr>
            <w:tcW w:w="14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1300" w:type="dxa"/>
            <w:vAlign w:val="bottom"/>
          </w:tcPr>
          <w:p>
            <w:pPr>
              <w:jc w:val="center"/>
              <w:ind w:left="38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00" w:type="dxa"/>
            <w:vAlign w:val="bottom"/>
            <w:shd w:val="clear" w:color="auto" w:fill="CCEEFF"/>
          </w:tcPr>
          <w:p>
            <w:pPr>
              <w:jc w:val="right"/>
              <w:ind w:right="806"/>
              <w:spacing w:after="0"/>
              <w:rPr>
                <w:sz w:val="20"/>
                <w:szCs w:val="20"/>
                <w:color w:val="auto"/>
              </w:rPr>
            </w:pPr>
            <w:r>
              <w:rPr>
                <w:rFonts w:ascii="Arial" w:cs="Arial" w:eastAsia="Arial" w:hAnsi="Arial"/>
                <w:sz w:val="18"/>
                <w:szCs w:val="18"/>
                <w:color w:val="auto"/>
              </w:rPr>
              <w:t>$   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 of revenue</w:t>
            </w:r>
          </w:p>
        </w:tc>
        <w:tc>
          <w:tcPr>
            <w:tcW w:w="1300" w:type="dxa"/>
            <w:vAlign w:val="bottom"/>
          </w:tcPr>
          <w:p>
            <w:pPr>
              <w:jc w:val="right"/>
              <w:ind w:right="66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Depreciation increased $2 million during the three months ended March 31, 2013 when compared to the same period in 2012, primarily due to increased amortization related to website development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8"/>
              </w:rPr>
              <w:t>Three Months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jc w:val="center"/>
              <w:ind w:left="412"/>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4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8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2012</w:t>
            </w:r>
          </w:p>
        </w:tc>
        <w:tc>
          <w:tcPr>
            <w:tcW w:w="8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22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Pr>
          <w:p>
            <w:pPr>
              <w:jc w:val="center"/>
              <w:ind w:left="41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 of revenue</w:t>
            </w:r>
          </w:p>
        </w:tc>
        <w:tc>
          <w:tcPr>
            <w:tcW w:w="3160" w:type="dxa"/>
            <w:vAlign w:val="bottom"/>
            <w:gridSpan w:val="2"/>
          </w:tcPr>
          <w:p>
            <w:pPr>
              <w:jc w:val="right"/>
              <w:ind w:right="65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 amortization is not material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primarily related to interest incurred on our Term Loan and credit facilities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and losses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8"/>
              </w:rPr>
              <w:t>Three Months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3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 Change</w:t>
            </w:r>
          </w:p>
        </w:tc>
      </w:tr>
      <w:tr>
        <w:trPr>
          <w:trHeight w:val="142"/>
        </w:trPr>
        <w:tc>
          <w:tcPr>
            <w:tcW w:w="3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2012</w:t>
            </w:r>
          </w:p>
        </w:tc>
        <w:tc>
          <w:tcPr>
            <w:tcW w:w="7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2013 vs 2012</w:t>
            </w:r>
          </w:p>
        </w:tc>
        <w:tc>
          <w:tcPr>
            <w:tcW w:w="22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Effective tax rate</w:t>
            </w:r>
          </w:p>
        </w:tc>
        <w:tc>
          <w:tcPr>
            <w:tcW w:w="4200" w:type="dxa"/>
            <w:vAlign w:val="bottom"/>
            <w:gridSpan w:val="3"/>
          </w:tcPr>
          <w:p>
            <w:pPr>
              <w:jc w:val="right"/>
              <w:ind w:right="626"/>
              <w:spacing w:after="0"/>
              <w:rPr>
                <w:sz w:val="20"/>
                <w:szCs w:val="20"/>
                <w:color w:val="auto"/>
              </w:rPr>
            </w:pPr>
            <w:r>
              <w:rPr>
                <w:rFonts w:ascii="Arial" w:cs="Arial" w:eastAsia="Arial" w:hAnsi="Arial"/>
                <w:sz w:val="18"/>
                <w:szCs w:val="18"/>
                <w:color w:val="auto"/>
              </w:rPr>
              <w:t>26.2%</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56"/>
        </w:trPr>
        <w:tc>
          <w:tcPr>
            <w:tcW w:w="3300" w:type="dxa"/>
            <w:vAlign w:val="bottom"/>
          </w:tcPr>
          <w:p>
            <w:pPr>
              <w:spacing w:after="0"/>
              <w:rPr>
                <w:sz w:val="24"/>
                <w:szCs w:val="24"/>
                <w:color w:val="auto"/>
              </w:rPr>
            </w:pPr>
          </w:p>
        </w:tc>
        <w:tc>
          <w:tcPr>
            <w:tcW w:w="2900" w:type="dxa"/>
            <w:vAlign w:val="bottom"/>
          </w:tcPr>
          <w:p>
            <w:pPr>
              <w:jc w:val="right"/>
              <w:ind w:right="1232"/>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15" w:right="419" w:bottom="1440" w:gutter="0" w:footer="0" w:header="0"/>
        </w:sectPr>
      </w:pPr>
    </w:p>
    <w:bookmarkStart w:id="29" w:name="page30"/>
    <w:bookmarkEnd w:id="29"/>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months ended March 31, 2013,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2013 compared to the 2012 rate was primarily due to an increase in earnings in jurisdictions outside the United States as well as the internal restructuring that was implemented in the last quarter of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information on our relationships with Expedia and Liberty Interactive Corporation, including recent material transactions, refer to “Note 11—</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in the notes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for further information on current year equity award activity, including the issuance of 1,414,861 primarily service based stock options with a weighted average grant-date fair value per option of $22.68 and 860,072 RSU’s with a weighted average grant-date fair value of $45.26 during the three months ended March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principal sources of liquidity are cash flows generated from operations. At March 31, 2013 and December 31, 2012 we had $597 million and $586 million, respectively, of cash, cash equivalents and short and long-term available-for-sale marketable securities. As of March 31, 2013 approximately $310 million of our cash, cash equivalents, and short and long-term marketable securities are held by our international subsidiaries, primarily in the United Kingdom, and are related to earnings we intend to reinvest permanently outside the United States. Should we distribute earnings of foreign subsidiaries in the form of dividends or otherwise, we may be subject to U.S. income taxes. Cumulative undistributed earnings of foreign subsidiaries that we intend to indefinitely reinvest outside of the United States totaled approximately $399 million as of March 31, 2013.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Historically, the cash we generate has been sufficient to fund our working capital requirements, capital expenditures and to meet our long term debt obligations and commitments. Management believes that our cash and cash equivalents, combined with expected cash flows generated by operating activities and available cash from our credit facilities will be sufficient to fund our ongoing working capital requirements, capital expenditures, business growth initiatives, meet our long term debt obligations and commitments, share repurchases and fund any potential acquisitions for at least the next 12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March 31, 2013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$1 million per annum.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3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Loan principal is currently repayable in quarterly installments on the last day of each calendar quarter equal to 2.5% of the original principal amount with the balance due on the final maturity date. A principal payment of $10 million was made during the three months ended March 31, 2013.</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 As of March 31, 2013 there are no outstanding borrowings under our Revolving Credit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2013 and 2012, we recorded total interest and commitment fees on our Credit Agreement of $2.1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$2.3 million, respectively, to interest expense on our consolidated statement of operations. All unpaid interest and commitment fee amounts as of March 31, 2013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2012 were not material.</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future minimum principal payment obligations due under the Credit Agreement related to our Term Loan is as follows as of March 31, 2013 (in millions):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0" w:type="dxa"/>
            <w:vAlign w:val="bottom"/>
            <w:gridSpan w:val="4"/>
          </w:tcPr>
          <w:p>
            <w:pPr>
              <w:ind w:left="318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jc w:val="right"/>
              <w:ind w:right="3092"/>
              <w:spacing w:after="0" w:line="202" w:lineRule="exact"/>
              <w:rPr>
                <w:sz w:val="20"/>
                <w:szCs w:val="20"/>
                <w:color w:val="auto"/>
              </w:rPr>
            </w:pPr>
            <w:r>
              <w:rPr>
                <w:rFonts w:ascii="Arial" w:cs="Arial" w:eastAsia="Arial" w:hAnsi="Arial"/>
                <w:sz w:val="18"/>
                <w:szCs w:val="18"/>
                <w:color w:val="auto"/>
              </w:rPr>
              <w:t>2013</w:t>
            </w:r>
          </w:p>
        </w:tc>
        <w:tc>
          <w:tcPr>
            <w:tcW w:w="3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jc w:val="right"/>
              <w:ind w:right="3092"/>
              <w:spacing w:after="0"/>
              <w:rPr>
                <w:sz w:val="20"/>
                <w:szCs w:val="20"/>
                <w:color w:val="auto"/>
              </w:rPr>
            </w:pPr>
            <w:r>
              <w:rPr>
                <w:rFonts w:ascii="Arial" w:cs="Arial" w:eastAsia="Arial" w:hAnsi="Arial"/>
                <w:sz w:val="18"/>
                <w:szCs w:val="18"/>
                <w:color w:val="auto"/>
              </w:rPr>
              <w:t>2014</w:t>
            </w:r>
          </w:p>
        </w:tc>
        <w:tc>
          <w:tcPr>
            <w:tcW w:w="336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jc w:val="right"/>
              <w:ind w:right="3092"/>
              <w:spacing w:after="0"/>
              <w:rPr>
                <w:sz w:val="20"/>
                <w:szCs w:val="20"/>
                <w:color w:val="auto"/>
              </w:rPr>
            </w:pPr>
            <w:r>
              <w:rPr>
                <w:rFonts w:ascii="Arial" w:cs="Arial" w:eastAsia="Arial" w:hAnsi="Arial"/>
                <w:sz w:val="18"/>
                <w:szCs w:val="18"/>
                <w:color w:val="auto"/>
              </w:rPr>
              <w:t>2015</w:t>
            </w:r>
          </w:p>
        </w:tc>
        <w:tc>
          <w:tcPr>
            <w:tcW w:w="33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jc w:val="right"/>
              <w:ind w:right="3092"/>
              <w:spacing w:after="0"/>
              <w:rPr>
                <w:sz w:val="20"/>
                <w:szCs w:val="20"/>
                <w:color w:val="auto"/>
              </w:rPr>
            </w:pPr>
            <w:r>
              <w:rPr>
                <w:rFonts w:ascii="Arial" w:cs="Arial" w:eastAsia="Arial" w:hAnsi="Arial"/>
                <w:sz w:val="18"/>
                <w:szCs w:val="18"/>
                <w:color w:val="auto"/>
              </w:rPr>
              <w:t>2016</w:t>
            </w:r>
          </w:p>
        </w:tc>
        <w:tc>
          <w:tcPr>
            <w:tcW w:w="336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jc w:val="right"/>
              <w:ind w:right="3512"/>
              <w:spacing w:after="0"/>
              <w:rPr>
                <w:sz w:val="20"/>
                <w:szCs w:val="20"/>
                <w:color w:val="auto"/>
              </w:rPr>
            </w:pPr>
            <w:r>
              <w:rPr>
                <w:rFonts w:ascii="Arial" w:cs="Arial" w:eastAsia="Arial" w:hAnsi="Arial"/>
                <w:sz w:val="18"/>
                <w:szCs w:val="18"/>
                <w:color w:val="auto"/>
                <w:w w:val="79"/>
              </w:rPr>
              <w:t>Total</w:t>
            </w:r>
          </w:p>
        </w:tc>
        <w:tc>
          <w:tcPr>
            <w:tcW w:w="33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we believe we are in compliance with all of our debt covenants.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Refer to “Note 5—</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for additional information on our Credit Agreement. The full text of the Credit Agreement, by and among TripAdvisor, TripAdvisor Holdings, LLC, and TripAdvisor LLC, the lenders party thereto, JPMorgan Chase Bank, N.A., as administrative agent, and J.P. Morgan Europe Limited, as London agent, dated as of December 20, 2011, is incorporated by reference on our Annual Report on Form 10-K, filed on February 15, 2013 for the year ended December 31, 2012, as Exhibit 4.2.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March 31, 2013 and December 31, 2012, we had $21.3 million and $32.1 million of short term borrowings outstanding, respectively.</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three months ended March 31, 2013, we made a payment inclusive of interest of RMB 68,283,570 (approximately $10.9 million). We currently have $11.0 million of outstanding borrowings from this credit facility as of March 31, 2013. Our Chinese Credit Facility—BOA currently bears interest based at 100% of the People’s Bank of China’s base rate and was 5.6% as of March 31, 2013.</w:t>
      </w:r>
    </w:p>
    <w:p>
      <w:pPr>
        <w:spacing w:after="0" w:line="1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During the three months ended March 31, 2013, we made a payment inclusive of interest of RMB 24,281,546 (approximately $3.9 million). We currently have $10.3 million of outstanding borrowings from this credit facility as of March 31, 2013. Our Chinese Credit Facility—JPM currently bears interest based at 100% of the People’s Bank of China’s base rate and was 5.6% as of March 31,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6000" w:type="dxa"/>
            <w:vAlign w:val="bottom"/>
            <w:gridSpan w:val="2"/>
          </w:tcPr>
          <w:p>
            <w:pPr>
              <w:jc w:val="right"/>
              <w:ind w:right="2392"/>
              <w:spacing w:after="0"/>
              <w:rPr>
                <w:sz w:val="20"/>
                <w:szCs w:val="20"/>
                <w:color w:val="auto"/>
              </w:rPr>
            </w:pPr>
            <w:r>
              <w:rPr>
                <w:rFonts w:ascii="Arial" w:cs="Arial" w:eastAsia="Arial" w:hAnsi="Arial"/>
                <w:sz w:val="18"/>
                <w:szCs w:val="18"/>
                <w:b w:val="1"/>
                <w:bCs w:val="1"/>
                <w:i w:val="1"/>
                <w:iCs w:val="1"/>
                <w:color w:val="auto"/>
                <w:w w:val="83"/>
              </w:rPr>
              <w:t>Consolidated Cash Flow Statements Discussion:</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000" w:type="dxa"/>
            <w:vAlign w:val="bottom"/>
            <w:gridSpan w:val="2"/>
          </w:tcPr>
          <w:p>
            <w:pPr>
              <w:jc w:val="right"/>
              <w:ind w:right="2392"/>
              <w:spacing w:after="0"/>
              <w:rPr>
                <w:sz w:val="20"/>
                <w:szCs w:val="20"/>
                <w:color w:val="auto"/>
              </w:rPr>
            </w:pPr>
            <w:r>
              <w:rPr>
                <w:rFonts w:ascii="Arial" w:cs="Arial" w:eastAsia="Arial" w:hAnsi="Arial"/>
                <w:sz w:val="18"/>
                <w:szCs w:val="18"/>
                <w:color w:val="auto"/>
              </w:rPr>
              <w:t>Our cash flows are as follows (in millions):</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1380" w:type="dxa"/>
            <w:vAlign w:val="bottom"/>
          </w:tcPr>
          <w:p>
            <w:pPr>
              <w:spacing w:after="0"/>
              <w:rPr>
                <w:sz w:val="17"/>
                <w:szCs w:val="17"/>
                <w:color w:val="auto"/>
              </w:rPr>
            </w:pPr>
          </w:p>
        </w:tc>
        <w:tc>
          <w:tcPr>
            <w:tcW w:w="4620" w:type="dxa"/>
            <w:vAlign w:val="bottom"/>
            <w:shd w:val="clear" w:color="auto" w:fill="CCEEFF"/>
          </w:tcPr>
          <w:p>
            <w:pPr>
              <w:jc w:val="center"/>
              <w:ind w:right="2332"/>
              <w:spacing w:after="0" w:line="196" w:lineRule="exact"/>
              <w:rPr>
                <w:sz w:val="20"/>
                <w:szCs w:val="20"/>
                <w:color w:val="auto"/>
              </w:rPr>
            </w:pPr>
            <w:r>
              <w:rPr>
                <w:rFonts w:ascii="Arial" w:cs="Arial" w:eastAsia="Arial" w:hAnsi="Arial"/>
                <w:sz w:val="18"/>
                <w:szCs w:val="18"/>
                <w:color w:val="auto"/>
                <w:w w:val="88"/>
              </w:rPr>
              <w:t>Net cash provided by (used in):</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4620" w:type="dxa"/>
            <w:vAlign w:val="bottom"/>
          </w:tcPr>
          <w:p>
            <w:pPr>
              <w:jc w:val="center"/>
              <w:ind w:right="2272"/>
              <w:spacing w:after="0"/>
              <w:rPr>
                <w:sz w:val="20"/>
                <w:szCs w:val="20"/>
                <w:color w:val="auto"/>
              </w:rPr>
            </w:pPr>
            <w:r>
              <w:rPr>
                <w:rFonts w:ascii="Arial" w:cs="Arial" w:eastAsia="Arial" w:hAnsi="Arial"/>
                <w:sz w:val="18"/>
                <w:szCs w:val="18"/>
                <w:color w:val="auto"/>
                <w:w w:val="90"/>
              </w:rPr>
              <w:t>Operating activities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20" w:type="dxa"/>
            <w:vAlign w:val="bottom"/>
            <w:shd w:val="clear" w:color="auto" w:fill="CCEEFF"/>
          </w:tcPr>
          <w:p>
            <w:pPr>
              <w:jc w:val="center"/>
              <w:ind w:right="2332"/>
              <w:spacing w:after="0"/>
              <w:rPr>
                <w:sz w:val="20"/>
                <w:szCs w:val="20"/>
                <w:color w:val="auto"/>
              </w:rPr>
            </w:pPr>
            <w:r>
              <w:rPr>
                <w:rFonts w:ascii="Arial" w:cs="Arial" w:eastAsia="Arial" w:hAnsi="Arial"/>
                <w:sz w:val="18"/>
                <w:szCs w:val="18"/>
                <w:color w:val="auto"/>
                <w:w w:val="90"/>
              </w:rPr>
              <w:t>Investing activities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1380" w:type="dxa"/>
            <w:vAlign w:val="bottom"/>
          </w:tcPr>
          <w:p>
            <w:pPr>
              <w:spacing w:after="0"/>
              <w:rPr>
                <w:sz w:val="19"/>
                <w:szCs w:val="19"/>
                <w:color w:val="auto"/>
              </w:rPr>
            </w:pPr>
          </w:p>
        </w:tc>
        <w:tc>
          <w:tcPr>
            <w:tcW w:w="4620" w:type="dxa"/>
            <w:vAlign w:val="bottom"/>
          </w:tcPr>
          <w:p>
            <w:pPr>
              <w:jc w:val="center"/>
              <w:ind w:right="2272"/>
              <w:spacing w:after="0"/>
              <w:rPr>
                <w:sz w:val="20"/>
                <w:szCs w:val="20"/>
                <w:color w:val="auto"/>
              </w:rPr>
            </w:pPr>
            <w:r>
              <w:rPr>
                <w:rFonts w:ascii="Arial" w:cs="Arial" w:eastAsia="Arial" w:hAnsi="Arial"/>
                <w:sz w:val="18"/>
                <w:szCs w:val="18"/>
                <w:color w:val="auto"/>
                <w:w w:val="90"/>
              </w:rPr>
              <w:t>Financing activities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months ended March 31, 2013, net cash provided by operating activities increased by $14 million or 47% when compared to the same period in 2012, primarily due to an increase in net income of $14 million and an increase in non-cash items not affecting cash flows of $12 million, which is primarily related to increased stock based compensation, offset by a decrease in working capital movements of $12 million. The decrease in working capital movements in 2013 vs. 2012 was primarily driven by the timing of customer and related party cash receipts and the timing of tax and vendor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three months ended March 31, 2013, net cash provided by investing activities decreased by $179 million when compared to the same period in 2012, primarily due to the purchase of $214 million of marketable securities, offset partially by the sale and maturity proceeds from marketable securities of $45 million. In addition, we received $7 million during the three months ended March 31, 2012 from Expedia related to the Spin-Off, which did not reoccur in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March 31, 2013, net cash provided by financing activities decreased by $15 million when compared to the same period in 2012 primarily due to an increase of $5 million in principal payments on our term loan, an increase in payments of minimum withholding taxes related to net share settlement of equity awards of $2 million, a reduction in proceeds from the exercise of our stock options of $2 million and a $15 million repayment of our outstanding borrowings on our Chinese Credit Facilities. This was offset a $10 million repayment of our outstanding borrowing on our Revolving Credit Facility in 2012 that did not reoccur in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Commercial Commitments and 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outside the normal course of business to our contractual obligations and commercial commitments since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(Refer to “Contractual Obligations, Commercial Commitments and Off-Balance Sheet Arrangements” in Item 7—Management’s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Analysis of Financial Condition and Results of Operations of our Annual Report on Form 10-K filed on February 15, 2013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March 31, 2013, we did not have any off-balance sheet arrangements that have, or are reasonably likely to have, a current or future effect on our financial condition, results of operations, liquidity, capital expenditures or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2" w:name="page33"/>
    <w:bookmarkEnd w:id="3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There has been no material change in our market risk profile during the three months ended March 31, 2013. For additional information, see Item 7A, Quantitative and Qualitative Disclosures About Market Risk, in Part II of our Annual Report on Form 10-K for the year ended December 31, 2012.</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31, 2013,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2013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factors discussed in Part I—Item 1A., “Risk Factors” in our Annual Report on Form 10-K for the year ended December 31, 2012 which could materially affect our business, financial condition or future results. During the quarter ended March 31, 2013, there have been no material changes in our risk factors from those disclosed in Part 1, Item 1A., “Risk Factors” in our Annual Report on Form 10-K for the fiscal year ended December 31, 2012.</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During the quarter ended March 31, 2013,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set forth in the table below, we did not repurchase any shares of our common stock during the quarter ended March 31,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2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as Part of</w:t>
            </w:r>
          </w:p>
        </w:tc>
        <w:tc>
          <w:tcPr>
            <w:tcW w:w="1620" w:type="dxa"/>
            <w:vAlign w:val="bottom"/>
          </w:tcPr>
          <w:p>
            <w:pPr>
              <w:jc w:val="center"/>
              <w:ind w:left="388"/>
              <w:spacing w:after="0" w:line="135"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Plans or</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Programs</w:t>
            </w:r>
          </w:p>
        </w:tc>
        <w:tc>
          <w:tcPr>
            <w:tcW w:w="16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(2)</w:t>
            </w:r>
          </w:p>
        </w:tc>
        <w:tc>
          <w:tcPr>
            <w:tcW w:w="1620" w:type="dxa"/>
            <w:vAlign w:val="bottom"/>
          </w:tcPr>
          <w:p>
            <w:pPr>
              <w:jc w:val="center"/>
              <w:ind w:left="388"/>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January 1 to January 31</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388"/>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580" w:type="dxa"/>
            <w:vAlign w:val="bottom"/>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jc w:val="center"/>
              <w:ind w:left="388"/>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March 1 to March 31</w:t>
            </w: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388"/>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amounts include fees and commissions associated with the share repurchase.</w:t>
      </w:r>
    </w:p>
    <w:p>
      <w:pPr>
        <w:spacing w:after="0" w:line="15" w:lineRule="exact"/>
        <w:rPr>
          <w:rFonts w:ascii="Arial" w:cs="Arial" w:eastAsia="Arial" w:hAnsi="Arial"/>
          <w:sz w:val="18"/>
          <w:szCs w:val="18"/>
          <w:color w:val="auto"/>
        </w:rPr>
      </w:pPr>
    </w:p>
    <w:p>
      <w:pPr>
        <w:ind w:left="46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February 2013, we announced that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2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Filed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No.</w:t>
            </w:r>
          </w:p>
        </w:tc>
        <w:tc>
          <w:tcPr>
            <w:tcW w:w="268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268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Herewith</w:t>
            </w:r>
          </w:p>
        </w:tc>
        <w:tc>
          <w:tcPr>
            <w:tcW w:w="76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9"/>
              </w:rPr>
              <w:t>Incorporated by Reference</w:t>
            </w:r>
          </w:p>
        </w:tc>
        <w:tc>
          <w:tcPr>
            <w:tcW w:w="100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SEC File No.</w:t>
            </w:r>
          </w:p>
        </w:tc>
        <w:tc>
          <w:tcPr>
            <w:tcW w:w="2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Filing Date</w:t>
            </w:r>
          </w:p>
        </w:tc>
      </w:tr>
      <w:tr>
        <w:trPr>
          <w:trHeight w:val="302"/>
        </w:trPr>
        <w:tc>
          <w:tcPr>
            <w:tcW w:w="460" w:type="dxa"/>
            <w:vAlign w:val="bottom"/>
          </w:tcPr>
          <w:p>
            <w:pPr>
              <w:jc w:val="right"/>
              <w:ind w:right="18"/>
              <w:spacing w:after="0"/>
              <w:rPr>
                <w:sz w:val="20"/>
                <w:szCs w:val="20"/>
                <w:color w:val="auto"/>
              </w:rPr>
            </w:pPr>
            <w:r>
              <w:rPr>
                <w:rFonts w:ascii="Arial" w:cs="Arial" w:eastAsia="Arial" w:hAnsi="Arial"/>
                <w:sz w:val="18"/>
                <w:szCs w:val="18"/>
                <w:color w:val="auto"/>
              </w:rPr>
              <w:t>3.1</w:t>
            </w: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Amendment No. 1 to the Amended and Restated By-Laws of TripAdvisor, Inc.</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8-K</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001-35362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8"/>
              </w:rPr>
              <w:t>February 12, 2013</w:t>
            </w:r>
          </w:p>
        </w:tc>
      </w:tr>
      <w:tr>
        <w:trPr>
          <w:trHeight w:val="318"/>
        </w:trPr>
        <w:tc>
          <w:tcPr>
            <w:tcW w:w="460" w:type="dxa"/>
            <w:vAlign w:val="bottom"/>
          </w:tcPr>
          <w:p>
            <w:pPr>
              <w:jc w:val="right"/>
              <w:ind w:right="18"/>
              <w:spacing w:after="0"/>
              <w:rPr>
                <w:sz w:val="20"/>
                <w:szCs w:val="20"/>
                <w:color w:val="auto"/>
              </w:rPr>
            </w:pPr>
            <w:r>
              <w:rPr>
                <w:rFonts w:ascii="Arial" w:cs="Arial" w:eastAsia="Arial" w:hAnsi="Arial"/>
                <w:sz w:val="18"/>
                <w:szCs w:val="18"/>
                <w:color w:val="auto"/>
                <w:w w:val="96"/>
              </w:rPr>
              <w:t>31.1</w:t>
            </w: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4"/>
              </w:rPr>
              <w:t>Certification of the Chief Executive Officer Pursuant to Section 302 of the Sarbanes-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Oxley Act of 2002</w:t>
            </w:r>
          </w:p>
        </w:tc>
        <w:tc>
          <w:tcPr>
            <w:tcW w:w="134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8"/>
        </w:trPr>
        <w:tc>
          <w:tcPr>
            <w:tcW w:w="460" w:type="dxa"/>
            <w:vAlign w:val="bottom"/>
          </w:tcPr>
          <w:p>
            <w:pPr>
              <w:jc w:val="right"/>
              <w:ind w:right="18"/>
              <w:spacing w:after="0"/>
              <w:rPr>
                <w:sz w:val="20"/>
                <w:szCs w:val="20"/>
                <w:color w:val="auto"/>
              </w:rPr>
            </w:pPr>
            <w:r>
              <w:rPr>
                <w:rFonts w:ascii="Arial" w:cs="Arial" w:eastAsia="Arial" w:hAnsi="Arial"/>
                <w:sz w:val="18"/>
                <w:szCs w:val="18"/>
                <w:color w:val="auto"/>
                <w:w w:val="96"/>
              </w:rPr>
              <w:t>31.2</w:t>
            </w: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8"/>
              </w:rPr>
              <w:t>Certification of the Chief Financial Officer pursuant Section 302 of the Sarbanes-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Oxley Act of 2002</w:t>
            </w:r>
          </w:p>
        </w:tc>
        <w:tc>
          <w:tcPr>
            <w:tcW w:w="134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8"/>
        </w:trPr>
        <w:tc>
          <w:tcPr>
            <w:tcW w:w="460" w:type="dxa"/>
            <w:vAlign w:val="bottom"/>
          </w:tcPr>
          <w:p>
            <w:pPr>
              <w:jc w:val="right"/>
              <w:ind w:right="18"/>
              <w:spacing w:after="0"/>
              <w:rPr>
                <w:sz w:val="20"/>
                <w:szCs w:val="20"/>
                <w:color w:val="auto"/>
              </w:rPr>
            </w:pPr>
            <w:r>
              <w:rPr>
                <w:rFonts w:ascii="Arial" w:cs="Arial" w:eastAsia="Arial" w:hAnsi="Arial"/>
                <w:sz w:val="18"/>
                <w:szCs w:val="18"/>
                <w:color w:val="auto"/>
                <w:w w:val="96"/>
              </w:rPr>
              <w:t>32.1</w:t>
            </w: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7"/>
              </w:rPr>
              <w:t>Certification of the Chief Executive Officer pursuant Section 906 of the Sarbanes-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Oxley Act of 2002</w:t>
            </w:r>
          </w:p>
        </w:tc>
        <w:tc>
          <w:tcPr>
            <w:tcW w:w="134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8"/>
        </w:trPr>
        <w:tc>
          <w:tcPr>
            <w:tcW w:w="460" w:type="dxa"/>
            <w:vAlign w:val="bottom"/>
          </w:tcPr>
          <w:p>
            <w:pPr>
              <w:jc w:val="right"/>
              <w:ind w:right="18"/>
              <w:spacing w:after="0"/>
              <w:rPr>
                <w:sz w:val="20"/>
                <w:szCs w:val="20"/>
                <w:color w:val="auto"/>
              </w:rPr>
            </w:pPr>
            <w:r>
              <w:rPr>
                <w:rFonts w:ascii="Arial" w:cs="Arial" w:eastAsia="Arial" w:hAnsi="Arial"/>
                <w:sz w:val="18"/>
                <w:szCs w:val="18"/>
                <w:color w:val="auto"/>
                <w:w w:val="96"/>
              </w:rPr>
              <w:t>32.2</w:t>
            </w: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w w:val="98"/>
              </w:rPr>
              <w:t>Certification of the Chief Financial Officer pursuant Section 906 of the Sarbanes-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6540" w:type="dxa"/>
            <w:vAlign w:val="bottom"/>
            <w:gridSpan w:val="3"/>
          </w:tcPr>
          <w:p>
            <w:pPr>
              <w:ind w:left="200"/>
              <w:spacing w:after="0"/>
              <w:rPr>
                <w:sz w:val="20"/>
                <w:szCs w:val="20"/>
                <w:color w:val="auto"/>
              </w:rPr>
            </w:pPr>
            <w:r>
              <w:rPr>
                <w:rFonts w:ascii="Arial" w:cs="Arial" w:eastAsia="Arial" w:hAnsi="Arial"/>
                <w:sz w:val="18"/>
                <w:szCs w:val="18"/>
                <w:color w:val="auto"/>
              </w:rPr>
              <w:t>Oxley Act of 2002</w:t>
            </w:r>
          </w:p>
        </w:tc>
        <w:tc>
          <w:tcPr>
            <w:tcW w:w="134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0" w:right="2260" w:hanging="659"/>
        <w:spacing w:after="0" w:line="255"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from the Company’s Quarterly Report on Form 10-Q for the period ended March 31, 2013, formatted in XBRL: (i) Unaudited Consolidated Statements of Operations, (ii) Unaudited Consolidated Statements of Comprehensive Income, (iii) Unaudited Consolidated Balance Sheets, (iv) Unaudited Consolidated Statement of Changes in Stockholders’ Equity, (v) Unaudited Consolidated Statements of Cash Flows, and (vi) Unaudited Notes to Consolidated Financial Statements.</w:t>
      </w:r>
    </w:p>
    <w:p>
      <w:pPr>
        <w:spacing w:after="0" w:line="183" w:lineRule="exact"/>
        <w:rPr>
          <w:sz w:val="20"/>
          <w:szCs w:val="20"/>
          <w:color w:val="auto"/>
        </w:rPr>
      </w:pPr>
    </w:p>
    <w:p>
      <w:pPr>
        <w:ind w:left="220" w:right="20" w:hanging="212"/>
        <w:spacing w:after="0" w:line="25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3" w:right="239" w:bottom="1440" w:gutter="0" w:footer="0" w:header="0"/>
        </w:sectPr>
      </w:pPr>
    </w:p>
    <w:bookmarkStart w:id="35" w:name="page36"/>
    <w:bookmarkEnd w:id="35"/>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ULIE</w:t>
      </w:r>
      <w:r>
        <w:rPr>
          <w:rFonts w:ascii="Arial" w:cs="Arial" w:eastAsia="Arial" w:hAnsi="Arial"/>
          <w:sz w:val="18"/>
          <w:szCs w:val="18"/>
          <w:color w:val="auto"/>
        </w:rPr>
        <w:t xml:space="preserve"> M.B.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Julie M.B. Bradley</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240" w:top="274" w:right="11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2013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2013,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2013,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2019-12-08T01:35:13Z</dcterms:created>
  <dcterms:modified xsi:type="dcterms:W3CDTF">2019-12-08T01:35:13Z</dcterms:modified>
</cp:coreProperties>
</file>