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p>
      <w:pPr>
        <w:spacing w:after="0" w:line="286"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80" w:space="720"/>
            <w:col w:w="2540"/>
          </w:cols>
          <w:pgMar w:left="240" w:top="341" w:right="219" w:bottom="1440" w:gutter="0" w:footer="0" w:header="0"/>
          <w:type w:val="continuous"/>
        </w:sectPr>
      </w:pPr>
    </w:p>
    <w:p>
      <w:pPr>
        <w:spacing w:after="0" w:line="12"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(State or other jurisdiction of</w:t>
      </w:r>
    </w:p>
    <w:p>
      <w:pPr>
        <w:ind w:left="26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8040" w:space="720"/>
            <w:col w:w="2680"/>
          </w:cols>
          <w:pgMar w:left="240" w:top="341" w:right="2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p>
      <w:pPr>
        <w:spacing w:after="0" w:line="391" w:lineRule="exact"/>
        <w:rPr>
          <w:sz w:val="24"/>
          <w:szCs w:val="24"/>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4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20" w:type="dxa"/>
            <w:vAlign w:val="bottom"/>
          </w:tcPr>
          <w:p>
            <w:pPr>
              <w:ind w:left="168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00" w:lineRule="exact"/>
        <w:rPr>
          <w:sz w:val="24"/>
          <w:szCs w:val="24"/>
          <w:color w:val="auto"/>
        </w:rPr>
      </w:pPr>
    </w:p>
    <w:p>
      <w:pPr>
        <w:ind w:right="1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44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960" w:type="dxa"/>
            <w:vAlign w:val="bottom"/>
            <w:gridSpan w:val="3"/>
          </w:tcPr>
          <w:p>
            <w:pPr>
              <w:jc w:val="center"/>
              <w:ind w:right="780"/>
              <w:spacing w:after="0"/>
              <w:rPr>
                <w:sz w:val="20"/>
                <w:szCs w:val="20"/>
                <w:color w:val="auto"/>
              </w:rPr>
            </w:pPr>
            <w:r>
              <w:rPr>
                <w:rFonts w:ascii="Arial" w:cs="Arial" w:eastAsia="Arial" w:hAnsi="Arial"/>
                <w:sz w:val="14"/>
                <w:szCs w:val="14"/>
                <w:color w:val="auto"/>
                <w:w w:val="85"/>
              </w:rPr>
              <w:t>Class</w:t>
            </w:r>
          </w:p>
        </w:tc>
        <w:tc>
          <w:tcPr>
            <w:tcW w:w="3440" w:type="dxa"/>
            <w:vAlign w:val="bottom"/>
          </w:tcPr>
          <w:p>
            <w:pPr>
              <w:jc w:val="center"/>
              <w:ind w:right="597"/>
              <w:spacing w:after="0"/>
              <w:rPr>
                <w:sz w:val="20"/>
                <w:szCs w:val="20"/>
                <w:color w:val="auto"/>
              </w:rPr>
            </w:pPr>
            <w:r>
              <w:rPr>
                <w:rFonts w:ascii="Arial" w:cs="Arial" w:eastAsia="Arial" w:hAnsi="Arial"/>
                <w:sz w:val="14"/>
                <w:szCs w:val="14"/>
                <w:color w:val="auto"/>
                <w:w w:val="91"/>
              </w:rPr>
              <w:t>Outstanding Shares at July 25, 2018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tcPr>
          <w:p>
            <w:pPr>
              <w:jc w:val="center"/>
              <w:ind w:right="597"/>
              <w:spacing w:after="0" w:line="169" w:lineRule="exact"/>
              <w:rPr>
                <w:sz w:val="20"/>
                <w:szCs w:val="20"/>
                <w:color w:val="auto"/>
              </w:rPr>
            </w:pPr>
            <w:r>
              <w:rPr>
                <w:rFonts w:ascii="Arial" w:cs="Arial" w:eastAsia="Arial" w:hAnsi="Arial"/>
                <w:sz w:val="18"/>
                <w:szCs w:val="18"/>
                <w:color w:val="auto"/>
                <w:w w:val="87"/>
              </w:rPr>
              <w:t>124,747,282 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780"/>
              <w:spacing w:after="0"/>
              <w:rPr>
                <w:sz w:val="20"/>
                <w:szCs w:val="20"/>
                <w:color w:val="auto"/>
              </w:rPr>
            </w:pPr>
            <w:r>
              <w:rPr>
                <w:rFonts w:ascii="Arial" w:cs="Arial" w:eastAsia="Arial" w:hAnsi="Arial"/>
                <w:sz w:val="18"/>
                <w:szCs w:val="18"/>
                <w:color w:val="auto"/>
                <w:w w:val="89"/>
              </w:rPr>
              <w:t>Class B common stock, $0.001 par value per share</w:t>
            </w:r>
          </w:p>
        </w:tc>
        <w:tc>
          <w:tcPr>
            <w:tcW w:w="3440" w:type="dxa"/>
            <w:vAlign w:val="bottom"/>
          </w:tcPr>
          <w:p>
            <w:pPr>
              <w:jc w:val="center"/>
              <w:ind w:right="57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94"/>
        </w:trPr>
        <w:tc>
          <w:tcPr>
            <w:tcW w:w="7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6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1060" w:type="dxa"/>
            <w:vAlign w:val="bottom"/>
            <w:gridSpan w:val="18"/>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60" w:type="dxa"/>
            <w:vAlign w:val="bottom"/>
            <w:gridSpan w:val="18"/>
          </w:tcPr>
          <w:p>
            <w:pPr>
              <w:spacing w:after="0"/>
              <w:rPr>
                <w:sz w:val="20"/>
                <w:szCs w:val="20"/>
                <w:color w:val="auto"/>
              </w:rPr>
            </w:pPr>
            <w:r>
              <w:rPr>
                <w:rFonts w:ascii="Arial" w:cs="Arial" w:eastAsia="Arial" w:hAnsi="Arial"/>
                <w:sz w:val="18"/>
                <w:szCs w:val="18"/>
                <w:color w:val="auto"/>
              </w:rPr>
              <w:t>Item 1. Unaudited Condensed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89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Operations for the Three and Six Months Ended June 30, 2018 and 2017</w:t>
              </w:r>
            </w:hyperlink>
          </w:p>
        </w:tc>
        <w:tc>
          <w:tcPr>
            <w:tcW w:w="172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17"/>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Unaudited Condensed Consolidated Statements of Comprehensive Income for the Three and Six Months Ended June 30, 2018 and 2017</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June 30, 2018 and December 31, 201</w:t>
              </w:r>
            </w:hyperlink>
            <w:r>
              <w:rPr>
                <w:rFonts w:ascii="Arial" w:cs="Arial" w:eastAsia="Arial" w:hAnsi="Arial"/>
                <w:sz w:val="18"/>
                <w:szCs w:val="18"/>
                <w:color w:val="000000"/>
              </w:rPr>
              <w:t>7</w:t>
            </w:r>
          </w:p>
        </w:tc>
        <w:tc>
          <w:tcPr>
            <w:tcW w:w="8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 of Changes in Stockholders’ Equity for the Six Months Ended June 30, 2018</w:t>
              </w:r>
            </w:hyperlink>
          </w:p>
        </w:tc>
        <w:tc>
          <w:tcPr>
            <w:tcW w:w="16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Six Months Ended June 30, 2018 and 2017</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3380" w:type="dxa"/>
            <w:vAlign w:val="bottom"/>
            <w:tcBorders>
              <w:top w:val="single" w:sz="8" w:color="0000EE"/>
            </w:tcBorders>
            <w:gridSpan w:val="2"/>
          </w:tcPr>
          <w:p>
            <w:pPr>
              <w:spacing w:after="0"/>
              <w:rPr>
                <w:sz w:val="17"/>
                <w:szCs w:val="17"/>
                <w:color w:val="auto"/>
              </w:rPr>
            </w:pPr>
          </w:p>
        </w:tc>
        <w:tc>
          <w:tcPr>
            <w:tcW w:w="24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3. Quantitative and Qualitative Disclosures about Market Risk</w:t>
              </w:r>
            </w:hyperlink>
          </w:p>
        </w:tc>
        <w:tc>
          <w:tcPr>
            <w:tcW w:w="2200" w:type="dxa"/>
            <w:vAlign w:val="bottom"/>
            <w:tcBorders>
              <w:top w:val="single" w:sz="8" w:color="0000EE"/>
            </w:tcBorders>
            <w:gridSpan w:val="3"/>
          </w:tcPr>
          <w:p>
            <w:pPr>
              <w:spacing w:after="0"/>
              <w:rPr>
                <w:sz w:val="17"/>
                <w:szCs w:val="17"/>
                <w:color w:val="auto"/>
              </w:rPr>
            </w:pPr>
          </w:p>
        </w:tc>
        <w:tc>
          <w:tcPr>
            <w:tcW w:w="39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4. Controls and Procedures</w:t>
              </w:r>
            </w:hyperlink>
          </w:p>
        </w:tc>
        <w:tc>
          <w:tcPr>
            <w:tcW w:w="872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2">
              <w:r>
                <w:rPr>
                  <w:rFonts w:ascii="Arial" w:cs="Arial" w:eastAsia="Arial" w:hAnsi="Arial"/>
                  <w:sz w:val="18"/>
                  <w:szCs w:val="18"/>
                  <w:b w:val="1"/>
                  <w:bCs w:val="1"/>
                  <w:color w:val="0000EE"/>
                  <w:w w:val="97"/>
                </w:rPr>
                <w:t>Part II—Other Information</w:t>
              </w:r>
            </w:hyperlink>
          </w:p>
        </w:tc>
        <w:tc>
          <w:tcPr>
            <w:tcW w:w="890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916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946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Item 2. Unregistered Sales of Equity Securities and Use of Proceeds</w:t>
              </w:r>
            </w:hyperlink>
          </w:p>
        </w:tc>
        <w:tc>
          <w:tcPr>
            <w:tcW w:w="614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3. Defaults Upon Senior Securities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18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Item 5. Other Information</w:t>
              </w:r>
            </w:hyperlink>
          </w:p>
        </w:tc>
        <w:tc>
          <w:tcPr>
            <w:tcW w:w="91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6. 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9900" w:type="dxa"/>
            <w:vAlign w:val="bottom"/>
            <w:gridSpan w:val="1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Cost of revenue (1)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 (2)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Technology and content (2)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 (2)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7"/>
              </w:rPr>
              <w:t>Earnings per share attributable to common stockholders (Note 4):</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0.23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0.23</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w w:val="96"/>
              </w:rPr>
              <w:t>Amortization of acquired technology included in amortization of</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8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website development costs included in</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w w:val="93"/>
              </w:rPr>
              <w:t>(2) Includes stock-based compensation expense as follows (Note 5):</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8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3" w:name="page4"/>
    <w:bookmarkEnd w:id="3"/>
    <w:p>
      <w:pPr>
        <w:jc w:val="center"/>
        <w:ind w:right="-38"/>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(in millions)</w:t>
      </w:r>
    </w:p>
    <w:p>
      <w:pPr>
        <w:spacing w:after="0" w:line="311" w:lineRule="exact"/>
        <w:rPr>
          <w:sz w:val="20"/>
          <w:szCs w:val="20"/>
          <w:color w:val="auto"/>
        </w:rPr>
      </w:pPr>
    </w:p>
    <w:tbl>
      <w:tblPr>
        <w:tblLayout w:type="fixed"/>
        <w:tblInd w:w="59"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gridSpan w:val="5"/>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 (1)</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(17)</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12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79" w:right="320" w:hanging="379"/>
        <w:spacing w:after="0" w:line="277" w:lineRule="auto"/>
        <w:tabs>
          <w:tab w:leader="none" w:pos="37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intention to indefinitely reinvest the earnings of our foreign subsidiaries in those operations.</w:t>
      </w:r>
    </w:p>
    <w:p>
      <w:pPr>
        <w:spacing w:after="0" w:line="34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39"/>
          </w:cols>
          <w:pgMar w:left="761" w:top="364"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6)</w:t>
            </w:r>
          </w:p>
        </w:tc>
        <w:tc>
          <w:tcPr>
            <w:tcW w:w="144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Short-term marketable securities (Note 6)</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6"/>
              </w:rPr>
              <w:t>Accounts receivable and contract assets, net of allowance for doubtful accounts of $18 and $16, respectively</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1,040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Long-term marketable securities (Note 6)</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net of accumulated depreciation of $216 and $177, respectively</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$124 and $112, respectively</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4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44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2,304</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70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44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debt (Note 7)</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4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Long-term debt (Note 7)</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w:t>
            </w:r>
          </w:p>
        </w:tc>
        <w:tc>
          <w:tcPr>
            <w:tcW w:w="4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4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957</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9)</w:t>
            </w: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spacing w:after="0"/>
              <w:rPr>
                <w:sz w:val="20"/>
                <w:szCs w:val="20"/>
                <w:color w:val="auto"/>
              </w:rPr>
            </w:pPr>
            <w:r>
              <w:rPr>
                <w:rFonts w:ascii="Arial" w:cs="Arial" w:eastAsia="Arial" w:hAnsi="Arial"/>
                <w:sz w:val="16"/>
                <w:szCs w:val="16"/>
                <w:color w:val="auto"/>
              </w:rPr>
              <w:t>Stockholders’ equity: (Note 10)</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6"/>
                <w:szCs w:val="16"/>
                <w:color w:val="auto"/>
              </w:rPr>
              <w:t>Authorized shares: 100,000,000</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0 and 0</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1,600,000,000</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6"/>
                <w:szCs w:val="16"/>
                <w:color w:val="auto"/>
              </w:rPr>
              <w:t>Shares issued: 136,778,032 and 135,617,263, respectively</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outstanding: 124,721,344 and 126,142,773, respectively</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400,000,000</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6"/>
                <w:szCs w:val="16"/>
                <w:color w:val="auto"/>
              </w:rPr>
              <w:t>Treasury stock-common stock, at cost, 12,056,688 and 9,474,490 shares, respectively</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(547)</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1,347</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44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2,304</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Class B</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comprehensive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0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90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r>
      <w:tr>
        <w:trPr>
          <w:trHeight w:val="205"/>
        </w:trPr>
        <w:tc>
          <w:tcPr>
            <w:tcW w:w="19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1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135,617,263</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(42)</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(9,474,490)</w:t>
            </w: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(447)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1,363</w:t>
            </w:r>
          </w:p>
        </w:tc>
        <w:tc>
          <w:tcPr>
            <w:tcW w:w="100" w:type="dxa"/>
            <w:vAlign w:val="bottom"/>
            <w:shd w:val="clear" w:color="auto" w:fill="CFF0FC"/>
          </w:tcPr>
          <w:p>
            <w:pPr>
              <w:spacing w:after="0"/>
              <w:rPr>
                <w:sz w:val="20"/>
                <w:szCs w:val="20"/>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15"/>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adjustment from</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accounting guidance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(Note 2)</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loss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5"/>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stock related to</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w w:val="96"/>
              </w:rPr>
              <w:t>exercises of options and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vesting of RSUs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1,160,769</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w w:val="98"/>
              </w:rPr>
              <w:t>Repurchase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stock</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(2,582,198)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5"/>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taxes 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w w:val="97"/>
              </w:rPr>
              <w:t>net share settlements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tcPr>
          <w:p>
            <w:pPr>
              <w:spacing w:after="0"/>
              <w:rPr>
                <w:sz w:val="20"/>
                <w:szCs w:val="20"/>
                <w:color w:val="auto"/>
              </w:rPr>
            </w:pPr>
          </w:p>
        </w:tc>
      </w:tr>
      <w:tr>
        <w:trPr>
          <w:trHeight w:val="205"/>
        </w:trPr>
        <w:tc>
          <w:tcPr>
            <w:tcW w:w="19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7"/>
              </w:rPr>
              <w:t>Balance as of June 30,</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1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136,778,032</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979</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966</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(51)</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99"/>
              </w:rPr>
              <w:t>(12,056,688)</w:t>
            </w: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1,347</w:t>
            </w:r>
          </w:p>
        </w:tc>
        <w:tc>
          <w:tcPr>
            <w:tcW w:w="100" w:type="dxa"/>
            <w:vAlign w:val="bottom"/>
            <w:shd w:val="clear" w:color="auto" w:fill="CFF0FC"/>
          </w:tcPr>
          <w:p>
            <w:pPr>
              <w:spacing w:after="0"/>
              <w:rPr>
                <w:sz w:val="20"/>
                <w:szCs w:val="20"/>
                <w:color w:val="auto"/>
              </w:rPr>
            </w:pP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merchant payables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Income tax receivables/payables, net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of marketable securities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Maturities of marketable securities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and other investments, net of cash acquired</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 common stock</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Proceeds from 2015 credit facility, net of financing costs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2015 credit facility</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(235)</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Payments to 2016 credit facility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Payments to Chinese credit facilities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5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5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6"/>
              </w:rPr>
              <w:t>Stock-based compensation capitalized with internal-use software and website development costs</w:t>
            </w:r>
          </w:p>
        </w:tc>
        <w:tc>
          <w:tcPr>
            <w:tcW w:w="14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users and travel partners a global platform about destinations, accommodations, travel activities and experiences, and restaurants that encompasses rich user-generated content, price comparison tools and online reservation and related services.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TripAdvisor, Inc., by and through its subsidiaries, owns and operates a portfolio of leading online travel brands. Our flagship brand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TripAdvisor. TripAdvisor-branded websites include tripadvisor.com in the United States and localized versions of the website in 48 markets and 28 languages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worldwide. In addition to the flagship TripAdvisor brand, we manage and operate the following more than 20 other travel media brands, connected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common goal of providing users the most comprehensive travel-planning and trip-taking resources in the travel industry: www.airfarewatchdog.com,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www.bokun.io, www.bookingbuddy.com, www.citymaps.com, www.cruisecritic.com, www.familyvacationcritic.com, www.flipkey.com, www.thefork.com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(including www.lafourchette.com, www.eltenedor.com, www.iens.nl, and www.dimmi.com.au), www.gateguru.com, www.holidaylettings.co.uk,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www.holidaywatchdog.com, www.housetrip.com, www.jetsetter.com, www.niumba.com, www.onetime.com, www.oyster.com, www.seatguru.com,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www.smartertravel.com, www.tingo.com, www.vacationhomerentals.com, and www.viator.com.</w:t>
      </w:r>
    </w:p>
    <w:p>
      <w:pPr>
        <w:spacing w:after="0" w:line="211" w:lineRule="exact"/>
        <w:rPr>
          <w:sz w:val="20"/>
          <w:szCs w:val="20"/>
          <w:color w:val="auto"/>
        </w:rPr>
      </w:pPr>
    </w:p>
    <w:p>
      <w:pPr>
        <w:ind w:right="60" w:firstLine="548"/>
        <w:spacing w:after="0" w:line="259" w:lineRule="auto"/>
        <w:rPr>
          <w:sz w:val="20"/>
          <w:szCs w:val="20"/>
          <w:color w:val="auto"/>
        </w:rPr>
      </w:pPr>
      <w:r>
        <w:rPr>
          <w:rFonts w:ascii="Arial" w:cs="Arial" w:eastAsia="Arial" w:hAnsi="Arial"/>
          <w:sz w:val="18"/>
          <w:szCs w:val="18"/>
          <w:color w:val="auto"/>
        </w:rPr>
        <w:t xml:space="preserve">We manage our business in two reportable segments: Hotel and Non-Hotel. Our Non-Hotel segment consists of our Experiences, Restaurants, and Rentals offerings. During the first quarter of 2018 we renamed Attractions as “Experiences” and Vacation Rentals as “Rentals.” These changes had no impact on the composition of our segments or on any financial information. For further information on our segments and principal revenue streams within these segments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were not material for all periods presented.</w:t>
      </w:r>
    </w:p>
    <w:p>
      <w:pPr>
        <w:spacing w:after="0" w:line="5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2017, previously filed with the SEC. The unaudited condensed consolidated balance sheet as of December 31, 2017 included herein was derived from the audited consolidated financial statements as of that date, but does not include all disclosures including notes required by GAAP.</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right="480"/>
        <w:spacing w:after="0" w:line="264" w:lineRule="auto"/>
        <w:rPr>
          <w:sz w:val="20"/>
          <w:szCs w:val="20"/>
          <w:color w:val="auto"/>
        </w:rPr>
      </w:pPr>
      <w:r>
        <w:rPr>
          <w:rFonts w:ascii="Arial" w:cs="Arial" w:eastAsia="Arial" w:hAnsi="Arial"/>
          <w:sz w:val="18"/>
          <w:szCs w:val="18"/>
          <w:color w:val="auto"/>
        </w:rPr>
        <w:t>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partners/advertisers to market to potential travelers and, therefore our financial performance, or revenue and profits, tend to be seasonal as well. Our financial performance tends to be seasonally highest in the second and third quarters of a year, as it is a key period for leisure travel research and trip-taking, which includes the seasonal peak in traveler hotel and rental stays, and tours and experiences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In June 2016, the Financial Accounting Standard Board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6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February 2016, the FASB issued new guidance related to accounting for leases. The new standard requires the recognition of assets (right-of-use-assets) and liabilities arising from lease transactions on the balance sheet and the disclosure of key information about leasing arrangements. Accordingly, a lessee will recognize a lease asset for its right to use the underlying asset and a lease liability for the corresponding lease obligation. Both the asset and liability will initially be measured at the present value of the future minimum lease payments over the lease term. The new guidance will classify leases as either finance or operating leases, with classification determining the presentation of expenses and cash flows on our consolidated financial statements. Initial costs directly attributable to negotiating and arranging the lease will be included in the asset. For leases with a term of 12 months or less, a lessee can make an accounting policy election by class of underlying asset to not recognize an asset and corresponding liability. The transition guidance also provides specific guidance for sale and leaseback transactions, build-to-suit leases and amounts previously recognized in accordance with the business combinations guidance for leases. We will also be required to provide additional qualitative and quantitative disclosures regarding the amount, timing and uncertainty of cash flows arising from leases which include, among other things, the computation and disclosure of our weighted average remaining lease term and discount rate, cash paid for amounts included in the measurement of lease liabilities, and supplemental non-cash information on lease liabilities arising from obtaining the right-of-use assets. These disclosures are intended to provide supplemental information to the amounts recorded in the financial statements so that users can better understand the nature of an entity’s leasing activities. This guidance is effective for fiscal years, and interim periods within those fiscal years, beginning after December 15, 2018, with early adoption permitted. We anticipate adopting this new guidance in the first quarter of 2019. The new guidance requires the recognition and measurement of leases at the beginning of the earliest comparative period presented in the financial statements using a modified retrospective approach, with an option to apply the transition provisions of the new guidance at the adoption date without adjusting the comparative periods presented. We are still considering our method of transition upon adoption of this guidance.</w:t>
      </w:r>
    </w:p>
    <w:p>
      <w:pPr>
        <w:spacing w:after="0" w:line="17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continue to evaluate the new lease guidance and are in the process of updating accounting policies and accounting position memos, and evaluating our existing population of contracts to ensure all contracts that meet the definition of a lease contract under the new standard are identified. We are also in the process of implementing additional lease software to support our accounting and reporting process, including the new quantitative and qualitative financial disclosure requirements. In addition, we are evaluating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9" w:name="page10"/>
    <w:bookmarkEnd w:id="9"/>
    <w:p>
      <w:pPr>
        <w:jc w:val="both"/>
        <w:ind w:right="320"/>
        <w:spacing w:after="0" w:line="264" w:lineRule="auto"/>
        <w:rPr>
          <w:sz w:val="20"/>
          <w:szCs w:val="20"/>
          <w:color w:val="auto"/>
        </w:rPr>
      </w:pPr>
      <w:r>
        <w:rPr>
          <w:rFonts w:ascii="Arial" w:cs="Arial" w:eastAsia="Arial" w:hAnsi="Arial"/>
          <w:sz w:val="18"/>
          <w:szCs w:val="18"/>
          <w:color w:val="auto"/>
        </w:rPr>
        <w:t>impact of the system implementation and new accounting guidance on our internal controls. We will continue to provide updates on our assessment of the effect that this new lease guidance will have on our consolidated financial statements, disclosures, systems and related internal controls, and will disclose material effects, if any, when known.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In May 2017, the FASB issued new accounting guidance that clarifies when changes to the terms or conditions of a share-based payment award must be accounted for as modifications which will reduce diversity in practice. Under the new guidance, an entity will not apply modification accounting to a share-based payment award if the award’s fair value (or calculated value or intrinsic value, if those measurement methods are used), the award’s vesting conditions, and the award’s classification as an equity or liability instrument are the same immediately before and after the change. The guidance also states that an entity is not required to estimate the value of the award immediately before and after the change if the change does not affect any of the inputs to the model used to value the award. We adopted this guidance prospectively in the first quarter of 2018. We believe the new guidance will likely result in fewer changes to the terms of an award being accounted for as modifications.</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We adopted this guidance in the first quarter of 2018 and it will be applied prospectively to any transactions occurring within and after the adoption date.</w:t>
      </w:r>
    </w:p>
    <w:p>
      <w:pPr>
        <w:spacing w:after="0" w:line="18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November 2016, the FASB issued new accounting guidance on the classification and presentation of 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We adopted this guidance in the first quarter of 2018 and applied it retrospectively to all prior periods presented in the financial statements as required under the new guidance. The adoption did not have a material impact on our consolidated financial statements and related disclosures.</w:t>
      </w:r>
    </w:p>
    <w:p>
      <w:pPr>
        <w:spacing w:after="0" w:line="165"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We adopted this new guidance in the first quarter of 2018 on a modified retrospective basis. Accordingly, we recognized the cumulative effect of initial application of this new guidance as an adjustment to the opening balance of retained earnings, which was not material to our consolidated financial statements.</w:t>
      </w:r>
    </w:p>
    <w:p>
      <w:pPr>
        <w:spacing w:after="0" w:line="17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In August 2016, the FASB issued new accounting guidance which clarifies how companies present and classify certain cash receipts and cash</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payments in the statement of cash flows. The new guidance specifically addresses the following cash flow topics in an effort to reduce diversity in practice:</w:t>
      </w:r>
    </w:p>
    <w:p>
      <w:pPr>
        <w:spacing w:after="0" w:line="32" w:lineRule="exact"/>
        <w:rPr>
          <w:sz w:val="20"/>
          <w:szCs w:val="20"/>
          <w:color w:val="auto"/>
        </w:rPr>
      </w:pPr>
    </w:p>
    <w:p>
      <w:pPr>
        <w:ind w:firstLine="8"/>
        <w:spacing w:after="0" w:line="27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We adopted this new guidance in the first quarter of 2018 retrospectively and the adoption did not have an impact on our consolidated financial statements and related disclosures.</w:t>
      </w:r>
    </w:p>
    <w:p>
      <w:pPr>
        <w:spacing w:after="0" w:line="179"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In January 2016, the FASB issued new accounting guidance which amends the standard on the recognition and measurement of financial instruments. The FASB clarified certain aspects of this guidance by issuing an update for technical corrections and improvements related to this guidance in February 2018. The guidance (1) requires an entity to measure equity investments (except those accounted for under the equity method or those that result in consolidation of the investee) at fair value with changes in fair value recognized in net income rather than accumulated other comprehensive income on the balance sheet; (2) allows an entity to elect to measure the equity investments that do not have a readily determinable fair value using a new measurement alternative which measure these equity investments at cost less impairment, if any, plus or minus changes resulting from observable price changes in orderly transactions for the identical or a similar investment of the same issuer; (3) simplifies the impairment assessment of equity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ind w:right="80"/>
        <w:spacing w:after="0" w:line="257" w:lineRule="auto"/>
        <w:rPr>
          <w:sz w:val="20"/>
          <w:szCs w:val="20"/>
          <w:color w:val="auto"/>
        </w:rPr>
      </w:pPr>
      <w:r>
        <w:rPr>
          <w:rFonts w:ascii="Arial" w:cs="Arial" w:eastAsia="Arial" w:hAnsi="Arial"/>
          <w:sz w:val="18"/>
          <w:szCs w:val="18"/>
          <w:color w:val="auto"/>
        </w:rPr>
        <w:t>investments without readily determinable fair values by requiring a qualitative assessment to identify impairment; and (4) clarifies that an entity should evaluate the need for a valuation allowance on a deferred tax asset related to available-for-sale securities in combination with the entity’s evaluation of their other deferred tax assets. We adopted this guidance in the first quarter of 2018 and elected to prospectively account for our investments in equity securities of privately-held companies that do not have a readily determinable fair value using the measurement alternative. The adoption did not have a material impact on our consolidated financial statements and related disclosures.</w:t>
      </w:r>
    </w:p>
    <w:p>
      <w:pPr>
        <w:spacing w:after="0" w:line="188"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 xml:space="preserve">In May 2014, the FASB issued new accounting guidance on revenue from contracts with customers, or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which replaced numerous requirements in GAAP, and provides companies with a single model for recognizing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addition, the FASB has also issued several amendments to the standard, which clarifies certain aspects of the guidance, including principal versus agent considerations and identifying performance obligations.</w:t>
      </w:r>
    </w:p>
    <w:p>
      <w:pPr>
        <w:spacing w:after="0" w:line="19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 xml:space="preserve">In the first quarter of 2018, we adopted ASC 606 under the modified retrospective method for all contracts that were not completed as of January 1, 2018. Results for reporting periods beginning after January 1, 2018 are presented under the new revenue guidance, while prior period amounts are not adjusted and continue to be reported in accordance with our previous accounting policies under the historical revenue guidance, or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8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 xml:space="preserve">We evaluated each of our revenue streams and applied ASC 606 as further discussed in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As a result of adoption of the new revenue guidance, certain revenue streams, such as the instant booking revenue recorded under the consumption model which we previously recorded upon completion of the traveler stay, is now recognized upon booking. The amount of the recognized transaction price is recorded as revenue net of the impact of estimated cancellations. We also recorded an adjustment to capitalize certain costs to obtain contracts for existing arrangements as of the implementation date. We expect the adoption of this new revenue standard will not have a material impact, either on an annual or quarterly basis, to our consolidated financial statements on an ongoing basis. Our systems and internal controls were not significantly impacted as a result of the accounting changes and we have made the necessary changes to our accounting policies and internal processes to support the new revenue recognition standard, including the related disclosures.</w:t>
      </w:r>
    </w:p>
    <w:p>
      <w:pPr>
        <w:spacing w:after="0" w:line="192"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We recognized the cumulative effect of initial application of ASC 606 as an adjustment to the opening balance of retained earnings. We recorded a net increase in opening retained earnings of $4 million as of January 1, 2018 due to the cumulative impact of adoption of the new revenue guidance and all other accounts were not materially impacted.</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 xml:space="preserve">There have been no changes to our significant accounting policies since December 31, 2017, other than noted above. See “Note 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for further discussion about our revenue recognition policies under ASC 606. For additional information about our significant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policies and estimates,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 December 31, 2017.</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under ASC 606</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under ASC 606, we recognize revenue for only our commission on the arrangement. We determine revenue recognition through the following steps:</w:t>
      </w:r>
    </w:p>
    <w:p>
      <w:pPr>
        <w:spacing w:after="0" w:line="18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line="254" w:lineRule="auto"/>
        <w:rPr>
          <w:sz w:val="20"/>
          <w:szCs w:val="20"/>
          <w:color w:val="auto"/>
        </w:rPr>
      </w:pPr>
      <w:r>
        <w:rPr>
          <w:rFonts w:ascii="Arial" w:cs="Arial" w:eastAsia="Arial" w:hAnsi="Arial"/>
          <w:sz w:val="18"/>
          <w:szCs w:val="18"/>
          <w:color w:val="auto"/>
        </w:rPr>
        <w:t>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six months ended June 30, 2018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92"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approximately $1 million as of June 30, 2018. We amortize these contract costs on a straight-line basis over the estimated customer life, which is based on historical data. Amortization expense recorded to sales and marketing during the three and six months ended June 30, 2018 was not material. We assess such assets for impairment when events or circumstances indicate that the carrying amount may not be recoverable.</w:t>
      </w:r>
    </w:p>
    <w:p>
      <w:pPr>
        <w:spacing w:after="0" w:line="173"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The recognition of revenue may require the application of judgment related to the determination of the performance obligations, the timing of when the performance obligations are satisfied and other areas. The determination of our performance obligations does not require significant judgment given that we generally do not provide multiple services to a customer in a given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data. The estimate is not material. Taxes assessed by a government authority that are both imposed on and concurrent with a specific revenue –producing transaction, that are collected by us from a customer, are reported on a net basis, or in other words excluded from revenue on our consolidated financial statements, which is consistent with prior periods. The application of our revenue recognition policies and a description of our principal activities, organized by segment, from which we generate our revenue, are presented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 Segment</w:t>
      </w:r>
    </w:p>
    <w:p>
      <w:pPr>
        <w:spacing w:after="0" w:line="2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color w:val="auto"/>
        </w:rPr>
        <w:t>TripAdvisor-branded Click-based Advertising and Transaction Revenue</w:t>
      </w:r>
      <w:r>
        <w:rPr>
          <w:rFonts w:ascii="Arial" w:cs="Arial" w:eastAsia="Arial" w:hAnsi="Arial"/>
          <w:sz w:val="18"/>
          <w:szCs w:val="18"/>
          <w:color w:val="auto"/>
        </w:rPr>
        <w:t>. Our largest source of Hotel segment revenue is generated from click-based advertising on TripAdvisor-branded websites, which is primarily comprised of contextually-relevant booking links to our travel partners’ sites. Our click-based travel partners are predominantly online travel agencies, or OTAs, and direct suppliers in the hotel category. Click-based advertising is generally priced on a cost-per-click, or “CPC”, basis, with payments from advertisers determined by the number of users who click on a link multiplied by the price that partner is willing to pay for that click, or hotel shopper lead. CPC rates that our travel partners are willing to pay are determined in a dynamic, competitive auction process, or metasearch auction.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89"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Transaction revenue is generated from our instant booking feature, which enables hotel shoppers to book directly with a travel partner, or the merchant of record, without leaving our website. We earn a commission from our travel partner for a user that completes a hotel reservation on our website. Our instant booking revenue includes arrangements where commissions are billable on all instant booking hotel reservations and also includes arrangements where the commission is billable only upon the completion of the traveler’s stay resulting from the reservation. Our performance obligation in both arrangements is complete at the time of the booking and the commission earned is recognized upon booking, as we have no post-booking service obligations. The amount of revenue recognized for commissions which are billable contingent upon a travelers stay requires an estimate of the impact of cancellations using historical cancellation rates. Contract assets are recognized at the time of booking for commissions that are billable at the time of stay. We are the agent in these transactions under ASC 606.</w:t>
      </w:r>
    </w:p>
    <w:p>
      <w:pPr>
        <w:spacing w:after="0" w:line="188"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b w:val="1"/>
          <w:bCs w:val="1"/>
          <w:color w:val="auto"/>
        </w:rPr>
        <w:t>TripAdvisor-branded Display-based Advertising and Subscription Revenue</w:t>
      </w:r>
      <w:r>
        <w:rPr>
          <w:rFonts w:ascii="Arial" w:cs="Arial" w:eastAsia="Arial" w:hAnsi="Arial"/>
          <w:sz w:val="16"/>
          <w:szCs w:val="16"/>
          <w:color w:val="auto"/>
        </w:rPr>
        <w:t>. Travel partners can promote their brands in a contextually-relevant</w:t>
      </w:r>
      <w:r>
        <w:rPr>
          <w:rFonts w:ascii="Arial" w:cs="Arial" w:eastAsia="Arial" w:hAnsi="Arial"/>
          <w:sz w:val="16"/>
          <w:szCs w:val="16"/>
          <w:b w:val="1"/>
          <w:bCs w:val="1"/>
          <w:color w:val="auto"/>
        </w:rPr>
        <w:t xml:space="preserve"> </w:t>
      </w:r>
      <w:r>
        <w:rPr>
          <w:rFonts w:ascii="Arial" w:cs="Arial" w:eastAsia="Arial" w:hAnsi="Arial"/>
          <w:sz w:val="16"/>
          <w:szCs w:val="16"/>
          <w:color w:val="auto"/>
        </w:rPr>
        <w:t>manner through a variety of display-based advertising placements on our websites. Our display-based advertising clients are predominately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business is to display a number of advertising impressions on our websites and we recognize revenue for impressions as they are delivered. Services are generally billed monthly. We have applied the practical expedient to measure progress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toward completion, as we have the right to invoice the customer in an amount that directly corresponds with the value to the customer of our performance to date, which is measured based on impressions delivered.</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addition, we offer subscription-based advertising to hotels, B&amp;Bs and other specialty lodging properties. Our performance obligation is generally to enable subscribers to advertise their business on our website, including such information as a website URL, email address and phone number, as well as other information. Subscription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 advertising services are generally billed in advance of service. When prepayments are received, we recognize deferred revenue for the amount of prepayment in excess of revenue recognized until the performance obligation is satisfied.</w:t>
      </w:r>
    </w:p>
    <w:p>
      <w:pPr>
        <w:spacing w:after="0" w:line="174"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 xml:space="preserve">Other Hotel Revenue. </w:t>
      </w:r>
      <w:r>
        <w:rPr>
          <w:rFonts w:ascii="Arial" w:cs="Arial" w:eastAsia="Arial" w:hAnsi="Arial"/>
          <w:sz w:val="18"/>
          <w:szCs w:val="18"/>
          <w:color w:val="auto"/>
        </w:rPr>
        <w:t>Our other Hotel revenue primarily includes revenue from non-TripAdvisor-branded websites,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www.bookingbuddy.com, www.cruisecritic.com, and www.onetime.com, which primarily includes click-based advertising and display-based advertising revenue. The performance obligations and timing of customer payments for these brands and methods of recognizing revenue are generally consistent with click-based advertising or display-based advertising revenue, as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Non-Hotel Segment</w:t>
      </w:r>
    </w:p>
    <w:p>
      <w:pPr>
        <w:spacing w:after="0" w:line="225"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provide information and services for users to research, book and experience activities and attractions in popular travel destinations both through Viator, our dedicated Experiences offering, and on our TripAdvisor website and applications. We also power travel activities and experiences booking capabilities to users for affiliate partners, including some of the world’s top airlines, hotel chains and online and offline travel agencies. We work with local tour or travel activities/experiences operators (“the supplier”) to provide our users with access to book tours, activities and experiences (“the activity”) in popular destinations worldwide. We generate commissions for each booking transaction we facilitate through our online reservation system. We provide post-booking service to the user until the time of the activity, which is the completion of the performance obligation. Revenue is recognized at the time that the activity occurs. We are an agent in the transaction, under ASC 606, for nearly all of these transactions. We generally collect payment from the user at the time of booking that includes both our commission revenue and the amount due to the supplier. Our commission revenue is recorded as deferred revenue until revenue is recognized, and the amount due to the supplier is recorded to deferred merchant payables on our consolidated balance sheet, until payment is made to the supplier after the completion of the activity. To a lesser extent, we earn commissions from third-party merchant partners, who display and promote our supplier activities on their websites to generate bookings. In these transactions, where we are not the merchant of record, we generally invoice and receive commissions directly from the third-party merchant partners. Our performance obligation is to allow the third-party merchant partners to display and promote our supplier activities on their website and we earn a commission when users book and complete an activity.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 We are an agent in these transactions, under ASC 606.</w:t>
      </w:r>
    </w:p>
    <w:p>
      <w:pPr>
        <w:spacing w:after="0" w:line="18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also provide information and services for users to research and book restaurants in popular travel destinations through our dedicated restaurant reservations offering, TheFork, and on our TripAdvisor website and applications. TheFork is an online restaurant booking platform operating on a number of websites (including www.lafourchette.com, www.eltenedor.com, www.iens.nl and www.dimmi.com.au), with a network of restaurant partners located primarily across Europe and Australia. Our bookable restaurants are available on www.thefork.com and on TripAdvisor-branded websites and mobile applications.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Revenue is billed monthly when the transaction fees are payable, which is at the time the diner is seated. To a lesser extent, we also generate subscription fees for access to certain online reservation management services and marketing analytic tools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w:t>
      </w:r>
    </w:p>
    <w:p>
      <w:pPr>
        <w:spacing w:after="0" w:line="18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we provide information and services for users to research and book vacation and short-term rental properties, including full home rentals, condominiums, villas, beach rentals, cabins and cottages. Our Rentals offering generates revenue primarily by offering individual property owners and managers the ability to list their properties on our websites and mobile applications thereby connecting homeowners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8"/>
          <w:szCs w:val="18"/>
          <w:color w:val="auto"/>
        </w:rPr>
        <w:t>applications.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are an agent in these transactions, under ASC 606. We generally collect payment from the traveler at the time of booking that includes our commissions, which is recorded as deferred revenue until revenue is recognized, and the amount due to the property owner, which is recorded in deferred merchant payables on our consolidated balance sheet,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expense costs to obtain a contract as incurred, such as sales commissions, when the amortization period would have been one year or less.</w:t>
      </w:r>
    </w:p>
    <w:p>
      <w:pPr>
        <w:spacing w:after="0" w:line="23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Adoption of ASC 606</w:t>
      </w:r>
    </w:p>
    <w:p>
      <w:pPr>
        <w:spacing w:after="0" w:line="22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impact of this new revenue recognition guidance on our unaudited condensed consolidated statement of operations for the three and six months ended June 30, 2018 was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Three months ended June 30, 2018</w:t>
            </w:r>
          </w:p>
        </w:tc>
        <w:tc>
          <w:tcPr>
            <w:tcW w:w="0" w:type="dxa"/>
            <w:vAlign w:val="bottom"/>
          </w:tcPr>
          <w:p>
            <w:pPr>
              <w:spacing w:after="0"/>
              <w:rPr>
                <w:sz w:val="1"/>
                <w:szCs w:val="1"/>
                <w:color w:val="auto"/>
              </w:rPr>
            </w:pPr>
          </w:p>
        </w:tc>
      </w:tr>
      <w:tr>
        <w:trPr>
          <w:trHeight w:val="133"/>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STATEMENT</w:t>
            </w:r>
          </w:p>
        </w:tc>
        <w:tc>
          <w:tcPr>
            <w:tcW w:w="1080" w:type="dxa"/>
            <w:vAlign w:val="bottom"/>
          </w:tcPr>
          <w:p>
            <w:pPr>
              <w:spacing w:after="0"/>
              <w:rPr>
                <w:sz w:val="11"/>
                <w:szCs w:val="11"/>
                <w:color w:val="auto"/>
              </w:rPr>
            </w:pPr>
          </w:p>
        </w:tc>
        <w:tc>
          <w:tcPr>
            <w:tcW w:w="16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As Reported - ASC 606</w:t>
            </w:r>
          </w:p>
        </w:tc>
        <w:tc>
          <w:tcPr>
            <w:tcW w:w="16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Impact of Accounting</w:t>
            </w: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94"/>
              </w:rPr>
              <w:t>Adjusted - ASC 605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Pr>
          <w:p>
            <w:pPr>
              <w:spacing w:after="0"/>
              <w:rPr>
                <w:sz w:val="14"/>
                <w:szCs w:val="14"/>
                <w:color w:val="auto"/>
              </w:rPr>
            </w:pPr>
          </w:p>
        </w:tc>
        <w:tc>
          <w:tcPr>
            <w:tcW w:w="1320" w:type="dxa"/>
            <w:vAlign w:val="bottom"/>
          </w:tcPr>
          <w:p>
            <w:pPr>
              <w:jc w:val="center"/>
              <w:ind w:right="295"/>
              <w:spacing w:after="0"/>
              <w:rPr>
                <w:sz w:val="20"/>
                <w:szCs w:val="20"/>
                <w:color w:val="auto"/>
              </w:rPr>
            </w:pPr>
            <w:r>
              <w:rPr>
                <w:rFonts w:ascii="Arial" w:cs="Arial" w:eastAsia="Arial" w:hAnsi="Arial"/>
                <w:sz w:val="14"/>
                <w:szCs w:val="14"/>
                <w:b w:val="1"/>
                <w:bCs w:val="1"/>
                <w:color w:val="auto"/>
                <w:w w:val="94"/>
              </w:rPr>
              <w:t>ASC 606</w:t>
            </w: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left="1055"/>
              <w:spacing w:after="0"/>
              <w:rPr>
                <w:sz w:val="20"/>
                <w:szCs w:val="20"/>
                <w:color w:val="auto"/>
              </w:rPr>
            </w:pPr>
            <w:r>
              <w:rPr>
                <w:rFonts w:ascii="Arial" w:cs="Arial" w:eastAsia="Arial" w:hAnsi="Arial"/>
                <w:sz w:val="14"/>
                <w:szCs w:val="14"/>
                <w:b w:val="1"/>
                <w:bCs w:val="1"/>
                <w:color w:val="auto"/>
                <w:w w:val="90"/>
              </w:rPr>
              <w:t>Six months ended June 30, 2018</w:t>
            </w: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STATEMENT</w:t>
            </w:r>
          </w:p>
        </w:tc>
        <w:tc>
          <w:tcPr>
            <w:tcW w:w="1080" w:type="dxa"/>
            <w:vAlign w:val="bottom"/>
          </w:tcPr>
          <w:p>
            <w:pPr>
              <w:spacing w:after="0"/>
              <w:rPr>
                <w:sz w:val="11"/>
                <w:szCs w:val="11"/>
                <w:color w:val="auto"/>
              </w:rPr>
            </w:pPr>
          </w:p>
        </w:tc>
        <w:tc>
          <w:tcPr>
            <w:tcW w:w="16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As Reported - ASC 606</w:t>
            </w:r>
          </w:p>
        </w:tc>
        <w:tc>
          <w:tcPr>
            <w:tcW w:w="16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Impact of Accounting</w:t>
            </w:r>
          </w:p>
        </w:tc>
        <w:tc>
          <w:tcPr>
            <w:tcW w:w="200" w:type="dxa"/>
            <w:vAlign w:val="bottom"/>
          </w:tcPr>
          <w:p>
            <w:pPr>
              <w:spacing w:after="0"/>
              <w:rPr>
                <w:sz w:val="11"/>
                <w:szCs w:val="11"/>
                <w:color w:val="auto"/>
              </w:rPr>
            </w:pPr>
          </w:p>
        </w:tc>
        <w:tc>
          <w:tcPr>
            <w:tcW w:w="136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4"/>
              </w:rPr>
              <w:t>Adjusted - ASC 605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Pr>
          <w:p>
            <w:pPr>
              <w:spacing w:after="0"/>
              <w:rPr>
                <w:sz w:val="14"/>
                <w:szCs w:val="14"/>
                <w:color w:val="auto"/>
              </w:rPr>
            </w:pPr>
          </w:p>
        </w:tc>
        <w:tc>
          <w:tcPr>
            <w:tcW w:w="1320" w:type="dxa"/>
            <w:vAlign w:val="bottom"/>
          </w:tcPr>
          <w:p>
            <w:pPr>
              <w:jc w:val="center"/>
              <w:ind w:right="295"/>
              <w:spacing w:after="0"/>
              <w:rPr>
                <w:sz w:val="20"/>
                <w:szCs w:val="20"/>
                <w:color w:val="auto"/>
              </w:rPr>
            </w:pPr>
            <w:r>
              <w:rPr>
                <w:rFonts w:ascii="Arial" w:cs="Arial" w:eastAsia="Arial" w:hAnsi="Arial"/>
                <w:sz w:val="14"/>
                <w:szCs w:val="14"/>
                <w:b w:val="1"/>
                <w:bCs w:val="1"/>
                <w:color w:val="auto"/>
                <w:w w:val="94"/>
              </w:rPr>
              <w:t>ASC 606</w:t>
            </w: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Revenue</w:t>
            </w:r>
          </w:p>
        </w:tc>
        <w:tc>
          <w:tcPr>
            <w:tcW w:w="12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811</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impact of the new guidance was not meaningful as of and for the six months ended June 30, 2018 for the unaudited condensed consolidated balance sheet and unaudited condensed consolidated statement of cash flows,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 our business consists of two reportable segments – Hotel and Non-Hotel. A reconciliation of disaggregated revenue to segment revenue is also included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1720" w:type="dxa"/>
        <w:tblCellMar>
          <w:top w:w="0" w:type="dxa"/>
          <w:left w:w="0" w:type="dxa"/>
          <w:bottom w:w="0" w:type="dxa"/>
          <w:right w:w="0" w:type="dxa"/>
        </w:tblCellMar>
      </w:tblPr>
      <w:tr>
        <w:trPr>
          <w:trHeight w:val="153"/>
        </w:trPr>
        <w:tc>
          <w:tcPr>
            <w:tcW w:w="4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34"/>
              <w:spacing w:after="0" w:line="153" w:lineRule="exact"/>
              <w:rPr>
                <w:sz w:val="20"/>
                <w:szCs w:val="20"/>
                <w:color w:val="auto"/>
              </w:rPr>
            </w:pPr>
            <w:r>
              <w:rPr>
                <w:rFonts w:ascii="Arial" w:cs="Arial" w:eastAsia="Arial" w:hAnsi="Arial"/>
                <w:sz w:val="14"/>
                <w:szCs w:val="14"/>
                <w:b w:val="1"/>
                <w:bCs w:val="1"/>
                <w:color w:val="auto"/>
                <w:w w:val="89"/>
              </w:rPr>
              <w:t>Six months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Major products/revenue sources: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June 30, 2018</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Click-based advertising and transaction revenue</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Display-based advertising and subscription revenue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4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100"/>
              <w:spacing w:after="0"/>
              <w:rPr>
                <w:sz w:val="20"/>
                <w:szCs w:val="20"/>
                <w:color w:val="auto"/>
              </w:rPr>
            </w:pPr>
            <w:r>
              <w:rPr>
                <w:rFonts w:ascii="Arial" w:cs="Arial" w:eastAsia="Arial" w:hAnsi="Arial"/>
                <w:sz w:val="18"/>
                <w:szCs w:val="18"/>
                <w:color w:val="auto"/>
              </w:rPr>
              <w:t>Total Hotel Revenue (1)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Non-Hotel Revenue (1)</w:t>
            </w:r>
          </w:p>
        </w:tc>
        <w:tc>
          <w:tcPr>
            <w:tcW w:w="4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 Our revenue is recognized primarily at a point in time for both our Hotel and Non-Hotel segments.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receivables and contract assets from contracts with customers (in millions):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Arial" w:cs="Arial" w:eastAsia="Arial" w:hAnsi="Arial"/>
                <w:sz w:val="14"/>
                <w:szCs w:val="14"/>
                <w:b w:val="1"/>
                <w:bCs w:val="1"/>
                <w:color w:val="auto"/>
              </w:rPr>
              <w:t>June 30, 2018</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4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assets</w:t>
            </w:r>
          </w:p>
        </w:tc>
        <w:tc>
          <w:tcPr>
            <w:tcW w:w="148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r>
      <w:tr>
        <w:trPr>
          <w:trHeight w:val="223"/>
        </w:trPr>
        <w:tc>
          <w:tcPr>
            <w:tcW w:w="2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unaudited condensed consolidated balance sheet. As of January 1, 2018, we had $59 million recorded as deferred revenue on our consolidated balance sheet, of which $13 million and $45 million was recognized in revenue, during the three and six months ended June 30, 2018, respectively. The difference between the opening and closing balances of our contract assets and deferred revenue primarily results from the timing differences between when we receive customer payments and the time in which we satisfy our performance obligations. There were no significant changes in contract assets or deferred revenue during the six months ended June 30, 2018 related to business combinations, impairments, cumulative catch-ups or other material adjustments.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7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of outstanding equity awards and the average unrecognized compensation cost during the period. The treasury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stock method assumes that a company uses the proceeds from the exercise of an equity award to repurchase common stock at the average market price for the reporting period.</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7"/>
              </w:rPr>
              <w:t>Three months ended June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183"/>
        </w:trPr>
        <w:tc>
          <w:tcPr>
            <w:tcW w:w="456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189"/>
        </w:trPr>
        <w:tc>
          <w:tcPr>
            <w:tcW w:w="45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60" w:type="dxa"/>
            <w:vAlign w:val="bottom"/>
            <w:gridSpan w:val="3"/>
          </w:tcPr>
          <w:p>
            <w:pPr>
              <w:ind w:left="240"/>
              <w:spacing w:after="0"/>
              <w:rPr>
                <w:sz w:val="20"/>
                <w:szCs w:val="20"/>
                <w:color w:val="auto"/>
              </w:rPr>
            </w:pPr>
            <w:r>
              <w:rPr>
                <w:rFonts w:ascii="Arial" w:cs="Arial" w:eastAsia="Arial" w:hAnsi="Arial"/>
                <w:sz w:val="18"/>
                <w:szCs w:val="18"/>
                <w:color w:val="auto"/>
                <w:w w:val="99"/>
              </w:rPr>
              <w:t>Weighted average shares used to compute Basic EPS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137,831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140,472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142,052</w:t>
            </w:r>
          </w:p>
        </w:tc>
        <w:tc>
          <w:tcPr>
            <w:tcW w:w="100" w:type="dxa"/>
            <w:vAlign w:val="bottom"/>
          </w:tcPr>
          <w:p>
            <w:pPr>
              <w:spacing w:after="0"/>
              <w:rPr>
                <w:sz w:val="19"/>
                <w:szCs w:val="19"/>
                <w:color w:val="auto"/>
              </w:rPr>
            </w:pPr>
          </w:p>
        </w:tc>
      </w:tr>
      <w:tr>
        <w:trPr>
          <w:trHeight w:val="230"/>
        </w:trPr>
        <w:tc>
          <w:tcPr>
            <w:tcW w:w="45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r>
      <w:tr>
        <w:trPr>
          <w:trHeight w:val="230"/>
        </w:trPr>
        <w:tc>
          <w:tcPr>
            <w:tcW w:w="45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RSUs/MSUs</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9"/>
                <w:szCs w:val="19"/>
                <w:color w:val="auto"/>
              </w:rPr>
            </w:pPr>
          </w:p>
        </w:tc>
      </w:tr>
      <w:tr>
        <w:trPr>
          <w:trHeight w:val="263"/>
        </w:trPr>
        <w:tc>
          <w:tcPr>
            <w:tcW w:w="45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w w:val="96"/>
              </w:rPr>
              <w:t>Weighted average shares used to compute Diluted EPS</w:t>
            </w:r>
          </w:p>
        </w:tc>
        <w:tc>
          <w:tcPr>
            <w:tcW w:w="3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139,619</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140,937</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139,971</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142,827</w:t>
            </w:r>
          </w:p>
        </w:tc>
        <w:tc>
          <w:tcPr>
            <w:tcW w:w="100" w:type="dxa"/>
            <w:vAlign w:val="bottom"/>
            <w:tcBorders>
              <w:bottom w:val="single" w:sz="8" w:color="CFF0FC"/>
            </w:tcBorders>
          </w:tcPr>
          <w:p>
            <w:pPr>
              <w:spacing w:after="0"/>
              <w:rPr>
                <w:sz w:val="22"/>
                <w:szCs w:val="22"/>
                <w:color w:val="auto"/>
              </w:rPr>
            </w:pPr>
          </w:p>
        </w:tc>
      </w:tr>
      <w:tr>
        <w:trPr>
          <w:trHeight w:val="210"/>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FF0FC"/>
          </w:tcPr>
          <w:p>
            <w:pPr>
              <w:spacing w:after="0"/>
              <w:rPr>
                <w:sz w:val="18"/>
                <w:szCs w:val="18"/>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0.19</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Potential common shares, consisting of outstanding stock options and restricted stock units (“RSUs”), totaling approximately 6.0 million shares and 9.0 million shares for the three and six months ended June 30, 2018, respectively, have been excluded from the calculation of Diluted EPS because their effect would have been antidilutive. In addition, potential common shares, consisting of performance-based awards and market-based restricted stock units (“MSUs”), totaling approximately 0.8 million shares for both the three and six months ended June 30, 2018, respectively, for which all targets required to trigger vesting had not been achieved, were excluded from the calculation of weighted average shares used to compute Diluted EPS for those reporting periods. Potential common shares, consisting of outstanding stock options and RSUs, totaling approximately 6.9 million shares and 6.6 million shares for the three and six months ended June 30, 2017, respectively, have been excluded from the calculation of Diluted EPS because their effect would have been antidilutive. In addition, potential common shares, consisting of performance-based awards, totaling approximately 0.1 million shares for both the three and six months ended June 30, 2017, respectively, for which all targets required to trigger vesting had not been achieved, were excluded from the calculation of weighted average shares used to compute Diluted EPS for those reporting periods.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STOCK BASED AWARDS AND OTHER EQUITY INSTRUMENTS</w:t>
      </w:r>
    </w:p>
    <w:p>
      <w:pPr>
        <w:spacing w:after="0" w:line="121"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On June 21, 2018, our stockholders approved the 2018 Stock and Annual Incentive Plan (the “2018 Plan”) primarily for the purpose of providing sufficient reserves of shares of our common stock to ensure our ability to continue to provide new hires, employees and management with equity incentives. The number of shares reserved and available for issuance under the 2018 Plan is 6,000,000 plus the number of shares available for issuance (and not subject to outstanding awards) under the TripAdvisor, Inc. Amended and Restated 2011 Stock and Annual Incentive Plan (the “2011 Plan”), as of the effective date of the 2018 Plan. Both plans provide for the grant of stock options, stock appreciation rights, restricted stock, restricted stock units, and other stock-based awards.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unaudited condensed consolidated statements of operations during the periods presented:</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5"/>
          </w:tcPr>
          <w:p>
            <w:pPr>
              <w:jc w:val="center"/>
              <w:ind w:left="282"/>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425"/>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6"/>
        </w:trPr>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gridSpan w:val="4"/>
          </w:tcPr>
          <w:p>
            <w:pPr>
              <w:jc w:val="center"/>
              <w:ind w:right="4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280" w:type="dxa"/>
            <w:vAlign w:val="bottom"/>
            <w:gridSpan w:val="2"/>
            <w:shd w:val="clear" w:color="auto" w:fill="CFF0FC"/>
          </w:tcPr>
          <w:p>
            <w:pPr>
              <w:jc w:val="right"/>
              <w:ind w:right="66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Technology and content</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180" w:firstLine="572"/>
        <w:spacing w:after="0" w:line="342" w:lineRule="auto"/>
        <w:rPr>
          <w:sz w:val="20"/>
          <w:szCs w:val="20"/>
          <w:color w:val="auto"/>
        </w:rPr>
      </w:pPr>
      <w:r>
        <w:rPr>
          <w:rFonts w:ascii="Arial" w:cs="Arial" w:eastAsia="Arial" w:hAnsi="Arial"/>
          <w:sz w:val="16"/>
          <w:szCs w:val="16"/>
          <w:color w:val="auto"/>
        </w:rPr>
        <w:t>We capitalized $4 million and $7 million of stock-based compensation expense as internal-use software and website development costs during the three and six months ended June 30, 2018, respectively, and $3 million and $6 million during the three and six months ended June 30, 2017,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Stock Option Activity</w:t>
      </w:r>
    </w:p>
    <w:p>
      <w:pPr>
        <w:spacing w:after="0" w:line="117"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During the six months ended June 30, 2018, we granted 621,204 service-based non-qualified stock options under the 2011 Plan. Our stock options generally have a term of ten years from the date of grant and typically vest equally over a four-year requisite service period.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during the six months ended June 30, 2018, is presented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52.78</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41.61</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51.34</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2018</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as of June 30, 2018</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55.96</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June 30, 2018 (2)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53.13</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right="80" w:hanging="386"/>
        <w:spacing w:after="0" w:line="291"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Inclusive of 390,168 options which were not converted into shares due to net share settlement in order to cover the aggregate exercise price and the required amount of employee withholding taxes. Potential shares that had been convertible under stock options that were withheld under net</w:t>
      </w:r>
    </w:p>
    <w:p>
      <w:pPr>
        <w:ind w:left="840" w:right="300"/>
        <w:spacing w:after="0" w:line="250" w:lineRule="auto"/>
        <w:rPr>
          <w:sz w:val="20"/>
          <w:szCs w:val="20"/>
          <w:color w:val="auto"/>
        </w:rPr>
      </w:pPr>
      <w:r>
        <w:rPr>
          <w:rFonts w:ascii="Arial" w:cs="Arial" w:eastAsia="Arial" w:hAnsi="Arial"/>
          <w:sz w:val="18"/>
          <w:szCs w:val="18"/>
          <w:color w:val="auto"/>
        </w:rPr>
        <w:t>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40" w:right="34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17" w:name="page18"/>
    <w:bookmarkEnd w:id="17"/>
    <w:p>
      <w:pPr>
        <w:jc w:val="both"/>
        <w:ind w:right="100" w:firstLine="518"/>
        <w:spacing w:after="0" w:line="264"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June 30, 2018 was $55.71. The total intrinsic value of stock options exercised was $6 million for both the six months ended June 30, 2018 and 2017.</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8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1"/>
              </w:rPr>
              <w:t>Three months ended</w:t>
            </w:r>
          </w:p>
        </w:tc>
        <w:tc>
          <w:tcPr>
            <w:tcW w:w="2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4"/>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w:t>
            </w: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42.08%</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40.93%</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42.29%</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41.52%</w:t>
            </w: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250"/>
              <w:spacing w:after="0"/>
              <w:rPr>
                <w:sz w:val="20"/>
                <w:szCs w:val="20"/>
                <w:color w:val="auto"/>
              </w:rPr>
            </w:pPr>
            <w:r>
              <w:rPr>
                <w:rFonts w:ascii="Arial" w:cs="Arial" w:eastAsia="Arial" w:hAnsi="Arial"/>
                <w:sz w:val="18"/>
                <w:szCs w:val="18"/>
                <w:color w:val="auto"/>
              </w:rPr>
              <w:t>— %</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weighted-average grant date fair value of options granted was $19.27 and $17.62 for the three and six months ended June 30, 2018, respectively. The weighted-average grant date fair value of options granted was $16.56 and $17.19 for the three and six months ended June 30, 2017, respectively. The total fair value of stock options vested was $12 million and $15 million for the six months ended June 30, 2018 and 2017, respectively. Cash received from stock option exercises was $3 million for both the six months ended June 30, 2018 and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RSU Activity</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During the six months ended June 30, 2018, we granted 3,088,233 of primarily service-based RSUs under the 2011 Plan which typically vest over a four-year requisite service period. A summary of our RSU activity for service-based and performance-based awards during the six months ended June 30, 2018, is presented below:</w:t>
      </w:r>
    </w:p>
    <w:p>
      <w:pPr>
        <w:spacing w:after="0" w:line="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2"/>
        </w:trPr>
        <w:tc>
          <w:tcPr>
            <w:tcW w:w="5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rPr>
              <w:t>Grant-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3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rPr>
              <w:t>Date Fair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532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Value Per Share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532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2017 (1)</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Transfer (1)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Vested and released (2)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 outstanding as of June 30, 2018</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44.87</w:t>
            </w:r>
          </w:p>
        </w:tc>
        <w:tc>
          <w:tcPr>
            <w:tcW w:w="5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FF0FC"/>
            </w:tcBorders>
          </w:tcPr>
          <w:p>
            <w:pPr>
              <w:spacing w:after="0"/>
              <w:rPr>
                <w:sz w:val="22"/>
                <w:szCs w:val="22"/>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 after June 30, 2018 (3)</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7,117</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44.87</w:t>
            </w:r>
          </w:p>
        </w:tc>
        <w:tc>
          <w:tcPr>
            <w:tcW w:w="5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right="360" w:hanging="386"/>
        <w:spacing w:after="0" w:line="258"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RSUs outstanding as of December 31, 2017 include 213,000 MSUs awarded to the Company’s CEO in November 2017. This award has been transferred to the MSU activity table below.</w:t>
      </w:r>
    </w:p>
    <w:p>
      <w:pPr>
        <w:spacing w:after="0" w:line="1" w:lineRule="exact"/>
        <w:rPr>
          <w:rFonts w:ascii="Arial" w:cs="Arial" w:eastAsia="Arial" w:hAnsi="Arial"/>
          <w:sz w:val="18"/>
          <w:szCs w:val="18"/>
          <w:color w:val="auto"/>
        </w:rPr>
      </w:pPr>
    </w:p>
    <w:p>
      <w:pPr>
        <w:ind w:left="840" w:right="20" w:hanging="386"/>
        <w:spacing w:after="0" w:line="281"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Inclusive of 356,127 RSUs withheld due to net share settlement to satisfy required employee tax withholding requirements.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reflected as a financing activity within the unaudited condensed consolidated statements of cash flows.</w:t>
      </w:r>
    </w:p>
    <w:p>
      <w:pPr>
        <w:spacing w:after="0" w:line="9" w:lineRule="exact"/>
        <w:rPr>
          <w:sz w:val="20"/>
          <w:szCs w:val="20"/>
          <w:color w:val="auto"/>
        </w:rPr>
      </w:pPr>
    </w:p>
    <w:p>
      <w:pPr>
        <w:ind w:left="840" w:right="460" w:hanging="379"/>
        <w:spacing w:after="0" w:line="290" w:lineRule="auto"/>
        <w:tabs>
          <w:tab w:leader="none" w:pos="820" w:val="left"/>
        </w:tabs>
        <w:rPr>
          <w:sz w:val="20"/>
          <w:szCs w:val="20"/>
          <w:color w:val="auto"/>
        </w:rPr>
      </w:pPr>
      <w:r>
        <w:rPr>
          <w:rFonts w:ascii="Arial" w:cs="Arial" w:eastAsia="Arial" w:hAnsi="Arial"/>
          <w:sz w:val="17"/>
          <w:szCs w:val="17"/>
          <w:color w:val="auto"/>
        </w:rPr>
        <w:t>(3)</w:t>
        <w:tab/>
        <w:t>The Company accounts for forfeitures as they occur, rather than estimate expected forfeitures as allowed under GAAP and therefore do not include a forfeiture rate in our expected to vest calculation unless necessary for a performance condition award.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A summary of our RSU activity for MSUs, during the six months ended June 30, 2018 is presented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MSUs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53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2017 (1)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 (2)</w:t>
            </w: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June 30, 2018</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hanging="386"/>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213,000 MSUs awarded to the Company’s CEO in November 2017.</w:t>
      </w:r>
    </w:p>
    <w:p>
      <w:pPr>
        <w:spacing w:after="0" w:line="23" w:lineRule="exact"/>
        <w:rPr>
          <w:rFonts w:ascii="Arial" w:cs="Arial" w:eastAsia="Arial" w:hAnsi="Arial"/>
          <w:sz w:val="18"/>
          <w:szCs w:val="18"/>
          <w:color w:val="auto"/>
        </w:rPr>
      </w:pPr>
    </w:p>
    <w:p>
      <w:pPr>
        <w:ind w:left="840" w:right="100" w:hanging="386"/>
        <w:spacing w:after="0" w:line="269"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MSUs provide for vesting based upon the Company’s total shareholder return, or TSR, performance over the period commencing January 1, 2018 through December 31, 2020 relative to the TSR performance of the Nasdaq Composite Total Return Index. A Monte-Carlo simulation model, which simulated the present value of the potential outcomes of future stock prices and TSR of the Company and the Nasdaq Composite Total Return Index over the performance period, was used to calculate the grant-date fair value of these awards. The estimated grant-date fair value of these awards is being amortized on a straight-line basis over the requisite service period through December 31, 2020. Based upon actual attainment relative to the target performance metric, the grantee has the ability to receive up to 200% of the target number of MSUs originally granted, or to be issued none at all. These MSUs were granted under the 2011 Plan.</w:t>
      </w:r>
    </w:p>
    <w:p>
      <w:pPr>
        <w:spacing w:after="0" w:line="181" w:lineRule="exact"/>
        <w:rPr>
          <w:sz w:val="20"/>
          <w:szCs w:val="20"/>
          <w:color w:val="auto"/>
        </w:rPr>
      </w:pPr>
    </w:p>
    <w:p>
      <w:pPr>
        <w:jc w:val="both"/>
        <w:ind w:right="40" w:firstLine="548"/>
        <w:spacing w:after="0" w:line="264"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were $5 million and $9 million during the three and six months ended June 30, 2018, respectively and $1 million and $15 million during the three and six months ended June 30, 2017,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related to our non-vested equity awards is presented below (in millions, except in years information):</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40" w:type="dxa"/>
            <w:vAlign w:val="bottom"/>
          </w:tcPr>
          <w:p>
            <w:pPr>
              <w:jc w:val="center"/>
              <w:ind w:left="207"/>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40" w:type="dxa"/>
            <w:vAlign w:val="bottom"/>
          </w:tcPr>
          <w:p>
            <w:pPr>
              <w:jc w:val="center"/>
              <w:ind w:left="227"/>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rPr>
              <w:t>RSUs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MSUs</w:t>
            </w: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9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Restricted Cash and Marketable Securities</w:t>
      </w:r>
    </w:p>
    <w:p>
      <w:pPr>
        <w:spacing w:after="0" w:line="12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following tables show our cash, cash equivalents, restricted cash and short-term and long-term available-for-sale marketable debt securities, by major security type, that are measured at fair value on a recurring basis and were categorized using the fair value hierarchy, as well as their classification on our unaudited condensed consolidated balance sheets, as of the periods presented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Cash, Cash</w:t>
            </w:r>
          </w:p>
        </w:tc>
        <w:tc>
          <w:tcPr>
            <w:tcW w:w="100" w:type="dxa"/>
            <w:vAlign w:val="bottom"/>
          </w:tcPr>
          <w:p>
            <w:pPr>
              <w:spacing w:after="0"/>
              <w:rPr>
                <w:sz w:val="11"/>
                <w:szCs w:val="11"/>
                <w:color w:val="auto"/>
              </w:rPr>
            </w:pPr>
          </w:p>
        </w:tc>
        <w:tc>
          <w:tcPr>
            <w:tcW w:w="8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5"/>
              </w:rPr>
              <w:t>Short-Term</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Equivalents and</w:t>
            </w: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8"/>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Restricted Cash</w:t>
            </w:r>
          </w:p>
        </w:tc>
        <w:tc>
          <w:tcPr>
            <w:tcW w:w="10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Level 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Level 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6"/>
              </w:rPr>
              <w:t>December 31, 2017</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Cash, Cash</w:t>
            </w:r>
          </w:p>
        </w:tc>
        <w:tc>
          <w:tcPr>
            <w:tcW w:w="100" w:type="dxa"/>
            <w:vAlign w:val="bottom"/>
          </w:tcPr>
          <w:p>
            <w:pPr>
              <w:spacing w:after="0"/>
              <w:rPr>
                <w:sz w:val="11"/>
                <w:szCs w:val="11"/>
                <w:color w:val="auto"/>
              </w:rPr>
            </w:pPr>
          </w:p>
        </w:tc>
        <w:tc>
          <w:tcPr>
            <w:tcW w:w="82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w w:val="95"/>
              </w:rPr>
              <w:t>Short-Term</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Equivalents and</w:t>
            </w:r>
          </w:p>
        </w:tc>
        <w:tc>
          <w:tcPr>
            <w:tcW w:w="10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8"/>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87"/>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Restricted Cash</w:t>
            </w:r>
          </w:p>
        </w:tc>
        <w:tc>
          <w:tcPr>
            <w:tcW w:w="100" w:type="dxa"/>
            <w:vAlign w:val="bottom"/>
          </w:tcPr>
          <w:p>
            <w:pPr>
              <w:spacing w:after="0"/>
              <w:rPr>
                <w:sz w:val="14"/>
                <w:szCs w:val="14"/>
                <w:color w:val="auto"/>
              </w:rPr>
            </w:pPr>
          </w:p>
        </w:tc>
        <w:tc>
          <w:tcPr>
            <w:tcW w:w="82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5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663</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Level 1:</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5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Level 2:</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5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5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735</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00" w:hanging="372"/>
        <w:spacing w:after="0" w:line="293"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June 30, 2018 and December 31, 2017, our restricted cash which primarily consists of escrowed security deposits, was not material and is included in other long-term assets on our unaudited condensed consolidated balance sheets.</w:t>
      </w:r>
    </w:p>
    <w:p>
      <w:pPr>
        <w:spacing w:after="0" w:line="16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of purchase. The remaining maturities of our long-term marketable securities range from one to three years and our short-term marketable securities include maturities that were greater than 90 days at the date purchased and have 12 months or less remaining at June 30, 2018 and December 31, 2017, respectively.</w:t>
      </w:r>
    </w:p>
    <w:p>
      <w:pPr>
        <w:spacing w:after="0" w:line="18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0"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We classify our cash, cash equivalents, restricted cash and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marketable securities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6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and six months ended June 30, 2018 and 2017, respectively. Realized gains and losses on the sale of securities are determined by specific identification of each security’s cost basis. We consider any unrealized loss position in our available-for-sale marketable debt securities to be temporary in nature and do not consider any of these investments other-than-temporarily impaired as of June 30,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60" w:firstLine="548"/>
        <w:spacing w:after="0" w:line="277" w:lineRule="auto"/>
        <w:rPr>
          <w:sz w:val="20"/>
          <w:szCs w:val="20"/>
          <w:color w:val="auto"/>
        </w:rPr>
      </w:pPr>
      <w:r>
        <w:rPr>
          <w:rFonts w:ascii="Arial" w:cs="Arial" w:eastAsia="Arial" w:hAnsi="Arial"/>
          <w:sz w:val="18"/>
          <w:szCs w:val="18"/>
          <w:color w:val="auto"/>
        </w:rPr>
        <w:t>In certain circumstances, we enter into foreign currency forward contracts to reduce the effects of fluctuating foreign currency exchange rates on our cash flows denominated in foreign currencies. We do not use derivatives for trading or speculative purposes.</w:t>
      </w:r>
    </w:p>
    <w:p>
      <w:pPr>
        <w:spacing w:after="0" w:line="62" w:lineRule="exact"/>
        <w:rPr>
          <w:sz w:val="20"/>
          <w:szCs w:val="20"/>
          <w:color w:val="auto"/>
        </w:rPr>
      </w:pPr>
    </w:p>
    <w:p>
      <w:pPr>
        <w:ind w:right="20" w:firstLine="548"/>
        <w:spacing w:after="0" w:line="257" w:lineRule="auto"/>
        <w:rPr>
          <w:sz w:val="20"/>
          <w:szCs w:val="20"/>
          <w:color w:val="auto"/>
        </w:rPr>
      </w:pPr>
      <w:r>
        <w:rPr>
          <w:rFonts w:ascii="Arial" w:cs="Arial" w:eastAsia="Arial" w:hAnsi="Arial"/>
          <w:sz w:val="18"/>
          <w:szCs w:val="18"/>
          <w:color w:val="auto"/>
        </w:rPr>
        <w:t>Our forward contracts, which we have entered into to date, have not been designated as hedges and typically have maturities of less than 90 days. Derivative financial instruments are carried at fair value on our unaudited condensed consolidated balance sheets. Any gain or loss resulting from the change in fair value of the foreign currency forward contracts was recognized in our unaudited condensed consolidated statement of operations in interest income and other, net, and was a net loss of $3 million for both the three and six months ended June 30, 2018, respectively and was not material for the three and six months ended June 30, 2017,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Company had four outstanding derivative contracts as of June 30, 2018 and no outstanding derivative contracts as of December 31, 2017.</w:t>
      </w:r>
    </w:p>
    <w:p>
      <w:pPr>
        <w:spacing w:after="0" w:line="117" w:lineRule="exact"/>
        <w:rPr>
          <w:sz w:val="20"/>
          <w:szCs w:val="20"/>
          <w:color w:val="auto"/>
        </w:rPr>
      </w:pPr>
    </w:p>
    <w:p>
      <w:pPr>
        <w:ind w:right="220" w:firstLine="548"/>
        <w:spacing w:after="0" w:line="308" w:lineRule="auto"/>
        <w:rPr>
          <w:sz w:val="20"/>
          <w:szCs w:val="20"/>
          <w:color w:val="auto"/>
        </w:rPr>
      </w:pPr>
      <w:r>
        <w:rPr>
          <w:rFonts w:ascii="Arial" w:cs="Arial" w:eastAsia="Arial" w:hAnsi="Arial"/>
          <w:sz w:val="17"/>
          <w:szCs w:val="17"/>
          <w:color w:val="auto"/>
        </w:rPr>
        <w:t>The following table shows the fair value and classification on our unaudited condensed consolidated balance sheet, as well as the notional principal amounts of our outstanding or unsettled derivative instruments that are not designated as hedging instruments as of June 30, 2018:</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0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Balance Sheet Caption</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0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80" w:type="dxa"/>
            <w:vAlign w:val="bottom"/>
            <w:tcBorders>
              <w:bottom w:val="single" w:sz="8" w:color="auto"/>
            </w:tcBorders>
            <w:gridSpan w:val="4"/>
          </w:tcPr>
          <w:p>
            <w:pPr>
              <w:ind w:left="360"/>
              <w:spacing w:after="0" w:line="155" w:lineRule="exact"/>
              <w:rPr>
                <w:sz w:val="20"/>
                <w:szCs w:val="20"/>
                <w:color w:val="auto"/>
              </w:rPr>
            </w:pPr>
            <w:r>
              <w:rPr>
                <w:rFonts w:ascii="Arial" w:cs="Arial" w:eastAsia="Arial" w:hAnsi="Arial"/>
                <w:sz w:val="14"/>
                <w:szCs w:val="14"/>
                <w:b w:val="1"/>
                <w:bCs w:val="1"/>
                <w:color w:val="auto"/>
              </w:rPr>
              <w:t>Fair Value of Derivative (2)</w:t>
            </w:r>
          </w:p>
        </w:tc>
        <w:tc>
          <w:tcPr>
            <w:tcW w:w="1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Notional amount</w:t>
            </w:r>
          </w:p>
        </w:tc>
        <w:tc>
          <w:tcPr>
            <w:tcW w:w="120" w:type="dxa"/>
            <w:vAlign w:val="bottom"/>
          </w:tcPr>
          <w:p>
            <w:pPr>
              <w:spacing w:after="0"/>
              <w:rPr>
                <w:sz w:val="13"/>
                <w:szCs w:val="13"/>
                <w:color w:val="auto"/>
              </w:rPr>
            </w:pPr>
          </w:p>
        </w:tc>
      </w:tr>
      <w:tr>
        <w:trPr>
          <w:trHeight w:val="156"/>
        </w:trPr>
        <w:tc>
          <w:tcPr>
            <w:tcW w:w="30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Asset</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b w:val="1"/>
                <w:bCs w:val="1"/>
                <w:color w:val="auto"/>
                <w:w w:val="98"/>
              </w:rPr>
              <w:t>Liability</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30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left="68"/>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5"/>
        </w:trPr>
        <w:tc>
          <w:tcPr>
            <w:tcW w:w="6000" w:type="dxa"/>
            <w:vAlign w:val="bottom"/>
            <w:gridSpan w:val="2"/>
            <w:shd w:val="clear" w:color="auto" w:fill="CFF0FC"/>
          </w:tcPr>
          <w:p>
            <w:pPr>
              <w:ind w:left="2980"/>
              <w:spacing w:after="0"/>
              <w:rPr>
                <w:sz w:val="20"/>
                <w:szCs w:val="20"/>
                <w:color w:val="auto"/>
              </w:rPr>
            </w:pPr>
            <w:r>
              <w:rPr>
                <w:rFonts w:ascii="Arial" w:cs="Arial" w:eastAsia="Arial" w:hAnsi="Arial"/>
                <w:sz w:val="18"/>
                <w:szCs w:val="18"/>
                <w:color w:val="auto"/>
              </w:rPr>
              <w:t>Accrued expenses and other current</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currency-forward contracts (1)  liabilities</w:t>
            </w:r>
          </w:p>
        </w:tc>
        <w:tc>
          <w:tcPr>
            <w:tcW w:w="126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w:t>
            </w:r>
          </w:p>
        </w:tc>
        <w:tc>
          <w:tcPr>
            <w:tcW w:w="74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0"/>
                <w:szCs w:val="20"/>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Derivative contracts address the effects of foreign currency exchange fluctuations for the Euro versus the U.S. dollar.</w:t>
      </w:r>
    </w:p>
    <w:p>
      <w:pPr>
        <w:spacing w:after="0" w:line="23" w:lineRule="exact"/>
        <w:rPr>
          <w:rFonts w:ascii="Arial" w:cs="Arial" w:eastAsia="Arial" w:hAnsi="Arial"/>
          <w:sz w:val="18"/>
          <w:szCs w:val="18"/>
          <w:color w:val="auto"/>
        </w:rPr>
      </w:pPr>
    </w:p>
    <w:p>
      <w:pPr>
        <w:ind w:left="1040" w:right="160" w:hanging="519"/>
        <w:spacing w:after="0" w:line="261"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measure the fair value of our outstanding or unsettled derivatives using Level 2 fair value inputs, as we use a pricing model that takes into account the contract terms as well as current foreign currency exchange rates in active markets.</w:t>
      </w:r>
    </w:p>
    <w:p>
      <w:pPr>
        <w:spacing w:after="0" w:line="18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Counterparties to foreign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Other financial instruments not measured at fair value on a recurring basis include accounts receivable and contract assets, accounts payable, deferred merchant payables, short-term debt, accrued expenses and other current liabilities and long-term debt. The carrying amount of these financial instruments, with the exception of long-term debt, approximate their fair value because of the short maturity of these instruments as reported on our unaudited condensed consolidated balance sheets as of June 30, 2018 and December 31, 2017. The carrying value of the long-term debt from our 2015 Credit Facility bears interest at a variable rate and therefore is also considered to approximate its fair value.</w:t>
      </w:r>
    </w:p>
    <w:p>
      <w:pPr>
        <w:spacing w:after="0" w:line="1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addition, we also hold investments in equity securities of privately-held companies that do not have a readily determinable fair value. As of both June 30, 2018 and December 31, 2017, the total carrying value of our equity investments in these privately-held companies were $12 million and are included in other long-term assets on our unaudited condensed consolidated balance sheet. Our policy is to measure these investments at cost less impairment, if any, plus or minus changes resulting from observable price changes in orderly transactions for the identical or a similar investment of the same issuer. On a quarterly basis, we perform a qualitative assessment considering impairment indicators to evaluate whether these investments are impaired and also monitor for any observable price changes. During the six months ended June 30, 2018 and 2017, we did not have any impairment loss on these equity investments.</w:t>
      </w:r>
    </w:p>
    <w:p>
      <w:pPr>
        <w:spacing w:after="0" w:line="16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did not have assets or liabilities measured at fair value on a recurring basis using the Level 3 unobservable inputs at both June 30, 2018 and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right="80" w:firstLine="548"/>
        <w:spacing w:after="0" w:line="271" w:lineRule="auto"/>
        <w:rPr>
          <w:sz w:val="20"/>
          <w:szCs w:val="20"/>
          <w:color w:val="auto"/>
        </w:rPr>
      </w:pPr>
      <w:r>
        <w:rPr>
          <w:rFonts w:ascii="Arial" w:cs="Arial" w:eastAsia="Arial" w:hAnsi="Arial"/>
          <w:sz w:val="17"/>
          <w:szCs w:val="17"/>
          <w:color w:val="auto"/>
        </w:rPr>
        <w:t>We are party to a five year credit agreement with a group of lenders which, among other things, provides for a $1.2 billion unsecured revolving credit facility (the “2015 Credit Facility”) with a maturity date of May 12, 2022.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 sterling.</w:t>
      </w:r>
    </w:p>
    <w:p>
      <w:pPr>
        <w:spacing w:after="0" w:line="71" w:lineRule="exact"/>
        <w:rPr>
          <w:sz w:val="20"/>
          <w:szCs w:val="20"/>
          <w:color w:val="auto"/>
        </w:rPr>
      </w:pPr>
    </w:p>
    <w:p>
      <w:pPr>
        <w:ind w:right="160" w:firstLine="552"/>
        <w:spacing w:after="0" w:line="277" w:lineRule="auto"/>
        <w:rPr>
          <w:sz w:val="20"/>
          <w:szCs w:val="20"/>
          <w:color w:val="auto"/>
        </w:rPr>
      </w:pPr>
      <w:r>
        <w:rPr>
          <w:rFonts w:ascii="Arial" w:cs="Arial" w:eastAsia="Arial" w:hAnsi="Arial"/>
          <w:sz w:val="18"/>
          <w:szCs w:val="18"/>
          <w:color w:val="auto"/>
        </w:rPr>
        <w:t>During the six months ended June 30, 2018, the Company borrowed an additional $5 million and repaid $235 million of our outstanding borrowings on the 2015 Credit Facility. These net repayments were primarily made from a one-time cash repatriation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1" w:name="page22"/>
    <w:bookmarkEnd w:id="21"/>
    <w:p>
      <w:pPr>
        <w:spacing w:after="0" w:line="270" w:lineRule="auto"/>
        <w:rPr>
          <w:sz w:val="20"/>
          <w:szCs w:val="20"/>
          <w:color w:val="auto"/>
        </w:rPr>
      </w:pPr>
      <w:r>
        <w:rPr>
          <w:rFonts w:ascii="Arial" w:cs="Arial" w:eastAsia="Arial" w:hAnsi="Arial"/>
          <w:sz w:val="17"/>
          <w:szCs w:val="17"/>
          <w:color w:val="auto"/>
        </w:rPr>
        <w:t>$325 million of foreign earnings to the United States during the first quarter of 2018. As of June 30, 2018, there were no outstanding borrowings under the 2015 Credit Facility. We are required to pay a quarterly commitment fee, at an applicable rate ranging from 0.15% to 0.30%, on the daily unused portion of the revolving credit facility for each fiscal quarter and additional fees in connection with the issuance of letters of credit. As of June 30, 2018, our unused revolver capacity was subject to a commitment fee of 0.15%, given the Company’s leverage ratio. The 2015 Credit Facility includes $15 million of borrowing capacity available for letters of credit and $40 million for Swing Line borrowings on same-day notice. As of June 30, 2018, we had issued $3 million of outstanding letters of credit under the 2015 Credit Facility. We recorded total interest expense and commitment fees on our 2015 Credit Facility of $1 million and $2 million for the three and six months ended June 30, 2018, respectively and $2 million and $3 million for the three and six months ended June 30, 2017, respectively, to interest expense on our unaudited condensed consolidated statements of operations. All unpaid interest and commitment fee amounts as of June 30, 2018 and December 31, 2017, respectively, were not material.</w:t>
      </w:r>
    </w:p>
    <w:p>
      <w:pPr>
        <w:spacing w:after="0" w:line="74"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There is no specific repayment date prior to the maturity date for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June 30, 2018, we were in compliance with all of our debt covenants.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225" w:lineRule="exact"/>
        <w:rPr>
          <w:sz w:val="20"/>
          <w:szCs w:val="20"/>
          <w:color w:val="auto"/>
        </w:rPr>
      </w:pPr>
    </w:p>
    <w:p>
      <w:pPr>
        <w:jc w:val="both"/>
        <w:ind w:right="100" w:firstLine="518"/>
        <w:spacing w:after="0" w:line="302" w:lineRule="auto"/>
        <w:rPr>
          <w:sz w:val="20"/>
          <w:szCs w:val="20"/>
          <w:color w:val="auto"/>
        </w:rPr>
      </w:pPr>
      <w:r>
        <w:rPr>
          <w:rFonts w:ascii="Arial" w:cs="Arial" w:eastAsia="Arial" w:hAnsi="Arial"/>
          <w:sz w:val="16"/>
          <w:szCs w:val="16"/>
          <w:color w:val="auto"/>
        </w:rPr>
        <w:t>We were party to an uncommitted facility agreement which provided for a $73 million unsecured revolving credit facility (the “2016 Credit Facility”) with no specific expiration date. We initially borrowed $73 million from this uncommitted credit facility in 2016 and repaid the full amount during the three months ended March 31, 2017. As of December 31, 2017, there were no outstanding borrowings under the 2016 Credit Facility. In June 2018, the Company terminated the 2016 Credit Facility. We had no outstanding borrowings under the 2016 Credit Facility at the time of termination.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30, 2018, in addition to our 2015 Credit Facility, we maintain two credit facilities in China (jointly, the “Chinese Credit Facilities”).</w:t>
      </w:r>
    </w:p>
    <w:p>
      <w:pPr>
        <w:spacing w:after="0" w:line="23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are party to a $30 million, one-year revolving credit facility with Bank of America (the “Chinese Credit Facility—BOA”) that is currently subject to review on a periodic basis with no specific expiration period. Borrowings under our Chinese Credit Facility – BOA generally bear interest at a rate based on People’s Bank of China benchmark, including certain adjustments which may be made in accordance with market conditions at the time of borrowing. As of June 30, 2018 and December 31, 2017, there were no outstanding borrowings under our Chinese Credit Facility—BOA.</w:t>
      </w:r>
    </w:p>
    <w:p>
      <w:pPr>
        <w:spacing w:after="0" w:line="171" w:lineRule="exact"/>
        <w:rPr>
          <w:sz w:val="20"/>
          <w:szCs w:val="20"/>
          <w:color w:val="auto"/>
        </w:rPr>
      </w:pPr>
    </w:p>
    <w:p>
      <w:pPr>
        <w:ind w:right="60" w:firstLine="552"/>
        <w:spacing w:after="0" w:line="255" w:lineRule="auto"/>
        <w:rPr>
          <w:sz w:val="20"/>
          <w:szCs w:val="20"/>
          <w:color w:val="auto"/>
        </w:rPr>
      </w:pPr>
      <w:r>
        <w:rPr>
          <w:rFonts w:ascii="Arial" w:cs="Arial" w:eastAsia="Arial" w:hAnsi="Arial"/>
          <w:sz w:val="18"/>
          <w:szCs w:val="18"/>
          <w:color w:val="auto"/>
        </w:rPr>
        <w:t>We are also party to a RMB 70,000,000 (approximately $11 million) one-year revolving credit facility with J.P. Morgan Chase Bank (“Chinese Credit Facility-JPM”). Our Chinese Credit Facility—JPM generally bears interest at a rate based on People’s Bank of China benchmark, including certain adjustments which may be made in accordance with market conditions at the time of borrowing. As of December 31, 2017, we had $7 million of outstanding borrowings from the Chinese Credit Facility – JPM at a weighted average rate of 5.00%. During the six months ended June 30, 2018, we borrowed an additional $2 million and repaid in full the outstanding borrowings under our Chinese Credit Facility-JPM of $10 million. As of June 30, 2018, there were no outstanding borrowings under our Chinese Credit Facility—JPM.</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2" w:name="page23"/>
    <w:bookmarkEnd w:id="22"/>
    <w:p>
      <w:pPr>
        <w:ind w:firstLine="518"/>
        <w:spacing w:after="0" w:line="293" w:lineRule="auto"/>
        <w:rPr>
          <w:sz w:val="20"/>
          <w:szCs w:val="20"/>
          <w:color w:val="auto"/>
        </w:rPr>
      </w:pPr>
      <w:r>
        <w:rPr>
          <w:rFonts w:ascii="Arial" w:cs="Arial" w:eastAsia="Arial" w:hAnsi="Arial"/>
          <w:sz w:val="16"/>
          <w:szCs w:val="16"/>
          <w:color w:val="auto"/>
        </w:rPr>
        <w:t>Our effective tax rate for the three and six months ended June 30, 2018 was 23.8% and 42.9%, respectively. Our effective tax rate for the three and six months ended June 30, 2017 was 38.6% and 42.0%, respectively. For the three and six months ended June 30, 2018, the effective tax rate was greater than the federal statutory rate primarily due to foreign valuation allowances and the income tax effects of the accounting for share-based compensation. The change in the effective tax rate for the three months ended June 30, 2018 when compared to the same periods in 2017 was primarily due to the rate reduction from the enactment of the U.S. Tax Cuts and Jobs Act of 2017 (“2017 Tax Act”), as discussed below. The change in the effective tax rate for the six months ended June 30, 2018 when compared to the same periods in 2017 was due to a change in jurisdictional earnings, partially offset by the impact of the 2017 Tax Act.</w:t>
      </w:r>
    </w:p>
    <w:p>
      <w:pPr>
        <w:spacing w:after="0" w:line="165"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The 2017 Tax Act introduced significant changes to U.S. income tax law. Changes include, but are not limited to, a corporate tax rate decrease from 35% to 21% effective for tax years beginning after December 31, 2017, the transition of U.S. international taxation from a worldwide tax system to a territorial system, and a one-time tax on the mandatory deemed repatriation of cumulative foreign earnings (the “Transition Tax”) as of December 31, 2017.</w:t>
      </w:r>
    </w:p>
    <w:p>
      <w:pPr>
        <w:spacing w:after="0" w:line="14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December 22, 2017, the SEC issued Staff Accounting Bulletin No. 118, or SAB 118, which allows us to record provisional amounts during a measurement period not to extend beyond one year of the enactment date.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88"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During the three and six months ended June 30, 2018, we recorded a $5 million income tax benefit and a $0 net income tax expense, respectively, related to the Transition Tax, which reflects additional information that we obtained during the first half of 2018 related to uncertain tax positions, earnings and profits, foreign tax credits, and state taxes. Additional work is still necessary for a more detailed analysis of our historical foreign earnings. Any subsequent adjustment to these amounts will be recorded to current tax expense in the quarter of 2018 when the analysis is complete.</w:t>
      </w:r>
    </w:p>
    <w:p>
      <w:pPr>
        <w:spacing w:after="0" w:line="154"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are subject to additional requirements of the 2017 Tax Act during the year ended December 31, 2018. Those provisions include a tax on global intangible low-taxed income (“GILTI”), a limitation of certain executive compensation, and a deduction for foreign derived intangible income (“FDII”). We have elected to account for GILTI as a period cost, and therefore included GILTI expense in the effective tax rate calculation. Our 2018 effective tax rate includes our estimates of these new provisions, with a net tax benefit of $2 million and $3 million recorded during the three and six months ended June 30, 2018, respectively. Our estimates may be revised in future periods as we obtain additional data, and as the Internal Revenue Service (“IRS”) issues new guidance implementing the law changes.</w:t>
      </w:r>
    </w:p>
    <w:p>
      <w:pPr>
        <w:spacing w:after="0" w:line="193"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June 30, 2018, accrued interest was $12 million, net of federal and state benefit, and no penalties have been accrued.</w:t>
      </w:r>
    </w:p>
    <w:p>
      <w:pPr>
        <w:spacing w:after="0" w:line="124"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and have various ongoing audits for state income tax returns. We are separately under examination by the IRS for the short-period 2011, 2012 and 2013 tax years and under an employment tax audit by the IRS for the 2013 and 2014 tax years. These audits include questions about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2018, no material assessments have resulted, except as noted below regarding our 2009 and 2010 IRS audit with Expedia.</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January 2017, as part of the IRS audit of Expedia, we received Notices of Proposed Adjustment from the IRS for the 2009 and 2010 tax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years. These proposed adjustments are related to certain transfer pricing arrangements with our foreign subsidiaries, and would result in an increase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worldwide income tax expense in an estimated range of $10 million to $14 million after consideration of competent authority relief, exclusive of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penalties. We disagree with the proposed adjustments and we intend to defend our position through applicable administrative and, if necessary, judicial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remedies. Our policy is to review and update tax reserves as facts and circumstances change. Based on our interpretation of the regulations and available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 we believe the position we have taken with regard to transfer pricing with our foreign subsidiaries is sustainable. In addition to the risk of additional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2009 and 2010 transactions, if the IRS were to seek transfer pricing adjustments of a similar nature for transactions in subsequent years, we would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significant additional tax liabilities.</w:t>
      </w:r>
    </w:p>
    <w:p>
      <w:pPr>
        <w:spacing w:after="0" w:line="2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ind w:right="40"/>
        <w:spacing w:after="0" w:line="271" w:lineRule="auto"/>
        <w:rPr>
          <w:sz w:val="20"/>
          <w:szCs w:val="20"/>
          <w:color w:val="auto"/>
        </w:rPr>
      </w:pPr>
      <w:r>
        <w:rPr>
          <w:rFonts w:ascii="Arial" w:cs="Arial" w:eastAsia="Arial" w:hAnsi="Arial"/>
          <w:sz w:val="17"/>
          <w:szCs w:val="17"/>
          <w:color w:val="auto"/>
        </w:rPr>
        <w:t>Altera’s foreign subsidiary. In its opinion, the Court accepted Altera’s position of excluding stock-based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an income tax benefit of $1 million during both the three and six months ended June 30, 2018, respectively, and an income tax benefit of $1 million and $3 million for the three and six months ended June 30, 2017, respectively, in its unaudited condensed consolidated statement of operations. Since the Court’s 2015 opinion the Company has taken total income tax benefits of $14 million to date as of June 30, 2018. On July 24, 2018, subsequent to the quarter ended June 30, 2018, the IRS won the appeals court case at the Ninth Circuit. While we have taken an income tax benefit based on the Court’s 2015 opinion, as discussed above, we will review the latest decision on the case and its impact to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 xml:space="preserve">There have been no material changes to our commitments and contingencies since December 31, 2017. Refer to “Note 13: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of our Annual Report on Form 10-K for the year ended December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the ordinary course of business, we are parties to regulatory and legal matters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and consumer matters),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80"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 xml:space="preserve">We continue to accumulate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withholding taxes and state taxes. Refer to “Note 8: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on potential contingencies surrounding income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On January 31, 2018, our Board of Directors authorized up to $250 million of share repurchases. Our Board of Directors authorized and directed management, working with the Executive Committee of our Board of Directors, to affect the share repurchase program in compliance with applicable legal requirements. This repurchase program has no expiration date but may be suspended or terminated by the Board of Directors at any time.</w:t>
      </w:r>
    </w:p>
    <w:p>
      <w:pPr>
        <w:spacing w:after="0" w:line="93"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During the six months ended June 30, 2018, we repurchased 2,582,198 shares of outstanding common stock under the share repurchase program at an aggregate cost of $100 million, or an average share price of $38.73. As of June 30, 2018, we had a remaining balance of $150 million available to repurchase shares of our common stock under the share repurchase program.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consider Liberty TripAdvisor Holdings, Inc. (“LTRIP”) a related party. As of June 30, 2018, LTRIP beneficially owned approximately 18.2 million shares of our common stock and 12.8 million shares of our Class B common stock, which shares constitute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ind w:right="100"/>
        <w:spacing w:after="0" w:line="259" w:lineRule="auto"/>
        <w:rPr>
          <w:sz w:val="20"/>
          <w:szCs w:val="20"/>
          <w:color w:val="auto"/>
        </w:rPr>
      </w:pPr>
      <w:r>
        <w:rPr>
          <w:rFonts w:ascii="Arial" w:cs="Arial" w:eastAsia="Arial" w:hAnsi="Arial"/>
          <w:sz w:val="18"/>
          <w:szCs w:val="18"/>
          <w:color w:val="auto"/>
        </w:rPr>
        <w:t>14.6% of the outstanding shares of common stock and 100% of the outstanding shares of Class B common stock. Assuming the conversion of all of LTRIP’s shares of Class B common stock into common stock, LTRIP would beneficially own 22.5% of the outstanding common stock. Because each share of Class B common stock generally is entitled to ten votes per share and each share of common stock is entitled to one vote per share, LTRIP may be deemed to beneficially own equity securities representing 57.8% of our voting power.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both the three and six months ended June 30, 2018 and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reporting structure includes two reportable segments: Hotel and Non-Hotel. Our Non-Hotel segment consists of the aggregation of three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segments: Experiences, Restaurants and Rentals. The nature of the services provided are summarized in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1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CEO.</w:t>
      </w:r>
    </w:p>
    <w:p>
      <w:pPr>
        <w:spacing w:after="0" w:line="181" w:lineRule="exact"/>
        <w:rPr>
          <w:sz w:val="20"/>
          <w:szCs w:val="20"/>
          <w:color w:val="auto"/>
        </w:rPr>
      </w:pPr>
    </w:p>
    <w:p>
      <w:pPr>
        <w:ind w:right="10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50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non-recurring expenses and income.</w:t>
      </w:r>
    </w:p>
    <w:p>
      <w:pPr>
        <w:spacing w:after="0" w:line="184"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following tables present our segment information for the three and six months ended June 30, 2018 and 2017 and include a reconciliation of Adjusted EBITDA to Net Income.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use this information to evaluate operating segments. Accordingly, we do not regularly provide such information by segment to our chief operating decision maker. Intersegment revenue is not material and, in addition, already eliminated in the information by segment provided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jc w:val="center"/>
              <w:ind w:right="315"/>
              <w:spacing w:after="0"/>
              <w:rPr>
                <w:sz w:val="20"/>
                <w:szCs w:val="20"/>
                <w:color w:val="auto"/>
              </w:rPr>
            </w:pPr>
            <w:r>
              <w:rPr>
                <w:rFonts w:ascii="Arial" w:cs="Arial" w:eastAsia="Arial" w:hAnsi="Arial"/>
                <w:sz w:val="14"/>
                <w:szCs w:val="14"/>
                <w:b w:val="1"/>
                <w:bCs w:val="1"/>
                <w:color w:val="auto"/>
                <w:w w:val="91"/>
              </w:rPr>
              <w:t>Three months ended June 30, 2018</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Non-Hotel</w:t>
            </w:r>
          </w:p>
        </w:tc>
        <w:tc>
          <w:tcPr>
            <w:tcW w:w="400" w:type="dxa"/>
            <w:vAlign w:val="bottom"/>
          </w:tcPr>
          <w:p>
            <w:pPr>
              <w:spacing w:after="0"/>
              <w:rPr>
                <w:sz w:val="11"/>
                <w:szCs w:val="11"/>
                <w:color w:val="auto"/>
              </w:rPr>
            </w:pPr>
          </w:p>
        </w:tc>
        <w:tc>
          <w:tcPr>
            <w:tcW w:w="1380" w:type="dxa"/>
            <w:vAlign w:val="bottom"/>
          </w:tcPr>
          <w:p>
            <w:pPr>
              <w:jc w:val="right"/>
              <w:ind w:right="37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455"/>
              <w:spacing w:after="0"/>
              <w:rPr>
                <w:sz w:val="20"/>
                <w:szCs w:val="20"/>
                <w:color w:val="auto"/>
              </w:rPr>
            </w:pPr>
            <w:r>
              <w:rPr>
                <w:rFonts w:ascii="Arial" w:cs="Arial" w:eastAsia="Arial" w:hAnsi="Arial"/>
                <w:sz w:val="14"/>
                <w:szCs w:val="14"/>
                <w:b w:val="1"/>
                <w:bCs w:val="1"/>
                <w:color w:val="auto"/>
              </w:rPr>
              <w:t>Unallocated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left="88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Adjusted EBITDA (1)</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25</w:t>
            </w: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104"/>
              <w:spacing w:after="0"/>
              <w:rPr>
                <w:sz w:val="20"/>
                <w:szCs w:val="20"/>
                <w:color w:val="auto"/>
              </w:rPr>
            </w:pPr>
            <w:r>
              <w:rPr>
                <w:rFonts w:ascii="Arial" w:cs="Arial" w:eastAsia="Arial" w:hAnsi="Arial"/>
                <w:sz w:val="14"/>
                <w:szCs w:val="14"/>
                <w:b w:val="1"/>
                <w:bCs w:val="1"/>
                <w:color w:val="auto"/>
                <w:w w:val="91"/>
              </w:rPr>
              <w:t>Three months ended June 30, 2017</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Hotel</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w w:val="95"/>
              </w:rPr>
              <w:t>Non-Hotel</w:t>
            </w:r>
          </w:p>
        </w:tc>
        <w:tc>
          <w:tcPr>
            <w:tcW w:w="24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Unallocated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center"/>
              <w:ind w:left="72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221"/>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Adjusted EBITDA (2)</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22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3"/>
              </w:rPr>
              <w:t>(19)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3"/>
              </w:rPr>
              <w:t>(28)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gridSpan w:val="3"/>
            <w:vMerge w:val="restart"/>
          </w:tcPr>
          <w:p>
            <w:pPr>
              <w:jc w:val="center"/>
              <w:ind w:left="21"/>
              <w:spacing w:after="0"/>
              <w:rPr>
                <w:sz w:val="20"/>
                <w:szCs w:val="20"/>
                <w:color w:val="auto"/>
              </w:rPr>
            </w:pPr>
            <w:r>
              <w:rPr>
                <w:rFonts w:ascii="Arial" w:cs="Arial" w:eastAsia="Arial" w:hAnsi="Arial"/>
                <w:sz w:val="14"/>
                <w:szCs w:val="14"/>
                <w:b w:val="1"/>
                <w:bCs w:val="1"/>
                <w:color w:val="auto"/>
                <w:w w:val="90"/>
              </w:rPr>
              <w:t>Six months ended June 30, 2018</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Hotel</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Non-Hotel</w:t>
            </w:r>
          </w:p>
        </w:tc>
        <w:tc>
          <w:tcPr>
            <w:tcW w:w="240" w:type="dxa"/>
            <w:vAlign w:val="bottom"/>
          </w:tcPr>
          <w:p>
            <w:pPr>
              <w:spacing w:after="0"/>
              <w:rPr>
                <w:sz w:val="11"/>
                <w:szCs w:val="11"/>
                <w:color w:val="auto"/>
              </w:rPr>
            </w:pPr>
          </w:p>
        </w:tc>
        <w:tc>
          <w:tcPr>
            <w:tcW w:w="15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Unallocated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3"/>
          </w:tcPr>
          <w:p>
            <w:pPr>
              <w:jc w:val="center"/>
              <w:ind w:left="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612</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Adjusted EBITDA (1)</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177</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gridSpan w:val="3"/>
            <w:vMerge w:val="restart"/>
          </w:tcPr>
          <w:p>
            <w:pPr>
              <w:jc w:val="center"/>
              <w:ind w:left="21"/>
              <w:spacing w:after="0"/>
              <w:rPr>
                <w:sz w:val="20"/>
                <w:szCs w:val="20"/>
                <w:color w:val="auto"/>
              </w:rPr>
            </w:pPr>
            <w:r>
              <w:rPr>
                <w:rFonts w:ascii="Arial" w:cs="Arial" w:eastAsia="Arial" w:hAnsi="Arial"/>
                <w:sz w:val="14"/>
                <w:szCs w:val="14"/>
                <w:b w:val="1"/>
                <w:bCs w:val="1"/>
                <w:color w:val="auto"/>
                <w:w w:val="90"/>
              </w:rPr>
              <w:t>Six months ended June 30, 2017</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Hotel</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Non-Hotel</w:t>
            </w:r>
          </w:p>
        </w:tc>
        <w:tc>
          <w:tcPr>
            <w:tcW w:w="240" w:type="dxa"/>
            <w:vAlign w:val="bottom"/>
          </w:tcPr>
          <w:p>
            <w:pPr>
              <w:spacing w:after="0"/>
              <w:rPr>
                <w:sz w:val="11"/>
                <w:szCs w:val="11"/>
                <w:color w:val="auto"/>
              </w:rPr>
            </w:pPr>
          </w:p>
        </w:tc>
        <w:tc>
          <w:tcPr>
            <w:tcW w:w="15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Unallocated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3"/>
          </w:tcPr>
          <w:p>
            <w:pPr>
              <w:jc w:val="center"/>
              <w:ind w:left="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640</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Adjusted EBITDA (2)</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172</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1520" w:hanging="492"/>
        <w:spacing w:after="0" w:line="258"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allocated general and administrative expenses in our Hotel segment of $20 million and $40 million; and in our Non-Hotel segment of $13 million and $24 million for the three and six months ended June 30, 2018, respectively.</w:t>
      </w:r>
    </w:p>
    <w:p>
      <w:pPr>
        <w:spacing w:after="0" w:line="1" w:lineRule="exact"/>
        <w:rPr>
          <w:rFonts w:ascii="Arial" w:cs="Arial" w:eastAsia="Arial" w:hAnsi="Arial"/>
          <w:sz w:val="18"/>
          <w:szCs w:val="18"/>
          <w:color w:val="auto"/>
        </w:rPr>
      </w:pPr>
    </w:p>
    <w:p>
      <w:pPr>
        <w:ind w:left="500" w:right="1520" w:hanging="492"/>
        <w:spacing w:after="0" w:line="261"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allocated general and administrative expenses in our Hotel segment of $20 million and $38 million; and in our Non-Hotel segment of $10 million and $19 million for the three and six months ended June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2017.</w:t>
      </w:r>
    </w:p>
    <w:p>
      <w:pPr>
        <w:spacing w:after="0" w:line="6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three and six months ended June 30, 2018 including, but not limited to, those discussed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users and travel partners a global platform about destinations, accommodations, travel activities and experiences, and restaurants that includes rich user-generated content, price comparison tools and online reservation and related services.</w:t>
      </w:r>
    </w:p>
    <w:p>
      <w:pPr>
        <w:spacing w:after="0" w:line="16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TripAdvisor, Inc., by and through its subsidiaries, owns and operates a portfolio of leading online travel brands. Our flagship brand, TripAdvisor, is the world’s largest travel site based on monthly unique visitors, which reached 456 million during the quarter ended June 30, 2018, according to our internal log files. Our TripAdvisor-branded websites include tripadvisor.com in the United States and localized versions of the TripAdvisor website in 48 markets and 28 languages worldwide. TripAdvisor features approximately 661 million reviews and opinions on approximately 7.7 million places to stay, places to eat and things to do – including approximately 1.2 million hotels, inns, B&amp;Bs and specialty lodging, 855,000 rental properties, 4.7 million restaurants and 975,000 travel activities and experiences worldwide. We also enable users to compare prices and/or book a number of these travel experiences on either a TripAdvisor site or mobile app, or on the site or app of one of our travel partners.</w:t>
      </w:r>
    </w:p>
    <w:p>
      <w:pPr>
        <w:spacing w:after="0" w:line="70"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In addition to the flagship TripAdvisor brand, we manage and operate the following more than 20 other travel media brands, connected by the common goal of providing users the most comprehensive travel-planning and trip-taking resources in the travel industry: www.airfarewatchdog.com, www.bokun.io, www.bookingbuddy.com, www.citymaps.com, www.cruisecritic.com, www.familyvacationcritic.com, www.flipkey.com, www.thefork.com (including www.lafourchette.com, www.eltenedor.com, www.iens.nl, and www.dimmi.com.au), www.gateguru.com, www.holidaylettings.co.uk, www.holidaywatchdog.com, www.housetrip.com, www.jetsetter.com, www.niumba.com, www.onetime.com, www.oyster.com, www.seatguru.com, www.smartertravel.com, www.tingo.com, www.vacationhomerentals.com, and www.viator.com.</w:t>
      </w:r>
    </w:p>
    <w:p>
      <w:pPr>
        <w:spacing w:after="0" w:line="70" w:lineRule="exact"/>
        <w:rPr>
          <w:sz w:val="20"/>
          <w:szCs w:val="20"/>
          <w:color w:val="auto"/>
        </w:rPr>
      </w:pPr>
    </w:p>
    <w:p>
      <w:pPr>
        <w:ind w:right="400" w:firstLine="518"/>
        <w:spacing w:after="0" w:line="276" w:lineRule="auto"/>
        <w:rPr>
          <w:sz w:val="20"/>
          <w:szCs w:val="20"/>
          <w:color w:val="auto"/>
        </w:rPr>
      </w:pPr>
      <w:r>
        <w:rPr>
          <w:rFonts w:ascii="Arial" w:cs="Arial" w:eastAsia="Arial" w:hAnsi="Arial"/>
          <w:sz w:val="17"/>
          <w:szCs w:val="17"/>
          <w:color w:val="auto"/>
        </w:rPr>
        <w:t xml:space="preserve">Our reporting structure includes two reportable segments: Hotel and Non-Hotel. Our Non-Hotel reportable segment consists of our Experiences, Restaurants and Rentals offerings. During the first quarter of 2018, we renamed Attractions as “Experiences” and Vacation Rentals as “Rentals.” These changes had no impact on the composition of our segments or on any financial information. Financial information and additional descriptive information related to our segments is contained in “Note 12: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in the notes to our unaudited condensed consolidated financial statements in Item 1 in this Quarterly Report on Form 10-Q.</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Trends</w:t>
      </w:r>
    </w:p>
    <w:p>
      <w:pPr>
        <w:spacing w:after="0" w:line="22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As the world’s largest online travel platform, as measured by unique monthly visitors, TripAdvisor represents an attractive platform for travel advertisers—including hotel chains, independent hoteliers, online travel agencies or OTAs, destination marketing organizations, and other travel-related and non-travel related product and service providers—who seek to market and sell their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products and services to our large user base. Our product offerings and platform enable users to find, research and price shop for hotels, flights, cruises, rental properties, tours, travel activities and experiences, and restaurants, and book these travel events either directly on our websites or mobile apps, or on our travel partners’ websites or mobile apps. The key drivers of our financial results are described below, including a summary of our long-term growth strategy, current trends affecting our business, and our segment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mission is to help people around the world plan, book and experience the perfect trip. We seek to deliver this by: leveraging our user-generated content and global brand to attract users to our websites and applications; providing users with the best user experience throughout all phases of the travel journey; deepening our partnerships with travel partners by providing them with a global platform of advertising opportunities to generate qualified leads and bookings; and investing in technology, product development, marketing, and other strategic areas that we believe can improve our long-term business prospects.</w:t>
      </w:r>
    </w:p>
    <w:p>
      <w:pPr>
        <w:spacing w:after="0" w:line="80" w:lineRule="exact"/>
        <w:rPr>
          <w:sz w:val="20"/>
          <w:szCs w:val="20"/>
          <w:color w:val="auto"/>
        </w:rPr>
      </w:pPr>
    </w:p>
    <w:p>
      <w:pPr>
        <w:ind w:left="1140" w:right="60" w:hanging="376"/>
        <w:spacing w:after="0" w:line="271"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user engagement with our platform. </w:t>
      </w:r>
      <w:r>
        <w:rPr>
          <w:rFonts w:ascii="Arial" w:cs="Arial" w:eastAsia="Arial" w:hAnsi="Arial"/>
          <w:sz w:val="17"/>
          <w:szCs w:val="17"/>
          <w:color w:val="auto"/>
        </w:rPr>
        <w:t>Since our founding, the TripAdvisor brand has become a globally-recognized travel brand,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synonymous with travel reviews and travel research. We believe that our user-generated content and our brand have enabled us to build a large, highly engaged and loyal community of travelers who view TripAdvisor as a valuable resource to help them discover, plan, and book their travel experiences, and for millions of users, TripAdvisor gives them an interactive platform to share their travel experiences. We seek to amplify our global brand and raise user awareness about, and engagement with, our end-to-end product offerings, such as the ability to price shop and book, as we aim to attract users to our websites and applications through various channels, including domain direct and various online and offline marketing channels, including search engines through search engine optimization, or SEO, and search engine marketing, or SEM, and recently, through television brand advertising.</w:t>
      </w:r>
    </w:p>
    <w:p>
      <w:pPr>
        <w:spacing w:after="0" w:line="70" w:lineRule="exact"/>
        <w:rPr>
          <w:rFonts w:ascii="Arial" w:cs="Arial" w:eastAsia="Arial" w:hAnsi="Arial"/>
          <w:sz w:val="17"/>
          <w:szCs w:val="17"/>
          <w:color w:val="auto"/>
        </w:rPr>
      </w:pPr>
    </w:p>
    <w:p>
      <w:pPr>
        <w:ind w:left="1140" w:right="40" w:hanging="376"/>
        <w:spacing w:after="0" w:line="287"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the best user experience possible on our platform. </w:t>
      </w:r>
      <w:r>
        <w:rPr>
          <w:rFonts w:ascii="Arial" w:cs="Arial" w:eastAsia="Arial" w:hAnsi="Arial"/>
          <w:sz w:val="16"/>
          <w:szCs w:val="16"/>
          <w:color w:val="auto"/>
        </w:rPr>
        <w:t>We believe that giving users more value throughout their TripAdvisor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key to our future success. To accomplish this, we have made and will continue to make product improvements in order to provide a more enjoyable and engaging end-to-end user experience throughout all phases of the travel journey – from inspiration and discovery, to researching, price shopping and booking, to in-destination activities and places to eat and finally to sharing the details of these travel experiences on TripAdvisor. These enhancements include growing the number of hotels, inns, B&amp;Bs and specialty lodging, rental properties, restaurants, travel activities and experiences listed on our platform to approximately 7.7 million worldwide as of June 30, 2018. In addition to listings and content, we have provided users more options to price compare and book their travel experiences. During 2017, we launched a more engaging hotel shopping experience that focused on helping hotel shoppers find the best prices on a redesigned TripAdvisor website and mobile application. In order to better serve travelers’ needs when they are in-destination, we have continued to rapidly expand our bookable supply in Experiences and Restaurants. We believe that our continued focus on delivering an increasingly more robust user experience will ultimately result in more repeat usage on our platform, more value for our partners, and greater monetization for our business. We seek to quickly deliver product enhancements to our users and identify what users need to conduct their travel research and bookings.</w:t>
      </w:r>
    </w:p>
    <w:p>
      <w:pPr>
        <w:spacing w:after="0" w:line="60" w:lineRule="exact"/>
        <w:rPr>
          <w:rFonts w:ascii="Arial" w:cs="Arial" w:eastAsia="Arial" w:hAnsi="Arial"/>
          <w:sz w:val="16"/>
          <w:szCs w:val="16"/>
          <w:color w:val="auto"/>
        </w:rPr>
      </w:pPr>
    </w:p>
    <w:p>
      <w:pPr>
        <w:ind w:left="1140" w:right="40" w:hanging="376"/>
        <w:spacing w:after="0" w:line="253"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relationships with our travel partners. </w:t>
      </w:r>
      <w:r>
        <w:rPr>
          <w:rFonts w:ascii="Arial" w:cs="Arial" w:eastAsia="Arial" w:hAnsi="Arial"/>
          <w:sz w:val="18"/>
          <w:szCs w:val="18"/>
          <w:color w:val="auto"/>
        </w:rPr>
        <w:t>We are a global platform consisting of listing and advertising opportunities that help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impressions, brand awareness, qualified leads and bookings for travel partners. As of June 30, 2018, TripAdvisor had approximately 1.2 million hotels, inns, B&amp;Bs and specialty lodging, 855,000 rental properties, 4.7 million restaurants, and 975,000 travel activities and experiences worldwide. We believe that continuing to grow the number of listings and bookable supply, especially in our in-destination Experiences and Restaurants offerings, will enable TripAdvisor to not only delight users in more moments during more trips, but also help partners drive transactions for their business. We are also increasingly providing business-to-business services that are designed to help our partners grow their business. For example, TripAdvisor’s Business Advantage and Premium for Restaurants offer hoteliers and restauranteurs, respectively, affordable marketing analytics tools to help them attract customers and more effectively manage their business pages on TripAdvisor.</w:t>
      </w:r>
    </w:p>
    <w:p>
      <w:pPr>
        <w:spacing w:after="0" w:line="89" w:lineRule="exact"/>
        <w:rPr>
          <w:rFonts w:ascii="Arial" w:cs="Arial" w:eastAsia="Arial" w:hAnsi="Arial"/>
          <w:sz w:val="18"/>
          <w:szCs w:val="18"/>
          <w:color w:val="auto"/>
        </w:rPr>
      </w:pPr>
    </w:p>
    <w:p>
      <w:pPr>
        <w:ind w:left="1140" w:right="60" w:hanging="376"/>
        <w:spacing w:after="0" w:line="289"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 in technology, product, marketing and other strategic areas. </w:t>
      </w:r>
      <w:r>
        <w:rPr>
          <w:rFonts w:ascii="Arial" w:cs="Arial" w:eastAsia="Arial" w:hAnsi="Arial"/>
          <w:sz w:val="16"/>
          <w:szCs w:val="16"/>
          <w:color w:val="auto"/>
        </w:rPr>
        <w:t>Continuous product testing and speed to market are two of our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priorities, as they enable us to create a richer user experience. We operate on a regular product release cycle, where releases contain new product features for our websites and mobile applications. For example, innovating and improving our mobile phone offerings are key priorities since mobile phone adoption continues to scale and consumers increasingly conduct more internet searches and commerce on these devices than on desktop or tablet devices. During the quarter ended June 30, 2018, more than half of our average monthly unique visitors came from mobile phones, according to our internal log files. We anticipate that the growth rate in mobile phone monthly unique visitors will continue to exceed the growth rate of our overall monthly unique visitors, resulting in an increased proportion of users continuing to use their mobile phones to access the full range of services available on our websites and applications. We are investing significant resources to improve the features, functionality, engagement, and commercialization of our travel products on our mobile websites and applications.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Current Trends in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 Segment</w:t>
      </w:r>
    </w:p>
    <w:p>
      <w:pPr>
        <w:spacing w:after="0" w:line="117"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We have made – and will continue to make – product enhancements in order to provide users with a comprehensive hotel shopping experience by increasing content on destinations and on properties and room types, optimizing the price discovery and room selection process and helping users find and book the best room prices through our hotelier and OTA partners. On the supply side, we continue to focus on adding partners to our platform who possess unique consumer brands, unique accommodations supply and/or competitive room prices. We continue to believe in providing consumers with a robust selection of accommodations in order to drive higher repeat usage, conversion of hotel shoppers to bookers and higher cost-per-click rates on our platform.</w:t>
      </w:r>
    </w:p>
    <w:p>
      <w:pPr>
        <w:spacing w:after="0" w:line="50" w:lineRule="exact"/>
        <w:rPr>
          <w:sz w:val="20"/>
          <w:szCs w:val="20"/>
          <w:color w:val="auto"/>
        </w:rPr>
      </w:pPr>
    </w:p>
    <w:p>
      <w:pPr>
        <w:ind w:right="20" w:firstLine="560"/>
        <w:spacing w:after="0" w:line="273" w:lineRule="auto"/>
        <w:rPr>
          <w:sz w:val="20"/>
          <w:szCs w:val="20"/>
          <w:color w:val="auto"/>
        </w:rPr>
      </w:pPr>
      <w:r>
        <w:rPr>
          <w:rFonts w:ascii="Arial" w:cs="Arial" w:eastAsia="Arial" w:hAnsi="Arial"/>
          <w:sz w:val="17"/>
          <w:szCs w:val="17"/>
          <w:color w:val="auto"/>
        </w:rPr>
        <w:t>We continue to compete with other travel companies and search engines who also seek to attract hotel shoppers to their websites and apps. In any given period, we aim to maximize the number of hotel shoppers, which we define as the users who view either a listing of hotels in a city or on a specific hotel page on our platform, as long as the expected return on these investments meet – or exceed – our desired marketing efficiency targets. In recent quarters, we have leveraged improved tracking capabilities to focus our online traffic acquisition efforts on maximizing the ultimate booking value these leads generate for our hotelier and OTA partners, and we believe we have increased the quality of our hotel shoppers on our platform. This has been one of the important steps we have taken to optimize our paid marketing investments.</w:t>
      </w:r>
    </w:p>
    <w:p>
      <w:pPr>
        <w:spacing w:after="0" w:line="70"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During the quarter ended June 30, 2018, we continued to make product improvements as well as invest in a number of marketing channels, both paid and unpaid, in order to increase user awareness of – and long-term engagement with – TripAdvisor’s price shopping tools. Operating our online performance marketing campaigns to maximize the value of leads we deliver to our partners has enabled us to reduce our direct selling and marketing investments on our least-profitable paid online marketing campaigns. At the same time, we have made investments in offline marketing channels, such as our TripAdvisor-branded television advertising campaign launched in June 2017. In recent quarters, this has generated improved year-over-year profitability in our Hotel segment while also coming with expected trade-offs, or declines, to monthly unique hotel shopper growth and TripAdvisor-branded click-based and transaction revenue growth. We believe the ongoing progress of our product and marketing initiatives will enable TripAdvisor to establish a more durable, long-lasting direct relationship with users, which, in turn, will enhance the long-term growth profile of our business.</w:t>
      </w:r>
    </w:p>
    <w:p>
      <w:pPr>
        <w:spacing w:after="0" w:line="58"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We also aim to maximize the click-based revenue per hotel shopper on our platform, though in recent periods, revenue per hotel shopper has declined year-over-year primarily due to lower partner CPCs in our metasearch auction in the second half of 2017. While this has significantly impacted revenue per hotel shopper performance during the first half of 2018, we have also seen metasearch auction stability during the same time period. Other contributing factors to revenue per hotel shopper declines include our aforementioned reduced investment on least-profitable traffic on paid online marketing channels as well as continued strong hotel shopper growth on mobile phones. Mobile phones has a significantly lower revenue per hotel shopper than hotel shoppers on desktop and tablet, therefore the continued hotel shopper growth on mobile phones has slowed our TripAdvisor-branded click-based and transaction revenue growth and revenue per hotel shopper growth.</w:t>
      </w:r>
    </w:p>
    <w:p>
      <w:pPr>
        <w:spacing w:after="0" w:line="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User growth and engagement on mobile phones continues to drive overall average monthly unique visitor growth on our platform. We continue to prioritize delivering users a cleaner user experience over maximizing the number of advertising impressions we can sell in a given period and, while this may limit our ability to grow TripAdvisor-branded display-based advertising revenue, we continue working on a number of product enhancements and media ad products that we believe can deliver increased value to users and partners.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Non-Hotel Segment</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are a global travel platform with a wide spectrum of travel products that help users find and book great travel experiences. We are creating a comprehensive, end-to-end user experience through our Non-Hotel offerings – Experiences, Restaurants and Rentals. Over the past few years, we have seen continued user demand growth for Experiences and Restaurants offerings. Monthly unique users to these pages on our websites and applications in this segment continued to grow during the three and six months ended June 30, 2018, particularly on mobile phones, which helped drive bookings growth in Experiences and Restaurants. Our key ongoing strategic objectives for this segment are to deliver product enhancements, grow users and demand, to grow bookable supply in our marketplaces and to help drive bookings and marketing opportunities for more partners on our platform. During the year, we have continued to enhance our product and supply initiatives. For example, we have enhanced the overall user experience on all devices in our Experiences offering, including the development of a more contextual user experience by delivering recommendations tailored to a visitor and a more efficient shopping and checkout experience. We have also continued to increasingly leverage strong user growth on the TripAdvisor-branded platform to drive increased bookings in Experiences, while on the supply side, we have continued to grow bookable Experiences products, as well as the number of bookable Restaurants listings. Our Rentals offering continues to move from a subscription model to a free-to-list model, and we continue to focus on delivering users a larger selection of high-quality alternative accommodation listings in order to deliver a better user experience through more selection, which in turn helps support higher conversion on our platform.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jc w:val="both"/>
        <w:ind w:firstLine="518"/>
        <w:spacing w:after="0" w:line="279" w:lineRule="auto"/>
        <w:rPr>
          <w:sz w:val="20"/>
          <w:szCs w:val="20"/>
          <w:color w:val="auto"/>
        </w:rPr>
      </w:pPr>
      <w:r>
        <w:rPr>
          <w:rFonts w:ascii="Arial" w:cs="Arial" w:eastAsia="Arial" w:hAnsi="Arial"/>
          <w:sz w:val="17"/>
          <w:szCs w:val="17"/>
          <w:color w:val="auto"/>
        </w:rPr>
        <w:t>Continued successful execution of our key strategic objectives and also increased operating efficiencies primarily contributed to this segment’s revenue growth and improved profitability during the three and six months ended June 30, 2018, as compared to the same periods in 2017. We remain focused on our ongoing strategic objectives of driving user demand growth and increased engagement with these offerings, delivering product enhancements, and growing bookable supply as we aim to drive bookings, revenue growth and market share gains in this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jc w:val="both"/>
        <w:ind w:right="740" w:firstLine="518"/>
        <w:spacing w:after="0" w:line="342" w:lineRule="auto"/>
        <w:rPr>
          <w:sz w:val="20"/>
          <w:szCs w:val="20"/>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and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in the notes to the unaudited condensed consolidated financial statements in Item 1 in this Quarterly Report on Form 10-Q for financial information and additional descriptive information related to our segments.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As of June 30, 2018, we had 3,250 employees. Of these employees, approximately 50%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partners/advertisers to market to potential travelers and, therefore, our financial performance, or revenue and profits, tend to be seasonal as well. Our financial performance tends to be seasonally highest in the second and third quarters of a year, as it is a key period for leisure travel research and trip-taking, which includes the seasonal peak in traveler hotel and rental stays, and tours and experiences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40" w:firstLine="518"/>
        <w:spacing w:after="0" w:line="258"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1" w:lineRule="exact"/>
        <w:rPr>
          <w:sz w:val="20"/>
          <w:szCs w:val="20"/>
          <w:color w:val="auto"/>
        </w:rPr>
      </w:pPr>
    </w:p>
    <w:p>
      <w:pPr>
        <w:ind w:left="760" w:right="100" w:hanging="374"/>
        <w:spacing w:after="0" w:line="250"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ind w:left="760" w:right="200" w:hanging="374"/>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or that we plan to adopt that have had or may have an impact on our unaudited condensed consolidated financial statements.</w:t>
      </w:r>
    </w:p>
    <w:p>
      <w:pPr>
        <w:spacing w:after="0" w:line="18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 xml:space="preserve">Notably, in the first quarter of 2018, we adopted new revenue guidance,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core principle of the new standard is that a company should recognize revenue to depict the transfer of promised goods or services to customers in an amount that reflects the consideration to which the company expects to be entitled in exchange for those goods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0" w:name="page31"/>
    <w:bookmarkEnd w:id="30"/>
    <w:p>
      <w:pPr>
        <w:spacing w:after="0" w:line="272" w:lineRule="auto"/>
        <w:rPr>
          <w:sz w:val="20"/>
          <w:szCs w:val="20"/>
          <w:color w:val="auto"/>
        </w:rPr>
      </w:pPr>
      <w:r>
        <w:rPr>
          <w:rFonts w:ascii="Arial" w:cs="Arial" w:eastAsia="Arial" w:hAnsi="Arial"/>
          <w:sz w:val="17"/>
          <w:szCs w:val="17"/>
          <w:color w:val="auto"/>
        </w:rPr>
        <w:t xml:space="preserve">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Results for reporting periods beginning after January 1, 2018 are presented under the new revenue guidance, while prior period amounts are not adjusted and continue to be reported in accordance with our previous accounting policies under the historical revenue guidance, or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and “Note 3:</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in the notes to our unaudited condensed consolidated financial statements in Item 1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Quarterly Report on Form 10-Q for further discussion about our new revenue recognition policy and its impact to our unaudited condensed consolidated financial statements under this new revenue guidance.</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 xml:space="preserve">There have been no other significant changes to our significant accounting policies and estimates, other than revenue recognition, as discussed above, as compared to the significant accounting policies and estimates described in our Annual Report on Form 10-K for the fiscal year ended December 31, 2017. For additional information about our accounting policies and estimates,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consolidated financial statements in Item 8 of our Annual Report on Form 10-K for the year ended December 31, 2017.</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percentages)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b w:val="1"/>
                <w:bCs w:val="1"/>
                <w:color w:val="auto"/>
                <w:w w:val="89"/>
              </w:rPr>
              <w:t>Six months ended June 30,</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68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2018 vs.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2018 vs.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6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Financial Data:</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2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109</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80" w:hanging="198"/>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See “Adjusted EBITDA” discussion below for more information and for a reconciliation of Adjusted EBITDA to net income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-98425</wp:posOffset>
            </wp:positionV>
            <wp:extent cx="651764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2500" w:type="dxa"/>
            <w:vAlign w:val="bottom"/>
            <w:vMerge w:val="restart"/>
          </w:tcPr>
          <w:p>
            <w:pPr>
              <w:spacing w:after="0"/>
              <w:rPr>
                <w:sz w:val="20"/>
                <w:szCs w:val="20"/>
                <w:color w:val="auto"/>
              </w:rPr>
            </w:pPr>
            <w:r>
              <w:rPr>
                <w:rFonts w:ascii="Arial" w:cs="Arial" w:eastAsia="Arial" w:hAnsi="Arial"/>
                <w:sz w:val="18"/>
                <w:szCs w:val="18"/>
                <w:color w:val="auto"/>
              </w:rPr>
              <w:t>Revenue by Segment:</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 vs. 2017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 vs. 2017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6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326</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424</w:t>
            </w:r>
          </w:p>
        </w:tc>
        <w:tc>
          <w:tcPr>
            <w:tcW w:w="3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Adjusted EBITDA by Segment</w:t>
            </w: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4"/>
                <w:szCs w:val="14"/>
                <w:color w:val="auto"/>
              </w:rPr>
              <w:t>(1)</w:t>
            </w: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Adjusted EBITDA</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w:t>
            </w:r>
          </w:p>
        </w:tc>
        <w:tc>
          <w:tcPr>
            <w:tcW w:w="3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Adjusted EBITDA Margin by</w:t>
            </w: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 xml:space="preserve">Segment </w:t>
            </w:r>
            <w:r>
              <w:rPr>
                <w:rFonts w:ascii="Arial" w:cs="Arial" w:eastAsia="Arial" w:hAnsi="Arial"/>
                <w:sz w:val="14"/>
                <w:szCs w:val="14"/>
                <w:color w:val="auto"/>
              </w:rPr>
              <w:t>(2)</w:t>
            </w: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Non-Hotel</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1120" w:right="2320" w:hanging="301"/>
        <w:spacing w:after="0" w:line="25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Included in Adjusted EBITDA is a general and administrative expense allocation for each segment, which is based on the segment’s percentage of our total personnel costs, excluding stock-based compensation. Refer to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our unaudited condensed consolidated financial statements for more information.</w:t>
      </w:r>
    </w:p>
    <w:p>
      <w:pPr>
        <w:spacing w:after="0" w:line="2" w:lineRule="exact"/>
        <w:rPr>
          <w:rFonts w:ascii="Arial" w:cs="Arial" w:eastAsia="Arial" w:hAnsi="Arial"/>
          <w:sz w:val="18"/>
          <w:szCs w:val="18"/>
          <w:color w:val="auto"/>
        </w:rPr>
      </w:pPr>
    </w:p>
    <w:p>
      <w:pPr>
        <w:ind w:left="1120" w:right="2380" w:hanging="301"/>
        <w:spacing w:after="0" w:line="261"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define “Adjusted EBITDA Margin by Segment”, as Adjusted EBITDA by segment divided by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-842645</wp:posOffset>
            </wp:positionV>
            <wp:extent cx="5351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Our Hotel segment revenue decreased by $13 million and $28 million during the three and six months ended June 30, 2018, respectively, when compared to the same periods in 2017, primarily due to a $15 million and $35 million decrease in TripAdvisor-branded click-based and transaction revenue, respectively, as well as a $4 million decrease in other Hotel revenue during both the three and six months ended June 30, 2018, partially offset by an increase of $6 million and $11 million in TripAdvisor-branded display-based advertising and subscription revenue, respectively, all of which are discussed below.</w:t>
      </w:r>
    </w:p>
    <w:p>
      <w:pPr>
        <w:spacing w:after="0" w:line="46"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Hotel segment Adjusted EBITDA increased $5 million during both the three and six months ended June 30, 2018 when compared to the same periods in 2017, primarily due to a decrease in our direct selling and marketing expenses related to traffic acquisition as we optimized our marketing investment mix between online and offline channels, partially offset by a decrease in Hotel segment revenue.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8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106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2018 vs. 2017</w:t>
            </w:r>
          </w:p>
        </w:tc>
        <w:tc>
          <w:tcPr>
            <w:tcW w:w="260" w:type="dxa"/>
            <w:vAlign w:val="bottom"/>
          </w:tcPr>
          <w:p>
            <w:pPr>
              <w:spacing w:after="0"/>
              <w:rPr>
                <w:sz w:val="13"/>
                <w:szCs w:val="13"/>
                <w:color w:val="auto"/>
              </w:rPr>
            </w:pPr>
          </w:p>
        </w:tc>
        <w:tc>
          <w:tcPr>
            <w:tcW w:w="900" w:type="dxa"/>
            <w:vAlign w:val="bottom"/>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14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2018 vs. 2017</w:t>
            </w:r>
          </w:p>
        </w:tc>
      </w:tr>
      <w:tr>
        <w:trPr>
          <w:trHeight w:val="156"/>
        </w:trPr>
        <w:tc>
          <w:tcPr>
            <w:tcW w:w="28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ind w:right="490"/>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millions)</w:t>
            </w: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TripAdvisor-branded click-based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and transaction</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199</w:t>
            </w:r>
          </w:p>
        </w:tc>
        <w:tc>
          <w:tcPr>
            <w:tcW w:w="10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based advertising and subscription</w:t>
            </w: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r>
      <w:tr>
        <w:trPr>
          <w:trHeight w:val="230"/>
        </w:trPr>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hotel revenue</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6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2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Hotel revenue</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326</w:t>
            </w:r>
          </w:p>
        </w:tc>
        <w:tc>
          <w:tcPr>
            <w:tcW w:w="180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6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2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TripAdvisor-branded click-based and transaction revenue includes cost-per-click-based advertising revenue from our TripAdvisor-branded websites as well as transaction-based revenue from our hotel instant booking feature. For both the three and six months ended June 30, 2018, 64% of our total Hotel segment revenue was derived from our TripAdvisor-branded click-based and transaction revenue. For both the three and six months ended June 30, 2017, 66% of our total Hotel segment revenue was derived from our TripAdvisor-branded click-based and transaction revenue. TripAdvisor-branded click-based and transaction revenue during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right="360"/>
        <w:spacing w:after="0" w:line="277" w:lineRule="auto"/>
        <w:rPr>
          <w:sz w:val="20"/>
          <w:szCs w:val="20"/>
          <w:color w:val="auto"/>
        </w:rPr>
      </w:pPr>
      <w:r>
        <w:rPr>
          <w:rFonts w:ascii="Arial" w:cs="Arial" w:eastAsia="Arial" w:hAnsi="Arial"/>
          <w:sz w:val="18"/>
          <w:szCs w:val="18"/>
          <w:color w:val="auto"/>
        </w:rPr>
        <w:t>three and six months ended June 30, 2018 decreased $15 million or 7% and $35 million or 8%, respectively, when compared to the same periods in 2017, primarily due to a decrease in revenue per hotel shopper of 6% and 9%, respectively, which is explained below.</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Our largest source of Hotel segment revenue is click-based advertising revenue from our TripAdvisor-branded websites, which include links to our travel partners’ sites and contextually-relevant branded and related text links. Click-based advertising is generated primarily through our metasearch auction, a description of which follows. Our click-based travel partners are predominantly OTAs and hoteliers. Click-based advertising is generally priced on a cost-per-click, or CPC basis, with payments to us from advertisers based on the number of user clicks on each type of link, or in other words, the conversion of a hotel shopper to a paid click. CPC is the price that a partner is willing to pay us for a hotel shopper lead and is determined in a competitive process that enables our partners to submit CPC bids to have their rates and availability listed on our site. When a CPC bid is submitted, the partner agrees to pay us the bid amount each time a user subsequently clicks on the link to that partner’s website. Bids can be submitted periodically – as often as daily– on a property-by-property basis. Primary factors used to determine the placement of partner links on our site include, but are not limited to, nightly room rate, the size of the bid relative to other bids, and other variables. CPCs are generally lower in markets outside the U.S. market, and hotel shoppers visiting via mobile phones currently monetize at a significantly lower rate than hotel shoppers visiting via desktop or tablet. Our Hotel segment transaction-based revenue is comprised of revenue from our hotel instant booking feature, which enables the merchant of record, generally an OTA or hotel partner, to pay a commission to TripAdvisor for a user that completes a hotel reservation via our website.</w:t>
      </w:r>
    </w:p>
    <w:p>
      <w:pPr>
        <w:spacing w:after="0" w:line="7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average monthly unique hotel shoppers and revenue per hotel shopper, the latter of which measures how effectively we convert our hotel shoppers into revenue. We measure performance by calculating revenue per hotel shopper on an aggregate basis by dividing total TripAdvisor-branded click-based and transaction revenue by total average monthly unique hotel shoppers on TripAdvisor-branded websites for the periods presented.</w:t>
      </w:r>
    </w:p>
    <w:p>
      <w:pPr>
        <w:spacing w:after="0" w:line="79"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While we believe that total traffic growth, or growth in monthly visits from unique visitors, is reflective of our overall brand growth, we also track and analyze sub-segments of our traffic and their correlation to revenue generation and utilize data regarding hotel shoppers as one of the key indicators of revenue growth. Hotel shoppers are visitors who view either a listing of hotels in a city or on a specific hotel page. The number of hotel shoppers tends to vary based on seasonality of the travel industry and general economic conditions, as well as other factors outside of our control. Given these factors, as well as the trend towards increased usage on mobile phones, quarterly and annual hotel shopper growth is a difficult metric to forecast.</w:t>
      </w:r>
    </w:p>
    <w:p>
      <w:pPr>
        <w:spacing w:after="0" w:line="5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table below summarizes our revenue per hotel shopper calculation and growth rate, in the aggregate, for the periods presented (in millions, except calculated revenue per hotel shopper and percentages):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rPr>
              <w:t>Revenue per hotel shopper:</w:t>
            </w:r>
          </w:p>
        </w:tc>
        <w:tc>
          <w:tcPr>
            <w:tcW w:w="2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104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2018 vs. 2017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4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23"/>
        </w:trPr>
        <w:tc>
          <w:tcPr>
            <w:tcW w:w="2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TripAdvisor-branded click-</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based and transaction revenue</w:t>
            </w:r>
          </w:p>
        </w:tc>
        <w:tc>
          <w:tcPr>
            <w:tcW w:w="98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7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5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2700" w:type="dxa"/>
            <w:vAlign w:val="bottom"/>
          </w:tcPr>
          <w:p>
            <w:pPr>
              <w:ind w:left="260"/>
              <w:spacing w:after="0"/>
              <w:rPr>
                <w:sz w:val="20"/>
                <w:szCs w:val="20"/>
                <w:color w:val="auto"/>
              </w:rPr>
            </w:pPr>
            <w:r>
              <w:rPr>
                <w:rFonts w:ascii="Arial" w:cs="Arial" w:eastAsia="Arial" w:hAnsi="Arial"/>
                <w:sz w:val="18"/>
                <w:szCs w:val="18"/>
                <w:color w:val="auto"/>
              </w:rPr>
              <w:t>Divided by: Total average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8"/>
                <w:szCs w:val="18"/>
                <w:color w:val="auto"/>
                <w:w w:val="98"/>
              </w:rPr>
              <w:t>monthly unique hotel shoppers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 the quarter</w:t>
            </w:r>
          </w:p>
        </w:tc>
        <w:tc>
          <w:tcPr>
            <w:tcW w:w="24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70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6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0.44</w:t>
            </w:r>
          </w:p>
        </w:tc>
        <w:tc>
          <w:tcPr>
            <w:tcW w:w="2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0.47</w:t>
            </w:r>
          </w:p>
        </w:tc>
        <w:tc>
          <w:tcPr>
            <w:tcW w:w="17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6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Revenue per hotel shopper decreased 6% and 9% during the three and six months ended June 30, 2018, respectively, when compared to the same periods in 2017, according to our internal log files. The decrease was primarily driven by lower CPCs in our metasearch auction as compared to the same periods in 2017, as well as the continued optimization of our marketing investment mix from paid online marketing to offline channels, as discussed above, and the general trend of a greater percentage of hotel shoppers visiting TripAdvisor-branded websites and apps on mobile phones.</w:t>
      </w:r>
    </w:p>
    <w:p>
      <w:pPr>
        <w:spacing w:after="0" w:line="6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Our aggregate average monthly unique hotel shoppers on TripAdvisor-branded websites decreased by 3% and 1% during the three and six months ended June 30, 2018, respectively, when compared to the same periods in 2017, according to our internal log files. The decrease was primarily due to the continued optimization of our marketing investment mix between online and offline channels, which we believe limits our ability to grow hotel shoppers in the near term, as discussed above, partially offset by the general trend of an increasing number of hotel shoppers visiting our websites and apps on mobile phones which we continued to experience during the three and six months ended June 30,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the three and six months ended June 30, 2018, 26% and 25%, respectively, of our Hotel segment revenue was derived from our TripAdvisor-branded display-based advertising and subscription revenue, which primarily consists of revenue from display-based advertising and subscription-based hotel advertising revenue. For the three and six months ended June 30, 2017, 23% and 22%, respectively, of our Hotel segment revenue was derived from our TripAdvisor-branded display-based advertising and subscription revenue.</w:t>
      </w:r>
    </w:p>
    <w:p>
      <w:pPr>
        <w:spacing w:after="0" w:line="7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TripAdvisor-branded display-based advertising and subscription revenue increased by $6 million or 8%, and $11 million or 8% during the three and six months ended June 30, 2018, respectively, when compared to the same periods in 2017, primarily attributed to our new media ad product, which enables hotels to enhance their visibility on TripAdvisor hotel pages. The increase was partially offset by the general trend of an increasing percentage of our traffic visiting our websites and apps on mobile phones.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For the three and six months ended June 30, 2018, 11% and 12%, respectively, of our Hotel segment revenue was derived from other Hotel revenue. For both the three and six months ended June 30, 2017, 12% of our Hotel segment revenue was derived from other Hotel revenue. Our other Hotel revenue primarily includes revenue from non-TripAdvisor branded websites, such as www.bookingbuddy.com, www.cruisecritic.com and www.onetime.com, primarily through click-based advertising revenue and display-based advertising revenue generated through these websites. Our other Hotel revenue decreased $4 million during both the three and six months ended June 30, 2018, when compared to the same periods in 2017, primarily due to continued focus on return on marketing spend from paid marketing channels within this revenue stream.</w:t>
      </w:r>
    </w:p>
    <w:p>
      <w:pPr>
        <w:spacing w:after="0" w:line="3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Our Non-Hotel segment revenue increased by $22 million or 22%, and $43 million or 28% during the three and six months ended June 30, 2018, respectively, when compared to the same periods in 2017, primarily driven by increased bookings in Experiences and Restaurants.</w:t>
      </w:r>
    </w:p>
    <w:p>
      <w:pPr>
        <w:spacing w:after="0" w:line="12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Experiences offerings continued to generate strong revenue growth driven by the following factors: growth in bookings sourced by TripAdvisor and bookable supply growth, as well as increased demand growth. Another contributing factor is the improved shopping experience from the new features in Experiences, such as instant booking for mobile phone, which enables users to purchase tickets and tours seamlessly as well as other key feature improvements. Continued strong revenue growth in Restaurants offerings was primarily due to seated diner growth, mobile bookings growth, user experience improvements, and increased bookable supply of restaurant listings as well as increased transaction and advertising revenue from TripAdvisor websites. Rentals’ revenue during the three and six months ended June 30, 2018 decreased slightly when compared to the same periods in 2017, primarily due to the continued migration of our subscription model to our free-to-list model, which we believe will have a longer term return, partially offset by the growth in our free-to-list revenues during the three and six months ended June 30, 2018 when compared to the same periods in 2017.</w:t>
      </w:r>
    </w:p>
    <w:p>
      <w:pPr>
        <w:spacing w:after="0" w:line="126"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Adjusted EBITDA in our Non-Hotel segment increased $3 million or 18%, and $10 million during the three and six months ended June 30, 2018, respectively, when compared to the same periods in 2017. This increase was primarily driven by the increase in our Non-Hotel segment revenue as well as increased operational efficiencies, partially offset by increased personnel and overhead costs of $11 million and $19 million, respectively, to support growth in this segment during the three and six months ended June 30, 2018, as well as an increase in offline advertising costs.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Experiences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4"/>
              </w:rPr>
              <w:t>Three months ended June 30,</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1"/>
              </w:rPr>
              <w:t>Six months ended June 30,</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3"/>
              </w:rPr>
              <w:t>2018 vs. 2017</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10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2018 vs. 2017</w:t>
            </w:r>
          </w:p>
        </w:tc>
      </w:tr>
      <w:tr>
        <w:trPr>
          <w:trHeight w:val="156"/>
        </w:trPr>
        <w:tc>
          <w:tcPr>
            <w:tcW w:w="20" w:type="dxa"/>
            <w:vAlign w:val="bottom"/>
          </w:tcPr>
          <w:p>
            <w:pPr>
              <w:spacing w:after="0"/>
              <w:rPr>
                <w:sz w:val="13"/>
                <w:szCs w:val="13"/>
                <w:color w:val="auto"/>
              </w:rPr>
            </w:pPr>
          </w:p>
        </w:tc>
        <w:tc>
          <w:tcPr>
            <w:tcW w:w="19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Direct costs</w:t>
            </w:r>
          </w:p>
        </w:tc>
        <w:tc>
          <w:tcPr>
            <w:tcW w:w="8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w w:val="98"/>
              </w:rPr>
              <w:t>Personnel and overhead</w:t>
            </w:r>
          </w:p>
        </w:tc>
        <w:tc>
          <w:tcPr>
            <w:tcW w:w="2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63"/>
        </w:trPr>
        <w:tc>
          <w:tcPr>
            <w:tcW w:w="20" w:type="dxa"/>
            <w:vAlign w:val="bottom"/>
          </w:tcPr>
          <w:p>
            <w:pPr>
              <w:spacing w:after="0"/>
              <w:rPr>
                <w:sz w:val="22"/>
                <w:szCs w:val="22"/>
                <w:color w:val="auto"/>
              </w:rPr>
            </w:pPr>
          </w:p>
        </w:tc>
        <w:tc>
          <w:tcPr>
            <w:tcW w:w="1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1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5.5%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Cost of revenue increased $4 million and $7 million during the three and six months ended June 30, 2018, respectively, when compared to the same periods in 2017, primarily due to increased direct costs from credit card and other transaction payment fees as a result of revenue growth in our Non-Hotel segment, and costs associated with prepaid Experiences tickets, as well as an increase in other transaction costs related to revenue generation in our Hotel segment.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4"/>
              </w:rPr>
              <w:t>Three months ended June 30,</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1"/>
              </w:rPr>
              <w:t>Six months ended June 30,</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3"/>
                <w:szCs w:val="13"/>
                <w:color w:val="auto"/>
              </w:rPr>
            </w:pPr>
          </w:p>
        </w:tc>
        <w:tc>
          <w:tcPr>
            <w:tcW w:w="12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3"/>
              </w:rPr>
              <w:t>2018 vs. 2017</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11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Direct costs</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w w:val="95"/>
              </w:rPr>
              <w:t>Personnel and overhead</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ind w:left="240"/>
              <w:spacing w:after="0"/>
              <w:rPr>
                <w:sz w:val="20"/>
                <w:szCs w:val="20"/>
                <w:color w:val="auto"/>
              </w:rPr>
            </w:pPr>
            <w:r>
              <w:rPr>
                <w:rFonts w:ascii="Arial" w:cs="Arial" w:eastAsia="Arial" w:hAnsi="Arial"/>
                <w:sz w:val="18"/>
                <w:szCs w:val="18"/>
                <w:color w:val="auto"/>
              </w:rPr>
              <w:t>Total selling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0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54.0%</w:t>
            </w:r>
          </w:p>
        </w:tc>
        <w:tc>
          <w:tcPr>
            <w:tcW w:w="9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54.8%</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Direct selling and marketing costs decreased $17 million and $30 million during the three and six months ended June 30, 2018, respectively, when compared to the same periods in 2017, primarily due to decreased SEM and online traffic acquisition costs in our Hotel segment, partially offset by increased television advertising campaign spend of $17 million and $41 million in our Hotel segment during the three and six months ended June 30, 2018, respectively, when compared to the same periods in 2017. Personnel and overhead costs increased $5 million and $10 million during the three and six months ended June 30, 2018, respectively, when compared to the same periods in 2017, primarily due to an increase in headcount in our Non-Hotel segment to support business growth.</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jc w:val="both"/>
        <w:ind w:right="160" w:firstLine="67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0"/>
              </w:rPr>
              <w:t>Three months ended June 30,</w:t>
            </w:r>
          </w:p>
        </w:tc>
        <w:tc>
          <w:tcPr>
            <w:tcW w:w="8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1"/>
              </w:rPr>
              <w:t>Six months ended June 30,</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3"/>
              </w:rPr>
              <w:t>2018 vs. 2017</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10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2018 vs. 2017</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9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Personnel and overhead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960" w:type="dxa"/>
            <w:vAlign w:val="bottom"/>
          </w:tcPr>
          <w:p>
            <w:pPr>
              <w:ind w:left="240"/>
              <w:spacing w:after="0"/>
              <w:rPr>
                <w:sz w:val="20"/>
                <w:szCs w:val="20"/>
                <w:color w:val="auto"/>
              </w:rPr>
            </w:pPr>
            <w:r>
              <w:rPr>
                <w:rFonts w:ascii="Arial" w:cs="Arial" w:eastAsia="Arial" w:hAnsi="Arial"/>
                <w:sz w:val="18"/>
                <w:szCs w:val="18"/>
                <w:color w:val="auto"/>
              </w:rPr>
              <w:t>Total technology and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1960" w:type="dxa"/>
            <w:vAlign w:val="bottom"/>
          </w:tcPr>
          <w:p>
            <w:pPr>
              <w:ind w:left="240"/>
              <w:spacing w:after="0"/>
              <w:rPr>
                <w:sz w:val="20"/>
                <w:szCs w:val="20"/>
                <w:color w:val="auto"/>
              </w:rPr>
            </w:pPr>
            <w:r>
              <w:rPr>
                <w:rFonts w:ascii="Arial" w:cs="Arial" w:eastAsia="Arial" w:hAnsi="Arial"/>
                <w:sz w:val="18"/>
                <w:szCs w:val="18"/>
                <w:color w:val="auto"/>
              </w:rPr>
              <w:t>content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9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15.5%</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65" w:right="219" w:bottom="1440" w:gutter="0" w:footer="0" w:header="0"/>
        </w:sectPr>
      </w:pPr>
    </w:p>
    <w:bookmarkStart w:id="35" w:name="page36"/>
    <w:bookmarkEnd w:id="35"/>
    <w:p>
      <w:pPr>
        <w:ind w:right="280" w:firstLine="589"/>
        <w:spacing w:after="0" w:line="264" w:lineRule="auto"/>
        <w:rPr>
          <w:sz w:val="20"/>
          <w:szCs w:val="20"/>
          <w:color w:val="auto"/>
        </w:rPr>
      </w:pPr>
      <w:r>
        <w:rPr>
          <w:rFonts w:ascii="Arial" w:cs="Arial" w:eastAsia="Arial" w:hAnsi="Arial"/>
          <w:sz w:val="18"/>
          <w:szCs w:val="18"/>
          <w:color w:val="auto"/>
        </w:rPr>
        <w:t>Technology and content costs increased $4 million and $12 million during the three and six months ended June 30, 2018, respectively, when compared to the same periods in 2017, primarily due to increased personnel costs to support the business growth in our Non-Hotel segment, as well as an increase in stock-based compensation of $6 million for the six months ended June 30, 2018.</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executive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4"/>
              </w:rPr>
              <w:t>Three months ended June 30,</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1"/>
              </w:rPr>
              <w:t>Six months ended June 30,</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3"/>
              </w:rPr>
              <w:t>2018 vs. 2017</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10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Personnel and overhead</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8"/>
              </w:rPr>
              <w:t>Professional service fees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and other</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Total general and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52"/>
        <w:spacing w:after="0" w:line="276" w:lineRule="auto"/>
        <w:rPr>
          <w:sz w:val="20"/>
          <w:szCs w:val="20"/>
          <w:color w:val="auto"/>
        </w:rPr>
      </w:pPr>
      <w:r>
        <w:rPr>
          <w:rFonts w:ascii="Arial" w:cs="Arial" w:eastAsia="Arial" w:hAnsi="Arial"/>
          <w:sz w:val="17"/>
          <w:szCs w:val="17"/>
          <w:color w:val="auto"/>
        </w:rPr>
        <w:t>General and administrative costs increased $8 million and $15 million during the three and six months ended June 30, 2018, respectively, when compared to the same periods in 2017. Personnel and overhead costs increased $5 million and $10 million during the three and six months ended June 30, 2018, respectively, when compared to the same periods in 2017, primarily related to an increase in stock-based compensation of $4 million and $8 million, respectively. Professional service fees and other increased $3 million and $5 million during the three and six months ended June 30, 2018, respectively, when compared to the same periods in 2017, primarily due to an increase in bad debt expense and consulting costs.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Three months ended June 30,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8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4.5%</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bl>
    <w:p>
      <w:pPr>
        <w:spacing w:after="0" w:line="201"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Depreciation expense increased $2 million and $3 million during the three and six months ended June 30, 2018, respectively, when compared to the same periods in 2017, primarily due to increased amortization related to capitalized software and website development costs.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Three months ended June 30,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w w:val="98"/>
              </w:rPr>
              <w:t>Amortization of intangible assets</w:t>
            </w:r>
          </w:p>
        </w:tc>
        <w:tc>
          <w:tcPr>
            <w:tcW w:w="9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w:t>
            </w:r>
          </w:p>
        </w:tc>
        <w:tc>
          <w:tcPr>
            <w:tcW w:w="8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r>
      <w:tr>
        <w:trPr>
          <w:trHeight w:val="230"/>
        </w:trPr>
        <w:tc>
          <w:tcPr>
            <w:tcW w:w="25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17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of intangible assets remained flat during both the three and six months ended June 30, 2018, when compared to the same periods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93"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 xml:space="preserve">Interest expense primarily consists of interest incurred, commitment fees and debt issuance cost amortization related to our 2015 Credit Facility and Chinese Credit Facilities, as well as interest on our financing obligation related to our corporate headquarters. Refer to “Note 7: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condensed consolidated financial statements in Item 1 in this Quarterly Report on Form 10-Q for additional information on our credit facilities.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1"/>
              </w:rPr>
              <w:t>Three months ended June 30,</w:t>
            </w: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6"/>
              </w:rPr>
              <w:t>Six months ended June 30,</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2"/>
          </w:tcPr>
          <w:p>
            <w:pPr>
              <w:jc w:val="center"/>
              <w:ind w:right="4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2"/>
          </w:tcPr>
          <w:p>
            <w:pPr>
              <w:jc w:val="right"/>
              <w:ind w:right="499"/>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94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92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expense remained relatively flat during both the three and six months ended June 30, 2018, when compared to the same periods in 2017.</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Interest income and other, net primarily consists of interest earned from our money market funds and marketable securities, amortization of discounts and premiums on our marketable securities, net foreign exchange gains and losses, and gains and losses on sales of our marketable securities.</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240" w:type="dxa"/>
            <w:vAlign w:val="bottom"/>
            <w:tcBorders>
              <w:bottom w:val="single" w:sz="8" w:color="auto"/>
            </w:tcBorders>
            <w:gridSpan w:val="3"/>
          </w:tcPr>
          <w:p>
            <w:pPr>
              <w:jc w:val="center"/>
              <w:ind w:left="127"/>
              <w:spacing w:after="0"/>
              <w:rPr>
                <w:sz w:val="20"/>
                <w:szCs w:val="20"/>
                <w:color w:val="auto"/>
              </w:rPr>
            </w:pPr>
            <w:r>
              <w:rPr>
                <w:rFonts w:ascii="Arial" w:cs="Arial" w:eastAsia="Arial" w:hAnsi="Arial"/>
                <w:sz w:val="14"/>
                <w:szCs w:val="14"/>
                <w:b w:val="1"/>
                <w:bCs w:val="1"/>
                <w:color w:val="auto"/>
                <w:w w:val="91"/>
              </w:rPr>
              <w:t>Three months ended June 30,</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8"/>
              </w:rPr>
              <w:t>Six months ended June 30,</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800" w:type="dxa"/>
            <w:vAlign w:val="bottom"/>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2"/>
          </w:tcPr>
          <w:p>
            <w:pPr>
              <w:jc w:val="right"/>
              <w:ind w:right="519"/>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98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94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Interest income and other, net decreased $6 million and $5 million during the three and six months ended June 30, 2018, respectively, when compared to the same periods in 2017, primarily due to a net increase in transaction losses as a result of the fluctuation of foreign exchange rates, partially offset by the increase in interest income earned from our money market funds.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ectPr>
          <w:pgSz w:w="11900" w:h="16838" w:orient="portrait"/>
          <w:cols w:equalWidth="0" w:num="1">
            <w:col w:w="11380"/>
          </w:cols>
          <w:pgMar w:left="240" w:top="692" w:right="279" w:bottom="1440" w:gutter="0" w:footer="0" w:header="0"/>
        </w:sectPr>
      </w:pPr>
    </w:p>
    <w:p>
      <w:pPr>
        <w:spacing w:after="0" w:line="298"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320" w:type="dxa"/>
        <w:tblCellMar>
          <w:top w:w="0" w:type="dxa"/>
          <w:left w:w="0" w:type="dxa"/>
          <w:bottom w:w="0" w:type="dxa"/>
          <w:right w:w="0" w:type="dxa"/>
        </w:tblCellMar>
      </w:tblPr>
      <w:tr>
        <w:trPr>
          <w:trHeight w:val="156"/>
        </w:trPr>
        <w:tc>
          <w:tcPr>
            <w:tcW w:w="7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17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740" w:type="dxa"/>
            <w:vAlign w:val="bottom"/>
          </w:tcPr>
          <w:p>
            <w:pPr>
              <w:spacing w:after="0"/>
              <w:rPr>
                <w:sz w:val="13"/>
                <w:szCs w:val="13"/>
                <w:color w:val="auto"/>
              </w:rPr>
            </w:pPr>
          </w:p>
        </w:tc>
        <w:tc>
          <w:tcPr>
            <w:tcW w:w="1720" w:type="dxa"/>
            <w:vAlign w:val="bottom"/>
          </w:tcPr>
          <w:p>
            <w:pPr>
              <w:jc w:val="right"/>
              <w:ind w:right="788"/>
              <w:spacing w:after="0" w:line="155" w:lineRule="exact"/>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5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700" w:type="dxa"/>
            <w:vAlign w:val="bottom"/>
          </w:tcPr>
          <w:p>
            <w:pPr>
              <w:spacing w:after="0"/>
              <w:rPr>
                <w:sz w:val="13"/>
                <w:szCs w:val="13"/>
                <w:color w:val="auto"/>
              </w:rPr>
            </w:pPr>
          </w:p>
        </w:tc>
        <w:tc>
          <w:tcPr>
            <w:tcW w:w="1560" w:type="dxa"/>
            <w:vAlign w:val="bottom"/>
          </w:tcPr>
          <w:p>
            <w:pPr>
              <w:jc w:val="right"/>
              <w:ind w:right="688"/>
              <w:spacing w:after="0" w:line="155" w:lineRule="exact"/>
              <w:rPr>
                <w:sz w:val="20"/>
                <w:szCs w:val="20"/>
                <w:color w:val="auto"/>
              </w:rPr>
            </w:pPr>
            <w:r>
              <w:rPr>
                <w:rFonts w:ascii="Arial" w:cs="Arial" w:eastAsia="Arial" w:hAnsi="Arial"/>
                <w:sz w:val="14"/>
                <w:szCs w:val="14"/>
                <w:b w:val="1"/>
                <w:bCs w:val="1"/>
                <w:color w:val="auto"/>
                <w:w w:val="99"/>
              </w:rPr>
              <w:t>(in millions)</w:t>
            </w:r>
          </w:p>
        </w:tc>
      </w:tr>
    </w:tbl>
    <w:p>
      <w:pPr>
        <w:spacing w:after="0" w:line="20" w:lineRule="exact"/>
        <w:rPr>
          <w:sz w:val="20"/>
          <w:szCs w:val="20"/>
          <w:color w:val="auto"/>
        </w:rPr>
      </w:pPr>
    </w:p>
    <w:p>
      <w:pPr>
        <w:sectPr>
          <w:pgSz w:w="11900" w:h="16838" w:orient="portrait"/>
          <w:cols w:equalWidth="0" w:num="2">
            <w:col w:w="6780" w:space="480"/>
            <w:col w:w="4120"/>
          </w:cols>
          <w:pgMar w:left="240" w:top="692" w:right="279" w:bottom="1440" w:gutter="0" w:footer="0" w:header="0"/>
          <w:type w:val="continuous"/>
        </w:sectPr>
      </w:pPr>
    </w:p>
    <w:tbl>
      <w:tblPr>
        <w:tblLayout w:type="fixed"/>
        <w:tblInd w:w="1720" w:type="dxa"/>
        <w:tblCellMar>
          <w:top w:w="0" w:type="dxa"/>
          <w:left w:w="0" w:type="dxa"/>
          <w:bottom w:w="0" w:type="dxa"/>
          <w:right w:w="0" w:type="dxa"/>
        </w:tblCellMar>
      </w:tblPr>
      <w:tr>
        <w:trPr>
          <w:trHeight w:val="21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w:t>
            </w:r>
          </w:p>
        </w:tc>
      </w:tr>
      <w:tr>
        <w:trPr>
          <w:trHeight w:val="230"/>
        </w:trPr>
        <w:tc>
          <w:tcPr>
            <w:tcW w:w="228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7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23.8%</w:t>
            </w:r>
          </w:p>
        </w:tc>
        <w:tc>
          <w:tcPr>
            <w:tcW w:w="5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38.6%</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w:t>
            </w:r>
          </w:p>
        </w:tc>
      </w:tr>
    </w:tbl>
    <w:p>
      <w:pPr>
        <w:spacing w:after="0" w:line="20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Our effective tax rate for the three and six months ended June 30, 2018 was 23.8% and 42.9%, respectively. Our effective tax rate for the three and six months ended June 30, 2017 was 38.6% and 42.0%, respectively. For the three and six months ended June 30, 2018, the effective tax rate was greater than the federal statutory rate primarily due to foreign valuation allowances and the income tax effects of the accounting for share based compensation. The change in the effective tax rate for the three months ended June 30, 2018 when compared to the same periods in 2017 was primarily due to the rate reduction from the enactment of the 2017 Tax Act. The change in the effective tax rate for the six months ended June 30, 2018 when compared to the same periods in 2017 was due to a change in jurisdictional earnings, partially offset by the impact of the 2017 Tax Act. Refer to “Note 8: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unaudited condensed consolidated financial statements in Item 1 in this Quarterly Report on Form 10-Q for further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type w:val="continuous"/>
        </w:sectPr>
      </w:pPr>
    </w:p>
    <w:bookmarkStart w:id="37" w:name="page38"/>
    <w:bookmarkEnd w:id="37"/>
    <w:p>
      <w:pPr>
        <w:ind w:right="20"/>
        <w:spacing w:after="0" w:line="312" w:lineRule="auto"/>
        <w:rPr>
          <w:sz w:val="20"/>
          <w:szCs w:val="20"/>
          <w:color w:val="auto"/>
        </w:rPr>
      </w:pPr>
      <w:r>
        <w:rPr>
          <w:rFonts w:ascii="Arial" w:cs="Arial" w:eastAsia="Arial" w:hAnsi="Arial"/>
          <w:sz w:val="16"/>
          <w:szCs w:val="16"/>
          <w:color w:val="auto"/>
        </w:rPr>
        <w:t>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and income.</w:t>
      </w:r>
    </w:p>
    <w:p>
      <w:pPr>
        <w:spacing w:after="0" w:line="147"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jc w:val="right"/>
              <w:ind w:right="185"/>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5"/>
        </w:trPr>
        <w:tc>
          <w:tcPr>
            <w:tcW w:w="3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gridSpan w:val="3"/>
          </w:tcPr>
          <w:p>
            <w:pPr>
              <w:jc w:val="right"/>
              <w:ind w:right="105"/>
              <w:spacing w:after="0" w:line="155" w:lineRule="exact"/>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Add: Provision for income taxes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Add: Other expense (income), net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Add: Stock-based compensation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Add: Amortization of intangible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w:t>
            </w:r>
          </w:p>
        </w:tc>
        <w:tc>
          <w:tcPr>
            <w:tcW w:w="3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 xml:space="preserve">For information on our relationship with Liberty TripAdvisor Holdings, Inc., refer to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and six months ended June 30, 2018 and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 xml:space="preserve">Refer to “Note 5: </w:t>
      </w:r>
      <w:r>
        <w:rPr>
          <w:rFonts w:ascii="Arial" w:cs="Arial" w:eastAsia="Arial" w:hAnsi="Arial"/>
          <w:sz w:val="17"/>
          <w:szCs w:val="17"/>
          <w:i w:val="1"/>
          <w:iCs w:val="1"/>
          <w:color w:val="auto"/>
        </w:rPr>
        <w:t>Stock Based Awards and Other Equity Instruments</w:t>
      </w:r>
      <w:r>
        <w:rPr>
          <w:rFonts w:ascii="Arial" w:cs="Arial" w:eastAsia="Arial" w:hAnsi="Arial"/>
          <w:sz w:val="17"/>
          <w:szCs w:val="17"/>
          <w:color w:val="auto"/>
        </w:rPr>
        <w:t>” in the notes to our unaudited condensed consolidated financial statements in Item 1 in this Quarterly Report on Form 10-Q for further information on current year equity award activity, including the issuance of 621,204 service-based stock options with a weighted average grant-date fair value per option of $41.61, 3,088,233 service-based RSUs with a weighted average grant-date fair value of $41.43, and 71,425 MSUs with a weighted average grant-date fair value of $59.40 during the six months ended June 30,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during the six months ended June 30, 2018, describes our current capital resources and discusses our future known financial commitments.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principal source of liquidity is cash flows generated from operations, although liquidity needs can also be met through drawdowns under our 2015 Credit Facility and Chinese Credit Facilities. As of June 30, 2018 and December 31, 2017, we had $680 million and $735 million, respectively, of cash, cash equivalents, and short-term and long-term available-for-sale marketable debt securities. As of June 30, 2018 approximately $356 million of our cash and cash equivalents, and $14 million of short-term and long-term available-for-sale marketable debt securities are held by our subsidiaries outside the United States, with the majority in the United Kingdom. As of June 30, 2018, the majority of total cash on hand is denominated in U.S. dollars. Cumulative undistributed earnings of foreign subsidiaries that we intend to indefinitely reinvest outside of the United States totaled approximately $583 million as of June 30, 2018. Should we distribute, or be treated under certain U.S. tax rules as having distributed, the earnings of foreign subsidiaries in the form of dividends or otherwise, we may be subject to U.S. income taxes. To date, we have permanently reinvested our foreign earnings outside of the United States and we currently do not intend to repatriate these earnings to fund U.S. operations. The amount of any unrecognized deferred income tax on this temporary difference is not material.</w:t>
      </w:r>
    </w:p>
    <w:p>
      <w:pPr>
        <w:spacing w:after="0" w:line="205"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 xml:space="preserve">During the six months ended June 30, 2018, we borrowed an additional $5 million and repaid $235 million of outstanding borrowings under the 2015 Credit Facility. This net repayment was primarily made from a one-time cash repatriation of $325 million of foreign earnings to the United States during the three months ended March 31, 2018. As of June 30, 2018, we had no outstanding borrowings and approximately $1.2 billion of borrowing capacity available under our 2015 Credit Facility. During the six months ended June 30, 2018, we borrowed an additional $2 million and repaid in full the outstanding borrowings under our Chinese Credit Facilities of $10 million. As of June 30, 2018, we had no outstanding borrowings and approximately $41 million of borrowing capacity available under our Chinese Credit Facilities. For further discussion on our credit facilities refer to “Note 7: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unaudited condensed consolidated financial statements in Item 1 in this Quarterly Report on Form 10-Q.</w:t>
      </w:r>
    </w:p>
    <w:p>
      <w:pPr>
        <w:spacing w:after="0" w:line="178"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Our business experiences seasonal fluctuations that affect the timing of our annual cash flows related to working capital. In our Rentals free-to-list model and our Experiences offering, we receive cash from travelers at the time of booking and we record these amounts, net of commissions, on our consolidated balance sheets as deferred merchant payables. We pay the suppliers, or the property rental owners and experience providers, respectively, after the travelers’ use. Therefore, we receive cash from the traveler prior to paying the supplier and this operating cycle represents a working capital source or use of cash to us. During the first half of the year rentals and experiences bookings typically exceed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17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On January 31, 2018, our Board of Directors authorized the repurchase of up to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 This new share repurchase program has no expiration date but may</w:t>
      </w:r>
    </w:p>
    <w:p>
      <w:pPr>
        <w:ind w:right="400"/>
        <w:spacing w:after="0" w:line="255" w:lineRule="auto"/>
        <w:rPr>
          <w:sz w:val="20"/>
          <w:szCs w:val="20"/>
          <w:color w:val="auto"/>
        </w:rPr>
      </w:pPr>
      <w:r>
        <w:rPr>
          <w:rFonts w:ascii="Arial" w:cs="Arial" w:eastAsia="Arial" w:hAnsi="Arial"/>
          <w:sz w:val="18"/>
          <w:szCs w:val="18"/>
          <w:color w:val="auto"/>
        </w:rPr>
        <w:t>be suspended or terminated by the Board of Directors at any time. During the six months ended June 30, 2018, we repurchased 2,582,198 shares of our outstanding common stock at an aggregate cost of $100 million. As of June 30, 2018, we had $150 million available to repurchase shares of our common stock under the share repurchase program.</w:t>
      </w:r>
    </w:p>
    <w:p>
      <w:pPr>
        <w:spacing w:after="0" w:line="190"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We believe that our available cash and marketable securities, combined with expected cash flows generated by operating activities and available cash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and/or other expenditures in support of our business strategy, thus may potentially reduce our cash balance and/or increase our debt. We expect total capital expenditures for 2018 to be comparable to our 2017 spending levels.</w:t>
      </w:r>
    </w:p>
    <w:p>
      <w:pPr>
        <w:spacing w:after="0" w:line="5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cash provided by (used in):</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0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activities</w:t>
            </w:r>
          </w:p>
        </w:tc>
        <w:tc>
          <w:tcPr>
            <w:tcW w:w="200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360</w:t>
            </w:r>
          </w:p>
        </w:tc>
        <w:tc>
          <w:tcPr>
            <w:tcW w:w="8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Financing activities</w:t>
            </w:r>
          </w:p>
        </w:tc>
        <w:tc>
          <w:tcPr>
            <w:tcW w:w="9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(353)</w:t>
            </w:r>
          </w:p>
        </w:tc>
        <w:tc>
          <w:tcPr>
            <w:tcW w:w="8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0" w:type="dxa"/>
            <w:vAlign w:val="bottom"/>
            <w:gridSpan w:val="2"/>
          </w:tcPr>
          <w:p>
            <w:pPr>
              <w:jc w:val="right"/>
              <w:ind w:right="928"/>
              <w:spacing w:after="0"/>
              <w:rPr>
                <w:sz w:val="20"/>
                <w:szCs w:val="20"/>
                <w:color w:val="auto"/>
              </w:rPr>
            </w:pPr>
            <w:r>
              <w:rPr>
                <w:rFonts w:ascii="Arial" w:cs="Arial" w:eastAsia="Arial" w:hAnsi="Arial"/>
                <w:sz w:val="18"/>
                <w:szCs w:val="18"/>
                <w:color w:val="auto"/>
              </w:rPr>
              <w:t>39</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For the six months ended June 30, 2018, net cash provided by operating activities increased by $5 million or 1% when compared to the same period in 2017, primarily due to increase in non-cash items affecting cash flow of $27 million, with the majority driven by the increase in stock-based compensation expense of $14 million, partially offset by a net decrease in working capital movements of $18 million and a decrease in net income of $4 million. The decrease in working capital movements of $18 million was primarily due to timing of collection and payments of our receivables and deferred merchant payables, respectively, partially offset by an increase in operating cash flow from deferred revenue primarily due to growth in our Experiences business.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For the six months ended June 30, 2018, net cash provided by investing activities decreased by $83 million when compared to the same period in 2017, primarily due to a net decrease in cash generated from the purchases, sales and maturities of our marketable securities of $64 million and cash paid for acquisitions and other investments of $23 million during the six months ended June 30, 2018, partially offset by a decrease in capital expenditures of $4 million.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120" w:firstLine="518"/>
        <w:spacing w:after="0" w:line="297" w:lineRule="auto"/>
        <w:rPr>
          <w:sz w:val="20"/>
          <w:szCs w:val="20"/>
          <w:color w:val="auto"/>
        </w:rPr>
      </w:pPr>
      <w:r>
        <w:rPr>
          <w:rFonts w:ascii="Arial" w:cs="Arial" w:eastAsia="Arial" w:hAnsi="Arial"/>
          <w:sz w:val="16"/>
          <w:szCs w:val="16"/>
          <w:color w:val="auto"/>
        </w:rPr>
        <w:t>For the six months ended June 30, 2018, net cash used in financing activities increased by $186 million when compared to the same period in 2017, primarily due to a net repayment on our 2015 Credit Facility of $230 million during the six months ended June 30, 2018, as compared to net borrowings of $167 million during the six months ended June 30, 2017, partially offset by a decrease in cash used to purchase shares of our common stock under our share repurchase program of $150 million during the six months ended June 30, 2018, when compared to the same periods in 2017, as well as a repayment of our 2016 Credit Facility borrowings of $73 million during the six months ended June 30, 2017, which did not reoccur in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2017. As of June 30, 2018, other than our contractual obligations and commercial commitments, we did not have any off-balance sheet arrangements, as defined in Item 303(a)(4)(ii) of Regulation S-K promulgated by the SEC. Refer to “Liquidity and Capital Resources” in Part II, Item 7. — Management’s Discussion and Analysis of Financial Condition and Results of Operations of our Annual Report on Form 10-K for the year ended December 31, 2017 for a discussion of our contractual obligations and commercial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Moreover, such claims, even if not meritorious, could result in the expenditure of significant financial and managerial resources, divert management's attention from the Company's business objectives and adversely affect the Company's business, results of operations, financial condition and cash flows. There may also be claims or actions pending or threatened against us of which we are currently not aware and the ultimate disposition of which would have a material adverse effect on us.</w:t>
      </w:r>
    </w:p>
    <w:p>
      <w:pPr>
        <w:spacing w:after="0" w:line="18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December 22, 2017, the 2017 Tax Act was signed into United States tax law. The legislation significantly changes U.S. tax law by, among other provisions, lowering corporate income tax rates, and imposing a repatriation tax on deemed repatriated earnings of foreign subsidiaries. The 2017 Tax Act permanently reduced the U.S. corporate income tax rate from a maximum of 35% to a flat 21% rate, which was effective January 1, 2018. This legislation is resulting in additional uncertainty in our income tax liability, as we obtain additional data to comply with new provisions and as the IRS issues new guidance interpreting the law changes.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0" w:name="page41"/>
    <w:bookmarkEnd w:id="40"/>
    <w:p>
      <w:pPr>
        <w:ind w:right="2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short-period 2011 tax years, and have various ongoing state income tax audits. We are separately under examination by the IRS for the short-period 2011, 2012 and 2013 tax years and have commenced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2018, no material assessments have resulted, except as noted below regarding our 2009 and 2010 IRS audit with Expedia.</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January 2017, as part of the Company’s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17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withholding taxes and state taxes.</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the impact of the 2017 Tax Act, potential contingencies surrounding current audits by the IRS and various other domestic and foreign tax authorities, and other income tax matters.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exposed to certain market risks, including changes in interest rates and foreign currency exchange rates that could adversely affect our results of operations or financial condition. Our exposure to market risk includes our revolving credit facilities, derivative instruments and cash and cash equivalents, marketable securities, accounts receivable and contracts receivable, intercompany receivables, accounts payable and deferred merchant payables denominated in foreign currencies.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foreign currency exchange rates and interest rates.</w:t>
      </w:r>
    </w:p>
    <w:p>
      <w:pPr>
        <w:spacing w:after="0" w:line="17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six months ended June 30, 2018. For additional information, refer to “Quantitative and Qualitative Disclosures About Market Risk” in Item 7A. in Part II of our Annual Report on Form 10-K for the year ended December 31, 2017.</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As of June 30, 2018,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June 30, 2018,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2018 that have materially affected, or are reasonably likely to materially affect, our internal control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78" w:lineRule="exact"/>
        <w:rPr>
          <w:sz w:val="20"/>
          <w:szCs w:val="20"/>
          <w:color w:val="auto"/>
        </w:rPr>
      </w:pPr>
    </w:p>
    <w:p>
      <w:pPr>
        <w:ind w:firstLine="761"/>
        <w:spacing w:after="0" w:line="288" w:lineRule="auto"/>
        <w:rPr>
          <w:sz w:val="20"/>
          <w:szCs w:val="20"/>
          <w:color w:val="auto"/>
        </w:rPr>
      </w:pPr>
      <w:r>
        <w:rPr>
          <w:rFonts w:ascii="Arial" w:cs="Arial" w:eastAsia="Arial" w:hAnsi="Arial"/>
          <w:sz w:val="16"/>
          <w:szCs w:val="16"/>
          <w:color w:val="auto"/>
        </w:rPr>
        <w:t>In the ordinary course of business, we are parties to legal proceedings and claims involving patent and intellectual property rights (including alleged infringement of third-party intellectual property rights), tax matters (including value-added, excise, transient occupancy and accommodation taxes), regulatory compliance (including competition and consumer matters), defamation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Management does not expect these proceedings to have a material impact on the liquidity, results of operations, or financial condition of TripAdvisor, Inc.; however, litigation is inherently uncertain and the actual losses incurred in the event of unfavorable outcomes could have a material adverse effect on our business and financial performance. There may also be claims or actions pending or threatened against us of which we are currently not aware and the ultimate disposition of which could have a material adverse effect on us.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mobile apps and to cost-effectively convert these visitors into revenue-generating users, our revenue, financial results and business could be harmed.</w:t>
      </w:r>
    </w:p>
    <w:p>
      <w:pPr>
        <w:spacing w:after="0" w:line="17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Our long term success depends on our continued ability to maintain and increase the overall number of visitors flowing through our platforms in a cost effective manner and to engage users throughout the travel planning, booking and trip-taking phases. The primary asset that we use to attract visitors to our websites and convert these visitors into engaged users and bookers is our ability to collect or create, organize and distribute high-quality, commercially valuable content and products that meet users’ specific interests. Our traffic and user engagement could be adversely affected by a number of factors, including but not limited to increased competition, reduced consumer awareness of our brands, declines or inefficiencies in traffic acquisition, and macroeconomic conditions. Certain of our competitors have advertising campaigns expressly designed to drive consumer traffic directly to their websites, and these campaigns may negatively impact traffic to our site. There can be no assurances that we will continue to provide content and products in a manner that meets rapidly changing consumer demand, that encourages users to book on our platform and that is cost-effective.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 and applications are not displayed prominently, traffic to our platform could decline and our business would be negatively affected.</w:t>
      </w:r>
    </w:p>
    <w:p>
      <w:pPr>
        <w:spacing w:after="0" w:line="18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rely heavily on internet search engines, such as Google, to generate a significant amount of traffic to our websites, principally through the purchase of travel-related keywords (what is also known as search engine marketing, or SEM) as well as through free, or organic, search (what is also known as search engine optimization, or SEO). The number of users we attract from search engines to our platform is due in large part to how and where information from, and links to, our website are displayed on search engine results pages. The display, including rankings, of unpaid search results can be affected by a number of factors, many of which are not in our control and may change frequently. Search engines frequently update and change the logic that determines the placement and display of the results of a user’s search, such that the purchased or algorithmic placement of links to our websites can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spacing w:after="0" w:line="276" w:lineRule="auto"/>
        <w:rPr>
          <w:sz w:val="20"/>
          <w:szCs w:val="20"/>
          <w:color w:val="auto"/>
        </w:rPr>
      </w:pPr>
      <w:r>
        <w:rPr>
          <w:rFonts w:ascii="Arial" w:cs="Arial" w:eastAsia="Arial" w:hAnsi="Arial"/>
          <w:sz w:val="17"/>
          <w:szCs w:val="17"/>
          <w:color w:val="auto"/>
        </w:rPr>
        <w:t>be negatively affected. In addition, a search engine could, for competitive or other purposes, alter its search algorithms or results causing our websites to place lower in organic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Furthermore, our failure to successfully manage our SEO and SEM strategies could result in a substantial decrease in traffic to our websites, as well as increased costs if we were to replace free traffic with paid traffic.</w:t>
      </w:r>
    </w:p>
    <w:p>
      <w:pPr>
        <w:spacing w:after="0" w:line="1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addition, to the extent that Google or other leading search or metasearch engines that have a significant presence in our key markets, disintermediate OTAs or travel content providers, whether by offering their own comprehensive travel planning or shopping capabilities, or by referring leads to suppliers, other favored partners or themselves directly, there could be a negative effect on search results and traffic to our site, which in turn could have a material adverse impact on our business and financial performance.</w:t>
      </w:r>
    </w:p>
    <w:p>
      <w:pPr>
        <w:spacing w:after="0" w:line="18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derive a substantial portion of our revenue from the sale of advertising, primarily through click-based advertising and, to a lesser extent, display-based and subscription-based advertising. We enter into master advertising contracts with our advertising partners; however, the agreement terms are generally limited to legal matters, with campaign details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acceptance of online advertising versus more traditional or more effective forms of advertising ,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83"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2017, our two most significant advertising partners, Expedia and Booking Holdings (and their subsidiaries), accounted for a combined 43%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strive to create the best experience for our users, providing them with the information, products and tools to enable them to plan, book, and experience the perfect trip. We believe that in doing so we will increase our rates of conversion, our revenue per hotel shopper and, ultimately, our financial performance over the long-term. We have taken actions in the past and may continue to make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ind w:right="40"/>
        <w:spacing w:after="0" w:line="293" w:lineRule="auto"/>
        <w:rPr>
          <w:sz w:val="20"/>
          <w:szCs w:val="20"/>
          <w:color w:val="auto"/>
        </w:rPr>
      </w:pPr>
      <w:r>
        <w:rPr>
          <w:rFonts w:ascii="Arial" w:cs="Arial" w:eastAsia="Arial" w:hAnsi="Arial"/>
          <w:sz w:val="16"/>
          <w:szCs w:val="16"/>
          <w:color w:val="auto"/>
        </w:rPr>
        <w:t>decisions in the future that have the effect of reducing our short-term revenue or profitability if we believe that the decisions benefit the overall user experience. For example, we may introduce changes to existing products or new products that direct users away from formats or use cases where we have a proven means of monetization. In addition, our approach of putting users first may negatively impact our relationship with existing or prospective advertisers. These actions and practices could result in a loss of advertisers,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any failure to maintain, protect and enhance our brand would hurt our ability to retain and expand our base of users and advertisers, as well as increase the frequency with which users utilize our products and services.</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believe that the strength of our brands (particularly the TripAdvisor brand) has contributed significantly to our success. We also believe that maintaining, protecting and enhancing our brands is critical to expanding our base of users, increasing the frequency with which users utilize our solutions and attracting advertisers and business partners. Our ability to maintain and protect our brand depends, in part, on our ability to maintain consumer trust in our products and in the quality and integrity of the user content and other information found on our platform. We believe that consumers must trust the integrity of our content and that they must believe that our content is reliable as well as useful. If consumers do not view our reviews to be useful and reliable, they may seek other sources to obtain the information they are looking for and may not return to our platform as often in the future, or at all. This would negatively impact our ability to attract and retain users and advertisers and the frequency with which they use our platform. We dedicate significant resources to these goals, primarily through our computer algorithms to identify inappropriate or deceptive content removing content from our website that violates our terms of service and, in certain cases, taking legal action against businesses that we believe engage in deceptive practices.</w:t>
      </w:r>
    </w:p>
    <w:p>
      <w:pPr>
        <w:spacing w:after="0" w:line="167" w:lineRule="exact"/>
        <w:rPr>
          <w:sz w:val="20"/>
          <w:szCs w:val="20"/>
          <w:color w:val="auto"/>
        </w:rPr>
      </w:pPr>
    </w:p>
    <w:p>
      <w:pPr>
        <w:ind w:right="120" w:firstLine="507"/>
        <w:spacing w:after="0" w:line="253" w:lineRule="auto"/>
        <w:rPr>
          <w:sz w:val="20"/>
          <w:szCs w:val="20"/>
          <w:color w:val="auto"/>
        </w:rPr>
      </w:pPr>
      <w:r>
        <w:rPr>
          <w:rFonts w:ascii="Arial" w:cs="Arial" w:eastAsia="Arial" w:hAnsi="Arial"/>
          <w:sz w:val="18"/>
          <w:szCs w:val="18"/>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For example, certain media outlets have reported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users; we do not establish rankings and ratings in favor of our advertisers. Nevertheless, our reputation and brand, the traffic to our platform and our business may suffer from negative publicity about our company or if users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9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changes, competitive pressures, litigation or regulatory activity, could adversely affect our reputation with our users and our advertisers. Such negative publicity also could have an adverse effect on the size, engagement, and loyalty of our user base and result in decreased revenue.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be successful.</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an effort to enhance our brand we invest significantly in brand marketing including, but not limited to, television advertising. We expect these investments to continue, and even increase, as a result of a variety of factors, including relatively high levels of advertising spending by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65"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diversified resources than we do, and they may also be able to leverage other aspects of their businesses to enable them to compete more effectively with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right="34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phone devices creates new challenges and, if we are unable to operate effectively on mobile phone devices, our business may be adversely affected.</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number of people who access the internet through mobile phones continues to increase and we anticipate that the rate of use of these devices will continue to grow. A significant percentage of our traffic comes from users accessing our sites on mobile phones and we expect this percentage to continue to increase. In order to attract and retain engaged users of our mobile platform, the mobile products and services we introduce must be compelling. In addition, the mobile phones continue to monetize at a significantly lower rate than desktops and tablets and advertising opportunities are more limited on mobile phone devices. Given device sizes and technical limitations of these devices, mobile phone consumers may not be willing to download multiple apps from multiple companies providing similar service and instead prefer to use one or a limited number of apps for their hotel, restaurant and experiences activity. In addition, as new devices and platforms are released, users may begin consuming content in a manner that is more difficult to monetize.</w:t>
      </w:r>
    </w:p>
    <w:p>
      <w:pPr>
        <w:spacing w:after="0" w:line="16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To address these growing user demands, we continue to extend our platform to develop and improve upon our mobile applications and monetization strategies. If we are unable to continue to rapidly innovate and create new, user-friendly and differentiated mobile phone offerings and websites optimized for mobile phone devices and efficiently and effectively advertise and distribute on these platforms, or if our mobile phone offerings are not used by consumers, our future growth and results of operations could be negatively impacted.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spending could reduce the demand for our services and have a negative impact on our business and financial performance.</w:t>
      </w:r>
    </w:p>
    <w:p>
      <w:pPr>
        <w:spacing w:after="0" w:line="17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our results of operations. For example, the United Kingdom’s referendum to exit the European Union, known as Brexit, could adversely affect European and global economic or market conditions, could contribute to instability in global financial markets and may have a negative effect on the travel industry and our business.</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compete in rapidly evolving and competitive markets. We face competition for content, users, advertisers, online travel search and price comparison services, or what is known in the industry as hotel metasearch, and online reservations. In the competition to attract users to our platform, we rely on our ability to acquire traffic through offline brand recognition and brand-direct efforts such as SEO, SEM,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19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participate, including large and small companies in the travel space as well as broader service providers. More specifically:</w:t>
      </w:r>
    </w:p>
    <w:p>
      <w:pPr>
        <w:spacing w:after="0" w:line="170" w:lineRule="exact"/>
        <w:rPr>
          <w:sz w:val="20"/>
          <w:szCs w:val="20"/>
          <w:color w:val="auto"/>
        </w:rPr>
      </w:pPr>
    </w:p>
    <w:p>
      <w:pPr>
        <w:ind w:left="760" w:right="120" w:hanging="374"/>
        <w:spacing w:after="0" w:line="259"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our Hotel segment, we face competition from OTAs (including Expedia, Inc. and Booking Holdings,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5" w:name="page46"/>
    <w:bookmarkEnd w:id="45"/>
    <w:p>
      <w:pPr>
        <w:ind w:left="760" w:right="140" w:hanging="374"/>
        <w:spacing w:after="0" w:line="297"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also face competition from different companies in each of the operating segments in our Non-Hotel segment. Experiences competes with traditional travel agencies, wholesalers, and individual tour operators as well as Airbnb and similar websites that have added other travel services such as tours and activities. Restaurants competes with other online restaurant reservation services, such as SeatMe (owned by Yelp) and OpenTable (a subsidiary of Booking Holdings). Rentals competes with companies focused on alternative lodging, shared accommodations and online accommodation searches, including Airbnb, HomeAway (a subsidiary of Expedia) and booking.com (a subsidiary of Booking Holdings).</w:t>
      </w:r>
    </w:p>
    <w:p>
      <w:pPr>
        <w:spacing w:after="0" w:line="15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Certain of the companies we do business with, including some of our click-based advertising partners, are also our competitors. The consolidation of our competitors and partners, including Expedia (through its acquisitions of Orbitz, Travelocity, and HomeAway) and Booking Holdings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member engagement, any of which could adversely affect our business and financial performance.</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among other things,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users.</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the emergence of alternative platforms such as mobile phone and tablet computing devices and the emergence of niche competitors who may be able to optimize products, services or strategies for such platforms will require new investment in technology. New developments in other areas could also make it easier for competition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travelers, we may not remain competitive, and our business and financial performance could suffer.</w:t>
      </w:r>
    </w:p>
    <w:p>
      <w:pPr>
        <w:spacing w:after="0" w:line="170"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Our success depends in part on continued innovation to provide products, features and services that make our platform compelling to travelers and engage our users. Our competitors are continually developing innovations in online travel-related services and features. As a result, we are continually working to improve our business model and user experience in order to engage our users,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6" w:name="page47"/>
    <w:bookmarkEnd w:id="46"/>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online advertisers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believe that certain metrics are key to our business, including but not limited to unique visitors, hotel shoppers, and revenue per hotel shopper. As both the industry in which we operate and our business continue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26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co-founder, Chief Executive and President,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3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Certain companies in the internet and technology industries that own patents, copyrights, trademarks and trade secrets frequently enter into litigation based on allegations of infringement or other violations of those intellectual property rights in order to extract value from technology companies, such as royalties in connection with grants of licenses. We have received in the past, and expect to receive in the future,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right="600"/>
        <w:spacing w:after="0" w:line="277" w:lineRule="auto"/>
        <w:rPr>
          <w:sz w:val="20"/>
          <w:szCs w:val="20"/>
          <w:color w:val="auto"/>
        </w:rPr>
      </w:pPr>
      <w:r>
        <w:rPr>
          <w:rFonts w:ascii="Arial" w:cs="Arial" w:eastAsia="Arial" w:hAnsi="Arial"/>
          <w:sz w:val="18"/>
          <w:szCs w:val="18"/>
          <w:color w:val="auto"/>
        </w:rPr>
        <w:t>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Our success will depend, in part, on our ability to expand our product offerings and expand user engagement in order to grow our business in response to changing technologies, user and advertiser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any of which could be material to our financial conditions and results of operations. Such endeavors may involve significant risks and uncertainties, including, but not limited to, the following:</w:t>
      </w:r>
    </w:p>
    <w:p>
      <w:pPr>
        <w:spacing w:after="0" w:line="64" w:lineRule="exact"/>
        <w:rPr>
          <w:sz w:val="20"/>
          <w:szCs w:val="20"/>
          <w:color w:val="auto"/>
        </w:rPr>
      </w:pPr>
    </w:p>
    <w:p>
      <w:pPr>
        <w:ind w:left="104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40" w:right="38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stock repurchases, retirement of outstanding indebtedness and/or dividend payments;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assumed, and other claims relating to the acquired company;</w:t>
      </w:r>
    </w:p>
    <w:p>
      <w:pPr>
        <w:spacing w:after="0" w:line="62"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right="760" w:hanging="384"/>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minus impairment,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82"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Over the years, we have experienced rapid growth in some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lawsuits, government investigations, and other proceedings that may result in adverse outcomes.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matters), defamation and free speech, labor and employment matters and commercial disputes.</w:t>
      </w:r>
    </w:p>
    <w:p>
      <w:pPr>
        <w:spacing w:after="0" w:line="18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We operate in a number of jurisdictions both inside and outside of the United States and continue to expand our operations both domestically and internationally. Many regions have different economic conditions, languages, currencies, consumer expectations, legislation, regulatory environments (including labors laws and customs), tax laws, levels of consumer acceptance and use of the internet for commerce and levels of political stability. We are subject to associated risks typical of global businesses, including, but not limited to, the following:</w:t>
      </w:r>
    </w:p>
    <w:p>
      <w:pPr>
        <w:spacing w:after="0" w:line="63" w:lineRule="exact"/>
        <w:rPr>
          <w:sz w:val="20"/>
          <w:szCs w:val="20"/>
          <w:color w:val="auto"/>
        </w:rPr>
      </w:pPr>
    </w:p>
    <w:p>
      <w:pPr>
        <w:ind w:left="1040" w:right="500" w:hanging="344"/>
        <w:spacing w:after="0" w:line="264" w:lineRule="auto"/>
        <w:tabs>
          <w:tab w:leader="none" w:pos="1009"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and the U.K. Bribery Act (including the European Union’s General Data Protection Regulation, or GDPR), data privacy requirements, labor and employment law, laws regarding advertisements and promotions and anti-competition regulations;</w:t>
      </w:r>
    </w:p>
    <w:p>
      <w:pPr>
        <w:spacing w:after="0" w:line="73" w:lineRule="exact"/>
        <w:rPr>
          <w:rFonts w:ascii="Arial" w:cs="Arial" w:eastAsia="Arial" w:hAnsi="Arial"/>
          <w:sz w:val="18"/>
          <w:szCs w:val="18"/>
          <w:color w:val="auto"/>
        </w:rPr>
      </w:pPr>
    </w:p>
    <w:p>
      <w:pPr>
        <w:ind w:left="1020" w:hanging="324"/>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040" w:right="240" w:hanging="344"/>
        <w:spacing w:after="0" w:line="277" w:lineRule="auto"/>
        <w:tabs>
          <w:tab w:leader="none" w:pos="1009"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9" w:name="page50"/>
    <w:bookmarkEnd w:id="49"/>
    <w:p>
      <w:pPr>
        <w:jc w:val="both"/>
        <w:ind w:right="320" w:firstLine="518"/>
        <w:spacing w:after="0" w:line="264" w:lineRule="auto"/>
        <w:rPr>
          <w:sz w:val="20"/>
          <w:szCs w:val="20"/>
          <w:color w:val="auto"/>
        </w:rPr>
      </w:pPr>
      <w:r>
        <w:rPr>
          <w:rFonts w:ascii="Arial" w:cs="Arial" w:eastAsia="Arial" w:hAnsi="Arial"/>
          <w:sz w:val="18"/>
          <w:szCs w:val="18"/>
          <w:color w:val="auto"/>
        </w:rPr>
        <w:t>A number of countries are actively pursuing changes to their tax laws applicable to corporate multinationals, such as the recently enacted U.S. tax legislation commonly referred to as the Tax Cuts and Jobs Act of 2017 (the “2017 Tax Act”). Foreign governments may enact tax laws that could result in further changes to global taxation and materially affect our financial position and results of operations.</w:t>
      </w:r>
    </w:p>
    <w:p>
      <w:pPr>
        <w:spacing w:after="0" w:line="18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of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additional guidance, we may make adjustments to provisional amounts that we have recorded that may materially impact our provision for income taxes in the period in which the adjustments are made.</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travel and rental licensing and listing requirements and tax. In some cases, these laws continue to evolve.</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Further, Rentals has been and continues to be subject to regulatory developments that affect the rental industry and the ability of competitors like us to list those rentals online. For example, some states and local jurisdictions have fair housing or other laws governing whether and how properties may be rented, which they assert apply to rentals. In addition, many homeowners, condominium and neighborhood associations have adopted or are considering adopting statutes or ordinances that prohibit or restrict property owners and managers from short-term rentals.</w:t>
      </w:r>
    </w:p>
    <w:p>
      <w:pPr>
        <w:spacing w:after="0" w:line="17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58"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For example, the European Union adopted GDPR implementing data protection requirements and other jurisdictions are contemplating and may in the future adopt similar legislation; this legislation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fines and/or criminal sanctions against us, our officers or our employees and/or prohibitions on the conduct of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ability to protect our technology, content and brands.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collect, process, store and transmit data, including personal information, for our users. As a result, 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w:t>
      </w:r>
    </w:p>
    <w:p>
      <w:pPr>
        <w:spacing w:after="0" w:line="167"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In addition, we are subject to GDPR, a new data protection legal framework adopted by the European Union effective May 2018. These data protection laws and regulations are intended to protect the privacy and security of personal data, including credit card information. Implementation of and compliance with these laws and regulations may be more costly or take longer than we anticipate, or could otherwise affect our business operations. Other jurisdictions, in the United States, at both the state and federal level, or in other jurisdictions, may establish similar requirements.</w:t>
      </w:r>
    </w:p>
    <w:p>
      <w:pPr>
        <w:spacing w:after="0" w:line="171"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54"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payments-related risks and failure to manage those risks may subject us to fines, penalties and additional costs and could have a negative impact on our business.</w:t>
      </w:r>
    </w:p>
    <w:p>
      <w:pPr>
        <w:spacing w:after="0" w:line="170"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We accept payments, both from consumers and advertising partners and suppliers, using a variety of methods, including credit card, debit card, direct debit from a customer’s bank account, and invoicing. For existing and future payment options we offer to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ind w:right="20"/>
        <w:spacing w:after="0" w:line="270" w:lineRule="auto"/>
        <w:rPr>
          <w:sz w:val="20"/>
          <w:szCs w:val="20"/>
          <w:color w:val="auto"/>
        </w:rPr>
      </w:pPr>
      <w:r>
        <w:rPr>
          <w:rFonts w:ascii="Arial" w:cs="Arial" w:eastAsia="Arial" w:hAnsi="Arial"/>
          <w:sz w:val="17"/>
          <w:szCs w:val="17"/>
          <w:color w:val="auto"/>
        </w:rPr>
        <w:t>customers, we may become subject to additional regulations and compliance requirements (including obligations to implement enhanced authentication processes). These regulations and/or requirements could result in significant costs and reduce the ease of use of our payments products and yet may still be susceptible to fraudulent activity.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w:t>
      </w:r>
    </w:p>
    <w:p>
      <w:pPr>
        <w:spacing w:after="0" w:line="178" w:lineRule="exact"/>
        <w:rPr>
          <w:sz w:val="20"/>
          <w:szCs w:val="20"/>
          <w:color w:val="auto"/>
        </w:rPr>
      </w:pPr>
    </w:p>
    <w:p>
      <w:pPr>
        <w:ind w:right="360" w:firstLine="447"/>
        <w:spacing w:after="0" w:line="264" w:lineRule="auto"/>
        <w:rPr>
          <w:sz w:val="20"/>
          <w:szCs w:val="20"/>
          <w:color w:val="auto"/>
        </w:rPr>
      </w:pPr>
      <w:r>
        <w:rPr>
          <w:rFonts w:ascii="Arial" w:cs="Arial" w:eastAsia="Arial" w:hAnsi="Arial"/>
          <w:sz w:val="18"/>
          <w:szCs w:val="18"/>
          <w:color w:val="auto"/>
        </w:rPr>
        <w:t>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Any significant system disruption in or unauthorized access to our computer systems or those of third parties that we utilize, including those relating to cybersecurity or arising from cyberattacks, could result in a loss or degradation of service, unauthorized disclosure of data or theft of intellectual property, and could harm our business.</w:t>
      </w:r>
    </w:p>
    <w:p>
      <w:pPr>
        <w:spacing w:after="0" w:line="18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reputation and ability to attract, retain and service our users and partners is dependent upon the reliable performance and security of our computer systems and those of third parties we utilize in our operations. In the past, we have experienced cyberattacks, such as computer viruses, security intrusions, “denial-of-service” or “bot” type attacks that have made portions of our websites unavailable for short periods of time as well as allowed unauthorized access of our systems and data. Significant interruptions, outages, delays or security breaches in internal systems or systems of third parties that we rely upon, could impair our ability to process transactions or display content and significantly harm our business. A party, whether internal or external, that is able to circumvent our security systems could misappropriate user information or proprietary information or cause significant interruptions in our operations. We also face risks associated with security breaches affecting third parties conducting business over the internet. Much of our business is conducted with third party marketing affiliates or, more recently, through business partners powering our instant booking feature.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failure of such third parties to comply with applicable disclosure requirements could expose us to liability.</w:t>
      </w:r>
    </w:p>
    <w:p>
      <w:pPr>
        <w:spacing w:after="0" w:line="18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may need to expend significant resources to protect against security breaches or to investigate and address problems caused by breaches.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Media coverage of data breaches has escalated, in part because of the increased number of enforcement actions, investigations and lawsuits.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8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Any of these events could cause system interruption, delays and loss of critical data, and could prevent us from providing content and services to users, travelers and/or third parties for a significant period of time.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online short-term and vacation rental market is rapidly evolving and if we fail to predict the manner in which the market develops, our business and prospects may suffer.</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offer short-term and vacation rental services on our TripAdvisor-branded sites as well as through our Rentals offerings. The short-term and vacation rental market has been and continues to be, subject to regulatory development globally that affects the industry and the ability of companies like us to list these rental properties online. For example, some states and local jurisdictions,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p>
      <w:pPr>
        <w:spacing w:after="0" w:line="270" w:lineRule="auto"/>
        <w:rPr>
          <w:sz w:val="20"/>
          <w:szCs w:val="20"/>
          <w:color w:val="auto"/>
        </w:rPr>
      </w:pPr>
      <w:r>
        <w:rPr>
          <w:rFonts w:ascii="Arial" w:cs="Arial" w:eastAsia="Arial" w:hAnsi="Arial"/>
          <w:sz w:val="17"/>
          <w:szCs w:val="17"/>
          <w:color w:val="auto"/>
        </w:rPr>
        <w:t>both domestically and internationally, have adopted, or are considering adopting, statutes or ordinances that prohibit property owners and managers from renting certain properties for fewer than 30 consecutive days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(as more fully discussed below,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At June 30, 2018, there were no outstanding borrowings in long-term debt. However, we continue to have existing credit facilities from which we can borrow significant amounts; as such, we are still subject to risks relating to our indebtedness that include:</w:t>
      </w:r>
    </w:p>
    <w:p>
      <w:pPr>
        <w:spacing w:after="0" w:line="170"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00" w:hanging="384"/>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7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24"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53" w:name="page54"/>
    <w:bookmarkEnd w:id="53"/>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The final determination of audits could be materially different from our income tax provisions and accruals and could have a material effect on our financial position, results of operations, or cash flows in the period or periods for which that determination is made.</w:t>
      </w:r>
    </w:p>
    <w:p>
      <w:pPr>
        <w:spacing w:after="0" w:line="18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tax rate. In periods in which our stock price is higher than the grant price of the share-based compensation awards vesting in that period, we will recognize excess tax benefits that will decrease our effective tax rate. In periods in which our stock price is lower than the grant price of the share-based compensation awards vesting in that period, our effective tax rate will increase.</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withholding taxes and state taxes.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position and results of operations.</w:t>
      </w:r>
    </w:p>
    <w:p>
      <w:pPr>
        <w:spacing w:after="0" w:line="24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derive could be undermined due to changing tax laws. A number of countries are actively pursuing changes to their tax laws applicable to corporate multinationals, such as the recently enacted 2017 Tax Act. Foreign governments or U.S. states may enact tax laws that could result in further changes to global taxation and materially affect our financial position and results of operations.</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2017 Tax Act has resulted in significant changes to the U.S. corporate income tax system. The 2017 Tax Act requires complex computations to be performed that were not previously required in U.S. tax law, significant judgments to be made in interpretation of the provisions of the 2017 Tax Act, significant estimates in calculations, and the preparation of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additional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4" w:name="page55"/>
    <w:bookmarkEnd w:id="54"/>
    <w:p>
      <w:pPr>
        <w:ind w:right="80"/>
        <w:spacing w:after="0" w:line="277" w:lineRule="auto"/>
        <w:rPr>
          <w:sz w:val="20"/>
          <w:szCs w:val="20"/>
          <w:color w:val="auto"/>
        </w:rPr>
      </w:pPr>
      <w:r>
        <w:rPr>
          <w:rFonts w:ascii="Arial" w:cs="Arial" w:eastAsia="Arial" w:hAnsi="Arial"/>
          <w:sz w:val="18"/>
          <w:szCs w:val="18"/>
          <w:color w:val="auto"/>
        </w:rPr>
        <w:t>guidance, we may make adjustments to provisional amounts that we have recorded that may materially impact our provision for income taxes in the period in which the adjustments are made.</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Spin-Off, we could be subject to significant tax liabilities.</w:t>
      </w:r>
    </w:p>
    <w:p>
      <w:pPr>
        <w:spacing w:after="0" w:line="22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an IRS audit for the 2009, 2010, and short-period 2011 tax years. In connection with that audit, we received, in January 2017, notices of proposed adjustment from the IRS for the 2009 and 2010 tax years, which would result in an increase in our worldwide income tax expense. The proposed adjustments would result in an increase to our worldwide income tax expense in an estimated range totaling $10 million to $14 million for those specific years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conduct a significant and growing portion of our business outside the United States but report our results in U.S. dollars. As a result, we face exposure to movements in foreign currency exchange rates, particularly those related to the Euro, British pound sterling,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7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one of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ind w:right="40"/>
        <w:spacing w:after="0" w:line="257" w:lineRule="auto"/>
        <w:rPr>
          <w:sz w:val="20"/>
          <w:szCs w:val="20"/>
          <w:color w:val="auto"/>
        </w:rPr>
      </w:pPr>
      <w:r>
        <w:rPr>
          <w:rFonts w:ascii="Arial" w:cs="Arial" w:eastAsia="Arial" w:hAnsi="Arial"/>
          <w:sz w:val="18"/>
          <w:szCs w:val="18"/>
          <w:color w:val="auto"/>
        </w:rPr>
        <w:t>Directors Albert Rosenthaler also serve as officers and directors of LTRIP. LTRIP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40" w:right="80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2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0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6" w:name="page57"/>
    <w:bookmarkEnd w:id="56"/>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For the six months ended June 30, 2018, the average daily trading volume of our common stock on NASDAQ was approximately 2.9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62"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40" w:right="10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During the quarter ended June 30, 2018,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This new repurchase program has no expiration but may be suspended or terminated by the Board of Directors at any time.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jc w:val="both"/>
        <w:ind w:right="100" w:firstLine="518"/>
        <w:spacing w:after="0" w:line="256" w:lineRule="auto"/>
        <w:rPr>
          <w:sz w:val="20"/>
          <w:szCs w:val="20"/>
          <w:color w:val="auto"/>
        </w:rPr>
      </w:pPr>
      <w:r>
        <w:rPr>
          <w:rFonts w:ascii="Arial" w:cs="Arial" w:eastAsia="Arial" w:hAnsi="Arial"/>
          <w:sz w:val="18"/>
          <w:szCs w:val="18"/>
          <w:color w:val="auto"/>
        </w:rPr>
        <w:t>During the three months ended June 30, 2018, we repurchased 2,329,548 shares of outstanding common stock under the share repurchase program at an average share price of approximately $38.60, exclusive of fees and commissions. A summary of information about our common stock repurchases during the second quarter of 2018 is set forth in the table below:</w:t>
      </w:r>
    </w:p>
    <w:tbl>
      <w:tblPr>
        <w:tblLayout w:type="fixed"/>
        <w:tblInd w:w="0" w:type="dxa"/>
        <w:tblCellMar>
          <w:top w:w="0" w:type="dxa"/>
          <w:left w:w="0" w:type="dxa"/>
          <w:bottom w:w="0" w:type="dxa"/>
          <w:right w:w="0" w:type="dxa"/>
        </w:tblCellMar>
      </w:tblPr>
      <w:tr>
        <w:trPr>
          <w:trHeight w:val="211"/>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5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5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5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5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5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0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700" w:type="dxa"/>
            <w:vAlign w:val="bottom"/>
          </w:tcPr>
          <w:p>
            <w:pPr>
              <w:spacing w:after="0"/>
              <w:rPr>
                <w:sz w:val="20"/>
                <w:szCs w:val="20"/>
                <w:color w:val="auto"/>
              </w:rPr>
            </w:pPr>
          </w:p>
        </w:tc>
        <w:tc>
          <w:tcPr>
            <w:tcW w:w="13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0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Programs</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1 to April 30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1,842,215</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38.85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168,349,622</w:t>
            </w: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May 1 to May 31</w:t>
            </w:r>
          </w:p>
        </w:tc>
        <w:tc>
          <w:tcPr>
            <w:tcW w:w="980" w:type="dxa"/>
            <w:vAlign w:val="bottom"/>
          </w:tcPr>
          <w:p>
            <w:pPr>
              <w:jc w:val="right"/>
              <w:spacing w:after="0"/>
              <w:rPr>
                <w:sz w:val="20"/>
                <w:szCs w:val="20"/>
                <w:color w:val="auto"/>
              </w:rPr>
            </w:pPr>
            <w:r>
              <w:rPr>
                <w:rFonts w:ascii="Arial" w:cs="Arial" w:eastAsia="Arial" w:hAnsi="Arial"/>
                <w:sz w:val="18"/>
                <w:szCs w:val="18"/>
                <w:color w:val="auto"/>
              </w:rPr>
              <w:t>487,333</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37.65</w:t>
            </w:r>
          </w:p>
        </w:tc>
        <w:tc>
          <w:tcPr>
            <w:tcW w:w="1260" w:type="dxa"/>
            <w:vAlign w:val="bottom"/>
          </w:tcPr>
          <w:p>
            <w:pPr>
              <w:jc w:val="right"/>
              <w:spacing w:after="0"/>
              <w:rPr>
                <w:sz w:val="20"/>
                <w:szCs w:val="20"/>
                <w:color w:val="auto"/>
              </w:rPr>
            </w:pPr>
            <w:r>
              <w:rPr>
                <w:rFonts w:ascii="Arial" w:cs="Arial" w:eastAsia="Arial" w:hAnsi="Arial"/>
                <w:sz w:val="18"/>
                <w:szCs w:val="18"/>
                <w:color w:val="auto"/>
              </w:rPr>
              <w:t>487,333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150,000,033</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1 to June 30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150,000,033</w:t>
            </w:r>
          </w:p>
        </w:tc>
      </w:tr>
      <w:tr>
        <w:trPr>
          <w:trHeight w:val="244"/>
        </w:trPr>
        <w:tc>
          <w:tcPr>
            <w:tcW w:w="5100" w:type="dxa"/>
            <w:vAlign w:val="bottom"/>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2,329,548</w:t>
            </w: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2,329,548</w:t>
            </w: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As of June 30, 2018, we have repurchased a total of 2,582,198 shares of outstanding common stock under the share repurchase program for an aggregate cost of $100 million, or an average price of $38.73 per share, exclusive of fees and commissions.</w:t>
      </w:r>
    </w:p>
    <w:p>
      <w:pPr>
        <w:spacing w:after="0" w:line="202"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amount excludes fees and commissions associated with the share repurchase.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100" w:type="dxa"/>
            <w:vAlign w:val="bottom"/>
            <w:vMerge w:val="restart"/>
          </w:tcPr>
          <w:p>
            <w:pPr>
              <w:ind w:left="294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Filed</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2"/>
                <w:szCs w:val="12"/>
                <w:color w:val="auto"/>
              </w:rPr>
            </w:pPr>
          </w:p>
        </w:tc>
        <w:tc>
          <w:tcPr>
            <w:tcW w:w="7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c>
          <w:tcPr>
            <w:tcW w:w="180" w:type="dxa"/>
            <w:vAlign w:val="bottom"/>
          </w:tcPr>
          <w:p>
            <w:pPr>
              <w:spacing w:after="0"/>
              <w:rPr>
                <w:sz w:val="12"/>
                <w:szCs w:val="12"/>
                <w:color w:val="auto"/>
              </w:rPr>
            </w:pPr>
          </w:p>
        </w:tc>
        <w:tc>
          <w:tcPr>
            <w:tcW w:w="3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2"/>
                <w:szCs w:val="12"/>
                <w:color w:val="auto"/>
              </w:rPr>
            </w:pPr>
          </w:p>
        </w:tc>
        <w:tc>
          <w:tcPr>
            <w:tcW w:w="234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SEC File No.   Exhibit  Filing 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61">
        <w:r>
          <w:rPr>
            <w:rFonts w:ascii="Arial" w:cs="Arial" w:eastAsia="Arial" w:hAnsi="Arial"/>
            <w:sz w:val="18"/>
            <w:szCs w:val="18"/>
            <w:u w:val="single" w:color="auto"/>
            <w:color w:val="0000EE"/>
          </w:rPr>
          <w:t>2018 Stock and Annual Incentive Plan</w:t>
        </w:r>
      </w:hyperlink>
    </w:p>
    <w:p>
      <w:pPr>
        <w:spacing w:after="0" w:line="14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10.2+  </w:t>
      </w:r>
      <w:hyperlink w:anchor="page82">
        <w:r>
          <w:rPr>
            <w:rFonts w:ascii="Arial" w:cs="Arial" w:eastAsia="Arial" w:hAnsi="Arial"/>
            <w:sz w:val="18"/>
            <w:szCs w:val="18"/>
            <w:u w:val="single" w:color="auto"/>
            <w:color w:val="0000EE"/>
          </w:rPr>
          <w:t>Form of RSU Agreement (Non-Employee Directors)</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90">
        <w:r>
          <w:rPr>
            <w:rFonts w:ascii="Arial" w:cs="Arial" w:eastAsia="Arial" w:hAnsi="Arial"/>
            <w:sz w:val="16"/>
            <w:szCs w:val="16"/>
            <w:u w:val="single" w:color="auto"/>
            <w:color w:val="0000EE"/>
          </w:rPr>
          <w:t>Certification of the Chief Executive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91">
        <w:r>
          <w:rPr>
            <w:rFonts w:ascii="Arial" w:cs="Arial" w:eastAsia="Arial" w:hAnsi="Arial"/>
            <w:sz w:val="16"/>
            <w:szCs w:val="16"/>
            <w:u w:val="single" w:color="auto"/>
            <w:color w:val="0000EE"/>
          </w:rPr>
          <w:t>Certification of the Chief Financial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92">
        <w:r>
          <w:rPr>
            <w:rFonts w:ascii="Arial" w:cs="Arial" w:eastAsia="Arial" w:hAnsi="Arial"/>
            <w:sz w:val="16"/>
            <w:szCs w:val="16"/>
            <w:u w:val="single" w:color="auto"/>
            <w:color w:val="0000EE"/>
          </w:rPr>
          <w:t>Certification of the Chief Executive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93">
        <w:r>
          <w:rPr>
            <w:rFonts w:ascii="Arial" w:cs="Arial" w:eastAsia="Arial" w:hAnsi="Arial"/>
            <w:sz w:val="16"/>
            <w:szCs w:val="16"/>
            <w:u w:val="single" w:color="auto"/>
            <w:color w:val="0000EE"/>
          </w:rPr>
          <w:t>Certification of the Chief Financial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2002</w:t>
        </w:r>
      </w:hyperlink>
    </w:p>
    <w:p>
      <w:pPr>
        <w:spacing w:after="0" w:line="130" w:lineRule="exact"/>
        <w:rPr>
          <w:sz w:val="20"/>
          <w:szCs w:val="20"/>
          <w:color w:val="auto"/>
        </w:rPr>
      </w:pPr>
    </w:p>
    <w:p>
      <w:pPr>
        <w:ind w:left="560" w:right="60" w:hanging="552"/>
        <w:spacing w:after="0" w:line="255"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June 30, 2018, formatted in XBRL: (i) Unaudited Condensed Consolidated Statements of Operations, (ii) Unaudited Condensed Consolidated Statements of Comprehensive Income, (iii) Unaudited Condensed Consolidated Balance Sheets, (iv) Unaudited Condensed Consolidated Statement of Changes in Stockholders’ Equity, (v) Unaudited Condensed Consolidated Statements of Cash Flows, and (vi) Notes to Unaudited Condensed Consolidated Financial Statements.</w:t>
      </w:r>
    </w:p>
    <w:p>
      <w:pPr>
        <w:spacing w:after="0" w:line="189"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97" w:lineRule="exact"/>
        <w:rPr>
          <w:rFonts w:ascii="Arial" w:cs="Arial" w:eastAsia="Arial" w:hAnsi="Arial"/>
          <w:sz w:val="18"/>
          <w:szCs w:val="18"/>
          <w:i w:val="1"/>
          <w:iCs w:val="1"/>
          <w:color w:val="auto"/>
        </w:rPr>
      </w:pPr>
    </w:p>
    <w:p>
      <w:pPr>
        <w:ind w:left="5620"/>
        <w:spacing w:after="0"/>
        <w:rPr>
          <w:rFonts w:ascii="Arial" w:cs="Arial" w:eastAsia="Arial" w:hAnsi="Arial"/>
          <w:sz w:val="18"/>
          <w:szCs w:val="18"/>
          <w:i w:val="1"/>
          <w:iCs w:val="1"/>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600" w:space="460"/>
            <w:col w:w="3360"/>
          </w:cols>
          <w:pgMar w:left="240" w:top="688"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88"/>
              </w:rPr>
              <w:t>/s/ Ernst Teunissen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Chief Financial Officer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Noel Watson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Noel Watson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August 1,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TRIPADVISOR, INC.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2018 STOCK AND ANNUAL INCENTIVE PLAN</w:t>
      </w:r>
    </w:p>
    <w:p>
      <w:pPr>
        <w:spacing w:after="0" w:line="230" w:lineRule="auto"/>
        <w:rPr>
          <w:sz w:val="20"/>
          <w:szCs w:val="20"/>
          <w:color w:val="auto"/>
        </w:rPr>
      </w:pPr>
      <w:r>
        <w:rPr>
          <w:rFonts w:ascii="Arial" w:cs="Arial" w:eastAsia="Arial" w:hAnsi="Arial"/>
          <w:sz w:val="22"/>
          <w:szCs w:val="22"/>
          <w:b w:val="1"/>
          <w:bCs w:val="1"/>
          <w:color w:val="auto"/>
        </w:rPr>
        <w:t>SECTION 1. PURPOSE</w:t>
      </w:r>
    </w:p>
    <w:p>
      <w:pPr>
        <w:spacing w:after="0" w:line="1" w:lineRule="exact"/>
        <w:rPr>
          <w:sz w:val="20"/>
          <w:szCs w:val="20"/>
          <w:color w:val="auto"/>
        </w:rPr>
      </w:pPr>
    </w:p>
    <w:p>
      <w:pPr>
        <w:jc w:val="both"/>
        <w:ind w:right="120" w:firstLine="876"/>
        <w:spacing w:after="0" w:line="234" w:lineRule="auto"/>
        <w:rPr>
          <w:sz w:val="20"/>
          <w:szCs w:val="20"/>
          <w:color w:val="auto"/>
        </w:rPr>
      </w:pPr>
      <w:r>
        <w:rPr>
          <w:rFonts w:ascii="Arial" w:cs="Arial" w:eastAsia="Arial" w:hAnsi="Arial"/>
          <w:sz w:val="22"/>
          <w:szCs w:val="22"/>
          <w:color w:val="auto"/>
        </w:rPr>
        <w:t>The purpose of this Plan is to give the Company a competitive advantage in attracting, retaining and motivating officers, employees, directors and/or consultants by providing the Company with a stock and long-term incentive plan providing incentives directly linked to stockholder value.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DEFINITIONS</w:t>
      </w:r>
    </w:p>
    <w:p>
      <w:pPr>
        <w:spacing w:after="0" w:line="239" w:lineRule="exact"/>
        <w:rPr>
          <w:sz w:val="20"/>
          <w:szCs w:val="20"/>
          <w:color w:val="auto"/>
        </w:rPr>
      </w:pPr>
    </w:p>
    <w:p>
      <w:pPr>
        <w:ind w:right="780" w:firstLine="876"/>
        <w:spacing w:after="0" w:line="251" w:lineRule="auto"/>
        <w:rPr>
          <w:sz w:val="20"/>
          <w:szCs w:val="20"/>
          <w:color w:val="auto"/>
        </w:rPr>
      </w:pPr>
      <w:r>
        <w:rPr>
          <w:rFonts w:ascii="Arial" w:cs="Arial" w:eastAsia="Arial" w:hAnsi="Arial"/>
          <w:sz w:val="22"/>
          <w:szCs w:val="22"/>
          <w:color w:val="auto"/>
        </w:rPr>
        <w:t>Certain terms used herein have definitions given to them in the first place in which they are used. In addition, for purposes of this Plan, the following terms are defined as set forth below:</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2011 Plan</w:t>
      </w:r>
      <w:r>
        <w:rPr>
          <w:rFonts w:ascii="Arial" w:cs="Arial" w:eastAsia="Arial" w:hAnsi="Arial"/>
          <w:sz w:val="19"/>
          <w:szCs w:val="19"/>
          <w:color w:val="auto"/>
        </w:rPr>
        <w:t>” means the TripAdvisor, Inc. Amended and Restated 2011 Stock and Annual Incentive Plan, as amended.</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 corporation or other entity controlled by, controlling or under common control with, the Company.</w:t>
      </w:r>
    </w:p>
    <w:p>
      <w:pPr>
        <w:spacing w:after="0" w:line="268" w:lineRule="exact"/>
        <w:rPr>
          <w:sz w:val="20"/>
          <w:szCs w:val="20"/>
          <w:color w:val="auto"/>
        </w:rPr>
      </w:pPr>
    </w:p>
    <w:p>
      <w:pPr>
        <w:ind w:right="700" w:firstLine="87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Exchange</w:t>
      </w:r>
      <w:r>
        <w:rPr>
          <w:rFonts w:ascii="Arial" w:cs="Arial" w:eastAsia="Arial" w:hAnsi="Arial"/>
          <w:sz w:val="22"/>
          <w:szCs w:val="22"/>
          <w:color w:val="auto"/>
        </w:rPr>
        <w:t>” means The NASDAQ Stock Market LLC, or such other securities exchange as may at the applicable time be the principal market for the Common Stock.</w:t>
      </w:r>
    </w:p>
    <w:p>
      <w:pPr>
        <w:spacing w:after="0" w:line="200" w:lineRule="exact"/>
        <w:rPr>
          <w:sz w:val="20"/>
          <w:szCs w:val="20"/>
          <w:color w:val="auto"/>
        </w:rPr>
      </w:pPr>
    </w:p>
    <w:p>
      <w:pPr>
        <w:ind w:right="180" w:firstLine="87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Option, SAR, Restricted Stock, RSU, Performance Award, other stock-based award or Bonus Award granted or assumed pursuant to the terms of this Plan.</w:t>
      </w:r>
    </w:p>
    <w:p>
      <w:pPr>
        <w:spacing w:after="0" w:line="200" w:lineRule="exact"/>
        <w:rPr>
          <w:sz w:val="20"/>
          <w:szCs w:val="20"/>
          <w:color w:val="auto"/>
        </w:rPr>
      </w:pPr>
    </w:p>
    <w:p>
      <w:pPr>
        <w:ind w:right="460" w:firstLine="87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means a written or electronic document or agreement setting forth the terms and conditions of a specific Award.</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Bonus Award</w:t>
      </w:r>
      <w:r>
        <w:rPr>
          <w:rFonts w:ascii="Arial" w:cs="Arial" w:eastAsia="Arial" w:hAnsi="Arial"/>
          <w:sz w:val="22"/>
          <w:szCs w:val="22"/>
          <w:color w:val="auto"/>
        </w:rPr>
        <w:t>” means a bonus award made pursuant to Section 11.</w:t>
      </w:r>
    </w:p>
    <w:p>
      <w:pPr>
        <w:spacing w:after="0" w:line="233" w:lineRule="exact"/>
        <w:rPr>
          <w:sz w:val="20"/>
          <w:szCs w:val="20"/>
          <w:color w:val="auto"/>
        </w:rPr>
      </w:pPr>
    </w:p>
    <w:p>
      <w:pPr>
        <w:ind w:right="80" w:firstLine="876"/>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unless otherwise provided in an Award Agreement, (i) “Cause” as defined in any Individual Agreement to which the applicable Participant is a party, or (ii) if there is no such Individual Agreement or if it does not define Cause: (A) the willful or gross neglect by a Participant of his employment duties; (B) the plea of guilty or nolo contendere to, or conviction for, the commission of a felony offense by a Participant; (C) a material breach by a Participant of a fiduciary duty owed to the Company or any of its subsidiaries; (D) a material breach by a Participant of any nondisclosure, non-solicitation or non-competition obligation owed to the Company or any of its Affiliates; or (E) before a Change in Control, such other events as shall be determined by the Committee and set forth in a Participant’s Award Agreement. Notwithstanding the general rule of Section 3(a), following a Change in Control, any determination by the Committee as to whether “Cause” exists shall be subject to de novo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1" w:name="page62"/>
    <w:bookmarkEnd w:id="61"/>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has the meaning set forth in Section 13(a).</w:t>
      </w:r>
    </w:p>
    <w:p>
      <w:pPr>
        <w:spacing w:after="0" w:line="233" w:lineRule="exact"/>
        <w:rPr>
          <w:sz w:val="20"/>
          <w:szCs w:val="20"/>
          <w:color w:val="auto"/>
        </w:rPr>
      </w:pPr>
    </w:p>
    <w:p>
      <w:pPr>
        <w:ind w:firstLine="87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has the meaning set forth in Section 3(a).</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common stock, par value $0.001 per share, of the Company.</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TripAdvisor, Inc., a Delaware corporation, or its successor.</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Transaction</w:t>
      </w:r>
      <w:r>
        <w:rPr>
          <w:rFonts w:ascii="Arial" w:cs="Arial" w:eastAsia="Arial" w:hAnsi="Arial"/>
          <w:sz w:val="22"/>
          <w:szCs w:val="22"/>
          <w:color w:val="auto"/>
        </w:rPr>
        <w:t>” has the meaning set forth in Section 4(d).</w:t>
      </w:r>
    </w:p>
    <w:p>
      <w:pPr>
        <w:spacing w:after="0" w:line="233" w:lineRule="exact"/>
        <w:rPr>
          <w:sz w:val="20"/>
          <w:szCs w:val="20"/>
          <w:color w:val="auto"/>
        </w:rPr>
      </w:pPr>
    </w:p>
    <w:p>
      <w:pPr>
        <w:ind w:right="40" w:firstLine="87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(i) “Disability” as defined in any Individual Agreement to which the Participant is a party, or (ii) if there is no such Individual Agreement or it does not define “Disability,” (A) permanent and total disability as determined under the Company’s long- term disability plan applicable to the Participant, or (B) if there is no such plan applicable to the Participant or the Committee determines otherwise in an applicable Award Agreement, “Disability” as determined by the Committee. Notwithstanding the above, with respect to an Incentive Stock Option, Disability shall mean Permanent and Total Disability as defined in Section 22(e)(3) of the Code and, with respect to all Awards, to the extent required by Section 409A of the Code, Disability shall mean “disability” within the meaning of Section 409A of the Code.</w:t>
      </w:r>
    </w:p>
    <w:p>
      <w:pPr>
        <w:spacing w:after="0" w:line="205" w:lineRule="exact"/>
        <w:rPr>
          <w:sz w:val="20"/>
          <w:szCs w:val="20"/>
          <w:color w:val="auto"/>
        </w:rPr>
      </w:pPr>
    </w:p>
    <w:p>
      <w:pPr>
        <w:ind w:right="220" w:firstLine="87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Disaffiliation</w:t>
      </w:r>
      <w:r>
        <w:rPr>
          <w:rFonts w:ascii="Arial" w:cs="Arial" w:eastAsia="Arial" w:hAnsi="Arial"/>
          <w:sz w:val="22"/>
          <w:szCs w:val="22"/>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Individuals</w:t>
      </w:r>
      <w:r>
        <w:rPr>
          <w:rFonts w:ascii="Arial" w:cs="Arial" w:eastAsia="Arial" w:hAnsi="Arial"/>
          <w:sz w:val="19"/>
          <w:szCs w:val="19"/>
          <w:color w:val="auto"/>
        </w:rPr>
        <w:t>” means directors, officers, employees and consultants of the Company or any of its Subsidiaries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Affiliates.</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from time to time, and any successor thereto.</w:t>
      </w:r>
    </w:p>
    <w:p>
      <w:pPr>
        <w:spacing w:after="0" w:line="268" w:lineRule="exact"/>
        <w:rPr>
          <w:sz w:val="20"/>
          <w:szCs w:val="20"/>
          <w:color w:val="auto"/>
        </w:rPr>
      </w:pPr>
    </w:p>
    <w:p>
      <w:pPr>
        <w:ind w:right="160" w:firstLine="87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xml:space="preserve">” means, unless otherwise determined by the Committee, the closing price of a share of Common Stock on the Applicable Exchange on the date of measurement, or if Shares were not traded on the Applicable Exchange on such measurement date, then on the next preceding date on which Shares were traded, all as reported by such source as the Committee may select. If the Common Stock is not listed on a national securities exchange, Fair Market Value shall be determined by the Committee in its good faith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determination shall be made in a manner consistent with any applicable requirements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62" w:name="page63"/>
    <w:bookmarkEnd w:id="62"/>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Free-Standing SAR</w:t>
      </w:r>
      <w:r>
        <w:rPr>
          <w:rFonts w:ascii="Arial" w:cs="Arial" w:eastAsia="Arial" w:hAnsi="Arial"/>
          <w:sz w:val="22"/>
          <w:szCs w:val="22"/>
          <w:color w:val="auto"/>
        </w:rPr>
        <w:t>” has the meaning set forth in Section 6(b).</w:t>
      </w:r>
    </w:p>
    <w:p>
      <w:pPr>
        <w:spacing w:after="0" w:line="233" w:lineRule="exact"/>
        <w:rPr>
          <w:sz w:val="20"/>
          <w:szCs w:val="20"/>
          <w:color w:val="auto"/>
        </w:rPr>
      </w:pPr>
    </w:p>
    <w:p>
      <w:pPr>
        <w:ind w:right="20" w:firstLine="87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(i) “Good Reason” as defined in any Individual Agreement or Award Agreement to which the applicable Participant is a party, or (ii) if there is no such Individual Agreement or if it does not define Good Reason, then, without the Participant’s prior written consent: (A) a material reduction in the Participant’s rate of annual base salary from the rate of annual base salary in effect for such Participant immediately prior to the Change in Control, (B) a relocation of the Participant’s principal place of business more than 35 miles from the city in which such Participant’s principal place of business was located immediately prior to the Change in Control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 (C) within 90 days following the Participant’s knowledge of the initial existence of such condition or conditions, and the Company shall have 30 days following receipt of such written notice (the “</w:t>
      </w:r>
      <w:r>
        <w:rPr>
          <w:rFonts w:ascii="Arial" w:cs="Arial" w:eastAsia="Arial" w:hAnsi="Arial"/>
          <w:sz w:val="19"/>
          <w:szCs w:val="19"/>
          <w:u w:val="single" w:color="auto"/>
          <w:color w:val="auto"/>
        </w:rPr>
        <w:t>Cure Period</w:t>
      </w:r>
      <w:r>
        <w:rPr>
          <w:rFonts w:ascii="Arial" w:cs="Arial" w:eastAsia="Arial" w:hAnsi="Arial"/>
          <w:sz w:val="19"/>
          <w:szCs w:val="19"/>
          <w:color w:val="auto"/>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184" w:lineRule="exact"/>
        <w:rPr>
          <w:sz w:val="20"/>
          <w:szCs w:val="20"/>
          <w:color w:val="auto"/>
        </w:rPr>
      </w:pPr>
    </w:p>
    <w:p>
      <w:pPr>
        <w:ind w:firstLine="87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(i) the date on which the Committee by resolution selects an Eligible Individual to receive a grant of an Award and determines the number of Shares to be subject to such Award or the formula for earning a number of shares or cash amount, or (ii) such later date as the Committee shall provide in such resolution.</w:t>
      </w:r>
    </w:p>
    <w:p>
      <w:pPr>
        <w:spacing w:after="0" w:line="213" w:lineRule="exact"/>
        <w:rPr>
          <w:sz w:val="20"/>
          <w:szCs w:val="20"/>
          <w:color w:val="auto"/>
        </w:rPr>
      </w:pPr>
    </w:p>
    <w:p>
      <w:pPr>
        <w:ind w:right="20" w:firstLine="87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any Option that is designated in the applicable Award Agreement as an “incentive stock option” within the meaning of Section 422 of the Code, and that in fact so qualifies.</w:t>
      </w:r>
    </w:p>
    <w:p>
      <w:pPr>
        <w:spacing w:after="0" w:line="200" w:lineRule="exact"/>
        <w:rPr>
          <w:sz w:val="20"/>
          <w:szCs w:val="20"/>
          <w:color w:val="auto"/>
        </w:rPr>
      </w:pPr>
    </w:p>
    <w:p>
      <w:pPr>
        <w:ind w:right="40" w:firstLine="87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Individual Agreement</w:t>
      </w:r>
      <w:r>
        <w:rPr>
          <w:rFonts w:ascii="Arial" w:cs="Arial" w:eastAsia="Arial" w:hAnsi="Arial"/>
          <w:sz w:val="22"/>
          <w:szCs w:val="22"/>
          <w:color w:val="auto"/>
        </w:rPr>
        <w:t>” means an employment, consulting or similar agreement between a Participant and the Company or one of its Subsidiaries or Affiliates.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Stock Option</w:t>
      </w:r>
      <w:r>
        <w:rPr>
          <w:rFonts w:ascii="Arial" w:cs="Arial" w:eastAsia="Arial" w:hAnsi="Arial"/>
          <w:sz w:val="22"/>
          <w:szCs w:val="22"/>
          <w:color w:val="auto"/>
        </w:rPr>
        <w:t>” means any Option that is not an Incentive Stock Option.</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an Award described under Section 6(a).</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Eligible Individual to whom an Award is or has been granted.</w:t>
      </w:r>
    </w:p>
    <w:p>
      <w:pPr>
        <w:spacing w:after="0" w:line="233" w:lineRule="exact"/>
        <w:rPr>
          <w:sz w:val="20"/>
          <w:szCs w:val="20"/>
          <w:color w:val="auto"/>
        </w:rPr>
      </w:pPr>
    </w:p>
    <w:p>
      <w:pPr>
        <w:ind w:right="100" w:firstLine="87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Award</w:t>
      </w:r>
      <w:r>
        <w:rPr>
          <w:rFonts w:ascii="Arial" w:cs="Arial" w:eastAsia="Arial" w:hAnsi="Arial"/>
          <w:sz w:val="21"/>
          <w:szCs w:val="21"/>
          <w:color w:val="auto"/>
        </w:rPr>
        <w:t>” means an Award granted under this Plan of Common Stock, rights based upon, payable in or otherwise related to Shares (including Restricted Stock, RSUs or cash), as the Committee may determine, at the end of a specified Performance Period based on the attainment of one or more Performance Goals.</w:t>
      </w:r>
    </w:p>
    <w:p>
      <w:pPr>
        <w:spacing w:after="0" w:line="194" w:lineRule="exact"/>
        <w:rPr>
          <w:sz w:val="20"/>
          <w:szCs w:val="20"/>
          <w:color w:val="auto"/>
        </w:rPr>
      </w:pPr>
    </w:p>
    <w:p>
      <w:pPr>
        <w:ind w:right="260" w:firstLine="87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Goals</w:t>
      </w:r>
      <w:r>
        <w:rPr>
          <w:rFonts w:ascii="Arial" w:cs="Arial" w:eastAsia="Arial" w:hAnsi="Arial"/>
          <w:sz w:val="21"/>
          <w:szCs w:val="21"/>
          <w:color w:val="auto"/>
        </w:rPr>
        <w:t>” means the performance goals established by the Committee in connection with the grant of Restricted Stock, RSUs or Bonus Awards or other stock-based awards. Such Performance Goals also may be based upon the attaining of specified levels of Company, Subsidiary, Affiliate, business unit or divisional performance under one or more of the measures including but not limited to, revenue, earnings per share,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8" w:right="319" w:bottom="1440" w:gutter="0" w:footer="0" w:header="0"/>
        </w:sectPr>
      </w:pPr>
    </w:p>
    <w:bookmarkStart w:id="63" w:name="page64"/>
    <w:bookmarkEnd w:id="63"/>
    <w:p>
      <w:pPr>
        <w:ind w:right="380"/>
        <w:spacing w:after="0" w:line="251" w:lineRule="auto"/>
        <w:rPr>
          <w:sz w:val="20"/>
          <w:szCs w:val="20"/>
          <w:color w:val="auto"/>
        </w:rPr>
      </w:pPr>
      <w:r>
        <w:rPr>
          <w:rFonts w:ascii="Arial" w:cs="Arial" w:eastAsia="Arial" w:hAnsi="Arial"/>
          <w:sz w:val="22"/>
          <w:szCs w:val="22"/>
          <w:color w:val="auto"/>
        </w:rPr>
        <w:t>earnings before interest, taxes, depreciation and amortization (EBITDA), adjusted EBITDA or return on capital). Performance goals established by the Committee may also include individual strategic goals.</w:t>
      </w:r>
    </w:p>
    <w:p>
      <w:pPr>
        <w:spacing w:after="0" w:line="200" w:lineRule="exact"/>
        <w:rPr>
          <w:sz w:val="20"/>
          <w:szCs w:val="20"/>
          <w:color w:val="auto"/>
        </w:rPr>
      </w:pPr>
    </w:p>
    <w:p>
      <w:pPr>
        <w:ind w:firstLine="87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with respect to a Performance Award the period established by the Committee or its designee at the time the Award is granted, or at any time thereafter, during which the performance of the Company, a Subsidiary, or any Affiliate is measured for the purpose of determining whether and to what extent the Performance Award’s Performance Goal has been achieved.</w:t>
      </w:r>
    </w:p>
    <w:p>
      <w:pPr>
        <w:spacing w:after="0" w:line="212" w:lineRule="exact"/>
        <w:rPr>
          <w:sz w:val="20"/>
          <w:szCs w:val="20"/>
          <w:color w:val="auto"/>
        </w:rPr>
      </w:pPr>
    </w:p>
    <w:p>
      <w:pPr>
        <w:ind w:right="100" w:firstLine="87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TripAdvisor, Inc. 2018 Stock and Annual Incentive Plan, as set forth herein and as hereafter amended from time to time.</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Year</w:t>
      </w:r>
      <w:r>
        <w:rPr>
          <w:rFonts w:ascii="Arial" w:cs="Arial" w:eastAsia="Arial" w:hAnsi="Arial"/>
          <w:sz w:val="21"/>
          <w:szCs w:val="21"/>
          <w:color w:val="auto"/>
        </w:rPr>
        <w:t>” means the calendar year or, with respect to Bonus Awards, the Company’s fiscal year if different.</w:t>
      </w:r>
    </w:p>
    <w:p>
      <w:pPr>
        <w:spacing w:after="0" w:line="2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an Award described under Section 7.</w:t>
      </w:r>
    </w:p>
    <w:p>
      <w:pPr>
        <w:spacing w:after="0" w:line="200" w:lineRule="exact"/>
        <w:rPr>
          <w:sz w:val="20"/>
          <w:szCs w:val="20"/>
          <w:color w:val="auto"/>
        </w:rPr>
      </w:pPr>
    </w:p>
    <w:p>
      <w:pPr>
        <w:spacing w:after="0" w:line="276" w:lineRule="exact"/>
        <w:rPr>
          <w:sz w:val="20"/>
          <w:szCs w:val="20"/>
          <w:color w:val="auto"/>
        </w:rPr>
      </w:pPr>
    </w:p>
    <w:p>
      <w:pPr>
        <w:ind w:right="560" w:firstLine="87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retirement from active employment with the Company, a Subsidiary or Affiliate at or after the Participant’s attainment of age 65.</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 Restriction Period</w:t>
      </w:r>
      <w:r>
        <w:rPr>
          <w:rFonts w:ascii="Arial" w:cs="Arial" w:eastAsia="Arial" w:hAnsi="Arial"/>
          <w:sz w:val="22"/>
          <w:szCs w:val="22"/>
          <w:color w:val="auto"/>
        </w:rPr>
        <w:t>” has the meaning set forth in Section 7(b)(ii).</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RSU</w:t>
      </w:r>
      <w:r>
        <w:rPr>
          <w:rFonts w:ascii="Arial" w:cs="Arial" w:eastAsia="Arial" w:hAnsi="Arial"/>
          <w:sz w:val="22"/>
          <w:szCs w:val="22"/>
          <w:color w:val="auto"/>
        </w:rPr>
        <w:t>” means an Award described under Section 8.</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RSU Restriction Period</w:t>
      </w:r>
      <w:r>
        <w:rPr>
          <w:rFonts w:ascii="Arial" w:cs="Arial" w:eastAsia="Arial" w:hAnsi="Arial"/>
          <w:sz w:val="22"/>
          <w:szCs w:val="22"/>
          <w:color w:val="auto"/>
        </w:rPr>
        <w:t>” has the meaning set forth in Section 8(b)(ii).</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w:t>
      </w:r>
      <w:r>
        <w:rPr>
          <w:rFonts w:ascii="Arial" w:cs="Arial" w:eastAsia="Arial" w:hAnsi="Arial"/>
          <w:sz w:val="22"/>
          <w:szCs w:val="22"/>
          <w:color w:val="auto"/>
        </w:rPr>
        <w:t>” has the meaning set forth in Section 7(b).</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 from time to time, and any successor thereto.</w:t>
      </w:r>
    </w:p>
    <w:p>
      <w:pPr>
        <w:spacing w:after="0" w:line="2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Common Stock.</w:t>
      </w:r>
    </w:p>
    <w:p>
      <w:pPr>
        <w:spacing w:after="0" w:line="233" w:lineRule="exact"/>
        <w:rPr>
          <w:sz w:val="20"/>
          <w:szCs w:val="20"/>
          <w:color w:val="auto"/>
        </w:rPr>
      </w:pPr>
    </w:p>
    <w:p>
      <w:pPr>
        <w:ind w:right="320" w:firstLine="87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corporation, partnership, joint venture, limited liability company or other entity during any period in which at least a 50% voting or profits interest is owned, directly or indirectly, by the Company or any successor to the Company.</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Tandem SAR</w:t>
      </w:r>
      <w:r>
        <w:rPr>
          <w:rFonts w:ascii="Arial" w:cs="Arial" w:eastAsia="Arial" w:hAnsi="Arial"/>
          <w:sz w:val="22"/>
          <w:szCs w:val="22"/>
          <w:color w:val="auto"/>
        </w:rPr>
        <w:t>” has the meaning set forth in Section 6(b).</w:t>
      </w:r>
    </w:p>
    <w:p>
      <w:pPr>
        <w:spacing w:after="0" w:line="233" w:lineRule="exact"/>
        <w:rPr>
          <w:sz w:val="20"/>
          <w:szCs w:val="20"/>
          <w:color w:val="auto"/>
        </w:rPr>
      </w:pPr>
    </w:p>
    <w:p>
      <w:pPr>
        <w:ind w:right="880" w:firstLine="87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w:t>
      </w:r>
      <w:r>
        <w:rPr>
          <w:rFonts w:ascii="Arial" w:cs="Arial" w:eastAsia="Arial" w:hAnsi="Arial"/>
          <w:sz w:val="19"/>
          <w:szCs w:val="19"/>
          <w:color w:val="auto"/>
        </w:rPr>
        <w:t>” means the maximum period during which an Option or SAR may remain outstanding, subject to earlier termination upon Termination of Employment or otherwise, as specified in the applicable Award Agreement.</w:t>
      </w:r>
    </w:p>
    <w:p>
      <w:pPr>
        <w:spacing w:after="0" w:line="132" w:lineRule="exact"/>
        <w:rPr>
          <w:sz w:val="20"/>
          <w:szCs w:val="20"/>
          <w:color w:val="auto"/>
        </w:rPr>
      </w:pPr>
    </w:p>
    <w:p>
      <w:pPr>
        <w:ind w:firstLine="87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means the termination of the applicable Participant’s employment with, or performance of services for, the Company and any of its Subsidiaries or Affiliates. Unless otherwise determined by the Committee, if a Participant’s employment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64" w:name="page65"/>
    <w:bookmarkEnd w:id="64"/>
    <w:p>
      <w:pPr>
        <w:ind w:right="40"/>
        <w:spacing w:after="0" w:line="273" w:lineRule="auto"/>
        <w:rPr>
          <w:sz w:val="20"/>
          <w:szCs w:val="20"/>
          <w:color w:val="auto"/>
        </w:rPr>
      </w:pPr>
      <w:r>
        <w:rPr>
          <w:rFonts w:ascii="Arial" w:cs="Arial" w:eastAsia="Arial" w:hAnsi="Arial"/>
          <w:sz w:val="19"/>
          <w:szCs w:val="19"/>
          <w:color w:val="auto"/>
        </w:rPr>
        <w:t>or membership on a board of directors of, the Company and its Affiliates terminates but such Participant continues to provide services to the Company and its Affiliates in a non-employee director capacity or as an employee, as applicable, such change in status shall not be deemed a Termination of Employment. A Participant employed by, or performing services for, a Subsidiary or 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or member of the board of directors of, the Company or another Subsidiary or Affiliate. Temporary absences from employment of 90 days or less because of illness, vacation or leave of absence and transfers among the Company and its Subsidiaries and Affiliates shall not be considered Termination of Employment. Notwithstanding the foregoing, with respect to any Award that constitutes “nonqualified deferred compensation” within the meaning of Section 409A of the Code, “Termination of Employment” shall mean a “separation from service” as defined under Section 409A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ADMINISTRATION</w:t>
      </w:r>
    </w:p>
    <w:p>
      <w:pPr>
        <w:spacing w:after="0" w:line="239" w:lineRule="exact"/>
        <w:rPr>
          <w:sz w:val="20"/>
          <w:szCs w:val="20"/>
          <w:color w:val="auto"/>
        </w:rPr>
      </w:pPr>
    </w:p>
    <w:p>
      <w:pPr>
        <w:jc w:val="both"/>
        <w:ind w:right="180" w:firstLine="884"/>
        <w:spacing w:after="0" w:line="30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such other committee of the Board as the Board may from time to time designate (the “</w:t>
      </w:r>
      <w:r>
        <w:rPr>
          <w:rFonts w:ascii="Arial" w:cs="Arial" w:eastAsia="Arial" w:hAnsi="Arial"/>
          <w:sz w:val="18"/>
          <w:szCs w:val="18"/>
          <w:u w:val="single" w:color="auto"/>
          <w:color w:val="auto"/>
        </w:rPr>
        <w:t>Committee</w:t>
      </w:r>
      <w:r>
        <w:rPr>
          <w:rFonts w:ascii="Arial" w:cs="Arial" w:eastAsia="Arial" w:hAnsi="Arial"/>
          <w:sz w:val="18"/>
          <w:szCs w:val="18"/>
          <w:color w:val="auto"/>
        </w:rPr>
        <w:t>”), which shall be composed of not less than two directors, and shall be appointed by and serve at the pleasure of the Board. The Committee shall have plenary authority to grant Awards pursuant to the terms of the Plan to Eligible Individuals. Among other things, the Committee shall have the authority, subject to the terms of the Plan:</w:t>
      </w:r>
    </w:p>
    <w:p>
      <w:pPr>
        <w:spacing w:after="0" w:line="156" w:lineRule="exact"/>
        <w:rPr>
          <w:rFonts w:ascii="Arial" w:cs="Arial" w:eastAsia="Arial" w:hAnsi="Arial"/>
          <w:sz w:val="18"/>
          <w:szCs w:val="18"/>
          <w:color w:val="auto"/>
        </w:rPr>
      </w:pPr>
    </w:p>
    <w:p>
      <w:pPr>
        <w:ind w:left="2260" w:hanging="566"/>
        <w:spacing w:after="0"/>
        <w:tabs>
          <w:tab w:leader="none" w:pos="226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select the Eligible Individuals to whom Awards may from time to time be granted;</w:t>
      </w:r>
    </w:p>
    <w:p>
      <w:pPr>
        <w:spacing w:after="0" w:line="233" w:lineRule="exact"/>
        <w:rPr>
          <w:rFonts w:ascii="Arial" w:cs="Arial" w:eastAsia="Arial" w:hAnsi="Arial"/>
          <w:sz w:val="22"/>
          <w:szCs w:val="22"/>
          <w:color w:val="auto"/>
        </w:rPr>
      </w:pPr>
    </w:p>
    <w:p>
      <w:pPr>
        <w:ind w:left="2320" w:hanging="626"/>
        <w:spacing w:after="0"/>
        <w:tabs>
          <w:tab w:leader="none" w:pos="23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to determine the number of Shares to be covered by each Award granted hereunder or the amount of any</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Bonus Award;</w:t>
      </w:r>
    </w:p>
    <w:p>
      <w:pPr>
        <w:spacing w:after="0" w:line="215" w:lineRule="exact"/>
        <w:rPr>
          <w:rFonts w:ascii="Arial" w:cs="Arial" w:eastAsia="Arial" w:hAnsi="Arial"/>
          <w:sz w:val="19"/>
          <w:szCs w:val="19"/>
          <w:color w:val="auto"/>
        </w:rPr>
      </w:pPr>
    </w:p>
    <w:p>
      <w:pPr>
        <w:ind w:left="880" w:right="800" w:firstLine="814"/>
        <w:spacing w:after="0" w:line="251" w:lineRule="auto"/>
        <w:tabs>
          <w:tab w:leader="none" w:pos="2368"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determine the terms and conditions of each Award granted hereunder, based on such factors as the Committee shall determine;</w:t>
      </w:r>
    </w:p>
    <w:p>
      <w:pPr>
        <w:spacing w:after="0" w:line="200" w:lineRule="exact"/>
        <w:rPr>
          <w:rFonts w:ascii="Arial" w:cs="Arial" w:eastAsia="Arial" w:hAnsi="Arial"/>
          <w:sz w:val="22"/>
          <w:szCs w:val="22"/>
          <w:color w:val="auto"/>
        </w:rPr>
      </w:pPr>
    </w:p>
    <w:p>
      <w:pPr>
        <w:ind w:left="2360" w:hanging="666"/>
        <w:spacing w:after="0"/>
        <w:tabs>
          <w:tab w:leader="none" w:pos="2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subject to Section 16, to modify, amend or adjust the terms and conditions of any Award, at any time or from</w:t>
      </w:r>
    </w:p>
    <w:p>
      <w:pPr>
        <w:spacing w:after="0" w:line="5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2"/>
          <w:szCs w:val="22"/>
          <w:color w:val="auto"/>
        </w:rPr>
        <w:t>time to time;</w:t>
      </w:r>
    </w:p>
    <w:p>
      <w:pPr>
        <w:spacing w:after="0" w:line="215" w:lineRule="exact"/>
        <w:rPr>
          <w:rFonts w:ascii="Arial" w:cs="Arial" w:eastAsia="Arial" w:hAnsi="Arial"/>
          <w:sz w:val="18"/>
          <w:szCs w:val="18"/>
          <w:color w:val="auto"/>
        </w:rPr>
      </w:pPr>
    </w:p>
    <w:p>
      <w:pPr>
        <w:ind w:left="880" w:firstLine="816"/>
        <w:spacing w:after="0" w:line="251" w:lineRule="auto"/>
        <w:tabs>
          <w:tab w:leader="none" w:pos="2307" w:val="left"/>
        </w:tabs>
        <w:numPr>
          <w:ilvl w:val="1"/>
          <w:numId w:val="32"/>
        </w:numPr>
        <w:rPr>
          <w:rFonts w:ascii="Arial" w:cs="Arial" w:eastAsia="Arial" w:hAnsi="Arial"/>
          <w:sz w:val="22"/>
          <w:szCs w:val="22"/>
          <w:color w:val="auto"/>
        </w:rPr>
      </w:pPr>
      <w:r>
        <w:rPr>
          <w:rFonts w:ascii="Arial" w:cs="Arial" w:eastAsia="Arial" w:hAnsi="Arial"/>
          <w:sz w:val="22"/>
          <w:szCs w:val="22"/>
          <w:color w:val="auto"/>
        </w:rPr>
        <w:t>subject to Section 14, to accelerate the vesting or lapse of restrictions of any outstanding Award, based in each case on such considerations as the Committee in its sole discretion determines;</w:t>
      </w:r>
    </w:p>
    <w:p>
      <w:pPr>
        <w:spacing w:after="0" w:line="200" w:lineRule="exact"/>
        <w:rPr>
          <w:rFonts w:ascii="Arial" w:cs="Arial" w:eastAsia="Arial" w:hAnsi="Arial"/>
          <w:sz w:val="22"/>
          <w:szCs w:val="22"/>
          <w:color w:val="auto"/>
        </w:rPr>
      </w:pPr>
    </w:p>
    <w:p>
      <w:pPr>
        <w:ind w:left="2360" w:hanging="666"/>
        <w:spacing w:after="0"/>
        <w:tabs>
          <w:tab w:leader="none" w:pos="236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to interpret the terms and provisions of the Plan and any Award issued under the Plan (and any agreement</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relating thereto);</w:t>
      </w:r>
    </w:p>
    <w:p>
      <w:pPr>
        <w:spacing w:after="0" w:line="215" w:lineRule="exact"/>
        <w:rPr>
          <w:rFonts w:ascii="Arial" w:cs="Arial" w:eastAsia="Arial" w:hAnsi="Arial"/>
          <w:sz w:val="19"/>
          <w:szCs w:val="19"/>
          <w:color w:val="auto"/>
        </w:rPr>
      </w:pPr>
    </w:p>
    <w:p>
      <w:pPr>
        <w:ind w:left="2420" w:hanging="726"/>
        <w:spacing w:after="0"/>
        <w:tabs>
          <w:tab w:leader="none" w:pos="24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to establish any “blackout” period that the Committee in its sole discretion deems necessary or advisable;</w:t>
      </w:r>
    </w:p>
    <w:p>
      <w:pPr>
        <w:spacing w:after="0" w:line="267" w:lineRule="exact"/>
        <w:rPr>
          <w:rFonts w:ascii="Arial" w:cs="Arial" w:eastAsia="Arial" w:hAnsi="Arial"/>
          <w:sz w:val="19"/>
          <w:szCs w:val="19"/>
          <w:color w:val="auto"/>
        </w:rPr>
      </w:pPr>
    </w:p>
    <w:p>
      <w:pPr>
        <w:ind w:left="2480" w:hanging="786"/>
        <w:spacing w:after="0"/>
        <w:tabs>
          <w:tab w:leader="none" w:pos="24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decide all other matters that must be determined in connection with an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5" w:name="page66"/>
    <w:bookmarkEnd w:id="65"/>
    <w:p>
      <w:pPr>
        <w:ind w:left="2360" w:hanging="666"/>
        <w:spacing w:after="0"/>
        <w:tabs>
          <w:tab w:leader="none" w:pos="23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to otherwise administer the Plan.</w:t>
      </w:r>
    </w:p>
    <w:p>
      <w:pPr>
        <w:spacing w:after="0" w:line="233" w:lineRule="exact"/>
        <w:rPr>
          <w:rFonts w:ascii="Arial" w:cs="Arial" w:eastAsia="Arial" w:hAnsi="Arial"/>
          <w:sz w:val="22"/>
          <w:szCs w:val="22"/>
          <w:color w:val="auto"/>
        </w:rPr>
      </w:pPr>
    </w:p>
    <w:p>
      <w:pPr>
        <w:ind w:left="1500" w:hanging="616"/>
        <w:spacing w:after="0"/>
        <w:tabs>
          <w:tab w:leader="none" w:pos="15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Procedures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80" w:right="20" w:firstLine="814"/>
        <w:spacing w:after="0" w:line="238" w:lineRule="auto"/>
        <w:tabs>
          <w:tab w:leader="none" w:pos="227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Committee may act only by a majority of its members then in office, except that the Committee may, except to the extent prohibited by applicable law or the listing standards of the Applicable Exchange, allocate all or any portion of its responsibilities and powers to any one or more of its members and may delegate all or any part of its responsibilities and powers to any person or persons selected by it.</w:t>
      </w:r>
    </w:p>
    <w:p>
      <w:pPr>
        <w:spacing w:after="0" w:line="212" w:lineRule="exact"/>
        <w:rPr>
          <w:rFonts w:ascii="Arial" w:cs="Arial" w:eastAsia="Arial" w:hAnsi="Arial"/>
          <w:sz w:val="22"/>
          <w:szCs w:val="22"/>
          <w:color w:val="auto"/>
        </w:rPr>
      </w:pPr>
    </w:p>
    <w:p>
      <w:pPr>
        <w:ind w:left="880" w:right="500" w:firstLine="814"/>
        <w:spacing w:after="0"/>
        <w:tabs>
          <w:tab w:leader="none" w:pos="2330" w:val="left"/>
        </w:tabs>
        <w:numPr>
          <w:ilvl w:val="1"/>
          <w:numId w:val="34"/>
        </w:numPr>
        <w:rPr>
          <w:rFonts w:ascii="Arial" w:cs="Arial" w:eastAsia="Arial" w:hAnsi="Arial"/>
          <w:sz w:val="22"/>
          <w:szCs w:val="22"/>
          <w:color w:val="auto"/>
        </w:rPr>
      </w:pPr>
      <w:r>
        <w:rPr>
          <w:rFonts w:ascii="Arial" w:cs="Arial" w:eastAsia="Arial" w:hAnsi="Arial"/>
          <w:sz w:val="22"/>
          <w:szCs w:val="22"/>
          <w:color w:val="auto"/>
        </w:rPr>
        <w:t>Subject to Section 3(d), any authority granted to the Committee may also be exercised by the full Board. To the extent that any permitted action taken by the Board conflicts with action taken by the Committee, the Board action shall control.</w:t>
      </w:r>
    </w:p>
    <w:p>
      <w:pPr>
        <w:spacing w:after="0" w:line="213" w:lineRule="exact"/>
        <w:rPr>
          <w:rFonts w:ascii="Arial" w:cs="Arial" w:eastAsia="Arial" w:hAnsi="Arial"/>
          <w:sz w:val="22"/>
          <w:szCs w:val="22"/>
          <w:color w:val="auto"/>
        </w:rPr>
      </w:pPr>
    </w:p>
    <w:p>
      <w:pPr>
        <w:ind w:right="100" w:firstLine="884"/>
        <w:spacing w:after="0" w:line="273" w:lineRule="auto"/>
        <w:tabs>
          <w:tab w:leader="none" w:pos="14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Subject to applicable law, the Committee may delegate any or all of its powers under the Plan to one or more other committees or officers of the Company (including persons other than members of the Committee) as it shall appoint with respect to the granting of Awards to individuals who are not (i) subject to the reporting and other provisions of Section 16 of the Exchange Act and (ii) members of the delegated committee or the delegated individual(s). Any such delegation by the Committee shall include limitations as to the amount of Common Stock underlying Awards that may be granted during specified periods and shall contain guidelines as to the determination of the exercise price. Any determination made by the Committee or by an appropriately delegated officer pursuant to delegated authority under the provisions of the Plan with respect to any Award shall be made in the sole discretion of the Committee or such delegate at the time of the grant of the Award or, unless in contravention of any express term of the Plan, at any time thereafter. All decisions made by the Committee or any appropriately delegated officer pursuant to the provisions of the Plan shall be final and binding on all persons, including the Company, Participants, and Eligible Individuals.</w:t>
      </w:r>
    </w:p>
    <w:p>
      <w:pPr>
        <w:spacing w:after="0" w:line="188" w:lineRule="exact"/>
        <w:rPr>
          <w:rFonts w:ascii="Arial" w:cs="Arial" w:eastAsia="Arial" w:hAnsi="Arial"/>
          <w:sz w:val="19"/>
          <w:szCs w:val="19"/>
          <w:color w:val="auto"/>
        </w:rPr>
      </w:pPr>
    </w:p>
    <w:p>
      <w:pPr>
        <w:ind w:right="120" w:firstLine="884"/>
        <w:spacing w:after="0" w:line="248" w:lineRule="auto"/>
        <w:tabs>
          <w:tab w:leader="none" w:pos="1492"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Section 16(b) Compliance</w:t>
      </w:r>
      <w:r>
        <w:rPr>
          <w:rFonts w:ascii="Arial" w:cs="Arial" w:eastAsia="Arial" w:hAnsi="Arial"/>
          <w:sz w:val="21"/>
          <w:szCs w:val="21"/>
          <w:color w:val="auto"/>
        </w:rPr>
        <w:t>. The provisions of this Plan are intended to ensure that no transaction under the Plan is subject to (and all such transactions will be exempt from) the short-swing recovery rules of Section 16(b) of the Exchange Act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16(b)</w:t>
      </w:r>
      <w:r>
        <w:rPr>
          <w:rFonts w:ascii="Arial" w:cs="Arial" w:eastAsia="Arial" w:hAnsi="Arial"/>
          <w:sz w:val="21"/>
          <w:szCs w:val="21"/>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45" w:lineRule="exact"/>
        <w:rPr>
          <w:sz w:val="20"/>
          <w:szCs w:val="20"/>
          <w:color w:val="auto"/>
        </w:rPr>
      </w:pPr>
    </w:p>
    <w:p>
      <w:pPr>
        <w:ind w:left="140" w:firstLine="859"/>
        <w:spacing w:after="0" w:line="282" w:lineRule="auto"/>
        <w:tabs>
          <w:tab w:leader="none" w:pos="1612"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Award Agreements</w:t>
      </w:r>
      <w:r>
        <w:rPr>
          <w:rFonts w:ascii="Arial" w:cs="Arial" w:eastAsia="Arial" w:hAnsi="Arial"/>
          <w:sz w:val="19"/>
          <w:szCs w:val="19"/>
          <w:color w:val="auto"/>
        </w:rPr>
        <w:t>. The terms and conditions of each Award (other than any Bonus Award), as determined by the Committee, shall be set forth in an Award Agreement, which shall be delivered to the Participant 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Section 14 hereof.</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COMMON STOCK SUBJECT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66" w:name="page67"/>
    <w:bookmarkEnd w:id="66"/>
    <w:p>
      <w:pPr>
        <w:ind w:left="-736" w:right="40" w:firstLine="736"/>
        <w:spacing w:after="0" w:line="274" w:lineRule="auto"/>
        <w:tabs>
          <w:tab w:leader="none" w:pos="61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Shares Available for Awards</w:t>
      </w:r>
      <w:r>
        <w:rPr>
          <w:rFonts w:ascii="Arial" w:cs="Arial" w:eastAsia="Arial" w:hAnsi="Arial"/>
          <w:sz w:val="19"/>
          <w:szCs w:val="19"/>
          <w:color w:val="auto"/>
        </w:rPr>
        <w:t>. The maximum number of Shares that may be delivered pursuant to Awards under the Plan shall be (i) 6,000,000, plus (ii) any Shares available for issuance under the 2011 Plan not issued or subject to outstanding Awards under such plan as of the Effective Date. For purposes of this limitation, Shares underlying any Awards that are forfeited, canceled, held back upon exercise of an Option or settlement of an Award to cover the exercise price or tax withholding, reacquired by the Company prior to vesting, satisfied without the issuance of Common Stock or otherwise terminated (other than by exercise) under the Plan or the 2011 Plan shall be added back to the Shares available for issuance under the Plan and, to the extent permitted under Section 422 of the Code and the regulations promulgated thereunder, the Shares that may be issued as Incentive Stock Options. The Shares available for delivery under this Plan may consist of authorized and unissued Shares, Shares held in treasury, Shares of Common Stock purchased or held by the Company for purposes of this Plan, or any combination thereof.</w:t>
      </w:r>
    </w:p>
    <w:p>
      <w:pPr>
        <w:spacing w:after="0" w:line="185" w:lineRule="exact"/>
        <w:rPr>
          <w:rFonts w:ascii="Arial" w:cs="Arial" w:eastAsia="Arial" w:hAnsi="Arial"/>
          <w:sz w:val="19"/>
          <w:szCs w:val="19"/>
          <w:color w:val="auto"/>
        </w:rPr>
      </w:pPr>
    </w:p>
    <w:p>
      <w:pPr>
        <w:ind w:left="-876" w:right="280" w:firstLine="884"/>
        <w:spacing w:after="0" w:line="251" w:lineRule="auto"/>
        <w:tabs>
          <w:tab w:leader="none" w:pos="617"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Plan Maximums</w:t>
      </w:r>
      <w:r>
        <w:rPr>
          <w:rFonts w:ascii="Arial" w:cs="Arial" w:eastAsia="Arial" w:hAnsi="Arial"/>
          <w:sz w:val="22"/>
          <w:szCs w:val="22"/>
          <w:color w:val="auto"/>
        </w:rPr>
        <w:t>. The maximum number of Shares that may be granted pursuant to Options intended to be Incentive Stock Options shall be 6,000,000 Shares.</w:t>
      </w:r>
    </w:p>
    <w:p>
      <w:pPr>
        <w:spacing w:after="0" w:line="200" w:lineRule="exact"/>
        <w:rPr>
          <w:rFonts w:ascii="Arial" w:cs="Arial" w:eastAsia="Arial" w:hAnsi="Arial"/>
          <w:sz w:val="22"/>
          <w:szCs w:val="22"/>
          <w:color w:val="auto"/>
        </w:rPr>
      </w:pPr>
    </w:p>
    <w:p>
      <w:pPr>
        <w:ind w:left="-876" w:right="360" w:firstLine="884"/>
        <w:spacing w:after="0" w:line="360" w:lineRule="auto"/>
        <w:tabs>
          <w:tab w:leader="none" w:pos="60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Director Compensation Limit</w:t>
      </w:r>
      <w:r>
        <w:rPr>
          <w:rFonts w:ascii="Arial" w:cs="Arial" w:eastAsia="Arial" w:hAnsi="Arial"/>
          <w:sz w:val="18"/>
          <w:szCs w:val="18"/>
          <w:color w:val="auto"/>
        </w:rPr>
        <w:t>. During a calendar year, no non-employee director may be granted any compensation (including cash and an Award) with a fair value, as determined under accounting rules, as of the Grant Date, in excess of $1,000,000.</w:t>
      </w:r>
    </w:p>
    <w:p>
      <w:pPr>
        <w:spacing w:after="0" w:line="148" w:lineRule="exact"/>
        <w:rPr>
          <w:rFonts w:ascii="Arial" w:cs="Arial" w:eastAsia="Arial" w:hAnsi="Arial"/>
          <w:sz w:val="18"/>
          <w:szCs w:val="18"/>
          <w:color w:val="auto"/>
        </w:rPr>
      </w:pPr>
    </w:p>
    <w:p>
      <w:pPr>
        <w:ind w:left="624" w:hanging="615"/>
        <w:spacing w:after="0"/>
        <w:tabs>
          <w:tab w:leader="none" w:pos="62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Adjustment Provisions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4" w:firstLine="814"/>
        <w:spacing w:after="0" w:line="288" w:lineRule="auto"/>
        <w:tabs>
          <w:tab w:leader="none" w:pos="1386"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 the event of a merger, consolidation, acquisition of property or shares, stock rights offering, liquidation, Disaffiliation, or similar event affecting the Company or any of its Subsidiaries (each, a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the Committee or the Board may in its discretion make such substitutions or adjustments as it deems appropriate and equitable to</w:t>
      </w:r>
    </w:p>
    <w:p>
      <w:pPr>
        <w:spacing w:after="0" w:line="2" w:lineRule="exact"/>
        <w:rPr>
          <w:rFonts w:ascii="Arial" w:cs="Arial" w:eastAsia="Arial" w:hAnsi="Arial"/>
          <w:sz w:val="18"/>
          <w:szCs w:val="18"/>
          <w:color w:val="auto"/>
        </w:rPr>
      </w:pPr>
    </w:p>
    <w:p>
      <w:pPr>
        <w:ind w:left="4" w:right="120" w:firstLine="5"/>
        <w:spacing w:after="0" w:line="246" w:lineRule="auto"/>
        <w:tabs>
          <w:tab w:leader="none" w:pos="347"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aggregate number and kind of Shares or other securities reserved for issuance and delivery under the Plan, (B) the various maximum limitations set forth in Sections 4(a) and 4(b) upon certain types of Awards and upon the grants to individuals of certain types of Awards, (C) the number and kind of Shares or other securities subject to outstanding Awards; and (D) the exercise price of outstanding Options and SARs.</w:t>
      </w:r>
    </w:p>
    <w:p>
      <w:pPr>
        <w:spacing w:after="0" w:line="207" w:lineRule="exact"/>
        <w:rPr>
          <w:rFonts w:ascii="Arial" w:cs="Arial" w:eastAsia="Arial" w:hAnsi="Arial"/>
          <w:sz w:val="21"/>
          <w:szCs w:val="21"/>
          <w:color w:val="auto"/>
        </w:rPr>
      </w:pPr>
    </w:p>
    <w:p>
      <w:pPr>
        <w:ind w:left="4" w:firstLine="814"/>
        <w:spacing w:after="0" w:line="277" w:lineRule="auto"/>
        <w:tabs>
          <w:tab w:leader="none" w:pos="1444" w:val="left"/>
        </w:tabs>
        <w:numPr>
          <w:ilvl w:val="2"/>
          <w:numId w:val="37"/>
        </w:numPr>
        <w:rPr>
          <w:rFonts w:ascii="Arial" w:cs="Arial" w:eastAsia="Arial" w:hAnsi="Arial"/>
          <w:sz w:val="19"/>
          <w:szCs w:val="19"/>
          <w:color w:val="auto"/>
        </w:rPr>
      </w:pPr>
      <w:r>
        <w:rPr>
          <w:rFonts w:ascii="Arial" w:cs="Arial" w:eastAsia="Arial" w:hAnsi="Arial"/>
          <w:sz w:val="19"/>
          <w:szCs w:val="19"/>
          <w:color w:val="auto"/>
        </w:rPr>
        <w:t>In the event of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9"/>
          <w:szCs w:val="19"/>
          <w:u w:val="single" w:color="auto"/>
          <w:color w:val="auto"/>
        </w:rPr>
        <w:t>Share Change</w:t>
      </w:r>
      <w:r>
        <w:rPr>
          <w:rFonts w:ascii="Arial" w:cs="Arial" w:eastAsia="Arial" w:hAnsi="Arial"/>
          <w:sz w:val="19"/>
          <w:szCs w:val="19"/>
          <w:color w:val="auto"/>
        </w:rPr>
        <w:t>”), the Committee or the Board shall make such substitutions or adjustments as it deems appropriate and equitable to (A) the aggregate number and kind of Shares or other securities reserved for issuance and delivery under the Plan, (B) the maximum limitations set forth in Sections 4(a) and 4(b) upon certain types of Awards and upon the grants to individuals of certain types of Awards, the number and kind of Shares or other securities subject to outstanding Awards; and (C) the exercise price of outstanding Options and SARs.</w:t>
      </w:r>
    </w:p>
    <w:p>
      <w:pPr>
        <w:spacing w:after="0" w:line="179" w:lineRule="exact"/>
        <w:rPr>
          <w:rFonts w:ascii="Arial" w:cs="Arial" w:eastAsia="Arial" w:hAnsi="Arial"/>
          <w:sz w:val="19"/>
          <w:szCs w:val="19"/>
          <w:color w:val="auto"/>
        </w:rPr>
      </w:pPr>
    </w:p>
    <w:p>
      <w:pPr>
        <w:ind w:left="4" w:firstLine="814"/>
        <w:spacing w:after="0"/>
        <w:tabs>
          <w:tab w:leader="none" w:pos="1501" w:val="left"/>
        </w:tabs>
        <w:numPr>
          <w:ilvl w:val="2"/>
          <w:numId w:val="37"/>
        </w:numPr>
        <w:rPr>
          <w:rFonts w:ascii="Arial" w:cs="Arial" w:eastAsia="Arial" w:hAnsi="Arial"/>
          <w:sz w:val="22"/>
          <w:szCs w:val="22"/>
          <w:color w:val="auto"/>
        </w:rPr>
      </w:pPr>
      <w:r>
        <w:rPr>
          <w:rFonts w:ascii="Arial" w:cs="Arial" w:eastAsia="Arial" w:hAnsi="Arial"/>
          <w:sz w:val="22"/>
          <w:szCs w:val="22"/>
          <w:color w:val="auto"/>
        </w:rPr>
        <w:t>In the case of Corporate Transactions, the adjustments contemplated by clause (i) of this paragraph (d) may include, without limitation, (A) the cancellation of outstanding Awards in exchange for payments of cash, property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702310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4"/>
          </w:cols>
          <w:pgMar w:left="1116" w:top="591" w:right="279" w:bottom="1440" w:gutter="0" w:footer="0" w:header="0"/>
        </w:sectPr>
      </w:pPr>
    </w:p>
    <w:bookmarkStart w:id="67" w:name="page68"/>
    <w:bookmarkEnd w:id="67"/>
    <w:p>
      <w:pPr>
        <w:ind w:left="880"/>
        <w:spacing w:after="0" w:line="272" w:lineRule="auto"/>
        <w:rPr>
          <w:sz w:val="20"/>
          <w:szCs w:val="20"/>
          <w:color w:val="auto"/>
        </w:rPr>
      </w:pPr>
      <w:r>
        <w:rPr>
          <w:rFonts w:ascii="Arial" w:cs="Arial" w:eastAsia="Arial" w:hAnsi="Arial"/>
          <w:sz w:val="19"/>
          <w:szCs w:val="19"/>
          <w:color w:val="auto"/>
        </w:rPr>
        <w:t>having an aggregate value equal to the value of such Awards, as determined by the Committee or the Board in its sole discretion (it being understood that in the case of a Corporate Transaction with respect to which holders of Common Stock receive consideration other than publicly traded equity securities of the ultimate surviving entity, any such determination by the Committee that the value of an Option or SAR shall for this purpose be deemed to equal the excess, if any, of the value of the consideration being paid for each Share pursuant to such Corporate Transaction over the exercise price of such Option or SAR shall conclusively be deemed valid); (B) the substitution of other property (including, without limitation, cash or other securities of the Company and securities of entities other than the Company) for the Shares subject to outstanding Awards; and (C)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w:t>
      </w:r>
    </w:p>
    <w:p>
      <w:pPr>
        <w:spacing w:after="0" w:line="189" w:lineRule="exact"/>
        <w:rPr>
          <w:sz w:val="20"/>
          <w:szCs w:val="20"/>
          <w:color w:val="auto"/>
        </w:rPr>
      </w:pPr>
    </w:p>
    <w:p>
      <w:pPr>
        <w:ind w:left="2380" w:hanging="686"/>
        <w:spacing w:after="0"/>
        <w:tabs>
          <w:tab w:leader="none" w:pos="2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adjustment under this Section 4(d) need not be the same for all Participants.</w:t>
      </w:r>
    </w:p>
    <w:p>
      <w:pPr>
        <w:spacing w:after="0" w:line="273" w:lineRule="exact"/>
        <w:rPr>
          <w:rFonts w:ascii="Arial" w:cs="Arial" w:eastAsia="Arial" w:hAnsi="Arial"/>
          <w:sz w:val="22"/>
          <w:szCs w:val="22"/>
          <w:color w:val="auto"/>
        </w:rPr>
      </w:pPr>
    </w:p>
    <w:p>
      <w:pPr>
        <w:ind w:left="880" w:right="20" w:firstLine="814"/>
        <w:spacing w:after="0" w:line="275" w:lineRule="auto"/>
        <w:tabs>
          <w:tab w:leader="none" w:pos="231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adjustments made pursuant to this Section 4(d) to Awards that are considered “deferred compensation” within the meaning of Section 409A of the Code shall be made in compliance with the requirements of Section 409A of the Code. Any adjustments made pursuant to this Section 4(d)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 In any event, neither the Committee nor the Board shall have the authority to make any adjustments pursuant to this Section 4(d) to the extent the existence of such authority would cause an Award that is not intended to be subject to Section 409A of the Code at the Grant Date to be subject thereto.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ELIGIBILITY</w:t>
      </w:r>
    </w:p>
    <w:p>
      <w:pPr>
        <w:spacing w:after="0" w:line="239" w:lineRule="exact"/>
        <w:rPr>
          <w:sz w:val="20"/>
          <w:szCs w:val="20"/>
          <w:color w:val="auto"/>
        </w:rPr>
      </w:pPr>
    </w:p>
    <w:p>
      <w:pPr>
        <w:jc w:val="both"/>
        <w:ind w:right="180" w:firstLine="875"/>
        <w:spacing w:after="0"/>
        <w:rPr>
          <w:sz w:val="20"/>
          <w:szCs w:val="20"/>
          <w:color w:val="auto"/>
        </w:rPr>
      </w:pPr>
      <w:r>
        <w:rPr>
          <w:rFonts w:ascii="Arial" w:cs="Arial" w:eastAsia="Arial" w:hAnsi="Arial"/>
          <w:sz w:val="22"/>
          <w:szCs w:val="22"/>
          <w:color w:val="auto"/>
        </w:rPr>
        <w:t xml:space="preserve">Awards may be granted under the Plan to Eligible Individuals;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Incentive Stock Options may be granted only to employees of the Company and its subsidiaries or parent corporation (within the meaning of Section 424(f) of the Code).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OPTIONS AND STOCK APPRECIATION RIGHTS</w:t>
      </w:r>
    </w:p>
    <w:p>
      <w:pPr>
        <w:spacing w:after="0" w:line="239" w:lineRule="exact"/>
        <w:rPr>
          <w:sz w:val="20"/>
          <w:szCs w:val="20"/>
          <w:color w:val="auto"/>
        </w:rPr>
      </w:pPr>
    </w:p>
    <w:p>
      <w:pPr>
        <w:jc w:val="both"/>
        <w:ind w:right="200" w:firstLine="884"/>
        <w:spacing w:after="0" w:line="360"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Types of Options</w:t>
      </w:r>
      <w:r>
        <w:rPr>
          <w:rFonts w:ascii="Arial" w:cs="Arial" w:eastAsia="Arial" w:hAnsi="Arial"/>
          <w:sz w:val="18"/>
          <w:szCs w:val="18"/>
          <w:color w:val="auto"/>
        </w:rPr>
        <w:t>. Options may be of two types: Incentive Stock Options and Nonqualified Stock Options. The Award Agreement for an Option shall indicate whether the Option is intended to be an Incentive Stock Option or a Nonqualified Stock Option.</w:t>
      </w:r>
    </w:p>
    <w:p>
      <w:pPr>
        <w:spacing w:after="0" w:line="108" w:lineRule="exact"/>
        <w:rPr>
          <w:rFonts w:ascii="Arial" w:cs="Arial" w:eastAsia="Arial" w:hAnsi="Arial"/>
          <w:sz w:val="18"/>
          <w:szCs w:val="18"/>
          <w:color w:val="auto"/>
        </w:rPr>
      </w:pPr>
    </w:p>
    <w:p>
      <w:pPr>
        <w:ind w:right="80" w:firstLine="884"/>
        <w:spacing w:after="0" w:line="297" w:lineRule="auto"/>
        <w:tabs>
          <w:tab w:leader="none" w:pos="149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Types and Nature of SARs</w:t>
      </w:r>
      <w:r>
        <w:rPr>
          <w:rFonts w:ascii="Arial" w:cs="Arial" w:eastAsia="Arial" w:hAnsi="Arial"/>
          <w:sz w:val="19"/>
          <w:szCs w:val="19"/>
          <w:color w:val="auto"/>
        </w:rPr>
        <w:t>. SARs may be “Tandem SARs,” which are granted in conjunction with an Option, or “Free-Standing SARs,” which are not granted in conjunction with an Option. Upon the exercise of an SAR, the Participant shall be entitled to receive an amount in cash, Shares, or both, in value equal to the product of (i) the excess of the Fair Market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68" w:name="page69"/>
    <w:bookmarkEnd w:id="68"/>
    <w:p>
      <w:pPr>
        <w:ind w:right="80"/>
        <w:spacing w:after="0" w:line="297" w:lineRule="auto"/>
        <w:rPr>
          <w:sz w:val="20"/>
          <w:szCs w:val="20"/>
          <w:color w:val="auto"/>
        </w:rPr>
      </w:pPr>
      <w:r>
        <w:rPr>
          <w:rFonts w:ascii="Arial" w:cs="Arial" w:eastAsia="Arial" w:hAnsi="Arial"/>
          <w:sz w:val="19"/>
          <w:szCs w:val="19"/>
          <w:color w:val="auto"/>
        </w:rPr>
        <w:t>one Share over the exercise price of the applicable SAR, multiplied by (ii) the number of Shares in respect of which the SAR has been exercised. The applicable Award Agreement shall specify whether such payment is to be made in cash or Common Stock or both, or shall reserve to the Committee or the Participant the right to make that determination prior to or upon the exercise of the SAR.</w:t>
      </w:r>
    </w:p>
    <w:p>
      <w:pPr>
        <w:spacing w:after="0" w:line="202" w:lineRule="exact"/>
        <w:rPr>
          <w:sz w:val="20"/>
          <w:szCs w:val="20"/>
          <w:color w:val="auto"/>
        </w:rPr>
      </w:pPr>
    </w:p>
    <w:p>
      <w:pPr>
        <w:ind w:firstLine="884"/>
        <w:spacing w:after="0" w:line="292"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Tandem SARs</w:t>
      </w:r>
      <w:r>
        <w:rPr>
          <w:rFonts w:ascii="Arial" w:cs="Arial" w:eastAsia="Arial" w:hAnsi="Arial"/>
          <w:sz w:val="18"/>
          <w:szCs w:val="18"/>
          <w:color w:val="auto"/>
        </w:rPr>
        <w:t>. A Tandem SAR may be granted at the Grant Date of the related Option. A Tandem SAR shall be exercisable only at such time or times and to the extent that the related Option is exercisable in accordance with the provisions of this Section 6, and shall have the same exercise price as the related Option. A Tandem SAR shall terminate or be forfeited upon the exercise or forfeiture of the related Option, and the related Option shall terminate or be forfeited upon the exercise or forfeiture of the Tandem SAR.</w:t>
      </w:r>
    </w:p>
    <w:p>
      <w:pPr>
        <w:spacing w:after="0" w:line="154" w:lineRule="exact"/>
        <w:rPr>
          <w:rFonts w:ascii="Arial" w:cs="Arial" w:eastAsia="Arial" w:hAnsi="Arial"/>
          <w:sz w:val="18"/>
          <w:szCs w:val="18"/>
          <w:color w:val="auto"/>
        </w:rPr>
      </w:pPr>
    </w:p>
    <w:p>
      <w:pPr>
        <w:ind w:right="60" w:firstLine="885"/>
        <w:spacing w:after="0" w:line="277" w:lineRule="auto"/>
        <w:tabs>
          <w:tab w:leader="none" w:pos="149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per Share subject to an Option or Free- Standing SAR shall be determined by the Committee and set forth in the applicable Award Agreement, and shall not be less than the Fair Market Value of a share of the Common Stock on the applicable Grant Date. In no event may any Option or Free-Standing SAR granted under this Plan be amended, other than pursuant to Section 4(d), to decrease the exercise price thereof, be cancelled in conjunction with the grant of any new Option or Free-Standing SAR with a lower exercise price, be cancelled for cash or other Award or otherwise be subject to any action that would be treated, for accounting purposes, as a “repricing” of such Option or Free-Standing SAR, unless such amendment, cancellation, or action is approved by the Company’s stockholders.</w:t>
      </w:r>
    </w:p>
    <w:p>
      <w:pPr>
        <w:spacing w:after="0" w:line="179" w:lineRule="exact"/>
        <w:rPr>
          <w:rFonts w:ascii="Arial" w:cs="Arial" w:eastAsia="Arial" w:hAnsi="Arial"/>
          <w:sz w:val="19"/>
          <w:szCs w:val="19"/>
          <w:color w:val="auto"/>
        </w:rPr>
      </w:pPr>
    </w:p>
    <w:p>
      <w:pPr>
        <w:jc w:val="both"/>
        <w:ind w:right="100" w:firstLine="885"/>
        <w:spacing w:after="0" w:line="236" w:lineRule="auto"/>
        <w:tabs>
          <w:tab w:leader="none" w:pos="148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each Option and each Free-Standing SAR shall be fixed by the Committee, but shall not exceed ten years from the Grant Date. Notwithstanding the foregoing, if, by its terms, an Option, other than an Incentive Stock Option, would expire when trading in Shares is otherwise prohibited by law or by the Company’s Insider Trading Policy, as such may be amended from time to time, then the term of the Option will be automatically extended until the close of trading on the 30</w:t>
      </w:r>
      <w:r>
        <w:rPr>
          <w:rFonts w:ascii="Arial" w:cs="Arial" w:eastAsia="Arial" w:hAnsi="Arial"/>
          <w:sz w:val="18"/>
          <w:szCs w:val="18"/>
          <w:color w:val="auto"/>
        </w:rPr>
        <w:t>th</w:t>
      </w:r>
      <w:r>
        <w:rPr>
          <w:rFonts w:ascii="Arial" w:cs="Arial" w:eastAsia="Arial" w:hAnsi="Arial"/>
          <w:sz w:val="22"/>
          <w:szCs w:val="22"/>
          <w:color w:val="auto"/>
        </w:rPr>
        <w:t xml:space="preserve"> trading day following the expiration of such prohibition.</w:t>
      </w:r>
    </w:p>
    <w:p>
      <w:pPr>
        <w:spacing w:after="0" w:line="214" w:lineRule="exact"/>
        <w:rPr>
          <w:rFonts w:ascii="Arial" w:cs="Arial" w:eastAsia="Arial" w:hAnsi="Arial"/>
          <w:sz w:val="22"/>
          <w:szCs w:val="22"/>
          <w:color w:val="auto"/>
        </w:rPr>
      </w:pPr>
    </w:p>
    <w:p>
      <w:pPr>
        <w:ind w:right="200" w:firstLine="884"/>
        <w:spacing w:after="0" w:line="277" w:lineRule="auto"/>
        <w:tabs>
          <w:tab w:leader="none" w:pos="145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Vesting and Exercisability</w:t>
      </w:r>
      <w:r>
        <w:rPr>
          <w:rFonts w:ascii="Arial" w:cs="Arial" w:eastAsia="Arial" w:hAnsi="Arial"/>
          <w:sz w:val="19"/>
          <w:szCs w:val="19"/>
          <w:color w:val="auto"/>
        </w:rPr>
        <w:t>. Except as otherwise provided herein, Options and Free-Standing SARs shall be exercisable at such time or times and subject to such terms and conditions as shall be determined by the Committee. If the Committee provides that any Option or Free-Standing SAR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Free-Standing SAR. In the event of a temporary absence exceeding 90 days, the Company shall have authority to suspend the vesting period for such period of time and on such terms as management of the Company shall deem appropriate.</w:t>
      </w:r>
    </w:p>
    <w:p>
      <w:pPr>
        <w:spacing w:after="0" w:line="179" w:lineRule="exact"/>
        <w:rPr>
          <w:rFonts w:ascii="Arial" w:cs="Arial" w:eastAsia="Arial" w:hAnsi="Arial"/>
          <w:sz w:val="19"/>
          <w:szCs w:val="19"/>
          <w:color w:val="auto"/>
        </w:rPr>
      </w:pPr>
    </w:p>
    <w:p>
      <w:pPr>
        <w:ind w:right="120" w:firstLine="884"/>
        <w:spacing w:after="0" w:line="301" w:lineRule="auto"/>
        <w:tabs>
          <w:tab w:leader="none" w:pos="149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Subject to the provisions of this Section 6, Options and Free-Standing SARs may be exercised, in whole or in part, at any time during the applicable Term by giving written notice of exercise to the Company or through the procedures established with the Company’s appointed third-party Option administrator specifying the number of Shares as to which the Option or Free-Standing SAR is being exercised;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permitted by the Committee, any such exercise must be with respect to a portion of the applicable Option or Free-Standing SAR relating to no less than the lesser of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69" w:name="page70"/>
    <w:bookmarkEnd w:id="69"/>
    <w:p>
      <w:pPr>
        <w:ind w:right="40"/>
        <w:spacing w:after="0" w:line="238" w:lineRule="auto"/>
        <w:rPr>
          <w:sz w:val="20"/>
          <w:szCs w:val="20"/>
          <w:color w:val="auto"/>
        </w:rPr>
      </w:pPr>
      <w:r>
        <w:rPr>
          <w:rFonts w:ascii="Arial" w:cs="Arial" w:eastAsia="Arial" w:hAnsi="Arial"/>
          <w:sz w:val="22"/>
          <w:szCs w:val="22"/>
          <w:color w:val="auto"/>
        </w:rPr>
        <w:t>Shares then subject to such Option or Free-Standing SAR or 100 Shares. In the case of the exercise of an Option, such notice shall be accompanied by payment in full of the purchase price (which shall equal the product of such number of Shares multiplied by the applicable exercise price) by certified or bank check or such other instrument as the Company may accept. If approved by the Committee, payment, in full or in part, may also be made as follows:</w:t>
      </w:r>
    </w:p>
    <w:p>
      <w:pPr>
        <w:spacing w:after="0" w:line="212" w:lineRule="exact"/>
        <w:rPr>
          <w:sz w:val="20"/>
          <w:szCs w:val="20"/>
          <w:color w:val="auto"/>
        </w:rPr>
      </w:pPr>
    </w:p>
    <w:p>
      <w:pPr>
        <w:ind w:left="880" w:firstLine="814"/>
        <w:spacing w:after="0" w:line="282" w:lineRule="auto"/>
        <w:tabs>
          <w:tab w:leader="none" w:pos="2257" w:val="left"/>
        </w:tabs>
        <w:numPr>
          <w:ilvl w:val="2"/>
          <w:numId w:val="41"/>
        </w:numPr>
        <w:rPr>
          <w:rFonts w:ascii="Arial" w:cs="Arial" w:eastAsia="Arial" w:hAnsi="Arial"/>
          <w:sz w:val="19"/>
          <w:szCs w:val="19"/>
          <w:color w:val="auto"/>
        </w:rPr>
      </w:pPr>
      <w:r>
        <w:rPr>
          <w:rFonts w:ascii="Arial" w:cs="Arial" w:eastAsia="Arial" w:hAnsi="Arial"/>
          <w:sz w:val="19"/>
          <w:szCs w:val="19"/>
          <w:color w:val="auto"/>
        </w:rPr>
        <w:t xml:space="preserve">Payments may be made in the form of unrestricted Shares (by delivery of such Shares or by attestation) of the same class as the Common Stock subject to the Option already owned by the Participant (based on the Fair Market Value of the Common Stock on the date the Option is exercised);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 Incentive Stock Option, the right to make a payment in the form of already owned Shares of the same class as the Common Stock subject to the Option may be authorized only at the time the Option is granted.</w:t>
      </w:r>
    </w:p>
    <w:p>
      <w:pPr>
        <w:spacing w:after="0" w:line="242" w:lineRule="exact"/>
        <w:rPr>
          <w:rFonts w:ascii="Arial" w:cs="Arial" w:eastAsia="Arial" w:hAnsi="Arial"/>
          <w:sz w:val="19"/>
          <w:szCs w:val="19"/>
          <w:color w:val="auto"/>
        </w:rPr>
      </w:pPr>
    </w:p>
    <w:p>
      <w:pPr>
        <w:ind w:left="880" w:right="60" w:firstLine="814"/>
        <w:spacing w:after="0" w:line="279" w:lineRule="auto"/>
        <w:tabs>
          <w:tab w:leader="none" w:pos="2312" w:val="left"/>
        </w:tabs>
        <w:numPr>
          <w:ilvl w:val="2"/>
          <w:numId w:val="41"/>
        </w:numPr>
        <w:rPr>
          <w:rFonts w:ascii="Arial" w:cs="Arial" w:eastAsia="Arial" w:hAnsi="Arial"/>
          <w:sz w:val="19"/>
          <w:szCs w:val="19"/>
          <w:color w:val="auto"/>
        </w:rPr>
      </w:pPr>
      <w:r>
        <w:rPr>
          <w:rFonts w:ascii="Arial" w:cs="Arial" w:eastAsia="Arial" w:hAnsi="Arial"/>
          <w:sz w:val="19"/>
          <w:szCs w:val="19"/>
          <w:color w:val="auto"/>
        </w:rPr>
        <w:t>To the extent permitted by applicable law, payment may be made by delivering a properly executed exercise notice to the Company, together with a copy of irrevocable instructions to a broker to deliver promptly to the Company the amount of sale or loan proceeds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p>
      <w:pPr>
        <w:spacing w:after="0" w:line="218" w:lineRule="exact"/>
        <w:rPr>
          <w:rFonts w:ascii="Arial" w:cs="Arial" w:eastAsia="Arial" w:hAnsi="Arial"/>
          <w:sz w:val="19"/>
          <w:szCs w:val="19"/>
          <w:color w:val="auto"/>
        </w:rPr>
      </w:pPr>
    </w:p>
    <w:p>
      <w:pPr>
        <w:jc w:val="both"/>
        <w:ind w:left="880" w:right="220" w:firstLine="814"/>
        <w:spacing w:after="0" w:line="288" w:lineRule="auto"/>
        <w:tabs>
          <w:tab w:leader="none" w:pos="2368" w:val="left"/>
        </w:tabs>
        <w:numPr>
          <w:ilvl w:val="2"/>
          <w:numId w:val="41"/>
        </w:numPr>
        <w:rPr>
          <w:rFonts w:ascii="Arial" w:cs="Arial" w:eastAsia="Arial" w:hAnsi="Arial"/>
          <w:sz w:val="18"/>
          <w:szCs w:val="18"/>
          <w:color w:val="auto"/>
        </w:rPr>
      </w:pPr>
      <w:r>
        <w:rPr>
          <w:rFonts w:ascii="Arial" w:cs="Arial" w:eastAsia="Arial" w:hAnsi="Arial"/>
          <w:sz w:val="18"/>
          <w:szCs w:val="18"/>
          <w:color w:val="auto"/>
        </w:rPr>
        <w:t>For Options that are not Incentive Stock Options, payment may be made by “net exercise” arrangement, pursuant to which a Participant instructs the Committee to withhold a whole number of Shares having a Fair Market Value (based on the Fair Market Value of the Common Stock on the date the applicable Option is exercised) equal to the product of</w:t>
      </w:r>
    </w:p>
    <w:p>
      <w:pPr>
        <w:spacing w:after="0" w:line="2" w:lineRule="exact"/>
        <w:rPr>
          <w:rFonts w:ascii="Arial" w:cs="Arial" w:eastAsia="Arial" w:hAnsi="Arial"/>
          <w:sz w:val="18"/>
          <w:szCs w:val="18"/>
          <w:color w:val="auto"/>
        </w:rPr>
      </w:pPr>
    </w:p>
    <w:p>
      <w:pPr>
        <w:ind w:left="1220" w:hanging="335"/>
        <w:spacing w:after="0"/>
        <w:tabs>
          <w:tab w:leader="none" w:pos="12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exercise price multiplied by (B) the number of Shares in respect of which the Option shall have been exercised.</w:t>
      </w:r>
    </w:p>
    <w:p>
      <w:pPr>
        <w:spacing w:after="0" w:line="249" w:lineRule="exact"/>
        <w:rPr>
          <w:rFonts w:ascii="Arial" w:cs="Arial" w:eastAsia="Arial" w:hAnsi="Arial"/>
          <w:sz w:val="19"/>
          <w:szCs w:val="19"/>
          <w:color w:val="auto"/>
        </w:rPr>
      </w:pPr>
    </w:p>
    <w:p>
      <w:pPr>
        <w:ind w:right="80" w:firstLine="884"/>
        <w:spacing w:after="0" w:line="301" w:lineRule="auto"/>
        <w:tabs>
          <w:tab w:leader="none" w:pos="149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Delivery; Rights of Stockholders</w:t>
      </w:r>
      <w:r>
        <w:rPr>
          <w:rFonts w:ascii="Arial" w:cs="Arial" w:eastAsia="Arial" w:hAnsi="Arial"/>
          <w:sz w:val="18"/>
          <w:szCs w:val="18"/>
          <w:color w:val="auto"/>
        </w:rPr>
        <w:t>. No Shares shall be delivered pursuant to the exercise of an Option until the exercise price therefor has been fully paid and applicable taxes have been withheld. The applicable Participant shall have all of the rights of a stockholder of the Company holding the class or series of Common Stock that is subject to the Option or SAR (including, if applicable, the right to vote the applicable Shares and the right to receive dividends), when the Participant (i) has given written notice of exercise, (ii) if requested, has given the representation described in Section 16(a), and (iii) in the case of an Option, has paid in full for such Shares.</w:t>
      </w:r>
    </w:p>
    <w:p>
      <w:pPr>
        <w:spacing w:after="0" w:line="160" w:lineRule="exact"/>
        <w:rPr>
          <w:rFonts w:ascii="Arial" w:cs="Arial" w:eastAsia="Arial" w:hAnsi="Arial"/>
          <w:sz w:val="18"/>
          <w:szCs w:val="18"/>
          <w:color w:val="auto"/>
        </w:rPr>
      </w:pPr>
    </w:p>
    <w:p>
      <w:pPr>
        <w:ind w:left="140" w:right="60" w:firstLine="736"/>
        <w:spacing w:after="0" w:line="279" w:lineRule="auto"/>
        <w:tabs>
          <w:tab w:leader="none" w:pos="145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Nontransferability of Options and SARs</w:t>
      </w:r>
      <w:r>
        <w:rPr>
          <w:rFonts w:ascii="Arial" w:cs="Arial" w:eastAsia="Arial" w:hAnsi="Arial"/>
          <w:sz w:val="19"/>
          <w:szCs w:val="19"/>
          <w:color w:val="auto"/>
        </w:rPr>
        <w:t>. No Option or Free-Standing SAR shall be transferable by a Participant other than (i) by will or by the laws of descent and distribution, or (ii) in the case of a Nonqualified Stock Option or Free-Standing SAR,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70" w:name="page71"/>
    <w:bookmarkEnd w:id="70"/>
    <w:p>
      <w:pPr>
        <w:ind w:left="140" w:right="60"/>
        <w:spacing w:after="0" w:line="235" w:lineRule="auto"/>
        <w:rPr>
          <w:sz w:val="20"/>
          <w:szCs w:val="20"/>
          <w:color w:val="auto"/>
        </w:rPr>
      </w:pPr>
      <w:r>
        <w:rPr>
          <w:rFonts w:ascii="Arial" w:cs="Arial" w:eastAsia="Arial" w:hAnsi="Arial"/>
          <w:sz w:val="22"/>
          <w:szCs w:val="22"/>
          <w:color w:val="auto"/>
        </w:rPr>
        <w:t xml:space="preserve">the Securities Act and any successor thereto. A Tandem SAR shall be transferable only with the related Option as permitted by the preceding sentence. Any Option or SAR shall be exercisable, subject to the terms of this Plan, only by the applicable Participant, the guardian or legal representative of such Participant, or any person to whom such Option or SAR is permissibly transferred pursuant to this Section 6(i), it being understood that the term “Participant” includes such guardian, legal representative and other transferee;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“Termination of Employment” shall continue to refer to the Termination of Employment of the original Participant.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RESTRICTED STOCK</w:t>
      </w:r>
    </w:p>
    <w:p>
      <w:pPr>
        <w:spacing w:after="0" w:line="239" w:lineRule="exact"/>
        <w:rPr>
          <w:sz w:val="20"/>
          <w:szCs w:val="20"/>
          <w:color w:val="auto"/>
        </w:rPr>
      </w:pPr>
    </w:p>
    <w:p>
      <w:pPr>
        <w:ind w:right="60" w:firstLine="884"/>
        <w:spacing w:after="0" w:line="236" w:lineRule="auto"/>
        <w:tabs>
          <w:tab w:leader="none" w:pos="14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Nature of Awards and Certificates</w:t>
      </w:r>
      <w:r>
        <w:rPr>
          <w:rFonts w:ascii="Arial" w:cs="Arial" w:eastAsia="Arial" w:hAnsi="Arial"/>
          <w:sz w:val="22"/>
          <w:szCs w:val="22"/>
          <w:color w:val="auto"/>
        </w:rPr>
        <w:t>. Shares of Restricted Stock are actual Shares issued to a Participant, and shall be evidenced in such manner as the Committee may deem appropriate, including book-entry registration or issuance of one or more stock certificates. Any certificate issued in respect of Shares of Restricted Stock shall be registered in the name of the applicable Participant and shall bear an appropriate legend referring to the terms, conditions, and restrictions applicable to such Award, substantially in the following form:</w:t>
      </w:r>
    </w:p>
    <w:p>
      <w:pPr>
        <w:spacing w:after="0" w:line="215" w:lineRule="exact"/>
        <w:rPr>
          <w:sz w:val="20"/>
          <w:szCs w:val="20"/>
          <w:color w:val="auto"/>
        </w:rPr>
      </w:pPr>
    </w:p>
    <w:p>
      <w:pPr>
        <w:jc w:val="both"/>
        <w:ind w:left="1000" w:right="80"/>
        <w:spacing w:after="0"/>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TripAdvisor, Inc. 2018 Stock and Annual Incentive Plan and an Award Agreement. Copies of such Plan and Agreement are on file at the offices of TripAdvisor, Inc.”</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blank, relating to the Common Stock covered by such Award.</w:t>
      </w:r>
    </w:p>
    <w:p>
      <w:pPr>
        <w:spacing w:after="0" w:line="215" w:lineRule="exact"/>
        <w:rPr>
          <w:sz w:val="20"/>
          <w:szCs w:val="20"/>
          <w:color w:val="auto"/>
        </w:rPr>
      </w:pPr>
    </w:p>
    <w:p>
      <w:pPr>
        <w:ind w:left="1500" w:hanging="616"/>
        <w:spacing w:after="0"/>
        <w:tabs>
          <w:tab w:leader="none" w:pos="150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Terms and Conditions</w:t>
      </w:r>
      <w:r>
        <w:rPr>
          <w:rFonts w:ascii="Arial" w:cs="Arial" w:eastAsia="Arial" w:hAnsi="Arial"/>
          <w:sz w:val="21"/>
          <w:szCs w:val="21"/>
          <w:color w:val="auto"/>
        </w:rPr>
        <w:t>. Shares of Restricted Stock shall be subject to the following terms and conditions:</w:t>
      </w:r>
    </w:p>
    <w:p>
      <w:pPr>
        <w:spacing w:after="0" w:line="244" w:lineRule="exact"/>
        <w:rPr>
          <w:rFonts w:ascii="Arial" w:cs="Arial" w:eastAsia="Arial" w:hAnsi="Arial"/>
          <w:sz w:val="21"/>
          <w:szCs w:val="21"/>
          <w:color w:val="auto"/>
        </w:rPr>
      </w:pPr>
    </w:p>
    <w:p>
      <w:pPr>
        <w:ind w:left="880" w:right="40" w:firstLine="814"/>
        <w:spacing w:after="0" w:line="294" w:lineRule="auto"/>
        <w:tabs>
          <w:tab w:leader="none" w:pos="224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In the event that the Committee conditions the grant or vesting of an Award of Restricted Stock upon the attainment of Performance Goals or the attainment of Performance Goals and the continued service of the applicable Participant, the Committee may, prior to or at the time of grant, designate such an Award as a Performance Award. The conditions for grant, vesting, or transferability and the other provisions of Restricted Stock Awards (including without limitation any Performance Goals) need not be the same with respect to each Participant.</w:t>
      </w:r>
    </w:p>
    <w:p>
      <w:pPr>
        <w:spacing w:after="0" w:line="169" w:lineRule="exact"/>
        <w:rPr>
          <w:rFonts w:ascii="Arial" w:cs="Arial" w:eastAsia="Arial" w:hAnsi="Arial"/>
          <w:sz w:val="18"/>
          <w:szCs w:val="18"/>
          <w:color w:val="auto"/>
        </w:rPr>
      </w:pPr>
    </w:p>
    <w:p>
      <w:pPr>
        <w:ind w:left="880" w:right="300" w:firstLine="814"/>
        <w:spacing w:after="0" w:line="287" w:lineRule="auto"/>
        <w:tabs>
          <w:tab w:leader="none" w:pos="2301" w:val="left"/>
        </w:tabs>
        <w:numPr>
          <w:ilvl w:val="1"/>
          <w:numId w:val="45"/>
        </w:numPr>
        <w:rPr>
          <w:rFonts w:ascii="Arial" w:cs="Arial" w:eastAsia="Arial" w:hAnsi="Arial"/>
          <w:sz w:val="19"/>
          <w:szCs w:val="19"/>
          <w:color w:val="auto"/>
        </w:rPr>
      </w:pPr>
      <w:r>
        <w:rPr>
          <w:rFonts w:ascii="Arial" w:cs="Arial" w:eastAsia="Arial" w:hAnsi="Arial"/>
          <w:sz w:val="19"/>
          <w:szCs w:val="19"/>
          <w:color w:val="auto"/>
        </w:rPr>
        <w:t>Subject to the provisions of the Plan and the applicable Award Agreement, during the period, if any, set by the Committee, commencing with the date of such Restricted Stock Award for which such vesting restrictions apply and until the expiration of such vesting restrictions (the “</w:t>
      </w:r>
      <w:r>
        <w:rPr>
          <w:rFonts w:ascii="Arial" w:cs="Arial" w:eastAsia="Arial" w:hAnsi="Arial"/>
          <w:sz w:val="19"/>
          <w:szCs w:val="19"/>
          <w:u w:val="single" w:color="auto"/>
          <w:color w:val="auto"/>
        </w:rPr>
        <w:t>RS Restriction Period</w:t>
      </w:r>
      <w:r>
        <w:rPr>
          <w:rFonts w:ascii="Arial" w:cs="Arial" w:eastAsia="Arial" w:hAnsi="Arial"/>
          <w:sz w:val="19"/>
          <w:szCs w:val="19"/>
          <w:color w:val="auto"/>
        </w:rPr>
        <w:t>”), the Participant shall not be permitted to sell, assign, transfer, pledge or otherwise encumber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71" w:name="page72"/>
    <w:bookmarkEnd w:id="71"/>
    <w:p>
      <w:pPr>
        <w:ind w:left="880" w:firstLine="816"/>
        <w:spacing w:after="0" w:line="293" w:lineRule="auto"/>
        <w:tabs>
          <w:tab w:leader="none" w:pos="23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provided in this Section 7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If so determined by the Committee in the applicable Award Agreement and subject to Section 16(e), (A) cash dividends on the class or series of Common Stock that is the subject of the Restricted Stock Award shall be automatically reinvested in additional Restricted Stock, held subject to the vesting of the underlying Restricted Stock, and (B) subject to any adjustment pursuant to Section 4(d), dividends payable in Common Stock shall be paid in the form of Restricted Stock of the same class as the Common Stock with which such dividend was paid, held subject to the vesting of the underlying Restricted Stock.</w:t>
      </w:r>
    </w:p>
    <w:p>
      <w:pPr>
        <w:spacing w:after="0" w:line="166" w:lineRule="exact"/>
        <w:rPr>
          <w:rFonts w:ascii="Arial" w:cs="Arial" w:eastAsia="Arial" w:hAnsi="Arial"/>
          <w:sz w:val="18"/>
          <w:szCs w:val="18"/>
          <w:color w:val="auto"/>
        </w:rPr>
      </w:pPr>
    </w:p>
    <w:p>
      <w:pPr>
        <w:ind w:left="880" w:right="140" w:firstLine="816"/>
        <w:spacing w:after="0" w:line="277" w:lineRule="auto"/>
        <w:tabs>
          <w:tab w:leader="none" w:pos="2351"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Except as otherwise set forth in the applicable Award Agreement, upon a Participant’s Termination of Employment for any reason (other than death) during the RS Restriction Period or before the applicable Performance Goals are satisfied, all Shares of Restricted Stock still subject to restriction shall be forfeited by such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Committee shall have the discretion to waive, in whole or in part, any or all remaining restrictions with respect to any or all of such Participant’s Shares of Restricted Stock. Upon a Participant’s Termination of Employment by reason of death, during the RS Restriction Period or before the applicable Performance Goals are satisfied, all Shares of Restricted Stock shall immediately and automatically vest.</w:t>
      </w:r>
    </w:p>
    <w:p>
      <w:pPr>
        <w:spacing w:after="0" w:line="179" w:lineRule="exact"/>
        <w:rPr>
          <w:rFonts w:ascii="Arial" w:cs="Arial" w:eastAsia="Arial" w:hAnsi="Arial"/>
          <w:sz w:val="19"/>
          <w:szCs w:val="19"/>
          <w:color w:val="auto"/>
        </w:rPr>
      </w:pPr>
    </w:p>
    <w:p>
      <w:pPr>
        <w:ind w:left="880" w:right="60" w:firstLine="814"/>
        <w:spacing w:after="0" w:line="297" w:lineRule="auto"/>
        <w:tabs>
          <w:tab w:leader="none" w:pos="2297"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and when any applicable Performance Goals are satisfied and the RS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RESTRICTED STOCK UNITS</w:t>
      </w:r>
    </w:p>
    <w:p>
      <w:pPr>
        <w:spacing w:after="0" w:line="239" w:lineRule="exact"/>
        <w:rPr>
          <w:sz w:val="20"/>
          <w:szCs w:val="20"/>
          <w:color w:val="auto"/>
        </w:rPr>
      </w:pPr>
    </w:p>
    <w:p>
      <w:pPr>
        <w:ind w:right="20" w:firstLine="884"/>
        <w:spacing w:after="0" w:line="328" w:lineRule="auto"/>
        <w:tabs>
          <w:tab w:leader="none" w:pos="148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Nature of Awards</w:t>
      </w:r>
      <w:r>
        <w:rPr>
          <w:rFonts w:ascii="Arial" w:cs="Arial" w:eastAsia="Arial" w:hAnsi="Arial"/>
          <w:sz w:val="19"/>
          <w:szCs w:val="19"/>
          <w:color w:val="auto"/>
        </w:rPr>
        <w:t>. RSUs are Awards denominated in Shares that will be settled, subject to the terms and conditions of the RSUs, in an amount in cash, Shares or both, based upon the Fair Market Value of a specified number of Shares.</w:t>
      </w:r>
    </w:p>
    <w:p>
      <w:pPr>
        <w:spacing w:after="0" w:line="132" w:lineRule="exact"/>
        <w:rPr>
          <w:rFonts w:ascii="Arial" w:cs="Arial" w:eastAsia="Arial" w:hAnsi="Arial"/>
          <w:sz w:val="19"/>
          <w:szCs w:val="19"/>
          <w:color w:val="auto"/>
        </w:rPr>
      </w:pPr>
    </w:p>
    <w:p>
      <w:pPr>
        <w:ind w:left="1500" w:hanging="616"/>
        <w:spacing w:after="0"/>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 RSUs shall be subject to the following terms and conditions:</w:t>
      </w:r>
    </w:p>
    <w:p>
      <w:pPr>
        <w:spacing w:after="0" w:line="233" w:lineRule="exact"/>
        <w:rPr>
          <w:rFonts w:ascii="Arial" w:cs="Arial" w:eastAsia="Arial" w:hAnsi="Arial"/>
          <w:sz w:val="22"/>
          <w:szCs w:val="22"/>
          <w:color w:val="auto"/>
        </w:rPr>
      </w:pPr>
    </w:p>
    <w:p>
      <w:pPr>
        <w:ind w:left="880" w:right="80" w:firstLine="814"/>
        <w:spacing w:after="0" w:line="275" w:lineRule="auto"/>
        <w:tabs>
          <w:tab w:leader="none" w:pos="2254"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Committee shall, prior to or at the time of grant, condition the grant, vesting, or transferability of RSUs upon the continued service of the applicable Participant or the attainment of Performance Goals, or the attainment of Performance Goals and the continued service of the applicable Participant. In the event that the Committee conditions the grant or vesting of RSUs upon the attainment of Performance Goals or the attainment of Performance Goals and the continued service of the applicable Participant, the Committee may, prior to or at the time of grant, designate such Awards as Performance Awards. The conditions for grant, vesting or transferability and the other provisions of RSUs (including without limitation any Performance Goals) need not be the same with respect to each Participant. In the event of a temporary absence exceeding 90 days, the Company shall have authority to suspend the vesting of such RSUs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2" w:name="page73"/>
    <w:bookmarkEnd w:id="72"/>
    <w:p>
      <w:pPr>
        <w:ind w:left="880"/>
        <w:spacing w:after="0"/>
        <w:rPr>
          <w:sz w:val="20"/>
          <w:szCs w:val="20"/>
          <w:color w:val="auto"/>
        </w:rPr>
      </w:pPr>
      <w:r>
        <w:rPr>
          <w:rFonts w:ascii="Arial" w:cs="Arial" w:eastAsia="Arial" w:hAnsi="Arial"/>
          <w:sz w:val="22"/>
          <w:szCs w:val="22"/>
          <w:color w:val="auto"/>
        </w:rPr>
        <w:t>period of time and on such terms as management of the Company shall deem appropriate.</w:t>
      </w:r>
    </w:p>
    <w:p>
      <w:pPr>
        <w:spacing w:after="0" w:line="233" w:lineRule="exact"/>
        <w:rPr>
          <w:sz w:val="20"/>
          <w:szCs w:val="20"/>
          <w:color w:val="auto"/>
        </w:rPr>
      </w:pPr>
    </w:p>
    <w:p>
      <w:pPr>
        <w:ind w:left="880" w:right="140" w:firstLine="814"/>
        <w:spacing w:after="0" w:line="238" w:lineRule="auto"/>
        <w:tabs>
          <w:tab w:leader="none" w:pos="2309"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Subject to the provisions of the Plan and the applicable Award Agreement, during the period, if any, set by the Committee, commencing with the date of such RSUs for which such vesting restrictions apply and until the expiration of such vesting restrictions (the “RSU Restriction Period”), the Participant shall not be permitted to sell, assign, transfer, pledge or otherwise encumber RSUs.</w:t>
      </w:r>
    </w:p>
    <w:p>
      <w:pPr>
        <w:spacing w:after="0" w:line="252" w:lineRule="exact"/>
        <w:rPr>
          <w:rFonts w:ascii="Arial" w:cs="Arial" w:eastAsia="Arial" w:hAnsi="Arial"/>
          <w:sz w:val="22"/>
          <w:szCs w:val="22"/>
          <w:color w:val="auto"/>
        </w:rPr>
      </w:pPr>
    </w:p>
    <w:p>
      <w:pPr>
        <w:ind w:left="880" w:right="240" w:firstLine="814"/>
        <w:spacing w:after="0" w:line="297" w:lineRule="auto"/>
        <w:tabs>
          <w:tab w:leader="none" w:pos="236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Award Agreement for RSUs shall specify whether, to what extent and on what terms and conditions the applicable Participant shall be entitled to receive current or delayed payments of cash, Common Stock or other property corresponding to the dividends payable on the Common Stock (subject to Section 16(e) below).</w:t>
      </w:r>
    </w:p>
    <w:p>
      <w:pPr>
        <w:spacing w:after="0" w:line="161" w:lineRule="exact"/>
        <w:rPr>
          <w:rFonts w:ascii="Arial" w:cs="Arial" w:eastAsia="Arial" w:hAnsi="Arial"/>
          <w:sz w:val="19"/>
          <w:szCs w:val="19"/>
          <w:color w:val="auto"/>
        </w:rPr>
      </w:pPr>
    </w:p>
    <w:p>
      <w:pPr>
        <w:ind w:left="880" w:firstLine="814"/>
        <w:spacing w:after="0" w:line="279" w:lineRule="auto"/>
        <w:tabs>
          <w:tab w:leader="none" w:pos="2357"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Except as otherwise set forth in the applicable Award Agreement, upon a Participant’s Termination of Employment for any reason during the RSU Restriction Period or before the applicable Performance Goals are satisfied, all RSUs still subject to restriction shall be forfeited by such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Committee shall have the discretion to waive, in whole or in part, any or all remaining restrictions with respect to any or all of such Participant’s RSUs;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upon a Participant’s Termination of Employment by reason of death, during the RSU Restriction Period or before the applicable Performance Goals are satisfied, all RSUs shall immediately and automatically vest.</w:t>
      </w:r>
    </w:p>
    <w:p>
      <w:pPr>
        <w:spacing w:after="0" w:line="177" w:lineRule="exact"/>
        <w:rPr>
          <w:rFonts w:ascii="Arial" w:cs="Arial" w:eastAsia="Arial" w:hAnsi="Arial"/>
          <w:sz w:val="19"/>
          <w:szCs w:val="19"/>
          <w:color w:val="auto"/>
        </w:rPr>
      </w:pPr>
    </w:p>
    <w:p>
      <w:pPr>
        <w:ind w:left="880" w:right="60" w:firstLine="814"/>
        <w:spacing w:after="0" w:line="251" w:lineRule="auto"/>
        <w:tabs>
          <w:tab w:leader="none" w:pos="2302" w:val="left"/>
        </w:tabs>
        <w:numPr>
          <w:ilvl w:val="0"/>
          <w:numId w:val="48"/>
        </w:numPr>
        <w:rPr>
          <w:rFonts w:ascii="Arial" w:cs="Arial" w:eastAsia="Arial" w:hAnsi="Arial"/>
          <w:sz w:val="22"/>
          <w:szCs w:val="22"/>
          <w:color w:val="auto"/>
        </w:rPr>
      </w:pPr>
      <w:r>
        <w:rPr>
          <w:rFonts w:ascii="Arial" w:cs="Arial" w:eastAsia="Arial" w:hAnsi="Arial"/>
          <w:sz w:val="22"/>
          <w:szCs w:val="22"/>
          <w:color w:val="auto"/>
        </w:rPr>
        <w:t>Except to the extent otherwise provided in the applicable Award Agreement, an award of RSUs shall be settled as and when the RSUs vest (but in no event later than 60 days thereafter).</w:t>
      </w:r>
    </w:p>
    <w:p>
      <w:pPr>
        <w:spacing w:after="0" w:line="194"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PERFORMANCE AWARDS</w:t>
      </w:r>
    </w:p>
    <w:p>
      <w:pPr>
        <w:spacing w:after="0" w:line="239" w:lineRule="exact"/>
        <w:rPr>
          <w:sz w:val="20"/>
          <w:szCs w:val="20"/>
          <w:color w:val="auto"/>
        </w:rPr>
      </w:pPr>
    </w:p>
    <w:p>
      <w:pPr>
        <w:ind w:left="1480" w:hanging="596"/>
        <w:spacing w:after="0"/>
        <w:tabs>
          <w:tab w:leader="none" w:pos="148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An Award under the Plan may be in the form of a Performance Award.</w:t>
      </w:r>
    </w:p>
    <w:p>
      <w:pPr>
        <w:spacing w:after="0" w:line="233" w:lineRule="exact"/>
        <w:rPr>
          <w:rFonts w:ascii="Arial" w:cs="Arial" w:eastAsia="Arial" w:hAnsi="Arial"/>
          <w:sz w:val="22"/>
          <w:szCs w:val="22"/>
          <w:color w:val="auto"/>
        </w:rPr>
      </w:pPr>
    </w:p>
    <w:p>
      <w:pPr>
        <w:ind w:right="100" w:firstLine="884"/>
        <w:spacing w:after="0" w:line="238" w:lineRule="auto"/>
        <w:tabs>
          <w:tab w:leader="none" w:pos="149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 Each Performance Award shall be earned, vested and payable (as applicable) only upon the achievement of one or more Performance Goals, together with the satisfaction of any other conditions, such as continued employment, as the Committee may determine to be appropriate. Performance Goals applicable to the Performance Award will be established by the Committee.</w:t>
      </w:r>
    </w:p>
    <w:p>
      <w:pPr>
        <w:spacing w:after="0" w:line="212" w:lineRule="exact"/>
        <w:rPr>
          <w:rFonts w:ascii="Arial" w:cs="Arial" w:eastAsia="Arial" w:hAnsi="Arial"/>
          <w:sz w:val="22"/>
          <w:szCs w:val="22"/>
          <w:color w:val="auto"/>
        </w:rPr>
      </w:pPr>
    </w:p>
    <w:p>
      <w:pPr>
        <w:ind w:right="240" w:firstLine="884"/>
        <w:spacing w:after="0" w:line="287" w:lineRule="auto"/>
        <w:tabs>
          <w:tab w:leader="none" w:pos="148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Other Restrictions</w:t>
      </w:r>
      <w:r>
        <w:rPr>
          <w:rFonts w:ascii="Arial" w:cs="Arial" w:eastAsia="Arial" w:hAnsi="Arial"/>
          <w:sz w:val="19"/>
          <w:szCs w:val="19"/>
          <w:color w:val="auto"/>
        </w:rPr>
        <w:t>. The Committee will determine any other terms and conditions applicable to any Performance Award, including any vesting conditions or restrictions on the delivery of Common Stock payable in connection with the Performance Award and restrictions that could result in the future forfeiture of all or part of any Common Stock earned. The Committee may provide that shares of Common Stock issued in connection with a Performance Award be held in escrow and/or legended.</w:t>
      </w:r>
    </w:p>
    <w:p>
      <w:pPr>
        <w:spacing w:after="0" w:line="170" w:lineRule="exact"/>
        <w:rPr>
          <w:rFonts w:ascii="Arial" w:cs="Arial" w:eastAsia="Arial" w:hAnsi="Arial"/>
          <w:sz w:val="19"/>
          <w:szCs w:val="19"/>
          <w:color w:val="auto"/>
        </w:rPr>
      </w:pPr>
    </w:p>
    <w:p>
      <w:pPr>
        <w:ind w:firstLine="884"/>
        <w:spacing w:after="0" w:line="251" w:lineRule="auto"/>
        <w:tabs>
          <w:tab w:leader="none" w:pos="149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Measurement of Performance Against Performance Goals</w:t>
      </w:r>
      <w:r>
        <w:rPr>
          <w:rFonts w:ascii="Arial" w:cs="Arial" w:eastAsia="Arial" w:hAnsi="Arial"/>
          <w:sz w:val="22"/>
          <w:szCs w:val="22"/>
          <w:color w:val="auto"/>
        </w:rPr>
        <w:t>. The Committee will, as soon as practicable after the close of a Performance Period,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73" w:name="page74"/>
    <w:bookmarkEnd w:id="73"/>
    <w:p>
      <w:pPr>
        <w:ind w:left="2620" w:hanging="870"/>
        <w:spacing w:after="0"/>
        <w:tabs>
          <w:tab w:leader="none" w:pos="26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extent to which the Performance Goals for such Performance Period have been achieved, and</w:t>
      </w:r>
    </w:p>
    <w:p>
      <w:pPr>
        <w:spacing w:after="0" w:line="42" w:lineRule="exact"/>
        <w:rPr>
          <w:rFonts w:ascii="Arial" w:cs="Arial" w:eastAsia="Arial" w:hAnsi="Arial"/>
          <w:sz w:val="19"/>
          <w:szCs w:val="19"/>
          <w:color w:val="auto"/>
        </w:rPr>
      </w:pPr>
    </w:p>
    <w:p>
      <w:pPr>
        <w:ind w:left="2300" w:hanging="550"/>
        <w:spacing w:after="0"/>
        <w:tabs>
          <w:tab w:leader="none" w:pos="23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percentage of the Performance Awards, if any, earned as a result.</w:t>
      </w:r>
    </w:p>
    <w:p>
      <w:pPr>
        <w:spacing w:after="0" w:line="188" w:lineRule="exact"/>
        <w:rPr>
          <w:sz w:val="20"/>
          <w:szCs w:val="20"/>
          <w:color w:val="auto"/>
        </w:rPr>
      </w:pPr>
    </w:p>
    <w:p>
      <w:pPr>
        <w:ind w:right="280" w:firstLine="876"/>
        <w:spacing w:after="0" w:line="236" w:lineRule="auto"/>
        <w:rPr>
          <w:sz w:val="20"/>
          <w:szCs w:val="20"/>
          <w:color w:val="auto"/>
        </w:rPr>
      </w:pPr>
      <w:r>
        <w:rPr>
          <w:rFonts w:ascii="Arial" w:cs="Arial" w:eastAsia="Arial" w:hAnsi="Arial"/>
          <w:sz w:val="22"/>
          <w:szCs w:val="22"/>
          <w:color w:val="auto"/>
        </w:rPr>
        <w:t>All determinations of the Committee will be absolute and final as to the facts and conclusions therein made and are binding on all parties. As promptly as practicable after the Committee has made the foregoing determination, each Eligible Individual who has earned Performance Award will be notified thereof. Subject to Section 16(i), an Eligible Individual may not sell, transfer, pledge, exchange, hypothecate or otherwise dispose of all or any portion of a Performance Awards during the Performance Period.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 OTHER STOCK-BASED AWARDS</w:t>
      </w:r>
    </w:p>
    <w:p>
      <w:pPr>
        <w:spacing w:after="0" w:line="239" w:lineRule="exact"/>
        <w:rPr>
          <w:sz w:val="20"/>
          <w:szCs w:val="20"/>
          <w:color w:val="auto"/>
        </w:rPr>
      </w:pPr>
    </w:p>
    <w:p>
      <w:pPr>
        <w:ind w:right="240" w:firstLine="877"/>
        <w:spacing w:after="0"/>
        <w:rPr>
          <w:sz w:val="20"/>
          <w:szCs w:val="20"/>
          <w:color w:val="auto"/>
        </w:rPr>
      </w:pPr>
      <w:r>
        <w:rPr>
          <w:rFonts w:ascii="Arial" w:cs="Arial" w:eastAsia="Arial" w:hAnsi="Arial"/>
          <w:sz w:val="22"/>
          <w:szCs w:val="22"/>
          <w:color w:val="auto"/>
        </w:rPr>
        <w:t>Other Awards of Common Stock and other Awards that are valued in whole or in part by reference to, or are otherwise based upon or settled in, Common Stock, including (without limitation), unrestricted stock, performance units, dividend equivalents, and convertible debentures, may be granted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 BONUS AWARDS</w:t>
      </w:r>
    </w:p>
    <w:p>
      <w:pPr>
        <w:spacing w:after="0" w:line="239" w:lineRule="exact"/>
        <w:rPr>
          <w:sz w:val="20"/>
          <w:szCs w:val="20"/>
          <w:color w:val="auto"/>
        </w:rPr>
      </w:pPr>
    </w:p>
    <w:p>
      <w:pPr>
        <w:ind w:right="20" w:firstLine="884"/>
        <w:spacing w:after="0"/>
        <w:tabs>
          <w:tab w:leader="none" w:pos="14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Determination of Awards</w:t>
      </w:r>
      <w:r>
        <w:rPr>
          <w:rFonts w:ascii="Arial" w:cs="Arial" w:eastAsia="Arial" w:hAnsi="Arial"/>
          <w:sz w:val="22"/>
          <w:szCs w:val="22"/>
          <w:color w:val="auto"/>
        </w:rPr>
        <w:t>. The Committee shall determine the total amount of Bonus Awards for each Plan Year or such shorter performance period as the Committee may establish in its sole discretion. Bonus Awards that are Performance Awards shall be subject to the provisions of Section 9 of this Plan.</w:t>
      </w:r>
    </w:p>
    <w:p>
      <w:pPr>
        <w:spacing w:after="0" w:line="213" w:lineRule="exact"/>
        <w:rPr>
          <w:rFonts w:ascii="Arial" w:cs="Arial" w:eastAsia="Arial" w:hAnsi="Arial"/>
          <w:sz w:val="22"/>
          <w:szCs w:val="22"/>
          <w:color w:val="auto"/>
        </w:rPr>
      </w:pPr>
    </w:p>
    <w:p>
      <w:pPr>
        <w:ind w:firstLine="884"/>
        <w:spacing w:after="0" w:line="275" w:lineRule="auto"/>
        <w:tabs>
          <w:tab w:leader="none" w:pos="149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Payment of Awards.</w:t>
      </w:r>
      <w:r>
        <w:rPr>
          <w:rFonts w:ascii="Arial" w:cs="Arial" w:eastAsia="Arial" w:hAnsi="Arial"/>
          <w:sz w:val="19"/>
          <w:szCs w:val="19"/>
          <w:color w:val="auto"/>
        </w:rPr>
        <w:t xml:space="preserve"> Bonus Awards under the Plan shall be paid in cash or in Shares (valued at Fair Market Value as of the date of payment) as determined by the Committee, as soon as practicable following the close of the Plan Year or such shorter performance period as the Committee may establish. It is intended that a Bonus Award will be paid no later than the fifteenth (15th) day of the third month following the later of: (i) the end of the Participant’s taxable year in which the requirements for such Bonus Award have been satisfied by the Participant or (ii) the end of the Company’s fiscal year in which the requirements for such Bonus Award have been satisfied by the Participant. Subject to Section 16(k), the Committee may at its option establish procedures pursuant to which Participants are permitted to defer the receipt of Bonus Awards payable hereunder. The Bonus Award to any Participant for any Plan Year or such shorter performance period may be reduced or eliminated by the Committee in its discretion.</w:t>
      </w:r>
    </w:p>
    <w:p>
      <w:pPr>
        <w:spacing w:after="0" w:line="247"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22"/>
          <w:szCs w:val="22"/>
          <w:b w:val="1"/>
          <w:bCs w:val="1"/>
          <w:color w:val="auto"/>
        </w:rPr>
        <w:t>TERMINATION OF EMPLOYMENT</w:t>
      </w:r>
    </w:p>
    <w:p>
      <w:pPr>
        <w:spacing w:after="0" w:line="239" w:lineRule="exact"/>
        <w:rPr>
          <w:sz w:val="20"/>
          <w:szCs w:val="20"/>
          <w:color w:val="auto"/>
        </w:rPr>
      </w:pPr>
    </w:p>
    <w:p>
      <w:pPr>
        <w:ind w:right="120" w:firstLine="884"/>
        <w:spacing w:after="0" w:line="251" w:lineRule="auto"/>
        <w:tabs>
          <w:tab w:leader="none" w:pos="149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A Participant’s Awards shall be forfeited upon such Participant’s Termination of Employment, except as set forth below:</w:t>
      </w:r>
    </w:p>
    <w:p>
      <w:pPr>
        <w:spacing w:after="0" w:line="200" w:lineRule="exact"/>
        <w:rPr>
          <w:rFonts w:ascii="Arial" w:cs="Arial" w:eastAsia="Arial" w:hAnsi="Arial"/>
          <w:sz w:val="22"/>
          <w:szCs w:val="22"/>
          <w:color w:val="auto"/>
        </w:rPr>
      </w:pPr>
    </w:p>
    <w:p>
      <w:pPr>
        <w:ind w:right="20" w:firstLine="1763"/>
        <w:spacing w:after="0" w:line="238" w:lineRule="auto"/>
        <w:tabs>
          <w:tab w:leader="none" w:pos="2324" w:val="left"/>
        </w:tabs>
        <w:numPr>
          <w:ilvl w:val="1"/>
          <w:numId w:val="52"/>
        </w:numPr>
        <w:rPr>
          <w:rFonts w:ascii="Arial" w:cs="Arial" w:eastAsia="Arial" w:hAnsi="Arial"/>
          <w:sz w:val="22"/>
          <w:szCs w:val="22"/>
          <w:color w:val="auto"/>
        </w:rPr>
      </w:pPr>
      <w:r>
        <w:rPr>
          <w:rFonts w:ascii="Arial" w:cs="Arial" w:eastAsia="Arial" w:hAnsi="Arial"/>
          <w:sz w:val="22"/>
          <w:szCs w:val="22"/>
          <w:color w:val="auto"/>
        </w:rPr>
        <w:t>Upon a Participant’s Termination of Employment by reason of death, any Award that was unvested at the time of death shall automatically vest (including but not limited to Performance Awards, which shall vest at target) and all such Options or SARs held by the Participant may be exercised at any time until the earlier of (A) the first anniversary of the date of such death and (B) the expiration of the Term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74" w:name="page75"/>
    <w:bookmarkEnd w:id="74"/>
    <w:p>
      <w:pPr>
        <w:jc w:val="both"/>
        <w:ind w:left="880" w:right="180" w:firstLine="814"/>
        <w:spacing w:after="0" w:line="321" w:lineRule="auto"/>
        <w:tabs>
          <w:tab w:leader="none" w:pos="2312" w:val="left"/>
        </w:tabs>
        <w:numPr>
          <w:ilvl w:val="1"/>
          <w:numId w:val="53"/>
        </w:numPr>
        <w:rPr>
          <w:rFonts w:ascii="Arial" w:cs="Arial" w:eastAsia="Arial" w:hAnsi="Arial"/>
          <w:sz w:val="18"/>
          <w:szCs w:val="18"/>
          <w:color w:val="auto"/>
        </w:rPr>
      </w:pPr>
      <w:r>
        <w:rPr>
          <w:rFonts w:ascii="Arial" w:cs="Arial" w:eastAsia="Arial" w:hAnsi="Arial"/>
          <w:sz w:val="18"/>
          <w:szCs w:val="18"/>
          <w:color w:val="auto"/>
        </w:rPr>
        <w:t>Upon a Participant’s Termination of Employment by reason of Disability or Retirement, any Option or SAR held by the Participant that was exercisable immediately before the Termination of Employment may be exercised at any time until the earlier of (A) the first anniversary of such Termination of Employment and the (B) expiration of the Term thereof;</w:t>
      </w:r>
    </w:p>
    <w:p>
      <w:pPr>
        <w:spacing w:after="0" w:line="141" w:lineRule="exact"/>
        <w:rPr>
          <w:rFonts w:ascii="Arial" w:cs="Arial" w:eastAsia="Arial" w:hAnsi="Arial"/>
          <w:sz w:val="18"/>
          <w:szCs w:val="18"/>
          <w:color w:val="auto"/>
        </w:rPr>
      </w:pPr>
    </w:p>
    <w:p>
      <w:pPr>
        <w:ind w:left="880" w:firstLine="814"/>
        <w:spacing w:after="0" w:line="251" w:lineRule="auto"/>
        <w:tabs>
          <w:tab w:leader="none" w:pos="2368" w:val="left"/>
        </w:tabs>
        <w:numPr>
          <w:ilvl w:val="1"/>
          <w:numId w:val="53"/>
        </w:numPr>
        <w:rPr>
          <w:rFonts w:ascii="Arial" w:cs="Arial" w:eastAsia="Arial" w:hAnsi="Arial"/>
          <w:sz w:val="22"/>
          <w:szCs w:val="22"/>
          <w:color w:val="auto"/>
        </w:rPr>
      </w:pPr>
      <w:r>
        <w:rPr>
          <w:rFonts w:ascii="Arial" w:cs="Arial" w:eastAsia="Arial" w:hAnsi="Arial"/>
          <w:sz w:val="22"/>
          <w:szCs w:val="22"/>
          <w:color w:val="auto"/>
        </w:rPr>
        <w:t>Upon a Participant’s Termination of Employment for Cause, any unvested Award held by the Participant shall be forfeited, effective as of such Termination of Employment;</w:t>
      </w:r>
    </w:p>
    <w:p>
      <w:pPr>
        <w:spacing w:after="0" w:line="200" w:lineRule="exact"/>
        <w:rPr>
          <w:rFonts w:ascii="Arial" w:cs="Arial" w:eastAsia="Arial" w:hAnsi="Arial"/>
          <w:sz w:val="22"/>
          <w:szCs w:val="22"/>
          <w:color w:val="auto"/>
        </w:rPr>
      </w:pPr>
    </w:p>
    <w:p>
      <w:pPr>
        <w:ind w:left="880" w:right="80" w:firstLine="814"/>
        <w:spacing w:after="0" w:line="238" w:lineRule="auto"/>
        <w:tabs>
          <w:tab w:leader="none" w:pos="23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Upon a Participant’s Termination of Employment for any reason other than death, Disability, Retirement or for Cause, any Option or SAR held by the Participant that was exercisable immediately before the Termination of Employment may be exercised at any time until the earlier of (A) the 90th day following such Termination of Employment and (B) expiration of the Term thereof; and</w:t>
      </w:r>
    </w:p>
    <w:p>
      <w:pPr>
        <w:spacing w:after="0" w:line="212" w:lineRule="exact"/>
        <w:rPr>
          <w:rFonts w:ascii="Arial" w:cs="Arial" w:eastAsia="Arial" w:hAnsi="Arial"/>
          <w:sz w:val="22"/>
          <w:szCs w:val="22"/>
          <w:color w:val="auto"/>
        </w:rPr>
      </w:pPr>
    </w:p>
    <w:p>
      <w:pPr>
        <w:ind w:left="880" w:right="100" w:firstLine="814"/>
        <w:spacing w:after="0" w:line="307" w:lineRule="auto"/>
        <w:tabs>
          <w:tab w:leader="none" w:pos="23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Notwithstanding the above provisions of this Section 12(a), if a Participant dies after such Participant’s Termination of Employment but while any Option or SAR remains exercisable as set forth above, such Option or SAR may be exercised at any time until the later of (A) the earlier of (1) the first anniversary of the date of such death and (2) expiration of the Term thereof and (B) the last date on which such Option or SAR would have been exercisable, absent this Section 12(a).</w:t>
      </w:r>
    </w:p>
    <w:p>
      <w:pPr>
        <w:spacing w:after="0" w:line="156" w:lineRule="exact"/>
        <w:rPr>
          <w:rFonts w:ascii="Arial" w:cs="Arial" w:eastAsia="Arial" w:hAnsi="Arial"/>
          <w:sz w:val="18"/>
          <w:szCs w:val="18"/>
          <w:color w:val="auto"/>
        </w:rPr>
      </w:pPr>
    </w:p>
    <w:p>
      <w:pPr>
        <w:ind w:right="220" w:firstLine="884"/>
        <w:spacing w:after="0" w:line="236" w:lineRule="auto"/>
        <w:tabs>
          <w:tab w:leader="none" w:pos="1506"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Exception.</w:t>
      </w:r>
      <w:r>
        <w:rPr>
          <w:rFonts w:ascii="Arial" w:cs="Arial" w:eastAsia="Arial" w:hAnsi="Arial"/>
          <w:sz w:val="22"/>
          <w:szCs w:val="22"/>
          <w:color w:val="auto"/>
        </w:rPr>
        <w:t xml:space="preserve"> Notwithstanding the foregoing, the Committee shall have the power, in its discretion, to apply different rules concerning the consequences of a Termination of Employment;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Stock Option.</w:t>
      </w:r>
    </w:p>
    <w:p>
      <w:pPr>
        <w:spacing w:after="0" w:line="27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21"/>
          <w:szCs w:val="21"/>
          <w:b w:val="1"/>
          <w:bCs w:val="1"/>
          <w:color w:val="auto"/>
        </w:rPr>
        <w:t>CHANGE IN CONTROL PROVISIONS</w:t>
      </w:r>
    </w:p>
    <w:p>
      <w:pPr>
        <w:spacing w:after="0" w:line="239" w:lineRule="exact"/>
        <w:rPr>
          <w:sz w:val="20"/>
          <w:szCs w:val="20"/>
          <w:color w:val="auto"/>
        </w:rPr>
      </w:pPr>
    </w:p>
    <w:p>
      <w:pPr>
        <w:ind w:right="180" w:firstLine="884"/>
        <w:spacing w:after="0" w:line="251" w:lineRule="auto"/>
        <w:tabs>
          <w:tab w:leader="none" w:pos="147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Definition of Change in Control</w:t>
      </w:r>
      <w:r>
        <w:rPr>
          <w:rFonts w:ascii="Arial" w:cs="Arial" w:eastAsia="Arial" w:hAnsi="Arial"/>
          <w:sz w:val="22"/>
          <w:szCs w:val="22"/>
          <w:color w:val="auto"/>
        </w:rPr>
        <w:t>. Except as otherwise may be provided in an applicable Award Agreement, for purposes of the Plan,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any of the following events:</w:t>
      </w:r>
    </w:p>
    <w:p>
      <w:pPr>
        <w:spacing w:after="0" w:line="200" w:lineRule="exact"/>
        <w:rPr>
          <w:rFonts w:ascii="Arial" w:cs="Arial" w:eastAsia="Arial" w:hAnsi="Arial"/>
          <w:sz w:val="22"/>
          <w:szCs w:val="22"/>
          <w:color w:val="auto"/>
        </w:rPr>
      </w:pPr>
    </w:p>
    <w:p>
      <w:pPr>
        <w:ind w:left="880" w:right="140" w:firstLine="814"/>
        <w:spacing w:after="0" w:line="274" w:lineRule="auto"/>
        <w:tabs>
          <w:tab w:leader="none" w:pos="2257"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other than Liberty TripAdvisor Holdings, Inc., and its affiliates (a “</w:t>
      </w:r>
      <w:r>
        <w:rPr>
          <w:rFonts w:ascii="Arial" w:cs="Arial" w:eastAsia="Arial" w:hAnsi="Arial"/>
          <w:sz w:val="19"/>
          <w:szCs w:val="19"/>
          <w:u w:val="single" w:color="auto"/>
          <w:color w:val="auto"/>
        </w:rPr>
        <w:t>Person</w:t>
      </w:r>
      <w:r>
        <w:rPr>
          <w:rFonts w:ascii="Arial" w:cs="Arial" w:eastAsia="Arial" w:hAnsi="Arial"/>
          <w:sz w:val="19"/>
          <w:szCs w:val="19"/>
          <w:color w:val="auto"/>
        </w:rPr>
        <w:t>”),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w:t>
      </w:r>
      <w:r>
        <w:rPr>
          <w:rFonts w:ascii="Arial" w:cs="Arial" w:eastAsia="Arial" w:hAnsi="Arial"/>
          <w:sz w:val="19"/>
          <w:szCs w:val="19"/>
          <w:u w:val="single" w:color="auto"/>
          <w:color w:val="auto"/>
        </w:rPr>
        <w:t>Outstanding Company Voting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subsection (i), the following acquisitions shall not constitute a Change in Control: (A) any acquisition by the Company, (B) any acquisition directly from the Company, (C) any acquisition by any employee benefit plan (or related trust) sponsored or maintained by the Company or any corporation controlled by the Company, or (D) any acquisition pursuant to a transaction which complies with clauses (A), (B) and (C) of subsection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or</w:t>
      </w:r>
    </w:p>
    <w:p>
      <w:pPr>
        <w:spacing w:after="0" w:line="274" w:lineRule="exact"/>
        <w:rPr>
          <w:sz w:val="20"/>
          <w:szCs w:val="20"/>
          <w:color w:val="auto"/>
        </w:rPr>
      </w:pPr>
    </w:p>
    <w:p>
      <w:pPr>
        <w:ind w:right="60" w:firstLine="814"/>
        <w:spacing w:after="0" w:line="277" w:lineRule="auto"/>
        <w:tabs>
          <w:tab w:leader="none" w:pos="1432" w:val="left"/>
        </w:tabs>
        <w:numPr>
          <w:ilvl w:val="1"/>
          <w:numId w:val="56"/>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xml:space="preserve">”) cease for any reason to constitute at least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Arial" w:cs="Arial" w:eastAsia="Arial" w:hAnsi="Arial"/>
          <w:sz w:val="19"/>
          <w:szCs w:val="19"/>
          <w:color w:val="auto"/>
        </w:rPr>
      </w:pPr>
    </w:p>
    <w:p>
      <w:pPr>
        <w:ind w:right="20" w:firstLine="814"/>
        <w:spacing w:after="0" w:line="271" w:lineRule="auto"/>
        <w:tabs>
          <w:tab w:leader="none" w:pos="1488" w:val="left"/>
        </w:tabs>
        <w:numPr>
          <w:ilvl w:val="1"/>
          <w:numId w:val="56"/>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Company or the purchase of assets or stock of another entity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Liberty TripAdvisor Holdings, Inc., and its Affiliates,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will have been members of the Incumbent Board at the time of the initial agreement, or action of the Board, providing for such Business Combination; or</w:t>
      </w:r>
    </w:p>
    <w:p>
      <w:pPr>
        <w:spacing w:after="0" w:line="185" w:lineRule="exact"/>
        <w:rPr>
          <w:rFonts w:ascii="Arial" w:cs="Arial" w:eastAsia="Arial" w:hAnsi="Arial"/>
          <w:sz w:val="19"/>
          <w:szCs w:val="19"/>
          <w:color w:val="auto"/>
        </w:rPr>
      </w:pPr>
    </w:p>
    <w:p>
      <w:pPr>
        <w:ind w:left="1480" w:hanging="666"/>
        <w:spacing w:after="0"/>
        <w:tabs>
          <w:tab w:leader="none" w:pos="14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Approval by the stockholders of the Company of a complete liquidation or dissolution of the Company.</w:t>
      </w:r>
    </w:p>
    <w:p>
      <w:pPr>
        <w:spacing w:after="0" w:line="267" w:lineRule="exact"/>
        <w:rPr>
          <w:rFonts w:ascii="Arial" w:cs="Arial" w:eastAsia="Arial" w:hAnsi="Arial"/>
          <w:sz w:val="19"/>
          <w:szCs w:val="19"/>
          <w:color w:val="auto"/>
        </w:rPr>
      </w:pPr>
    </w:p>
    <w:p>
      <w:pPr>
        <w:ind w:left="-880" w:firstLine="884"/>
        <w:spacing w:after="0" w:line="249" w:lineRule="auto"/>
        <w:tabs>
          <w:tab w:leader="none" w:pos="604"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Impact of Event/Double Trigger on Vice Presidents and Above</w:t>
      </w:r>
      <w:r>
        <w:rPr>
          <w:rFonts w:ascii="Arial" w:cs="Arial" w:eastAsia="Arial" w:hAnsi="Arial"/>
          <w:sz w:val="21"/>
          <w:szCs w:val="21"/>
          <w:color w:val="auto"/>
        </w:rPr>
        <w:t>. Unless otherwise provided in the applicable Award Agreement and subject to Sections 4(d), 13(d) and 16(k), notwithstanding any other provision of this Plan to the contrary, upon the Termination of Employment, within three months prior to a Change in Control or within twelve months following a Change in Control, of a Participant who, as of the date of termination, has a title of Vice President or above, by the Company other than for Cause or Disability or by the Participant for Good Reason, then:</w:t>
      </w:r>
    </w:p>
    <w:p>
      <w:pPr>
        <w:spacing w:after="0" w:line="232" w:lineRule="exact"/>
        <w:rPr>
          <w:rFonts w:ascii="Arial" w:cs="Arial" w:eastAsia="Arial" w:hAnsi="Arial"/>
          <w:sz w:val="21"/>
          <w:szCs w:val="21"/>
          <w:color w:val="auto"/>
        </w:rPr>
      </w:pPr>
    </w:p>
    <w:p>
      <w:pPr>
        <w:ind w:left="1380" w:hanging="566"/>
        <w:spacing w:after="0"/>
        <w:tabs>
          <w:tab w:leader="none" w:pos="13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Options and SARs outstanding as of such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715010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76" w:name="page77"/>
    <w:bookmarkEnd w:id="76"/>
    <w:p>
      <w:pPr>
        <w:jc w:val="both"/>
        <w:ind w:left="4" w:right="220"/>
        <w:spacing w:after="0" w:line="238" w:lineRule="auto"/>
        <w:rPr>
          <w:sz w:val="20"/>
          <w:szCs w:val="20"/>
          <w:color w:val="auto"/>
        </w:rPr>
      </w:pPr>
      <w:r>
        <w:rPr>
          <w:rFonts w:ascii="Arial" w:cs="Arial" w:eastAsia="Arial" w:hAnsi="Arial"/>
          <w:sz w:val="22"/>
          <w:szCs w:val="22"/>
          <w:color w:val="auto"/>
        </w:rPr>
        <w:t>Employment which were outstanding as of the date of such Change in Control shall be fully exercisable and vested and shall remain exercisable until the later of (i) the last date on which such Option or SAR would be exercisable in the absence of this Section 13(b) and (ii) the earlier of (A) the first anniversary of such Change in Control and (B) expiration of the Term of such Option or SAR;</w:t>
      </w:r>
    </w:p>
    <w:p>
      <w:pPr>
        <w:spacing w:after="0" w:line="212" w:lineRule="exact"/>
        <w:rPr>
          <w:sz w:val="20"/>
          <w:szCs w:val="20"/>
          <w:color w:val="auto"/>
        </w:rPr>
      </w:pPr>
    </w:p>
    <w:p>
      <w:pPr>
        <w:ind w:left="4" w:right="60" w:firstLine="814"/>
        <w:spacing w:after="0" w:line="328" w:lineRule="auto"/>
        <w:tabs>
          <w:tab w:leader="none" w:pos="1436" w:val="left"/>
        </w:tabs>
        <w:numPr>
          <w:ilvl w:val="1"/>
          <w:numId w:val="58"/>
        </w:numPr>
        <w:rPr>
          <w:rFonts w:ascii="Arial" w:cs="Arial" w:eastAsia="Arial" w:hAnsi="Arial"/>
          <w:sz w:val="19"/>
          <w:szCs w:val="19"/>
          <w:color w:val="auto"/>
        </w:rPr>
      </w:pPr>
      <w:r>
        <w:rPr>
          <w:rFonts w:ascii="Arial" w:cs="Arial" w:eastAsia="Arial" w:hAnsi="Arial"/>
          <w:sz w:val="19"/>
          <w:szCs w:val="19"/>
          <w:color w:val="auto"/>
        </w:rPr>
        <w:t>all Restricted Stock outstanding as of such Termination of Employment which were outstanding as of the date of such Change in Control shall become free of all restrictions and become fully vested and transferable;</w:t>
      </w:r>
    </w:p>
    <w:p>
      <w:pPr>
        <w:spacing w:after="0" w:line="132" w:lineRule="exact"/>
        <w:rPr>
          <w:rFonts w:ascii="Arial" w:cs="Arial" w:eastAsia="Arial" w:hAnsi="Arial"/>
          <w:sz w:val="19"/>
          <w:szCs w:val="19"/>
          <w:color w:val="auto"/>
        </w:rPr>
      </w:pPr>
    </w:p>
    <w:p>
      <w:pPr>
        <w:jc w:val="both"/>
        <w:ind w:left="4" w:right="140" w:firstLine="814"/>
        <w:spacing w:after="0" w:line="238" w:lineRule="auto"/>
        <w:tabs>
          <w:tab w:leader="none" w:pos="1492" w:val="left"/>
        </w:tabs>
        <w:numPr>
          <w:ilvl w:val="1"/>
          <w:numId w:val="58"/>
        </w:numPr>
        <w:rPr>
          <w:rFonts w:ascii="Arial" w:cs="Arial" w:eastAsia="Arial" w:hAnsi="Arial"/>
          <w:sz w:val="22"/>
          <w:szCs w:val="22"/>
          <w:color w:val="auto"/>
        </w:rPr>
      </w:pPr>
      <w:r>
        <w:rPr>
          <w:rFonts w:ascii="Arial" w:cs="Arial" w:eastAsia="Arial" w:hAnsi="Arial"/>
          <w:sz w:val="22"/>
          <w:szCs w:val="22"/>
          <w:color w:val="auto"/>
        </w:rPr>
        <w:t>all RSUs outstanding as of such Termination of Employment which were outstanding as of the date of such Change in Control shall be considered to be earned and payable in full, and any restrictions shall lapse and such RSUs shall be settled as promptly as is practicable (but in no event later than March 15 of the calendar year following the end of the calendar year in which the RSUs vest); and</w:t>
      </w:r>
    </w:p>
    <w:p>
      <w:pPr>
        <w:spacing w:after="0" w:line="212" w:lineRule="exact"/>
        <w:rPr>
          <w:rFonts w:ascii="Arial" w:cs="Arial" w:eastAsia="Arial" w:hAnsi="Arial"/>
          <w:sz w:val="22"/>
          <w:szCs w:val="22"/>
          <w:color w:val="auto"/>
        </w:rPr>
      </w:pPr>
    </w:p>
    <w:p>
      <w:pPr>
        <w:ind w:left="4" w:right="20" w:firstLine="814"/>
        <w:spacing w:after="0" w:line="236" w:lineRule="auto"/>
        <w:tabs>
          <w:tab w:leader="none" w:pos="1485" w:val="left"/>
        </w:tabs>
        <w:numPr>
          <w:ilvl w:val="1"/>
          <w:numId w:val="58"/>
        </w:numPr>
        <w:rPr>
          <w:rFonts w:ascii="Arial" w:cs="Arial" w:eastAsia="Arial" w:hAnsi="Arial"/>
          <w:sz w:val="22"/>
          <w:szCs w:val="22"/>
          <w:color w:val="auto"/>
        </w:rPr>
      </w:pPr>
      <w:r>
        <w:rPr>
          <w:rFonts w:ascii="Arial" w:cs="Arial" w:eastAsia="Arial" w:hAnsi="Arial"/>
          <w:sz w:val="22"/>
          <w:szCs w:val="22"/>
          <w:color w:val="auto"/>
        </w:rPr>
        <w:t>all Performance Awards outstanding as of such Termination of Employment which were outstanding as of the date of such Change in Control shall be considered to be earned and payable in full, vesting shall accelerate assuming the Performance Goals have been met at target and any restrictions shall lapse and any such RSUs shall be settled as promptly as is practicable (but in no event later than March 15 of the calendar year following the end of the calendar year in which the RSUs vest).</w:t>
      </w:r>
    </w:p>
    <w:p>
      <w:pPr>
        <w:spacing w:after="0" w:line="214" w:lineRule="exact"/>
        <w:rPr>
          <w:rFonts w:ascii="Arial" w:cs="Arial" w:eastAsia="Arial" w:hAnsi="Arial"/>
          <w:sz w:val="22"/>
          <w:szCs w:val="22"/>
          <w:color w:val="auto"/>
        </w:rPr>
      </w:pPr>
    </w:p>
    <w:p>
      <w:pPr>
        <w:ind w:left="-736" w:right="200" w:firstLine="736"/>
        <w:spacing w:after="0" w:line="287" w:lineRule="auto"/>
        <w:tabs>
          <w:tab w:leader="none" w:pos="60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Impact of Event/Double Trigger on Other Participants</w:t>
      </w:r>
      <w:r>
        <w:rPr>
          <w:rFonts w:ascii="Arial" w:cs="Arial" w:eastAsia="Arial" w:hAnsi="Arial"/>
          <w:sz w:val="19"/>
          <w:szCs w:val="19"/>
          <w:color w:val="auto"/>
        </w:rPr>
        <w:t>. Unless otherwise provided in the applicable Award Agreement and subject to Sections 4(d), 13(d) and 16(k), notwithstanding any other provision of this Plan to the contrary, upon the Termination of Employment, within three months prior to a Change in Control or within twelve months following a Change in Control, of any other Participant, by the Company other than for Cause or Disability or by the Participant for Good Reason:</w:t>
      </w:r>
    </w:p>
    <w:p>
      <w:pPr>
        <w:spacing w:after="0" w:line="197" w:lineRule="exact"/>
        <w:rPr>
          <w:rFonts w:ascii="Arial" w:cs="Arial" w:eastAsia="Arial" w:hAnsi="Arial"/>
          <w:sz w:val="19"/>
          <w:szCs w:val="19"/>
          <w:color w:val="auto"/>
        </w:rPr>
      </w:pPr>
    </w:p>
    <w:p>
      <w:pPr>
        <w:jc w:val="both"/>
        <w:ind w:left="4" w:right="40" w:firstLine="814"/>
        <w:spacing w:after="0" w:line="287" w:lineRule="auto"/>
        <w:tabs>
          <w:tab w:leader="none" w:pos="1381" w:val="left"/>
        </w:tabs>
        <w:numPr>
          <w:ilvl w:val="1"/>
          <w:numId w:val="59"/>
        </w:numPr>
        <w:rPr>
          <w:rFonts w:ascii="Arial" w:cs="Arial" w:eastAsia="Arial" w:hAnsi="Arial"/>
          <w:sz w:val="19"/>
          <w:szCs w:val="19"/>
          <w:color w:val="auto"/>
        </w:rPr>
      </w:pPr>
      <w:r>
        <w:rPr>
          <w:rFonts w:ascii="Arial" w:cs="Arial" w:eastAsia="Arial" w:hAnsi="Arial"/>
          <w:sz w:val="19"/>
          <w:szCs w:val="19"/>
          <w:color w:val="auto"/>
        </w:rPr>
        <w:t>Fifty percent (50%) of any Options and SARs outstanding as of such Termination of Employment which were outstanding as of the date of such Change in Control shall be fully exercisable and vested and shall remain exercisable until the later of (i) the last date on which such Option or SAR would be exercisable in the absence of this Section 13(b) and (ii) the earlier of (A) the first anniversary of such Change in Control and (B) expiration of the Term of such Option or SAR;</w:t>
      </w:r>
    </w:p>
    <w:p>
      <w:pPr>
        <w:spacing w:after="0" w:line="170" w:lineRule="exact"/>
        <w:rPr>
          <w:rFonts w:ascii="Arial" w:cs="Arial" w:eastAsia="Arial" w:hAnsi="Arial"/>
          <w:sz w:val="19"/>
          <w:szCs w:val="19"/>
          <w:color w:val="auto"/>
        </w:rPr>
      </w:pPr>
    </w:p>
    <w:p>
      <w:pPr>
        <w:ind w:left="4" w:right="300" w:firstLine="814"/>
        <w:spacing w:after="0"/>
        <w:tabs>
          <w:tab w:leader="none" w:pos="1436" w:val="left"/>
        </w:tabs>
        <w:numPr>
          <w:ilvl w:val="1"/>
          <w:numId w:val="59"/>
        </w:numPr>
        <w:rPr>
          <w:rFonts w:ascii="Arial" w:cs="Arial" w:eastAsia="Arial" w:hAnsi="Arial"/>
          <w:sz w:val="22"/>
          <w:szCs w:val="22"/>
          <w:color w:val="auto"/>
        </w:rPr>
      </w:pPr>
      <w:r>
        <w:rPr>
          <w:rFonts w:ascii="Arial" w:cs="Arial" w:eastAsia="Arial" w:hAnsi="Arial"/>
          <w:sz w:val="22"/>
          <w:szCs w:val="22"/>
          <w:color w:val="auto"/>
        </w:rPr>
        <w:t>Fifty percent (50%) of all Restricted Stock outstanding as of such Termination of Employment which were outstanding as of the date of such Change in Control shall become free of all restrictions and become fully vested and transferable;</w:t>
      </w:r>
    </w:p>
    <w:p>
      <w:pPr>
        <w:spacing w:after="0" w:line="213" w:lineRule="exact"/>
        <w:rPr>
          <w:rFonts w:ascii="Arial" w:cs="Arial" w:eastAsia="Arial" w:hAnsi="Arial"/>
          <w:sz w:val="22"/>
          <w:szCs w:val="22"/>
          <w:color w:val="auto"/>
        </w:rPr>
      </w:pPr>
    </w:p>
    <w:p>
      <w:pPr>
        <w:ind w:left="4" w:firstLine="814"/>
        <w:spacing w:after="0" w:line="252" w:lineRule="auto"/>
        <w:tabs>
          <w:tab w:leader="none" w:pos="1492" w:val="left"/>
        </w:tabs>
        <w:numPr>
          <w:ilvl w:val="1"/>
          <w:numId w:val="59"/>
        </w:numPr>
        <w:rPr>
          <w:rFonts w:ascii="Arial" w:cs="Arial" w:eastAsia="Arial" w:hAnsi="Arial"/>
          <w:sz w:val="21"/>
          <w:szCs w:val="21"/>
          <w:color w:val="auto"/>
        </w:rPr>
      </w:pPr>
      <w:r>
        <w:rPr>
          <w:rFonts w:ascii="Arial" w:cs="Arial" w:eastAsia="Arial" w:hAnsi="Arial"/>
          <w:sz w:val="21"/>
          <w:szCs w:val="21"/>
          <w:color w:val="auto"/>
        </w:rPr>
        <w:t>Fifty percent (50%) of all RSUs outstanding as of such Termination of Employment which were outstanding as of the date of such Change in Control shall be considered to be earned and payable in full, and any restrictions shall lapse and such RSUs shall be settled as promptly as is practicable (but in no event later than March 15 of the calendar year following the end of the calendar year in which the RSUs vest); and</w:t>
      </w:r>
    </w:p>
    <w:p>
      <w:pPr>
        <w:spacing w:after="0" w:line="201" w:lineRule="exact"/>
        <w:rPr>
          <w:rFonts w:ascii="Arial" w:cs="Arial" w:eastAsia="Arial" w:hAnsi="Arial"/>
          <w:sz w:val="21"/>
          <w:szCs w:val="21"/>
          <w:color w:val="auto"/>
        </w:rPr>
      </w:pPr>
    </w:p>
    <w:p>
      <w:pPr>
        <w:ind w:left="4" w:right="340" w:firstLine="814"/>
        <w:spacing w:after="0" w:line="251" w:lineRule="auto"/>
        <w:tabs>
          <w:tab w:leader="none" w:pos="1485" w:val="left"/>
        </w:tabs>
        <w:numPr>
          <w:ilvl w:val="1"/>
          <w:numId w:val="59"/>
        </w:numPr>
        <w:rPr>
          <w:rFonts w:ascii="Arial" w:cs="Arial" w:eastAsia="Arial" w:hAnsi="Arial"/>
          <w:sz w:val="22"/>
          <w:szCs w:val="22"/>
          <w:color w:val="auto"/>
        </w:rPr>
      </w:pPr>
      <w:r>
        <w:rPr>
          <w:rFonts w:ascii="Arial" w:cs="Arial" w:eastAsia="Arial" w:hAnsi="Arial"/>
          <w:sz w:val="22"/>
          <w:szCs w:val="22"/>
          <w:color w:val="auto"/>
        </w:rPr>
        <w:t>Fifty percent (50%) of all Performance Awards outstanding as of such Termination of Employment which were outstanding as of the date of such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694055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4"/>
          </w:cols>
          <w:pgMar w:left="1116" w:top="388" w:right="259" w:bottom="1440" w:gutter="0" w:footer="0" w:header="0"/>
        </w:sectPr>
      </w:pPr>
    </w:p>
    <w:bookmarkStart w:id="77" w:name="page78"/>
    <w:bookmarkEnd w:id="77"/>
    <w:p>
      <w:pPr>
        <w:jc w:val="both"/>
        <w:ind w:left="880" w:right="360"/>
        <w:spacing w:after="0" w:line="297" w:lineRule="auto"/>
        <w:rPr>
          <w:sz w:val="20"/>
          <w:szCs w:val="20"/>
          <w:color w:val="auto"/>
        </w:rPr>
      </w:pPr>
      <w:r>
        <w:rPr>
          <w:rFonts w:ascii="Arial" w:cs="Arial" w:eastAsia="Arial" w:hAnsi="Arial"/>
          <w:sz w:val="19"/>
          <w:szCs w:val="19"/>
          <w:color w:val="auto"/>
        </w:rPr>
        <w:t>Control shall be considered to be earned and payable in full, vesting shall accelerate assuming the Performance Goals have been met at target and any restrictions shall lapse and any such RSUs shall be settled as promptly as is practicable (but in no event later than March 15 of the calendar year following the end of the calendar year in which the RSUs vest).</w:t>
      </w:r>
    </w:p>
    <w:p>
      <w:pPr>
        <w:spacing w:after="0" w:line="161" w:lineRule="exact"/>
        <w:rPr>
          <w:sz w:val="20"/>
          <w:szCs w:val="20"/>
          <w:color w:val="auto"/>
        </w:rPr>
      </w:pPr>
    </w:p>
    <w:p>
      <w:pPr>
        <w:ind w:right="400" w:firstLine="511"/>
        <w:spacing w:after="0" w:line="251" w:lineRule="auto"/>
        <w:rPr>
          <w:sz w:val="20"/>
          <w:szCs w:val="20"/>
          <w:color w:val="auto"/>
        </w:rPr>
      </w:pPr>
      <w:r>
        <w:rPr>
          <w:rFonts w:ascii="Arial" w:cs="Arial" w:eastAsia="Arial" w:hAnsi="Arial"/>
          <w:sz w:val="22"/>
          <w:szCs w:val="22"/>
          <w:color w:val="auto"/>
        </w:rPr>
        <w:t>Notwithstanding the foregoing, the Committee will continue to have plenary authority and complete discretion to, among other things, accelerate the vesting of a greater percentage of Awards.</w:t>
      </w:r>
    </w:p>
    <w:p>
      <w:pPr>
        <w:spacing w:after="0" w:line="200" w:lineRule="exact"/>
        <w:rPr>
          <w:sz w:val="20"/>
          <w:szCs w:val="20"/>
          <w:color w:val="auto"/>
        </w:rPr>
      </w:pPr>
    </w:p>
    <w:p>
      <w:pPr>
        <w:ind w:firstLine="884"/>
        <w:spacing w:after="0" w:line="251" w:lineRule="auto"/>
        <w:tabs>
          <w:tab w:leader="none" w:pos="1484"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Notwithstanding the foregoing, if any Award is subject to Section 409A of the Code, this Section 13 shall be applicable only to the extent specifically provided in the Award Agreement or in the Individual Agreement.</w:t>
      </w:r>
    </w:p>
    <w:p>
      <w:pPr>
        <w:spacing w:after="0" w:line="262"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22"/>
          <w:szCs w:val="22"/>
          <w:b w:val="1"/>
          <w:bCs w:val="1"/>
          <w:color w:val="auto"/>
        </w:rPr>
        <w:t>TERM, AMENDMENT AND TERMINATION</w:t>
      </w:r>
    </w:p>
    <w:p>
      <w:pPr>
        <w:spacing w:after="0" w:line="239" w:lineRule="exact"/>
        <w:rPr>
          <w:sz w:val="20"/>
          <w:szCs w:val="20"/>
          <w:color w:val="auto"/>
        </w:rPr>
      </w:pPr>
    </w:p>
    <w:p>
      <w:pPr>
        <w:jc w:val="both"/>
        <w:ind w:right="520" w:firstLine="884"/>
        <w:spacing w:after="0" w:line="297" w:lineRule="auto"/>
        <w:tabs>
          <w:tab w:leader="none" w:pos="14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The Plan shall be effective as of June 21, 2018 (the “Effective Date”), subject to approval by the affirmative vote of a majority of the outstanding shares of Common Stock present by person or by proxy at the Company’s 2018 Annual Meeting that are entitled to vote on a proposal to approve the adoption of the Plan.</w:t>
      </w:r>
    </w:p>
    <w:p>
      <w:pPr>
        <w:spacing w:after="0" w:line="215" w:lineRule="exact"/>
        <w:rPr>
          <w:rFonts w:ascii="Arial" w:cs="Arial" w:eastAsia="Arial" w:hAnsi="Arial"/>
          <w:sz w:val="19"/>
          <w:szCs w:val="19"/>
          <w:color w:val="auto"/>
        </w:rPr>
      </w:pPr>
    </w:p>
    <w:p>
      <w:pPr>
        <w:ind w:right="160" w:firstLine="884"/>
        <w:spacing w:after="0" w:line="251" w:lineRule="auto"/>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Plan will terminate on the tenth anniversary of the Effective Date. Awards outstanding as of such date shall not be affected or impaired by the termination of the Plan.</w:t>
      </w:r>
    </w:p>
    <w:p>
      <w:pPr>
        <w:spacing w:after="0" w:line="200" w:lineRule="exact"/>
        <w:rPr>
          <w:rFonts w:ascii="Arial" w:cs="Arial" w:eastAsia="Arial" w:hAnsi="Arial"/>
          <w:sz w:val="22"/>
          <w:szCs w:val="22"/>
          <w:color w:val="auto"/>
        </w:rPr>
      </w:pPr>
    </w:p>
    <w:p>
      <w:pPr>
        <w:ind w:right="80" w:firstLine="884"/>
        <w:spacing w:after="0" w:line="277" w:lineRule="auto"/>
        <w:tabs>
          <w:tab w:leader="none" w:pos="14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Amendment of Plan</w:t>
      </w:r>
      <w:r>
        <w:rPr>
          <w:rFonts w:ascii="Arial" w:cs="Arial" w:eastAsia="Arial" w:hAnsi="Arial"/>
          <w:sz w:val="19"/>
          <w:szCs w:val="19"/>
          <w:color w:val="auto"/>
        </w:rPr>
        <w:t>. The Board may amend, alter, or discontinue the Plan, but no amendment, alteration or discontinuation shall be made which would 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 or to the extent determined by the Committee to be required by the Code to ensure that Incentive Stock Options granted under the Plan are qualified under Section 422 of the Code.</w:t>
      </w:r>
    </w:p>
    <w:p>
      <w:pPr>
        <w:spacing w:after="0" w:line="179" w:lineRule="exact"/>
        <w:rPr>
          <w:rFonts w:ascii="Arial" w:cs="Arial" w:eastAsia="Arial" w:hAnsi="Arial"/>
          <w:sz w:val="19"/>
          <w:szCs w:val="19"/>
          <w:color w:val="auto"/>
        </w:rPr>
      </w:pPr>
    </w:p>
    <w:p>
      <w:pPr>
        <w:ind w:right="180" w:firstLine="884"/>
        <w:spacing w:after="0" w:line="252" w:lineRule="auto"/>
        <w:tabs>
          <w:tab w:leader="none" w:pos="150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Amendment of Awards</w:t>
      </w:r>
      <w:r>
        <w:rPr>
          <w:rFonts w:ascii="Arial" w:cs="Arial" w:eastAsia="Arial" w:hAnsi="Arial"/>
          <w:sz w:val="21"/>
          <w:szCs w:val="21"/>
          <w:color w:val="auto"/>
        </w:rPr>
        <w:t>. Subject to Section 6(d), the Committee may unilaterally amend the terms of any Award theretofore granted, prospectively or retroactively, but no such amendment shall, without the Participant’s consent, materially impair the rights of any Participant with respect to an Award, except such an amendment made to cause the Plan or Award to comply with applicable law, stock exchange rules or accounting rules.</w:t>
      </w:r>
    </w:p>
    <w:p>
      <w:pPr>
        <w:spacing w:after="0" w:line="195"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21"/>
          <w:szCs w:val="21"/>
          <w:b w:val="1"/>
          <w:bCs w:val="1"/>
          <w:color w:val="auto"/>
        </w:rPr>
        <w:t>UNFUNDED STATUS OF PLAN</w:t>
      </w:r>
    </w:p>
    <w:p>
      <w:pPr>
        <w:spacing w:after="0" w:line="239" w:lineRule="exact"/>
        <w:rPr>
          <w:sz w:val="20"/>
          <w:szCs w:val="20"/>
          <w:color w:val="auto"/>
        </w:rPr>
      </w:pPr>
    </w:p>
    <w:p>
      <w:pPr>
        <w:ind w:right="40" w:firstLine="876"/>
        <w:spacing w:after="0" w:line="252" w:lineRule="auto"/>
        <w:rPr>
          <w:sz w:val="20"/>
          <w:szCs w:val="20"/>
          <w:color w:val="auto"/>
        </w:rPr>
      </w:pPr>
      <w:r>
        <w:rPr>
          <w:rFonts w:ascii="Arial" w:cs="Arial" w:eastAsia="Arial" w:hAnsi="Arial"/>
          <w:sz w:val="21"/>
          <w:szCs w:val="21"/>
          <w:color w:val="auto"/>
        </w:rPr>
        <w:t xml:space="preserve">It is presently intended that the Plan constitute an “unfunded” plan. Solely to the extent permitted under Section 409A, the Committee may authorize the creation of trusts or other arrangements to meet the obligations created under the Plan to deliver Common Stock or make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existence of such trusts or other arrangements is consistent with the “unfunded” status of the Plan. Notwithstanding any other provision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78" w:name="page79"/>
    <w:bookmarkEnd w:id="78"/>
    <w:p>
      <w:pPr>
        <w:ind w:right="60"/>
        <w:spacing w:after="0" w:line="287" w:lineRule="auto"/>
        <w:rPr>
          <w:sz w:val="20"/>
          <w:szCs w:val="20"/>
          <w:color w:val="auto"/>
        </w:rPr>
      </w:pPr>
      <w:r>
        <w:rPr>
          <w:rFonts w:ascii="Arial" w:cs="Arial" w:eastAsia="Arial" w:hAnsi="Arial"/>
          <w:sz w:val="19"/>
          <w:szCs w:val="19"/>
          <w:color w:val="auto"/>
        </w:rPr>
        <w:t>Plan to the contrary, with respect to any Award that constitutes a “nonqualified deferred compensation plan” within the meaning of Section 409A of the Code, no trust shall be funded with respect to any such Award if such funding would result in taxable income to the Participant by reason of Section 409A(b) of the Code and in no event shall any such trust assets at any time be located or transferred outside of the United States, within the meaning of Section 409A(b) of the Code.</w:t>
      </w:r>
    </w:p>
    <w:p>
      <w:pPr>
        <w:spacing w:after="0" w:line="164"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21"/>
          <w:szCs w:val="21"/>
          <w:b w:val="1"/>
          <w:bCs w:val="1"/>
          <w:color w:val="auto"/>
        </w:rPr>
        <w:t>GENERAL PROVISIONS</w:t>
      </w:r>
    </w:p>
    <w:p>
      <w:pPr>
        <w:spacing w:after="0" w:line="239" w:lineRule="exact"/>
        <w:rPr>
          <w:sz w:val="20"/>
          <w:szCs w:val="20"/>
          <w:color w:val="auto"/>
        </w:rPr>
      </w:pPr>
    </w:p>
    <w:p>
      <w:pPr>
        <w:ind w:firstLine="885"/>
        <w:spacing w:after="0" w:line="273" w:lineRule="auto"/>
        <w:tabs>
          <w:tab w:leader="none" w:pos="1479"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Conditions for Issuance</w:t>
      </w:r>
      <w:r>
        <w:rPr>
          <w:rFonts w:ascii="Arial" w:cs="Arial" w:eastAsia="Arial" w:hAnsi="Arial"/>
          <w:sz w:val="19"/>
          <w:szCs w:val="19"/>
          <w:color w:val="auto"/>
        </w:rPr>
        <w:t>. The Committee may require each person purchasing or receiving Shares pursuant to an Award to represent to and 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the Plan or agreements made pursuant thereto, the Company shall not be required to issue or deliver any certificate or certificates for Shares under the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88" w:lineRule="exact"/>
        <w:rPr>
          <w:rFonts w:ascii="Arial" w:cs="Arial" w:eastAsia="Arial" w:hAnsi="Arial"/>
          <w:sz w:val="19"/>
          <w:szCs w:val="19"/>
          <w:color w:val="auto"/>
        </w:rPr>
      </w:pPr>
    </w:p>
    <w:p>
      <w:pPr>
        <w:ind w:right="120" w:firstLine="884"/>
        <w:spacing w:after="0" w:line="251" w:lineRule="auto"/>
        <w:tabs>
          <w:tab w:leader="none" w:pos="149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Additional Compensation Arrangements</w:t>
      </w:r>
      <w:r>
        <w:rPr>
          <w:rFonts w:ascii="Arial" w:cs="Arial" w:eastAsia="Arial" w:hAnsi="Arial"/>
          <w:sz w:val="22"/>
          <w:szCs w:val="22"/>
          <w:color w:val="auto"/>
        </w:rPr>
        <w:t>. Nothing contained in the Plan shall prevent the Company or any Subsidiary or Affiliate from adopting other or additional compensation arrangements for its employees.</w:t>
      </w:r>
    </w:p>
    <w:p>
      <w:pPr>
        <w:spacing w:after="0" w:line="200" w:lineRule="exact"/>
        <w:rPr>
          <w:rFonts w:ascii="Arial" w:cs="Arial" w:eastAsia="Arial" w:hAnsi="Arial"/>
          <w:sz w:val="22"/>
          <w:szCs w:val="22"/>
          <w:color w:val="auto"/>
        </w:rPr>
      </w:pPr>
    </w:p>
    <w:p>
      <w:pPr>
        <w:ind w:right="200" w:firstLine="884"/>
        <w:spacing w:after="0" w:line="258" w:lineRule="auto"/>
        <w:tabs>
          <w:tab w:leader="none" w:pos="1477"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No Contract of Employment</w:t>
      </w:r>
      <w:r>
        <w:rPr>
          <w:rFonts w:ascii="Arial" w:cs="Arial" w:eastAsia="Arial" w:hAnsi="Arial"/>
          <w:sz w:val="21"/>
          <w:szCs w:val="21"/>
          <w:color w:val="auto"/>
        </w:rPr>
        <w:t>. The Plan shall not constitute a contract of employment, and adoption of the Plan shall not confer upon any employee any right to continued employment, nor shall it interfere in any way with the right of the Company or any Subsidiary or Affiliate to terminate the employment of any employee at any time.</w:t>
      </w:r>
    </w:p>
    <w:p>
      <w:pPr>
        <w:spacing w:after="0" w:line="193" w:lineRule="exact"/>
        <w:rPr>
          <w:rFonts w:ascii="Arial" w:cs="Arial" w:eastAsia="Arial" w:hAnsi="Arial"/>
          <w:sz w:val="21"/>
          <w:szCs w:val="21"/>
          <w:color w:val="auto"/>
        </w:rPr>
      </w:pPr>
    </w:p>
    <w:p>
      <w:pPr>
        <w:ind w:right="60" w:firstLine="884"/>
        <w:spacing w:after="0" w:line="289" w:lineRule="auto"/>
        <w:tabs>
          <w:tab w:leader="none" w:pos="149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Required Taxes</w:t>
      </w:r>
      <w:r>
        <w:rPr>
          <w:rFonts w:ascii="Arial" w:cs="Arial" w:eastAsia="Arial" w:hAnsi="Arial"/>
          <w:sz w:val="18"/>
          <w:szCs w:val="18"/>
          <w:color w:val="auto"/>
        </w:rPr>
        <w:t>. No later than the date as of which an amount first becomes includible in the gross income of a Participant for federal, state, local or foreign income or employment or other tax purposes with respect to any Award under the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provided, however, that the amount withheld does not exceed the maximum statutory tax rate or such lesser amount as is necessary to avoid liability accounting treatment. The required tax withholding obligation may also be satisfied, in whole or in part, by an arrangement whereby a certain number of Shares issued pursuant to any Award are immediately sold and proceeds from such sale are remitted to the Company in an amount that would satisfy the withholding amount due. In addition, the Committee may require Awards to be subject to mandatory share withholding up to the required withholding amount. The obligations of the Company under the Plan shall be conditional on such payment or arrangements, and the Company and its Affiliates shall, to the extent permitted by law, have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79" w:name="page80"/>
    <w:bookmarkEnd w:id="79"/>
    <w:p>
      <w:pPr>
        <w:ind w:right="420"/>
        <w:spacing w:after="0" w:line="360" w:lineRule="auto"/>
        <w:rPr>
          <w:sz w:val="20"/>
          <w:szCs w:val="20"/>
          <w:color w:val="auto"/>
        </w:rPr>
      </w:pPr>
      <w:r>
        <w:rPr>
          <w:rFonts w:ascii="Arial" w:cs="Arial" w:eastAsia="Arial" w:hAnsi="Arial"/>
          <w:sz w:val="18"/>
          <w:szCs w:val="18"/>
          <w:color w:val="auto"/>
        </w:rPr>
        <w:t>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08" w:lineRule="exact"/>
        <w:rPr>
          <w:sz w:val="20"/>
          <w:szCs w:val="20"/>
          <w:color w:val="auto"/>
        </w:rPr>
      </w:pPr>
    </w:p>
    <w:p>
      <w:pPr>
        <w:ind w:right="20" w:firstLine="884"/>
        <w:spacing w:after="0" w:line="277" w:lineRule="auto"/>
        <w:tabs>
          <w:tab w:leader="none" w:pos="1477"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Limitation on Dividend Reinvestment and Dividend Equivalents</w:t>
      </w:r>
      <w:r>
        <w:rPr>
          <w:rFonts w:ascii="Arial" w:cs="Arial" w:eastAsia="Arial" w:hAnsi="Arial"/>
          <w:sz w:val="19"/>
          <w:szCs w:val="19"/>
          <w:color w:val="auto"/>
        </w:rPr>
        <w:t>. Reinvestment of dividends in additional Restricted Stock at the time of any dividend payment, and the payment of Shares with respect to dividends to Participants holding Awards of RSUs, shall only be permissible if sufficient Shares are available under Section 4 for such reinvestment or payment (taking into account then outstanding Awards). In the event that sufficient Shares are not available for such reinvestment or payment, such reinvestment or payment shall be made in the form of a grant of RSUs equal in number to the Shares that would have been obtained by such payment or reinvestment, the terms of which RSUs shall provide for settlement in cash and for dividend equivalent reinvestment in further RSUs on the terms contemplated by this Section 16(e).</w:t>
      </w:r>
    </w:p>
    <w:p>
      <w:pPr>
        <w:spacing w:after="0" w:line="179" w:lineRule="exact"/>
        <w:rPr>
          <w:rFonts w:ascii="Arial" w:cs="Arial" w:eastAsia="Arial" w:hAnsi="Arial"/>
          <w:sz w:val="19"/>
          <w:szCs w:val="19"/>
          <w:color w:val="auto"/>
        </w:rPr>
      </w:pPr>
    </w:p>
    <w:p>
      <w:pPr>
        <w:ind w:right="120" w:firstLine="884"/>
        <w:spacing w:after="0" w:line="258" w:lineRule="auto"/>
        <w:tabs>
          <w:tab w:leader="none" w:pos="1454"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Designation of Death Beneficiary</w:t>
      </w:r>
      <w:r>
        <w:rPr>
          <w:rFonts w:ascii="Arial" w:cs="Arial" w:eastAsia="Arial" w:hAnsi="Arial"/>
          <w:sz w:val="21"/>
          <w:szCs w:val="21"/>
          <w:color w:val="auto"/>
        </w:rPr>
        <w:t>. The Committee shall establish such procedures as it deems appropriate for a Participant to designate a beneficiary to whom any amounts payable in the event of such Participant’s death are to be paid or by whom any rights of such eligible Individual, after such Participant’s death, may be exercised.</w:t>
      </w:r>
    </w:p>
    <w:p>
      <w:pPr>
        <w:spacing w:after="0" w:line="193" w:lineRule="exact"/>
        <w:rPr>
          <w:rFonts w:ascii="Arial" w:cs="Arial" w:eastAsia="Arial" w:hAnsi="Arial"/>
          <w:sz w:val="21"/>
          <w:szCs w:val="21"/>
          <w:color w:val="auto"/>
        </w:rPr>
      </w:pPr>
    </w:p>
    <w:p>
      <w:pPr>
        <w:ind w:firstLine="884"/>
        <w:spacing w:after="0" w:line="282" w:lineRule="auto"/>
        <w:tabs>
          <w:tab w:leader="none" w:pos="149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Subsidiary Employees</w:t>
      </w:r>
      <w:r>
        <w:rPr>
          <w:rFonts w:ascii="Arial" w:cs="Arial" w:eastAsia="Arial" w:hAnsi="Arial"/>
          <w:sz w:val="19"/>
          <w:szCs w:val="19"/>
          <w:color w:val="auto"/>
        </w:rPr>
        <w:t>. In the case of a grant of an Award to any employee of a Subsidiary of the Company, the 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the Plan. All Shares underlying Awards that are forfeited or canceled should revert to the Company.</w:t>
      </w:r>
    </w:p>
    <w:p>
      <w:pPr>
        <w:spacing w:after="0" w:line="174" w:lineRule="exact"/>
        <w:rPr>
          <w:rFonts w:ascii="Arial" w:cs="Arial" w:eastAsia="Arial" w:hAnsi="Arial"/>
          <w:sz w:val="19"/>
          <w:szCs w:val="19"/>
          <w:color w:val="auto"/>
        </w:rPr>
      </w:pPr>
    </w:p>
    <w:p>
      <w:pPr>
        <w:jc w:val="both"/>
        <w:ind w:right="60" w:firstLine="884"/>
        <w:spacing w:after="0"/>
        <w:tabs>
          <w:tab w:leader="none" w:pos="149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Governing Law and Interpretation</w:t>
      </w:r>
      <w:r>
        <w:rPr>
          <w:rFonts w:ascii="Arial" w:cs="Arial" w:eastAsia="Arial" w:hAnsi="Arial"/>
          <w:sz w:val="22"/>
          <w:szCs w:val="22"/>
          <w:color w:val="auto"/>
        </w:rPr>
        <w:t>. The Plan and all Awards made and actions taken thereunder shall be governed by and construed in accordance with the laws of the State of Delaware, without reference to principles of conflict of laws. The captions of this Plan are not part of the provisions hereof and shall have no force or effect.</w:t>
      </w:r>
    </w:p>
    <w:p>
      <w:pPr>
        <w:spacing w:after="0" w:line="213" w:lineRule="exact"/>
        <w:rPr>
          <w:rFonts w:ascii="Arial" w:cs="Arial" w:eastAsia="Arial" w:hAnsi="Arial"/>
          <w:sz w:val="22"/>
          <w:szCs w:val="22"/>
          <w:color w:val="auto"/>
        </w:rPr>
      </w:pPr>
    </w:p>
    <w:p>
      <w:pPr>
        <w:ind w:right="340" w:firstLine="884"/>
        <w:spacing w:after="0" w:line="251" w:lineRule="auto"/>
        <w:tabs>
          <w:tab w:leader="none" w:pos="144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Except as otherwise provided in Section 6(i) or by the Committee, Awards under the Plan are not transferable except by will or by laws of descent and distribution.</w:t>
      </w:r>
    </w:p>
    <w:p>
      <w:pPr>
        <w:spacing w:after="0" w:line="200" w:lineRule="exact"/>
        <w:rPr>
          <w:rFonts w:ascii="Arial" w:cs="Arial" w:eastAsia="Arial" w:hAnsi="Arial"/>
          <w:sz w:val="22"/>
          <w:szCs w:val="22"/>
          <w:color w:val="auto"/>
        </w:rPr>
      </w:pPr>
    </w:p>
    <w:p>
      <w:pPr>
        <w:ind w:right="20" w:firstLine="884"/>
        <w:spacing w:after="0" w:line="277" w:lineRule="auto"/>
        <w:tabs>
          <w:tab w:leader="none" w:pos="1442"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Foreign Employees and Foreign Law Considerations</w:t>
      </w:r>
      <w:r>
        <w:rPr>
          <w:rFonts w:ascii="Arial" w:cs="Arial" w:eastAsia="Arial" w:hAnsi="Arial"/>
          <w:sz w:val="19"/>
          <w:szCs w:val="19"/>
          <w:color w:val="auto"/>
        </w:rPr>
        <w:t>. The Committee may grant Awards to Eligible Individuals who are foreign 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legal or regulatory provisions.</w:t>
      </w:r>
    </w:p>
    <w:p>
      <w:pPr>
        <w:spacing w:after="0" w:line="179" w:lineRule="exact"/>
        <w:rPr>
          <w:rFonts w:ascii="Arial" w:cs="Arial" w:eastAsia="Arial" w:hAnsi="Arial"/>
          <w:sz w:val="19"/>
          <w:szCs w:val="19"/>
          <w:color w:val="auto"/>
        </w:rPr>
      </w:pPr>
    </w:p>
    <w:p>
      <w:pPr>
        <w:ind w:right="140" w:firstLine="884"/>
        <w:spacing w:after="0" w:line="251" w:lineRule="auto"/>
        <w:tabs>
          <w:tab w:leader="none" w:pos="149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It is the intention of the Company that no Award shall be “deferred compensation” subject to Section 409A of the Code, unless and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80" w:name="page81"/>
    <w:bookmarkEnd w:id="80"/>
    <w:p>
      <w:pPr>
        <w:spacing w:after="0" w:line="273" w:lineRule="auto"/>
        <w:rPr>
          <w:sz w:val="20"/>
          <w:szCs w:val="20"/>
          <w:color w:val="auto"/>
        </w:rPr>
      </w:pPr>
      <w:r>
        <w:rPr>
          <w:rFonts w:ascii="Arial" w:cs="Arial" w:eastAsia="Arial" w:hAnsi="Arial"/>
          <w:sz w:val="19"/>
          <w:szCs w:val="19"/>
          <w:color w:val="auto"/>
        </w:rPr>
        <w:t>the Committee specifically determines otherwise as provided in this Section 16(k), and the Plan and the terms and conditions of all Awards shall be interpreted accordingly. The terms and conditions governing any Awards that the Committee determines will be subject to Section 409A of the Code, including any rules for elective or mandatory deferral of the delivery of cash or Shares pursuant thereto and any rules regarding treatment of such Awards in the event of a Change in Control, shall be set forth in the applicable Award Agreement, and shall comply in all respects with Section 409A of the Code. Notwithstanding any other provision of the Plan to the contrary, with respect to any Award that constitutes a “nonqualified deferred compensation plan” subject to Section 409A of the Code, if the Participant is a “specified employee” within the meaning of Section 409A of the Code, any payments (whether in cash, Shares or other property) to be made with respect to the Award upon the Participant’s Termination of Employment shall be delayed until the earlier of (A) the first day of the seventh month following the Participant’s Termination of Employment and (B) the Participant’s death. Each payment under any Award shall be treated as a separate payment for purposes of Section 409A of the Code. In no event may a Participant, directly or indirectly, designate the calendar year of any payment to be made under any Award.</w:t>
      </w:r>
    </w:p>
    <w:p>
      <w:pPr>
        <w:spacing w:after="0" w:line="177" w:lineRule="exact"/>
        <w:rPr>
          <w:sz w:val="20"/>
          <w:szCs w:val="20"/>
          <w:color w:val="auto"/>
        </w:rPr>
      </w:pPr>
    </w:p>
    <w:p>
      <w:pPr>
        <w:ind w:right="20" w:firstLine="884"/>
        <w:spacing w:after="0" w:line="292" w:lineRule="auto"/>
        <w:tabs>
          <w:tab w:leader="none" w:pos="144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b w:val="1"/>
          <w:bCs w:val="1"/>
          <w:color w:val="auto"/>
        </w:rPr>
        <w:t>.</w:t>
      </w:r>
      <w:r>
        <w:rPr>
          <w:rFonts w:ascii="Arial" w:cs="Arial" w:eastAsia="Arial" w:hAnsi="Arial"/>
          <w:sz w:val="18"/>
          <w:szCs w:val="18"/>
          <w:color w:val="auto"/>
        </w:rPr>
        <w:t xml:space="preserve"> Each person who is or will have been a member of the Board or of the Committee and any designee of the Board or Committee will be indemnified and held harmless by the Company against and from any loss, cost, liability, or expense that may be imposed on or reasonably incurred by him in connection with or resulting from any claim, action, suit, or proceeding to which he may be made party or in which he may be involved by reason of any determination, interpretation, action taken or failure to act under the Plan and against and from any and all amounts paid by him in settlement thereof, with the Company’s approval, or paid by him in satisfaction of any judgment in any such action, suit or proceeding against him, provided he will give the Company an opportunity, at its own expense, to handle and defend the same before he undertakes to handle and defend it on his own behalf. The foregoing right of indemnification will not be exclusive and will be independent of any other rights of indemnification to which such persons may be entitled under the Company’s Articles of Incorporation, By-laws, by contract, as a matter of law, or otherwise.</w:t>
      </w:r>
    </w:p>
    <w:p>
      <w:pPr>
        <w:spacing w:after="0" w:line="170" w:lineRule="exact"/>
        <w:rPr>
          <w:rFonts w:ascii="Arial" w:cs="Arial" w:eastAsia="Arial" w:hAnsi="Arial"/>
          <w:sz w:val="18"/>
          <w:szCs w:val="18"/>
          <w:color w:val="auto"/>
        </w:rPr>
      </w:pPr>
    </w:p>
    <w:p>
      <w:pPr>
        <w:ind w:right="260" w:firstLine="884"/>
        <w:spacing w:after="0" w:line="307" w:lineRule="auto"/>
        <w:tabs>
          <w:tab w:leader="none" w:pos="155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Compensation Recoupment or “Clawback” Policy</w:t>
      </w:r>
      <w:r>
        <w:rPr>
          <w:rFonts w:ascii="Arial" w:cs="Arial" w:eastAsia="Arial" w:hAnsi="Arial"/>
          <w:sz w:val="18"/>
          <w:szCs w:val="18"/>
          <w:color w:val="auto"/>
        </w:rPr>
        <w:t>. Awards may be made subject to any compensation recoupment policy adopted by the Board or the Committee at any time prior to or after the Effective Date, and as such policy may be amended from time to time after its adoption. The compensation recoupment policy will be applied to any Award that constitutes the deferral of compensation subject to Section 409A of the Code in a manner that complies with the requirements of Section 409A of the Code.</w:t>
      </w:r>
    </w:p>
    <w:p>
      <w:pPr>
        <w:sectPr>
          <w:pgSz w:w="11900" w:h="16838" w:orient="portrait"/>
          <w:cols w:equalWidth="0" w:num="1">
            <w:col w:w="11280"/>
          </w:cols>
          <w:pgMar w:left="240" w:top="348" w:right="37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Directors)</w:t>
      </w:r>
    </w:p>
    <w:p>
      <w:pPr>
        <w:spacing w:after="0" w:line="188" w:lineRule="exact"/>
        <w:rPr>
          <w:sz w:val="20"/>
          <w:szCs w:val="20"/>
          <w:color w:val="auto"/>
        </w:rPr>
      </w:pPr>
    </w:p>
    <w:p>
      <w:pPr>
        <w:jc w:val="both"/>
        <w:ind w:right="140" w:firstLine="877"/>
        <w:spacing w:after="0" w:line="252" w:lineRule="auto"/>
        <w:rPr>
          <w:sz w:val="20"/>
          <w:szCs w:val="20"/>
          <w:color w:val="auto"/>
        </w:rPr>
      </w:pPr>
      <w:r>
        <w:rPr>
          <w:rFonts w:ascii="Arial" w:cs="Arial" w:eastAsia="Arial" w:hAnsi="Arial"/>
          <w:sz w:val="21"/>
          <w:szCs w:val="21"/>
          <w:color w:val="auto"/>
        </w:rPr>
        <w:t>THIS RESTRICTED STOCK UNIT AGREEMENT (this “Agreement”), dated as of June 21, 2018 (the “Grant Date”), between TripAdvisor, Inc., a Delaware corporation (the “Company”), and the employee, director or consultant of the Company or one of its Subsidiaries or Affiliates designated on the Grant Details (the “Eligible Individual”), describes the terms of an award of restricted stock units (“RSUs”) to the Eligible Individual by the Company.</w:t>
      </w:r>
    </w:p>
    <w:p>
      <w:pPr>
        <w:spacing w:after="0" w:line="66"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Company’s Amended and Restated 2011 Stock and Annual Incentive Plan (as amended from time to time or replaced by any other equity compensation plan of the Company approved by the shareholders, the “Plan”).</w:t>
      </w:r>
    </w:p>
    <w:p>
      <w:pPr>
        <w:spacing w:after="0" w:line="200" w:lineRule="exact"/>
        <w:rPr>
          <w:sz w:val="20"/>
          <w:szCs w:val="20"/>
          <w:color w:val="auto"/>
        </w:rPr>
      </w:pPr>
    </w:p>
    <w:p>
      <w:pPr>
        <w:spacing w:after="0" w:line="305" w:lineRule="exact"/>
        <w:rPr>
          <w:sz w:val="20"/>
          <w:szCs w:val="20"/>
          <w:color w:val="auto"/>
        </w:rPr>
      </w:pPr>
    </w:p>
    <w:p>
      <w:pPr>
        <w:ind w:left="800" w:hanging="792"/>
        <w:spacing w:after="0"/>
        <w:tabs>
          <w:tab w:leader="none" w:pos="80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RSUs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(a)</w:t>
            </w:r>
          </w:p>
        </w:tc>
        <w:tc>
          <w:tcPr>
            <w:tcW w:w="10800" w:type="dxa"/>
            <w:vAlign w:val="bottom"/>
            <w:gridSpan w:val="3"/>
          </w:tcPr>
          <w:p>
            <w:pPr>
              <w:ind w:left="1080"/>
              <w:spacing w:after="0"/>
              <w:rPr>
                <w:sz w:val="20"/>
                <w:szCs w:val="20"/>
                <w:color w:val="auto"/>
              </w:rPr>
            </w:pPr>
            <w:r>
              <w:rPr>
                <w:rFonts w:ascii="Arial" w:cs="Arial" w:eastAsia="Arial" w:hAnsi="Arial"/>
                <w:sz w:val="22"/>
                <w:szCs w:val="22"/>
                <w:color w:val="auto"/>
                <w:w w:val="88"/>
              </w:rPr>
              <w:t>Subject to the terms and conditions of this Agreement and the Plan and the Grant Details (as defined below), the</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Company hereby grants RSUs to the Eligible Individual. Reference is made to the “Grant Details” that can be found on</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9"/>
              </w:rPr>
              <w:t>the equity plan website of the current professional selected by the Company to administer the Plan (the “Plan</w:t>
            </w:r>
          </w:p>
        </w:tc>
      </w:tr>
      <w:tr>
        <w:trPr>
          <w:trHeight w:val="224"/>
        </w:trPr>
        <w:tc>
          <w:tcPr>
            <w:tcW w:w="520" w:type="dxa"/>
            <w:vAlign w:val="bottom"/>
          </w:tcPr>
          <w:p>
            <w:pPr>
              <w:spacing w:after="0"/>
              <w:rPr>
                <w:sz w:val="19"/>
                <w:szCs w:val="19"/>
                <w:color w:val="auto"/>
              </w:rPr>
            </w:pPr>
          </w:p>
        </w:tc>
        <w:tc>
          <w:tcPr>
            <w:tcW w:w="10800" w:type="dxa"/>
            <w:vAlign w:val="bottom"/>
            <w:gridSpan w:val="3"/>
          </w:tcPr>
          <w:p>
            <w:pPr>
              <w:ind w:left="280"/>
              <w:spacing w:after="0" w:line="224" w:lineRule="exact"/>
              <w:rPr>
                <w:sz w:val="20"/>
                <w:szCs w:val="20"/>
                <w:color w:val="auto"/>
              </w:rPr>
            </w:pPr>
            <w:r>
              <w:rPr>
                <w:rFonts w:ascii="Arial" w:cs="Arial" w:eastAsia="Arial" w:hAnsi="Arial"/>
                <w:sz w:val="22"/>
                <w:szCs w:val="22"/>
                <w:color w:val="auto"/>
                <w:w w:val="96"/>
              </w:rPr>
              <w:t>Administrator”), currently located at www.netbenefits.fidelity.com (or any successor equity administration system</w:t>
            </w:r>
          </w:p>
        </w:tc>
      </w:tr>
      <w:tr>
        <w:trPr>
          <w:trHeight w:val="20"/>
        </w:trPr>
        <w:tc>
          <w:tcPr>
            <w:tcW w:w="5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800" w:type="dxa"/>
            <w:vAlign w:val="bottom"/>
            <w:gridSpan w:val="3"/>
          </w:tcPr>
          <w:p>
            <w:pPr>
              <w:ind w:left="280"/>
              <w:spacing w:after="0" w:line="242" w:lineRule="exact"/>
              <w:rPr>
                <w:sz w:val="20"/>
                <w:szCs w:val="20"/>
                <w:color w:val="auto"/>
              </w:rPr>
            </w:pPr>
            <w:r>
              <w:rPr>
                <w:rFonts w:ascii="Arial" w:cs="Arial" w:eastAsia="Arial" w:hAnsi="Arial"/>
                <w:sz w:val="22"/>
                <w:szCs w:val="22"/>
                <w:color w:val="auto"/>
                <w:w w:val="93"/>
              </w:rPr>
              <w:t>selected by the Company to manage the Plan from time to time). Your Grant Details, which sets forth the number of</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RSUs granted to the Eligible Individual by the Company, the Grant Date and the vesting schedule of the RSUs (among</w:t>
            </w:r>
          </w:p>
        </w:tc>
      </w:tr>
      <w:tr>
        <w:trPr>
          <w:trHeight w:val="275"/>
        </w:trPr>
        <w:tc>
          <w:tcPr>
            <w:tcW w:w="520" w:type="dxa"/>
            <w:vAlign w:val="bottom"/>
          </w:tcPr>
          <w:p>
            <w:pPr>
              <w:spacing w:after="0"/>
              <w:rPr>
                <w:sz w:val="23"/>
                <w:szCs w:val="23"/>
                <w:color w:val="auto"/>
              </w:rPr>
            </w:pPr>
          </w:p>
        </w:tc>
        <w:tc>
          <w:tcPr>
            <w:tcW w:w="10800" w:type="dxa"/>
            <w:vAlign w:val="bottom"/>
            <w:gridSpan w:val="3"/>
          </w:tcPr>
          <w:p>
            <w:pPr>
              <w:ind w:left="280"/>
              <w:spacing w:after="0"/>
              <w:rPr>
                <w:sz w:val="20"/>
                <w:szCs w:val="20"/>
                <w:color w:val="auto"/>
              </w:rPr>
            </w:pPr>
            <w:r>
              <w:rPr>
                <w:rFonts w:ascii="Arial" w:cs="Arial" w:eastAsia="Arial" w:hAnsi="Arial"/>
                <w:sz w:val="22"/>
                <w:szCs w:val="22"/>
                <w:color w:val="auto"/>
                <w:w w:val="93"/>
              </w:rPr>
              <w:t>other information), is hereby incorporated by reference into, and shall be read as part and parcel of, this Agreement.</w:t>
            </w:r>
          </w:p>
        </w:tc>
      </w:tr>
      <w:tr>
        <w:trPr>
          <w:trHeight w:val="320"/>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800" w:type="dxa"/>
            <w:vAlign w:val="bottom"/>
            <w:gridSpan w:val="3"/>
          </w:tcPr>
          <w:p>
            <w:pPr>
              <w:ind w:left="1080"/>
              <w:spacing w:after="0"/>
              <w:rPr>
                <w:sz w:val="20"/>
                <w:szCs w:val="20"/>
                <w:color w:val="auto"/>
              </w:rPr>
            </w:pPr>
            <w:r>
              <w:rPr>
                <w:rFonts w:ascii="Arial" w:cs="Arial" w:eastAsia="Arial" w:hAnsi="Arial"/>
                <w:sz w:val="22"/>
                <w:szCs w:val="22"/>
                <w:color w:val="auto"/>
                <w:w w:val="90"/>
              </w:rPr>
              <w:t>Subject to the terms and conditions of this Agreement, the Grant Details and the Plan</w:t>
            </w:r>
            <w:r>
              <w:rPr>
                <w:rFonts w:ascii="Arial" w:cs="Arial" w:eastAsia="Arial" w:hAnsi="Arial"/>
                <w:sz w:val="22"/>
                <w:szCs w:val="22"/>
                <w:i w:val="1"/>
                <w:iCs w:val="1"/>
                <w:color w:val="auto"/>
                <w:w w:val="90"/>
              </w:rPr>
              <w:t>,</w:t>
            </w:r>
            <w:r>
              <w:rPr>
                <w:rFonts w:ascii="Arial" w:cs="Arial" w:eastAsia="Arial" w:hAnsi="Arial"/>
                <w:sz w:val="22"/>
                <w:szCs w:val="22"/>
                <w:color w:val="auto"/>
                <w:w w:val="90"/>
              </w:rPr>
              <w:t xml:space="preserve"> the RSUs shall vest and</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no longer be subject to any restriction (such period during which restrictions apply shall be referred to as the “RSU</w:t>
            </w:r>
          </w:p>
        </w:tc>
      </w:tr>
      <w:tr>
        <w:trPr>
          <w:trHeight w:val="275"/>
        </w:trPr>
        <w:tc>
          <w:tcPr>
            <w:tcW w:w="520" w:type="dxa"/>
            <w:vAlign w:val="bottom"/>
          </w:tcPr>
          <w:p>
            <w:pPr>
              <w:spacing w:after="0"/>
              <w:rPr>
                <w:sz w:val="23"/>
                <w:szCs w:val="23"/>
                <w:color w:val="auto"/>
              </w:rPr>
            </w:pPr>
          </w:p>
        </w:tc>
        <w:tc>
          <w:tcPr>
            <w:tcW w:w="10800" w:type="dxa"/>
            <w:vAlign w:val="bottom"/>
            <w:gridSpan w:val="3"/>
          </w:tcPr>
          <w:p>
            <w:pPr>
              <w:ind w:left="280"/>
              <w:spacing w:after="0"/>
              <w:rPr>
                <w:sz w:val="20"/>
                <w:szCs w:val="20"/>
                <w:color w:val="auto"/>
              </w:rPr>
            </w:pPr>
            <w:r>
              <w:rPr>
                <w:rFonts w:ascii="Arial" w:cs="Arial" w:eastAsia="Arial" w:hAnsi="Arial"/>
                <w:sz w:val="22"/>
                <w:szCs w:val="22"/>
                <w:color w:val="auto"/>
              </w:rPr>
              <w:t>Restriction Period”) on the dates detailed in the Grant Details.</w:t>
            </w:r>
          </w:p>
        </w:tc>
      </w:tr>
    </w:tbl>
    <w:p>
      <w:pPr>
        <w:spacing w:after="0" w:line="179" w:lineRule="exact"/>
        <w:rPr>
          <w:sz w:val="20"/>
          <w:szCs w:val="20"/>
          <w:color w:val="auto"/>
        </w:rPr>
      </w:pPr>
    </w:p>
    <w:p>
      <w:pPr>
        <w:ind w:left="800" w:hanging="792"/>
        <w:spacing w:after="0"/>
        <w:tabs>
          <w:tab w:leader="none" w:pos="80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RSUs</w:t>
      </w:r>
    </w:p>
    <w:p>
      <w:pPr>
        <w:spacing w:after="0" w:line="212" w:lineRule="exact"/>
        <w:rPr>
          <w:sz w:val="20"/>
          <w:szCs w:val="20"/>
          <w:color w:val="auto"/>
        </w:rPr>
      </w:pPr>
    </w:p>
    <w:p>
      <w:pPr>
        <w:ind w:right="120" w:firstLine="877"/>
        <w:spacing w:after="0" w:line="277" w:lineRule="auto"/>
        <w:rPr>
          <w:sz w:val="20"/>
          <w:szCs w:val="20"/>
          <w:color w:val="auto"/>
        </w:rPr>
      </w:pPr>
      <w:r>
        <w:rPr>
          <w:rFonts w:ascii="Arial" w:cs="Arial" w:eastAsia="Arial" w:hAnsi="Arial"/>
          <w:sz w:val="19"/>
          <w:szCs w:val="19"/>
          <w:color w:val="auto"/>
        </w:rPr>
        <w:t>As soon as practicable after any RSUs have vested and are no longer subject to the RSU Restriction Period and in any event within 60 days, such RSUs shall be settled. Subject to Section 6 (pertaining to the withholding of taxes), for each RSU settled pursuant to this Section 2, the Company shall issue one Share for each vested RSU and cause to be delivered to the Eligible Individual one or more unlegended, freely-transferable stock certificates in respect of such Shares issued upon settlement of the vested RSUs. Notwithstanding the foregoing, the Company shall be entitled to hold the Shares issuable upon settlement of RSUs that have vested until the Company or the Plan Administrator shall have received from the Eligible Individual a duly executed Form W-9 or Form W-8, as applicable, as well as such other documents as may be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ind w:left="800" w:hanging="792"/>
        <w:spacing w:after="0"/>
        <w:tabs>
          <w:tab w:leader="none" w:pos="8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RSUs</w:t>
      </w:r>
    </w:p>
    <w:p>
      <w:pPr>
        <w:spacing w:after="0" w:line="212" w:lineRule="exact"/>
        <w:rPr>
          <w:sz w:val="20"/>
          <w:szCs w:val="20"/>
          <w:color w:val="auto"/>
        </w:rPr>
      </w:pPr>
    </w:p>
    <w:p>
      <w:pPr>
        <w:ind w:firstLine="877"/>
        <w:spacing w:after="0"/>
        <w:rPr>
          <w:sz w:val="20"/>
          <w:szCs w:val="20"/>
          <w:color w:val="auto"/>
        </w:rPr>
      </w:pPr>
      <w:r>
        <w:rPr>
          <w:rFonts w:ascii="Arial" w:cs="Arial" w:eastAsia="Arial" w:hAnsi="Arial"/>
          <w:sz w:val="22"/>
          <w:szCs w:val="22"/>
          <w:color w:val="auto"/>
        </w:rPr>
        <w:t>During the RSU Restriction Period and until such time as the RSUs are settled as provided herein or on the website of the Plan Administrator, the RSUs shall not be transferable by the Eligible Individual by means of sale, assignment, exchange, encumbrance, pledge, hedge or otherwise.</w:t>
      </w:r>
    </w:p>
    <w:p>
      <w:pPr>
        <w:spacing w:after="0" w:line="180" w:lineRule="exact"/>
        <w:rPr>
          <w:sz w:val="20"/>
          <w:szCs w:val="20"/>
          <w:color w:val="auto"/>
        </w:rPr>
      </w:pPr>
    </w:p>
    <w:p>
      <w:pPr>
        <w:ind w:left="820" w:hanging="812"/>
        <w:spacing w:after="0"/>
        <w:tabs>
          <w:tab w:leader="none" w:pos="8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ind w:right="20" w:firstLine="877"/>
        <w:spacing w:after="0" w:line="275" w:lineRule="auto"/>
        <w:rPr>
          <w:sz w:val="20"/>
          <w:szCs w:val="20"/>
          <w:color w:val="auto"/>
        </w:rPr>
      </w:pPr>
      <w:r>
        <w:rPr>
          <w:rFonts w:ascii="Arial" w:cs="Arial" w:eastAsia="Arial" w:hAnsi="Arial"/>
          <w:sz w:val="19"/>
          <w:szCs w:val="19"/>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52" w:lineRule="exact"/>
        <w:rPr>
          <w:sz w:val="20"/>
          <w:szCs w:val="20"/>
          <w:color w:val="auto"/>
        </w:rPr>
      </w:pPr>
    </w:p>
    <w:p>
      <w:pPr>
        <w:ind w:left="800" w:hanging="792"/>
        <w:spacing w:after="0"/>
        <w:tabs>
          <w:tab w:leader="none" w:pos="8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ind w:firstLine="885"/>
        <w:spacing w:after="0" w:line="279" w:lineRule="auto"/>
        <w:tabs>
          <w:tab w:leader="none" w:pos="1765" w:val="left"/>
        </w:tabs>
        <w:numPr>
          <w:ilvl w:val="1"/>
          <w:numId w:val="69"/>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50" w:lineRule="exact"/>
        <w:rPr>
          <w:rFonts w:ascii="Arial" w:cs="Arial" w:eastAsia="Arial" w:hAnsi="Arial"/>
          <w:sz w:val="19"/>
          <w:szCs w:val="19"/>
          <w:color w:val="auto"/>
        </w:rPr>
      </w:pPr>
    </w:p>
    <w:p>
      <w:pPr>
        <w:ind w:firstLine="885"/>
        <w:spacing w:after="0" w:line="245" w:lineRule="auto"/>
        <w:tabs>
          <w:tab w:leader="none" w:pos="1778" w:val="left"/>
        </w:tabs>
        <w:numPr>
          <w:ilvl w:val="1"/>
          <w:numId w:val="69"/>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85" w:lineRule="exact"/>
        <w:rPr>
          <w:rFonts w:ascii="Arial" w:cs="Arial" w:eastAsia="Arial" w:hAnsi="Arial"/>
          <w:sz w:val="21"/>
          <w:szCs w:val="21"/>
          <w:color w:val="auto"/>
        </w:rPr>
      </w:pPr>
    </w:p>
    <w:p>
      <w:pPr>
        <w:ind w:right="160" w:firstLine="885"/>
        <w:spacing w:after="0" w:line="251" w:lineRule="auto"/>
        <w:tabs>
          <w:tab w:leader="none" w:pos="1765"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Eligible Individuals.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83" w:name="page84"/>
    <w:bookmarkEnd w:id="83"/>
    <w:p>
      <w:pPr>
        <w:ind w:left="800" w:hanging="792"/>
        <w:spacing w:after="0"/>
        <w:tabs>
          <w:tab w:leader="none" w:pos="80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840" w:type="dxa"/>
            <w:vAlign w:val="bottom"/>
          </w:tcPr>
          <w:p>
            <w:pPr>
              <w:ind w:left="1080"/>
              <w:spacing w:after="0"/>
              <w:rPr>
                <w:sz w:val="20"/>
                <w:szCs w:val="20"/>
                <w:color w:val="auto"/>
              </w:rPr>
            </w:pPr>
            <w:r>
              <w:rPr>
                <w:rFonts w:ascii="Arial" w:cs="Arial" w:eastAsia="Arial" w:hAnsi="Arial"/>
                <w:sz w:val="22"/>
                <w:szCs w:val="22"/>
                <w:color w:val="auto"/>
                <w:w w:val="88"/>
              </w:rPr>
              <w:t>The Company agrees to pay any and all original issue taxes and stock transfer taxes that may be imposed on the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issuance of shares received by an Eligible Individual in connection with the RSUs, together with any and all other fees</w:t>
            </w:r>
          </w:p>
        </w:tc>
      </w:tr>
      <w:tr>
        <w:trPr>
          <w:trHeight w:val="275"/>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and expenses necessarily incurred by the Company in connection therewith.</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840" w:type="dxa"/>
            <w:vAlign w:val="bottom"/>
          </w:tcPr>
          <w:p>
            <w:pPr>
              <w:ind w:left="1080"/>
              <w:spacing w:after="0"/>
              <w:rPr>
                <w:sz w:val="20"/>
                <w:szCs w:val="20"/>
                <w:color w:val="auto"/>
              </w:rPr>
            </w:pPr>
            <w:r>
              <w:rPr>
                <w:rFonts w:ascii="Arial" w:cs="Arial" w:eastAsia="Arial" w:hAnsi="Arial"/>
                <w:sz w:val="22"/>
                <w:szCs w:val="22"/>
                <w:color w:val="auto"/>
                <w:w w:val="95"/>
              </w:rPr>
              <w:t>Regardless of any action taken by the Company, its Affiliate or Subsidiary takes with respect to any or all</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income tax, social insurance, payroll tax, payment on account or other tax-related withholding (“Tax-Related Items”), the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5"/>
              </w:rPr>
              <w:t>Eligible Individual acknowledges that the ultimate liability for all Tax-Related Items legally due by him or her is and</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6"/>
              </w:rPr>
              <w:t>remains the Eligible Individual’s responsibility and that the Company and/or its Affiliate or Subsidiary (i) make no</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representations or undertakings regarding the treatment of any Tax-Related Items in connection with any aspect of the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Award, including the grant and vesting of the RSUs, the receipt of cash or any dividends or dividend equivalents; and (ii)</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7"/>
              </w:rPr>
              <w:t>do not commit to structure the terms of the Award or any aspect of the RSUs to reduce or eliminate the Eligible</w:t>
            </w:r>
          </w:p>
        </w:tc>
      </w:tr>
      <w:tr>
        <w:trPr>
          <w:trHeight w:val="275"/>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Individual’s liability for Tax-Related Items.</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840" w:type="dxa"/>
            <w:vAlign w:val="bottom"/>
          </w:tcPr>
          <w:p>
            <w:pPr>
              <w:ind w:left="1080"/>
              <w:spacing w:after="0"/>
              <w:rPr>
                <w:sz w:val="20"/>
                <w:szCs w:val="20"/>
                <w:color w:val="auto"/>
              </w:rPr>
            </w:pPr>
            <w:r>
              <w:rPr>
                <w:rFonts w:ascii="Arial" w:cs="Arial" w:eastAsia="Arial" w:hAnsi="Arial"/>
                <w:sz w:val="22"/>
                <w:szCs w:val="22"/>
                <w:color w:val="auto"/>
                <w:w w:val="91"/>
              </w:rPr>
              <w:t>In the event that the Company, Subsidiary or Affiliate is required to withhold any Tax-Related Items as a result</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7"/>
              </w:rPr>
              <w:t>of the award or vesting of the RSUs, or the receipt of cash or any dividends or dividend equivalents, the Eligible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Individual shall pay or make adequate arrangements satisfactory to the Company, Subsidiary or Affiliate to satisfy all</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withholding and payment on account of obligations of the Company, Subsidiary and/or Affiliate. The obligations of the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Company under this Agreement shall be conditioned on compliance by the Eligible Individual with this Section 6. In this</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regard, the Eligible Individual authorizes the Company and/or its Subsidiary or Affiliate to withhold all applicable Tax-</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Related Items legally payable by the Eligible Individual from his or her wages or other cash compensation paid to the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6"/>
              </w:rPr>
              <w:t>Eligible Individual by the Company and/or its Subsidiary or Affiliate. The Company may, in its sole discretion and</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pursuant to such provisions as it may specify from time to time, withhold in Shares the amount of Shares necessary to</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88"/>
              </w:rPr>
              <w:t>satisfy the minimum withholding amount or arrange for the sale of such number of Shares as is necessary to pay any Tax-</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Related Items. In connection herewith, the Eligible Individual (i) authorizes, empowers and directs the Company and the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Plan Administrator (or such brokerage firm as is contracted to manage the Company’s employee equity award program,</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the “Broker”) to sell, at the market price and on the Exercise Date or as soon thereafter as is practicable, the number of</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5"/>
              </w:rPr>
              <w:t>Shares sufficient to pay the Tax-Related Items, and (ii) agrees to indemnify and hold harmless the Broker and the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89"/>
              </w:rPr>
              <w:t>Company from and against all losses, liabilities, damages, claims and expenses, including reasonable attorneys’ fees and</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court costs, arising out of carrying out such actions. Finally, the Eligible Individual will pay to the Company any amount</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of Tax-Related Items that the Company may be required to withhold as a result of the Eligible Individual’s participation</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in the Plan or the Eligible Individual’s Award that cannot be satisfied by the means previously described. The Company</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may refuse to deliver the Shares underlying the RSU if the Eligible Individual fails to comply with his or her obligations</w:t>
            </w:r>
          </w:p>
        </w:tc>
      </w:tr>
      <w:tr>
        <w:trPr>
          <w:trHeight w:val="275"/>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in connection with the Tax-Related Items as described in this Section.</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(d)</w:t>
            </w:r>
          </w:p>
        </w:tc>
        <w:tc>
          <w:tcPr>
            <w:tcW w:w="10840" w:type="dxa"/>
            <w:vAlign w:val="bottom"/>
          </w:tcPr>
          <w:p>
            <w:pPr>
              <w:ind w:left="1080"/>
              <w:spacing w:after="0"/>
              <w:rPr>
                <w:sz w:val="20"/>
                <w:szCs w:val="20"/>
                <w:color w:val="auto"/>
              </w:rPr>
            </w:pPr>
            <w:r>
              <w:rPr>
                <w:rFonts w:ascii="Arial" w:cs="Arial" w:eastAsia="Arial" w:hAnsi="Arial"/>
                <w:sz w:val="22"/>
                <w:szCs w:val="22"/>
                <w:color w:val="auto"/>
                <w:w w:val="97"/>
              </w:rPr>
              <w:t>In particular, the Eligible Individual understands and acknowledges that all income to which the Eligible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Individual is entitled under this Agreement is pre-tax and the Company or its Subsidiaries or Affiliates has the right to</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7"/>
              </w:rPr>
              <w:t>withhold and pay on behalf of the Eligible Individual any individual income tax in connection with such income in</w:t>
            </w:r>
          </w:p>
        </w:tc>
      </w:tr>
      <w:tr>
        <w:trPr>
          <w:trHeight w:val="275"/>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w w:val="98"/>
              </w:rPr>
              <w:t>accordance with applicable law. In the event the Company or its Subsidiaries or Affiliates is not required under</w:t>
            </w:r>
          </w:p>
        </w:tc>
      </w:tr>
      <w:tr>
        <w:trPr>
          <w:trHeight w:val="459"/>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2"/>
                <w:szCs w:val="22"/>
                <w:color w:val="auto"/>
              </w:rPr>
              <w:t>3</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84" w:name="page85"/>
    <w:bookmarkEnd w:id="84"/>
    <w:p>
      <w:pPr>
        <w:ind w:left="872" w:firstLine="811"/>
        <w:spacing w:after="0" w:line="248" w:lineRule="auto"/>
        <w:rPr>
          <w:sz w:val="20"/>
          <w:szCs w:val="20"/>
          <w:color w:val="auto"/>
        </w:rPr>
      </w:pPr>
      <w:r>
        <w:rPr>
          <w:rFonts w:ascii="Arial" w:cs="Arial" w:eastAsia="Arial" w:hAnsi="Arial"/>
          <w:sz w:val="21"/>
          <w:szCs w:val="21"/>
          <w:color w:val="auto"/>
        </w:rPr>
        <w:t>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71" w:lineRule="exact"/>
        <w:rPr>
          <w:sz w:val="20"/>
          <w:szCs w:val="20"/>
          <w:color w:val="auto"/>
        </w:rPr>
      </w:pPr>
    </w:p>
    <w:p>
      <w:pPr>
        <w:ind w:left="812" w:hanging="812"/>
        <w:spacing w:after="0"/>
        <w:tabs>
          <w:tab w:leader="none" w:pos="812"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sz w:val="20"/>
          <w:szCs w:val="20"/>
          <w:color w:val="auto"/>
        </w:rPr>
      </w:pPr>
    </w:p>
    <w:p>
      <w:pPr>
        <w:ind w:left="872" w:hanging="797"/>
        <w:spacing w:after="0" w:line="249" w:lineRule="auto"/>
        <w:tabs>
          <w:tab w:leader="none" w:pos="852"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9" w:lineRule="exact"/>
        <w:rPr>
          <w:sz w:val="20"/>
          <w:szCs w:val="20"/>
          <w:color w:val="auto"/>
        </w:rPr>
      </w:pPr>
    </w:p>
    <w:p>
      <w:pPr>
        <w:ind w:left="872" w:hanging="797"/>
        <w:spacing w:after="0" w:line="275" w:lineRule="auto"/>
        <w:tabs>
          <w:tab w:leader="none" w:pos="852"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79" w:lineRule="exact"/>
        <w:rPr>
          <w:sz w:val="20"/>
          <w:szCs w:val="20"/>
          <w:color w:val="auto"/>
        </w:rPr>
      </w:pPr>
    </w:p>
    <w:p>
      <w:pPr>
        <w:ind w:left="792" w:hanging="792"/>
        <w:spacing w:after="0"/>
        <w:tabs>
          <w:tab w:leader="none" w:pos="792"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39" w:lineRule="exact"/>
        <w:rPr>
          <w:sz w:val="20"/>
          <w:szCs w:val="20"/>
          <w:color w:val="auto"/>
        </w:rPr>
      </w:pPr>
    </w:p>
    <w:p>
      <w:pPr>
        <w:ind w:left="872"/>
        <w:spacing w:after="0"/>
        <w:rPr>
          <w:sz w:val="20"/>
          <w:szCs w:val="20"/>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ind w:left="-8" w:right="60" w:firstLine="885"/>
        <w:spacing w:after="0" w:line="328" w:lineRule="auto"/>
        <w:tabs>
          <w:tab w:leader="none" w:pos="2406"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left="-8" w:right="480" w:firstLine="885"/>
        <w:spacing w:after="0" w:line="274" w:lineRule="auto"/>
        <w:tabs>
          <w:tab w:leader="none" w:pos="2418"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Award is voluntary and occasional and does not create any contractual or other right to receive future Awards, or benefits in lieu of Awards, even if Awards have been made repeatedly in the past;</w:t>
      </w:r>
    </w:p>
    <w:p>
      <w:pPr>
        <w:spacing w:after="0" w:line="150" w:lineRule="exact"/>
        <w:rPr>
          <w:rFonts w:ascii="Arial" w:cs="Arial" w:eastAsia="Arial" w:hAnsi="Arial"/>
          <w:sz w:val="21"/>
          <w:szCs w:val="21"/>
          <w:color w:val="auto"/>
        </w:rPr>
      </w:pPr>
    </w:p>
    <w:p>
      <w:pPr>
        <w:ind w:left="2412" w:hanging="1535"/>
        <w:spacing w:after="0"/>
        <w:tabs>
          <w:tab w:leader="none" w:pos="2412" w:val="left"/>
        </w:tabs>
        <w:numPr>
          <w:ilvl w:val="0"/>
          <w:numId w:val="73"/>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17" w:lineRule="exact"/>
        <w:rPr>
          <w:rFonts w:ascii="Arial" w:cs="Arial" w:eastAsia="Arial" w:hAnsi="Arial"/>
          <w:sz w:val="21"/>
          <w:szCs w:val="21"/>
          <w:color w:val="auto"/>
        </w:rPr>
      </w:pPr>
    </w:p>
    <w:p>
      <w:pPr>
        <w:ind w:left="-8" w:right="100" w:firstLine="885"/>
        <w:spacing w:after="0"/>
        <w:tabs>
          <w:tab w:leader="none" w:pos="2418"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50" w:right="259" w:bottom="1440" w:gutter="0" w:footer="0" w:header="0"/>
        </w:sectPr>
      </w:pPr>
    </w:p>
    <w:bookmarkStart w:id="85" w:name="page86"/>
    <w:bookmarkEnd w:id="85"/>
    <w:p>
      <w:pPr>
        <w:ind w:left="2420" w:hanging="1535"/>
        <w:spacing w:after="0"/>
        <w:tabs>
          <w:tab w:leader="none" w:pos="24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ind w:right="20" w:firstLine="885"/>
        <w:spacing w:after="0"/>
        <w:tabs>
          <w:tab w:leader="none" w:pos="239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86" w:lineRule="exact"/>
        <w:rPr>
          <w:rFonts w:ascii="Arial" w:cs="Arial" w:eastAsia="Arial" w:hAnsi="Arial"/>
          <w:sz w:val="22"/>
          <w:szCs w:val="22"/>
          <w:color w:val="auto"/>
        </w:rPr>
      </w:pPr>
    </w:p>
    <w:p>
      <w:pPr>
        <w:jc w:val="both"/>
        <w:ind w:firstLine="885"/>
        <w:spacing w:after="0" w:line="238" w:lineRule="auto"/>
        <w:tabs>
          <w:tab w:leader="none" w:pos="2426"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right="820" w:firstLine="885"/>
        <w:spacing w:after="0" w:line="328" w:lineRule="auto"/>
        <w:tabs>
          <w:tab w:leader="none" w:pos="2426" w:val="left"/>
        </w:tabs>
        <w:numPr>
          <w:ilvl w:val="1"/>
          <w:numId w:val="74"/>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a Subsidiary or an Affiliate, the Award will not be interpreted to form an employment contract or relationship with the Company; and</w:t>
      </w:r>
    </w:p>
    <w:p>
      <w:pPr>
        <w:spacing w:after="0" w:line="105" w:lineRule="exact"/>
        <w:rPr>
          <w:rFonts w:ascii="Arial" w:cs="Arial" w:eastAsia="Arial" w:hAnsi="Arial"/>
          <w:sz w:val="19"/>
          <w:szCs w:val="19"/>
          <w:color w:val="auto"/>
        </w:rPr>
      </w:pPr>
    </w:p>
    <w:p>
      <w:pPr>
        <w:ind w:right="140" w:firstLine="885"/>
        <w:spacing w:after="0" w:line="279" w:lineRule="auto"/>
        <w:tabs>
          <w:tab w:leader="none" w:pos="2378" w:val="left"/>
        </w:tabs>
        <w:numPr>
          <w:ilvl w:val="1"/>
          <w:numId w:val="74"/>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rFonts w:ascii="Arial" w:cs="Arial" w:eastAsia="Arial" w:hAnsi="Arial"/>
          <w:sz w:val="19"/>
          <w:szCs w:val="19"/>
          <w:color w:val="auto"/>
        </w:rPr>
      </w:pPr>
    </w:p>
    <w:p>
      <w:pPr>
        <w:ind w:left="820" w:hanging="812"/>
        <w:spacing w:after="0"/>
        <w:tabs>
          <w:tab w:leader="none" w:pos="82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w:t>
      </w:r>
    </w:p>
    <w:p>
      <w:pPr>
        <w:spacing w:after="0" w:line="212" w:lineRule="exact"/>
        <w:rPr>
          <w:sz w:val="20"/>
          <w:szCs w:val="20"/>
          <w:color w:val="auto"/>
        </w:rPr>
      </w:pPr>
    </w:p>
    <w:p>
      <w:pPr>
        <w:ind w:right="120"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920" w:hanging="912"/>
        <w:spacing w:after="0"/>
        <w:tabs>
          <w:tab w:leader="none" w:pos="92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ind w:right="40"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920" w:hanging="912"/>
        <w:spacing w:after="0"/>
        <w:tabs>
          <w:tab w:leader="none" w:pos="92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ind w:right="360"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ind w:left="920" w:hanging="912"/>
        <w:spacing w:after="0"/>
        <w:tabs>
          <w:tab w:leader="none" w:pos="9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ind w:right="80" w:firstLine="885"/>
        <w:spacing w:after="0" w:line="252" w:lineRule="auto"/>
        <w:tabs>
          <w:tab w:leader="none" w:pos="2414"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74" w:lineRule="exact"/>
        <w:rPr>
          <w:sz w:val="20"/>
          <w:szCs w:val="20"/>
          <w:color w:val="auto"/>
        </w:rPr>
      </w:pPr>
    </w:p>
    <w:p>
      <w:pPr>
        <w:ind w:left="880" w:right="180" w:hanging="797"/>
        <w:spacing w:after="0" w:line="282" w:lineRule="auto"/>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42" w:lineRule="exact"/>
        <w:rPr>
          <w:sz w:val="20"/>
          <w:szCs w:val="20"/>
          <w:color w:val="auto"/>
        </w:rPr>
      </w:pPr>
    </w:p>
    <w:p>
      <w:pPr>
        <w:ind w:left="920" w:hanging="912"/>
        <w:spacing w:after="0"/>
        <w:tabs>
          <w:tab w:leader="none" w:pos="92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ind w:right="40" w:firstLine="885"/>
        <w:spacing w:after="0" w:line="238" w:lineRule="auto"/>
        <w:tabs>
          <w:tab w:leader="none" w:pos="2414" w:val="left"/>
        </w:tabs>
        <w:numPr>
          <w:ilvl w:val="1"/>
          <w:numId w:val="79"/>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rFonts w:ascii="Arial" w:cs="Arial" w:eastAsia="Arial" w:hAnsi="Arial"/>
          <w:sz w:val="22"/>
          <w:szCs w:val="22"/>
          <w:color w:val="auto"/>
        </w:rPr>
      </w:pPr>
    </w:p>
    <w:p>
      <w:pPr>
        <w:ind w:firstLine="885"/>
        <w:spacing w:after="0" w:line="246" w:lineRule="auto"/>
        <w:tabs>
          <w:tab w:leader="none" w:pos="2426"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rFonts w:ascii="Arial" w:cs="Arial" w:eastAsia="Arial" w:hAnsi="Arial"/>
          <w:sz w:val="21"/>
          <w:szCs w:val="21"/>
          <w:color w:val="auto"/>
        </w:rPr>
      </w:pPr>
    </w:p>
    <w:p>
      <w:pPr>
        <w:jc w:val="both"/>
        <w:ind w:right="200" w:firstLine="885"/>
        <w:spacing w:after="0" w:line="238" w:lineRule="auto"/>
        <w:tabs>
          <w:tab w:leader="none" w:pos="2414" w:val="left"/>
        </w:tabs>
        <w:numPr>
          <w:ilvl w:val="1"/>
          <w:numId w:val="79"/>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action through the executive compensation and benefits team, reserves the right to cancel any erroroneous document and, if appropriate, to replace the cancelled document with a corrected document.</w:t>
      </w:r>
    </w:p>
    <w:p>
      <w:pPr>
        <w:spacing w:after="0" w:line="179" w:lineRule="exact"/>
        <w:rPr>
          <w:rFonts w:ascii="Arial" w:cs="Arial" w:eastAsia="Arial" w:hAnsi="Arial"/>
          <w:sz w:val="22"/>
          <w:szCs w:val="22"/>
          <w:color w:val="auto"/>
        </w:rPr>
      </w:pPr>
    </w:p>
    <w:p>
      <w:pPr>
        <w:ind w:left="920" w:hanging="912"/>
        <w:spacing w:after="0"/>
        <w:tabs>
          <w:tab w:leader="none" w:pos="92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ind w:right="60" w:firstLine="885"/>
        <w:spacing w:after="0" w:line="252" w:lineRule="auto"/>
        <w:tabs>
          <w:tab w:leader="none" w:pos="1765"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the Eligible Individual, , including, but not limited to, the Eligible Individual’s name, home address and telephone number, date of birth, social insurance number or other identification number, salary, nationality, job title, any Shares or directorships held in the Company, details of all options or any other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7" w:name="page88"/>
    <w:bookmarkEnd w:id="87"/>
    <w:p>
      <w:pPr>
        <w:ind w:right="80"/>
        <w:spacing w:after="0" w:line="249" w:lineRule="auto"/>
        <w:rPr>
          <w:sz w:val="20"/>
          <w:szCs w:val="20"/>
          <w:color w:val="auto"/>
        </w:rPr>
      </w:pPr>
      <w:r>
        <w:rPr>
          <w:rFonts w:ascii="Arial" w:cs="Arial" w:eastAsia="Arial" w:hAnsi="Arial"/>
          <w:sz w:val="21"/>
          <w:szCs w:val="21"/>
          <w:color w:val="auto"/>
        </w:rPr>
        <w:t>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79" w:lineRule="exact"/>
        <w:rPr>
          <w:sz w:val="20"/>
          <w:szCs w:val="20"/>
          <w:color w:val="auto"/>
        </w:rPr>
      </w:pPr>
    </w:p>
    <w:p>
      <w:pPr>
        <w:ind w:right="40" w:firstLine="885"/>
        <w:spacing w:after="0" w:line="275" w:lineRule="auto"/>
        <w:tabs>
          <w:tab w:leader="none" w:pos="1778"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8" w:lineRule="exact"/>
        <w:rPr>
          <w:rFonts w:ascii="Arial" w:cs="Arial" w:eastAsia="Arial" w:hAnsi="Arial"/>
          <w:sz w:val="19"/>
          <w:szCs w:val="19"/>
          <w:color w:val="auto"/>
        </w:rPr>
      </w:pPr>
    </w:p>
    <w:p>
      <w:pPr>
        <w:ind w:right="100" w:firstLine="885"/>
        <w:spacing w:after="0" w:line="279" w:lineRule="auto"/>
        <w:tabs>
          <w:tab w:leader="none" w:pos="1765"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rFonts w:ascii="Arial" w:cs="Arial" w:eastAsia="Arial" w:hAnsi="Arial"/>
          <w:sz w:val="19"/>
          <w:szCs w:val="19"/>
          <w:color w:val="auto"/>
        </w:rPr>
      </w:pPr>
    </w:p>
    <w:p>
      <w:pPr>
        <w:ind w:left="920" w:hanging="912"/>
        <w:spacing w:after="0"/>
        <w:tabs>
          <w:tab w:leader="none" w:pos="92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ind w:right="60" w:firstLine="885"/>
        <w:spacing w:after="0" w:line="249" w:lineRule="auto"/>
        <w:tabs>
          <w:tab w:leader="none" w:pos="2414"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8" w:lineRule="exact"/>
        <w:rPr>
          <w:rFonts w:ascii="Arial" w:cs="Arial" w:eastAsia="Arial" w:hAnsi="Arial"/>
          <w:sz w:val="21"/>
          <w:szCs w:val="21"/>
          <w:color w:val="auto"/>
        </w:rPr>
      </w:pPr>
    </w:p>
    <w:p>
      <w:pPr>
        <w:ind w:firstLine="885"/>
        <w:spacing w:after="0" w:line="279" w:lineRule="auto"/>
        <w:tabs>
          <w:tab w:leader="none" w:pos="2426"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qualify for an exemption, or comply with, the applicable requirements of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8" w:name="page89"/>
    <w:bookmarkEnd w:id="88"/>
    <w:p>
      <w:pPr>
        <w:ind w:right="160"/>
        <w:spacing w:after="0" w:line="251" w:lineRule="auto"/>
        <w:rPr>
          <w:sz w:val="20"/>
          <w:szCs w:val="20"/>
          <w:color w:val="auto"/>
        </w:rPr>
      </w:pPr>
      <w:r>
        <w:rPr>
          <w:rFonts w:ascii="Arial" w:cs="Arial" w:eastAsia="Arial" w:hAnsi="Arial"/>
          <w:sz w:val="22"/>
          <w:szCs w:val="22"/>
          <w:color w:val="auto"/>
        </w:rPr>
        <w:t>attributable to the time value of money resulting from a delay in the timing of payments hereunder for a period of approximately six months or such longer period as may be required).</w:t>
      </w:r>
    </w:p>
    <w:p>
      <w:pPr>
        <w:spacing w:after="0" w:line="167" w:lineRule="exact"/>
        <w:rPr>
          <w:sz w:val="20"/>
          <w:szCs w:val="20"/>
          <w:color w:val="auto"/>
        </w:rPr>
      </w:pPr>
    </w:p>
    <w:p>
      <w:pPr>
        <w:ind w:left="920" w:hanging="912"/>
        <w:spacing w:after="0"/>
        <w:tabs>
          <w:tab w:leader="none" w:pos="92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920" w:hanging="912"/>
        <w:spacing w:after="0"/>
        <w:tabs>
          <w:tab w:leader="none" w:pos="92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ind w:firstLine="877"/>
        <w:spacing w:after="0" w:line="249"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80"/>
          </w:cols>
          <w:pgMar w:left="240" w:top="334" w:right="3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1,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1,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period ended June 30, 2018,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1,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period ended June 30, 2018,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1,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1)"/>
      <w:numFmt w:val="decimal"/>
      <w:start w:val="3"/>
    </w:lvl>
  </w:abstractNum>
  <w:abstractNum w:abstractNumId="11">
    <w:nsid w:val="579478FE"/>
    <w:multiLevelType w:val="hybridMultilevel"/>
    <w:lvl w:ilvl="0">
      <w:lvlJc w:val="left"/>
      <w:lvlText w:val="(%1)"/>
      <w:numFmt w:val="decimal"/>
      <w:start w:val="5"/>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lvl w:ilvl="1">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0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lowerLetter"/>
      <w:start w:val="1"/>
    </w:lvl>
    <w:lvl w:ilvl="1">
      <w:lvlJc w:val="left"/>
      <w:lvlText w:val="(%2)"/>
      <w:numFmt w:val="lowerRoman"/>
      <w:start w:val="1"/>
    </w:lvl>
  </w:abstractNum>
  <w:abstractNum w:abstractNumId="32">
    <w:nsid w:val="741226BB"/>
    <w:multiLevelType w:val="hybridMultilevel"/>
    <w:lvl w:ilvl="0">
      <w:lvlJc w:val="left"/>
      <w:lvlText w:val="%1"/>
      <w:numFmt w:val="lowerLetter"/>
      <w:start w:val="1"/>
    </w:lvl>
    <w:lvl w:ilvl="1">
      <w:lvlJc w:val="left"/>
      <w:lvlText w:val="(%2)"/>
      <w:numFmt w:val="lowerRoman"/>
      <w:start w:val="9"/>
    </w:lvl>
  </w:abstractNum>
  <w:abstractNum w:abstractNumId="33">
    <w:nsid w:val="D34B6A8"/>
    <w:multiLevelType w:val="hybridMultilevel"/>
    <w:lvl w:ilvl="0">
      <w:lvlJc w:val="left"/>
      <w:lvlText w:val="(%1)"/>
      <w:numFmt w:val="lowerLetter"/>
      <w:start w:val="2"/>
    </w:lvl>
    <w:lvl w:ilvl="1">
      <w:lvlJc w:val="left"/>
      <w:lvlText w:val="(%2)"/>
      <w:numFmt w:val="lowerRoman"/>
      <w:start w:val="1"/>
    </w:lvl>
  </w:abstractNum>
  <w:abstractNum w:abstractNumId="34">
    <w:nsid w:val="10233C99"/>
    <w:multiLevelType w:val="hybridMultilevel"/>
    <w:lvl w:ilvl="0">
      <w:lvlJc w:val="left"/>
      <w:lvlText w:val="(%1)"/>
      <w:numFmt w:val="lowerLetter"/>
      <w:start w:val="5"/>
    </w:lvl>
  </w:abstractNum>
  <w:abstractNum w:abstractNumId="35">
    <w:nsid w:val="3F6AB60F"/>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36">
    <w:nsid w:val="6157409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7">
    <w:nsid w:val="7E0C57B1"/>
    <w:multiLevelType w:val="hybridMultilevel"/>
    <w:lvl w:ilvl="0">
      <w:lvlJc w:val="left"/>
      <w:lvlText w:val="(%1)"/>
      <w:numFmt w:val="lowerRoman"/>
      <w:start w:val="4"/>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3"/>
    </w:lvl>
  </w:abstractNum>
  <w:abstractNum w:abstractNumId="40">
    <w:nsid w:val="310C50B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41">
    <w:nsid w:val="5FF87E0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42">
    <w:nsid w:val="2F305DEF"/>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2"/>
    </w:lvl>
    <w:lvl w:ilvl="1">
      <w:lvlJc w:val="left"/>
      <w:lvlText w:val="(%2)"/>
      <w:numFmt w:val="lowerRoman"/>
      <w:start w:val="1"/>
    </w:lvl>
  </w:abstractNum>
  <w:abstractNum w:abstractNumId="45">
    <w:nsid w:val="4AD084E9"/>
    <w:multiLevelType w:val="hybridMultilevel"/>
    <w:lvl w:ilvl="0">
      <w:lvlJc w:val="left"/>
      <w:lvlText w:val="(%1)"/>
      <w:numFmt w:val="lowerRoman"/>
      <w:start w:val="3"/>
    </w:lvl>
  </w:abstractNum>
  <w:abstractNum w:abstractNumId="46">
    <w:nsid w:val="1F48EAA1"/>
    <w:multiLevelType w:val="hybridMultilevel"/>
    <w:lvl w:ilvl="0">
      <w:lvlJc w:val="left"/>
      <w:lvlText w:val="(%1)"/>
      <w:numFmt w:val="lowerLetter"/>
      <w:start w:val="1"/>
    </w:lvl>
    <w:lvl w:ilvl="1">
      <w:lvlJc w:val="left"/>
      <w:lvlText w:val="(%2)"/>
      <w:numFmt w:val="lowerLetter"/>
      <w:start w:val="9"/>
    </w:lvl>
  </w:abstractNum>
  <w:abstractNum w:abstractNumId="47">
    <w:nsid w:val="1381823A"/>
    <w:multiLevelType w:val="hybridMultilevel"/>
    <w:lvl w:ilvl="0">
      <w:lvlJc w:val="left"/>
      <w:lvlText w:val="(%1)"/>
      <w:numFmt w:val="lowerRoman"/>
      <w:start w:val="2"/>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1"/>
    </w:lvl>
    <w:lvl w:ilvl="1">
      <w:lvlJc w:val="left"/>
      <w:lvlText w:val="(%2)"/>
      <w:numFmt w:val="lowerLetter"/>
      <w:start w:val="9"/>
    </w:lvl>
  </w:abstractNum>
  <w:abstractNum w:abstractNumId="52">
    <w:nsid w:val="5F5E7FD0"/>
    <w:multiLevelType w:val="hybridMultilevel"/>
    <w:lvl w:ilvl="0">
      <w:lvlJc w:val="left"/>
      <w:lvlText w:val="%1"/>
      <w:numFmt w:val="lowerLetter"/>
      <w:start w:val="1"/>
    </w:lvl>
    <w:lvl w:ilvl="1">
      <w:lvlJc w:val="left"/>
      <w:lvlText w:val="(%2)"/>
      <w:numFmt w:val="lowerRoman"/>
      <w:start w:val="2"/>
    </w:lvl>
  </w:abstractNum>
  <w:abstractNum w:abstractNumId="53">
    <w:nsid w:val="98A3148"/>
    <w:multiLevelType w:val="hybridMultilevel"/>
    <w:lvl w:ilvl="0">
      <w:lvlJc w:val="left"/>
      <w:lvlText w:val="(%1)"/>
      <w:numFmt w:val="lowerLetter"/>
      <w:start w:val="2"/>
    </w:lvl>
    <w:lvl w:ilvl="1">
      <w:lvlJc w:val="left"/>
      <w:lvlText w:val="%2"/>
      <w:numFmt w:val="lowerRoman"/>
      <w:start w:val="1"/>
    </w:lvl>
  </w:abstractNum>
  <w:abstractNum w:abstractNumId="54">
    <w:nsid w:val="799D0247"/>
    <w:multiLevelType w:val="hybridMultilevel"/>
    <w:lvl w:ilvl="0">
      <w:lvlJc w:val="left"/>
      <w:lvlText w:val="(%1)"/>
      <w:numFmt w:val="lowerLetter"/>
      <w:start w:val="1"/>
    </w:lvl>
    <w:lvl w:ilvl="1">
      <w:lvlJc w:val="left"/>
      <w:lvlText w:val="(%2)"/>
      <w:numFmt w:val="lowerLetter"/>
      <w:start w:val="9"/>
    </w:lvl>
  </w:abstractNum>
  <w:abstractNum w:abstractNumId="55">
    <w:nsid w:val="6B94764"/>
    <w:multiLevelType w:val="hybridMultilevel"/>
    <w:lvl w:ilvl="0">
      <w:lvlJc w:val="left"/>
      <w:lvlText w:val="%1"/>
      <w:numFmt w:val="lowerLetter"/>
      <w:start w:val="1"/>
    </w:lvl>
    <w:lvl w:ilvl="1">
      <w:lvlJc w:val="left"/>
      <w:lvlText w:val="(%2)"/>
      <w:numFmt w:val="lowerRoman"/>
      <w:start w:val="2"/>
    </w:lvl>
  </w:abstractNum>
  <w:abstractNum w:abstractNumId="56">
    <w:nsid w:val="42C296BD"/>
    <w:multiLevelType w:val="hybridMultilevel"/>
    <w:lvl w:ilvl="0">
      <w:lvlJc w:val="left"/>
      <w:lvlText w:val="(%1)"/>
      <w:numFmt w:val="lowerLetter"/>
      <w:start w:val="2"/>
    </w:lvl>
    <w:lvl w:ilvl="1">
      <w:lvlJc w:val="left"/>
      <w:lvlText w:val="(%2)"/>
      <w:numFmt w:val="lowerRoman"/>
      <w:start w:val="1"/>
    </w:lvl>
  </w:abstractNum>
  <w:abstractNum w:abstractNumId="57">
    <w:nsid w:val="168E121F"/>
    <w:multiLevelType w:val="hybridMultilevel"/>
    <w:lvl w:ilvl="0">
      <w:lvlJc w:val="left"/>
      <w:lvlText w:val="%1"/>
      <w:numFmt w:val="lowerLetter"/>
      <w:start w:val="1"/>
    </w:lvl>
    <w:lvl w:ilvl="1">
      <w:lvlJc w:val="left"/>
      <w:lvlText w:val="(%2)"/>
      <w:numFmt w:val="lowerRoman"/>
      <w:start w:val="2"/>
    </w:lvl>
  </w:abstractNum>
  <w:abstractNum w:abstractNumId="58">
    <w:nsid w:val="1EBA5D23"/>
    <w:multiLevelType w:val="hybridMultilevel"/>
    <w:lvl w:ilvl="0">
      <w:lvlJc w:val="left"/>
      <w:lvlText w:val="(%1)"/>
      <w:numFmt w:val="lowerLetter"/>
      <w:start w:val="3"/>
    </w:lvl>
    <w:lvl w:ilvl="1">
      <w:lvlJc w:val="left"/>
      <w:lvlText w:val="(%2)"/>
      <w:numFmt w:val="lowerRoman"/>
      <w:start w:val="1"/>
    </w:lvl>
  </w:abstractNum>
  <w:abstractNum w:abstractNumId="59">
    <w:nsid w:val="661E3F1E"/>
    <w:multiLevelType w:val="hybridMultilevel"/>
    <w:lvl w:ilvl="0">
      <w:lvlJc w:val="left"/>
      <w:lvlText w:val="(%1)"/>
      <w:numFmt w:val="lowerLetter"/>
      <w:start w:val="4"/>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5"/>
    </w:lvl>
  </w:abstractNum>
  <w:abstractNum w:abstractNumId="63">
    <w:nsid w:val="51D9C564"/>
    <w:multiLevelType w:val="hybridMultilevel"/>
    <w:lvl w:ilvl="0">
      <w:lvlJc w:val="left"/>
      <w:lvlText w:val="(%1)"/>
      <w:numFmt w:val="lowerLetter"/>
      <w:start w:val="12"/>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2"/>
    </w:lvl>
  </w:abstractNum>
  <w:abstractNum w:abstractNumId="66">
    <w:nsid w:val="11447B73"/>
    <w:multiLevelType w:val="hybridMultilevel"/>
    <w:lvl w:ilvl="0">
      <w:lvlJc w:val="left"/>
      <w:lvlText w:val="%1."/>
      <w:numFmt w:val="decimal"/>
      <w:start w:val="3"/>
    </w:lvl>
  </w:abstractNum>
  <w:abstractNum w:abstractNumId="67">
    <w:nsid w:val="42963E5A"/>
    <w:multiLevelType w:val="hybridMultilevel"/>
    <w:lvl w:ilvl="0">
      <w:lvlJc w:val="left"/>
      <w:lvlText w:val="%1."/>
      <w:numFmt w:val="decimal"/>
      <w:start w:val="4"/>
    </w:lvl>
  </w:abstractNum>
  <w:abstractNum w:abstractNumId="68">
    <w:nsid w:val="A0382C5"/>
    <w:multiLevelType w:val="hybridMultilevel"/>
    <w:lvl w:ilvl="0">
      <w:lvlJc w:val="left"/>
      <w:lvlText w:val="%1."/>
      <w:numFmt w:val="decimal"/>
      <w:start w:val="5"/>
    </w:lvl>
    <w:lvl w:ilvl="1">
      <w:lvlJc w:val="left"/>
      <w:lvlText w:val="(%2)"/>
      <w:numFmt w:val="lowerLetter"/>
      <w:start w:val="1"/>
    </w:lvl>
  </w:abstractNum>
  <w:abstractNum w:abstractNumId="69">
    <w:nsid w:val="8F2B15E"/>
    <w:multiLevelType w:val="hybridMultilevel"/>
    <w:lvl w:ilvl="0">
      <w:lvlJc w:val="left"/>
      <w:lvlText w:val="%1."/>
      <w:numFmt w:val="decimal"/>
      <w:start w:val="6"/>
    </w:lvl>
  </w:abstractNum>
  <w:abstractNum w:abstractNumId="70">
    <w:nsid w:val="1A32234B"/>
    <w:multiLevelType w:val="hybridMultilevel"/>
    <w:lvl w:ilvl="0">
      <w:lvlJc w:val="left"/>
      <w:lvlText w:val="%1."/>
      <w:numFmt w:val="decimal"/>
      <w:start w:val="7"/>
    </w:lvl>
  </w:abstractNum>
  <w:abstractNum w:abstractNumId="71">
    <w:nsid w:val="3B0FD379"/>
    <w:multiLevelType w:val="hybridMultilevel"/>
    <w:lvl w:ilvl="0">
      <w:lvlJc w:val="left"/>
      <w:lvlText w:val="%1."/>
      <w:numFmt w:val="decimal"/>
      <w:start w:val="8"/>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decimal"/>
      <w:start w:val="1"/>
    </w:lvl>
    <w:lvl w:ilvl="1">
      <w:lvlJc w:val="left"/>
      <w:lvlText w:val="(%2)"/>
      <w:numFmt w:val="lowerLetter"/>
      <w:start w:val="5"/>
    </w:lvl>
  </w:abstractNum>
  <w:abstractNum w:abstractNumId="74">
    <w:nsid w:val="60B6DF70"/>
    <w:multiLevelType w:val="hybridMultilevel"/>
    <w:lvl w:ilvl="0">
      <w:lvlJc w:val="left"/>
      <w:lvlText w:val="%1."/>
      <w:numFmt w:val="decimal"/>
      <w:start w:val="9"/>
    </w:lvl>
    <w:lvl w:ilvl="1">
      <w:lvlJc w:val="left"/>
      <w:lvlText w:val="%2"/>
      <w:numFmt w:val="lowerLetter"/>
      <w:start w:val="1"/>
    </w:lvl>
  </w:abstractNum>
  <w:abstractNum w:abstractNumId="75">
    <w:nsid w:val="6A5EE64"/>
    <w:multiLevelType w:val="hybridMultilevel"/>
    <w:lvl w:ilvl="0">
      <w:lvlJc w:val="left"/>
      <w:lvlText w:val="%1."/>
      <w:numFmt w:val="decimal"/>
      <w:start w:val="10"/>
    </w:lvl>
  </w:abstractNum>
  <w:abstractNum w:abstractNumId="76">
    <w:nsid w:val="14330624"/>
    <w:multiLevelType w:val="hybridMultilevel"/>
    <w:lvl w:ilvl="0">
      <w:lvlJc w:val="left"/>
      <w:lvlText w:val="%1."/>
      <w:numFmt w:val="decimal"/>
      <w:start w:val="11"/>
    </w:lvl>
  </w:abstractNum>
  <w:abstractNum w:abstractNumId="77">
    <w:nsid w:val="7FFFCA11"/>
    <w:multiLevelType w:val="hybridMultilevel"/>
    <w:lvl w:ilvl="0">
      <w:lvlJc w:val="left"/>
      <w:lvlText w:val="%1."/>
      <w:numFmt w:val="decimal"/>
      <w:start w:val="12"/>
    </w:lvl>
    <w:lvl w:ilvl="1">
      <w:lvlJc w:val="left"/>
      <w:lvlText w:val="(%2)"/>
      <w:numFmt w:val="lowerLetter"/>
      <w:start w:val="1"/>
    </w:lvl>
  </w:abstractNum>
  <w:abstractNum w:abstractNumId="78">
    <w:nsid w:val="1A27709E"/>
    <w:multiLevelType w:val="hybridMultilevel"/>
    <w:lvl w:ilvl="0">
      <w:lvlJc w:val="left"/>
      <w:lvlText w:val="%1."/>
      <w:numFmt w:val="decimal"/>
      <w:start w:val="13"/>
    </w:lvl>
    <w:lvl w:ilvl="1">
      <w:lvlJc w:val="left"/>
      <w:lvlText w:val="(%2)"/>
      <w:numFmt w:val="lowerLetter"/>
      <w:start w:val="1"/>
    </w:lvl>
  </w:abstractNum>
  <w:abstractNum w:abstractNumId="79">
    <w:nsid w:val="71EA1109"/>
    <w:multiLevelType w:val="hybridMultilevel"/>
    <w:lvl w:ilvl="0">
      <w:lvlJc w:val="left"/>
      <w:lvlText w:val="%1"/>
      <w:numFmt w:val="decimal"/>
      <w:start w:val="1"/>
    </w:lvl>
    <w:lvl w:ilvl="1">
      <w:lvlJc w:val="left"/>
      <w:lvlText w:val="(%2)"/>
      <w:numFmt w:val="lowerLetter"/>
      <w:start w:val="2"/>
    </w:lvl>
  </w:abstractNum>
  <w:abstractNum w:abstractNumId="80">
    <w:nsid w:val="100F59DC"/>
    <w:multiLevelType w:val="hybridMultilevel"/>
    <w:lvl w:ilvl="0">
      <w:lvlJc w:val="left"/>
      <w:lvlText w:val="%1."/>
      <w:numFmt w:val="decimal"/>
      <w:start w:val="15"/>
    </w:lvl>
    <w:lvl w:ilvl="1">
      <w:lvlJc w:val="left"/>
      <w:lvlText w:val="(%2)"/>
      <w:numFmt w:val="lowerLetter"/>
      <w:start w:val="1"/>
    </w:lvl>
  </w:abstractNum>
  <w:abstractNum w:abstractNumId="81">
    <w:nsid w:val="7FB7E0AA"/>
    <w:multiLevelType w:val="hybridMultilevel"/>
    <w:lvl w:ilvl="0">
      <w:lvlJc w:val="left"/>
      <w:lvlText w:val="%1."/>
      <w:numFmt w:val="decimal"/>
      <w:start w:val="16"/>
    </w:lvl>
  </w:abstractNum>
  <w:abstractNum w:abstractNumId="82">
    <w:nsid w:val="6EB5BD4"/>
    <w:multiLevelType w:val="hybridMultilevel"/>
    <w:lvl w:ilvl="0">
      <w:lvlJc w:val="left"/>
      <w:lvlText w:val="%1."/>
      <w:numFmt w:val="decimal"/>
      <w:start w:val="17"/>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2019-12-28T20:36:54Z</dcterms:created>
  <dcterms:modified xsi:type="dcterms:W3CDTF">2019-12-28T20:36:54Z</dcterms:modified>
</cp:coreProperties>
</file>