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4"/>
          <w:szCs w:val="24"/>
          <w:color w:val="auto"/>
        </w:rPr>
      </w:pPr>
    </w:p>
    <w:p>
      <w:pPr>
        <w:ind w:left="4360" w:right="3860" w:hanging="4352"/>
        <w:spacing w:after="0" w:line="342" w:lineRule="auto"/>
        <w:tabs>
          <w:tab w:leader="none" w:pos="53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2014</w:t>
      </w:r>
    </w:p>
    <w:p>
      <w:pPr>
        <w:ind w:left="56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420"/>
          </w:cols>
          <w:pgMar w:left="240" w:top="345" w:right="239" w:bottom="1440" w:gutter="0" w:footer="0" w:header="0"/>
        </w:sectPr>
      </w:pPr>
    </w:p>
    <w:p>
      <w:pPr>
        <w:spacing w:after="0" w:line="82" w:lineRule="exact"/>
        <w:rPr>
          <w:sz w:val="24"/>
          <w:szCs w:val="24"/>
          <w:color w:val="auto"/>
        </w:rPr>
      </w:pPr>
    </w:p>
    <w:p>
      <w:pPr>
        <w:ind w:left="4360"/>
        <w:spacing w:after="0"/>
        <w:tabs>
          <w:tab w:leader="none" w:pos="6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20" w:type="dxa"/>
            <w:vAlign w:val="bottom"/>
          </w:tcPr>
          <w:p>
            <w:pPr>
              <w:spacing w:after="0"/>
              <w:rPr>
                <w:sz w:val="24"/>
                <w:szCs w:val="24"/>
                <w:color w:val="auto"/>
              </w:rPr>
            </w:pPr>
          </w:p>
        </w:tc>
        <w:tc>
          <w:tcPr>
            <w:tcW w:w="7960" w:type="dxa"/>
            <w:vAlign w:val="bottom"/>
            <w:gridSpan w:val="6"/>
          </w:tcPr>
          <w:p>
            <w:pPr>
              <w:jc w:val="center"/>
              <w:ind w:left="3342"/>
              <w:spacing w:after="0"/>
              <w:rPr>
                <w:sz w:val="20"/>
                <w:szCs w:val="20"/>
                <w:color w:val="auto"/>
              </w:rPr>
            </w:pPr>
            <w:r>
              <w:rPr>
                <w:rFonts w:ascii="Times New Roman" w:cs="Times New Roman" w:eastAsia="Times New Roman" w:hAnsi="Times New Roman"/>
                <w:sz w:val="36"/>
                <w:szCs w:val="36"/>
                <w:b w:val="1"/>
                <w:bCs w:val="1"/>
                <w:color w:val="auto"/>
                <w:w w:val="99"/>
              </w:rPr>
              <w:t>TRIPADVISOR,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3982"/>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40" w:type="dxa"/>
            <w:vAlign w:val="bottom"/>
          </w:tcPr>
          <w:p>
            <w:pPr>
              <w:spacing w:after="0"/>
              <w:rPr>
                <w:sz w:val="17"/>
                <w:szCs w:val="17"/>
                <w:color w:val="auto"/>
              </w:rPr>
            </w:pPr>
          </w:p>
        </w:tc>
        <w:tc>
          <w:tcPr>
            <w:tcW w:w="3440" w:type="dxa"/>
            <w:vAlign w:val="bottom"/>
          </w:tcPr>
          <w:p>
            <w:pPr>
              <w:jc w:val="center"/>
              <w:ind w:right="2070"/>
              <w:spacing w:after="0"/>
              <w:rPr>
                <w:sz w:val="20"/>
                <w:szCs w:val="20"/>
                <w:color w:val="auto"/>
              </w:rPr>
            </w:pPr>
            <w:r>
              <w:rPr>
                <w:rFonts w:ascii="Times New Roman" w:cs="Times New Roman" w:eastAsia="Times New Roman" w:hAnsi="Times New Roman"/>
                <w:sz w:val="14"/>
                <w:szCs w:val="14"/>
                <w:b w:val="1"/>
                <w:bCs w:val="1"/>
                <w:color w:val="auto"/>
              </w:rPr>
              <w:t>80-0743202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jc w:val="center"/>
              <w:ind w:right="1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640" w:type="dxa"/>
            <w:vAlign w:val="bottom"/>
          </w:tcPr>
          <w:p>
            <w:pPr>
              <w:spacing w:after="0"/>
              <w:rPr>
                <w:sz w:val="12"/>
                <w:szCs w:val="12"/>
                <w:color w:val="auto"/>
              </w:rPr>
            </w:pPr>
          </w:p>
        </w:tc>
        <w:tc>
          <w:tcPr>
            <w:tcW w:w="3440" w:type="dxa"/>
            <w:vAlign w:val="bottom"/>
          </w:tcPr>
          <w:p>
            <w:pPr>
              <w:jc w:val="center"/>
              <w:ind w:right="207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640" w:type="dxa"/>
            <w:vAlign w:val="bottom"/>
          </w:tcPr>
          <w:p>
            <w:pPr>
              <w:spacing w:after="0"/>
              <w:rPr>
                <w:sz w:val="15"/>
                <w:szCs w:val="15"/>
                <w:color w:val="auto"/>
              </w:rPr>
            </w:pPr>
          </w:p>
        </w:tc>
        <w:tc>
          <w:tcPr>
            <w:tcW w:w="3440" w:type="dxa"/>
            <w:vAlign w:val="bottom"/>
          </w:tcPr>
          <w:p>
            <w:pPr>
              <w:jc w:val="center"/>
              <w:ind w:right="2070"/>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7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141 Needham Street</w:t>
            </w: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760" w:type="dxa"/>
            <w:vAlign w:val="bottom"/>
            <w:gridSpan w:val="4"/>
          </w:tcPr>
          <w:p>
            <w:pPr>
              <w:jc w:val="center"/>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Newton, MA 02464</w:t>
            </w:r>
          </w:p>
        </w:tc>
        <w:tc>
          <w:tcPr>
            <w:tcW w:w="6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400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 (Zip Code)</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400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60" w:type="dxa"/>
            <w:vAlign w:val="bottom"/>
            <w:gridSpan w:val="5"/>
          </w:tcPr>
          <w:p>
            <w:pPr>
              <w:jc w:val="center"/>
              <w:ind w:left="4488"/>
              <w:spacing w:after="0"/>
              <w:rPr>
                <w:sz w:val="20"/>
                <w:szCs w:val="20"/>
                <w:color w:val="auto"/>
              </w:rPr>
            </w:pPr>
            <w:r>
              <w:rPr>
                <w:rFonts w:ascii="Times New Roman" w:cs="Times New Roman" w:eastAsia="Times New Roman" w:hAnsi="Times New Roman"/>
                <w:sz w:val="14"/>
                <w:szCs w:val="14"/>
                <w:b w:val="1"/>
                <w:bCs w:val="1"/>
                <w:color w:val="auto"/>
              </w:rPr>
              <w:t>(617) 670-6300</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20" w:type="dxa"/>
            <w:vAlign w:val="bottom"/>
            <w:gridSpan w:val="2"/>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60" w:type="dxa"/>
            <w:vAlign w:val="bottom"/>
            <w:gridSpan w:val="6"/>
          </w:tcPr>
          <w:p>
            <w:pPr>
              <w:jc w:val="center"/>
              <w:ind w:left="336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4080" w:type="dxa"/>
            <w:vAlign w:val="bottom"/>
            <w:gridSpan w:val="2"/>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00" w:type="dxa"/>
            <w:vAlign w:val="bottom"/>
          </w:tcPr>
          <w:p>
            <w:pPr>
              <w:spacing w:after="0"/>
              <w:rPr>
                <w:sz w:val="15"/>
                <w:szCs w:val="15"/>
                <w:color w:val="auto"/>
              </w:rPr>
            </w:pPr>
          </w:p>
        </w:tc>
        <w:tc>
          <w:tcPr>
            <w:tcW w:w="1520" w:type="dxa"/>
            <w:vAlign w:val="bottom"/>
            <w:tcBorders>
              <w:top w:val="single" w:sz="8" w:color="auto"/>
            </w:tcBorders>
            <w:gridSpan w:val="2"/>
          </w:tcPr>
          <w:p>
            <w:pPr>
              <w:spacing w:after="0"/>
              <w:rPr>
                <w:sz w:val="15"/>
                <w:szCs w:val="15"/>
                <w:color w:val="auto"/>
              </w:rPr>
            </w:pPr>
          </w:p>
        </w:tc>
        <w:tc>
          <w:tcPr>
            <w:tcW w:w="4080" w:type="dxa"/>
            <w:vAlign w:val="bottom"/>
            <w:tcBorders>
              <w:top w:val="single" w:sz="8" w:color="auto"/>
            </w:tcBorders>
            <w:gridSpan w:val="2"/>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60" w:type="dxa"/>
            <w:vAlign w:val="bottom"/>
            <w:gridSpan w:val="6"/>
          </w:tcPr>
          <w:p>
            <w:pPr>
              <w:jc w:val="center"/>
              <w:ind w:left="334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restart"/>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44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3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40" w:type="dxa"/>
            <w:vAlign w:val="bottom"/>
            <w:vMerge w:val="continue"/>
          </w:tcPr>
          <w:p>
            <w:pPr>
              <w:spacing w:after="0"/>
              <w:rPr>
                <w:sz w:val="22"/>
                <w:szCs w:val="22"/>
                <w:color w:val="auto"/>
              </w:rPr>
            </w:pPr>
          </w:p>
        </w:tc>
        <w:tc>
          <w:tcPr>
            <w:tcW w:w="3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gridSpan w:val="6"/>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4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w:t>
            </w:r>
          </w:p>
        </w:tc>
        <w:tc>
          <w:tcPr>
            <w:tcW w:w="0" w:type="dxa"/>
            <w:vAlign w:val="bottom"/>
          </w:tcPr>
          <w:p>
            <w:pPr>
              <w:spacing w:after="0"/>
              <w:rPr>
                <w:sz w:val="1"/>
                <w:szCs w:val="1"/>
                <w:color w:val="auto"/>
              </w:rPr>
            </w:pPr>
          </w:p>
        </w:tc>
      </w:tr>
      <w:tr>
        <w:trPr>
          <w:trHeight w:val="226"/>
        </w:trPr>
        <w:tc>
          <w:tcPr>
            <w:tcW w:w="1142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Website, if any, every Interactive Data File required to be submitted and posted</w:t>
            </w:r>
          </w:p>
        </w:tc>
        <w:tc>
          <w:tcPr>
            <w:tcW w:w="0" w:type="dxa"/>
            <w:vAlign w:val="bottom"/>
          </w:tcPr>
          <w:p>
            <w:pPr>
              <w:spacing w:after="0"/>
              <w:rPr>
                <w:sz w:val="1"/>
                <w:szCs w:val="1"/>
                <w:color w:val="auto"/>
              </w:rPr>
            </w:pPr>
          </w:p>
        </w:tc>
      </w:tr>
      <w:tr>
        <w:trPr>
          <w:trHeight w:val="144"/>
        </w:trPr>
        <w:tc>
          <w:tcPr>
            <w:tcW w:w="1142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auto"/>
              </w:rPr>
              <w:t>pursuant to Rule 405 of Regulation S-T (§ 232.405 of this chapter) during the preceding 12 months (or for such shorter period that the registrant was required to submit and post such</w:t>
            </w:r>
          </w:p>
        </w:tc>
        <w:tc>
          <w:tcPr>
            <w:tcW w:w="0" w:type="dxa"/>
            <w:vAlign w:val="bottom"/>
          </w:tcPr>
          <w:p>
            <w:pPr>
              <w:spacing w:after="0"/>
              <w:rPr>
                <w:sz w:val="1"/>
                <w:szCs w:val="1"/>
                <w:color w:val="auto"/>
              </w:rPr>
            </w:pPr>
          </w:p>
        </w:tc>
      </w:tr>
      <w:tr>
        <w:trPr>
          <w:trHeight w:val="226"/>
        </w:trPr>
        <w:tc>
          <w:tcPr>
            <w:tcW w:w="73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4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filer,” “accelerated filer” and “smaller reporting company” in Rule 12b-2 of the Exchange Act.</w:t>
            </w:r>
          </w:p>
        </w:tc>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7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780" w:type="dxa"/>
            <w:vAlign w:val="bottom"/>
          </w:tcPr>
          <w:p>
            <w:pPr>
              <w:ind w:left="6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7680" w:type="dxa"/>
            <w:vAlign w:val="bottom"/>
            <w:gridSpan w:val="2"/>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p>
        </w:tc>
        <w:tc>
          <w:tcPr>
            <w:tcW w:w="27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880" w:type="dxa"/>
            <w:vAlign w:val="bottom"/>
          </w:tcPr>
          <w:p>
            <w:pPr>
              <w:spacing w:after="0"/>
              <w:rPr>
                <w:sz w:val="20"/>
                <w:szCs w:val="20"/>
                <w:color w:val="auto"/>
              </w:rPr>
            </w:pPr>
          </w:p>
        </w:tc>
      </w:tr>
    </w:tbl>
    <w:p>
      <w:pPr>
        <w:spacing w:after="0" w:line="27" w:lineRule="exact"/>
        <w:rPr>
          <w:sz w:val="24"/>
          <w:szCs w:val="24"/>
          <w:color w:val="auto"/>
        </w:rPr>
      </w:pPr>
    </w:p>
    <w:p>
      <w:pPr>
        <w:jc w:val="both"/>
        <w:ind w:right="20" w:firstLine="518"/>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of the registrant as of the last business day of the registrant’s most recently completed second fiscal quarter was $12,115,385,937 based on the closing price on The NASDAQ Global Select Market on such date. For the purpose of the foregoing calculation only, all directors and executive officers of the registrant are assumed to be affiliates of the registrant.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Outstanding Shares at February 6, 2015</w:t>
            </w:r>
          </w:p>
        </w:tc>
      </w:tr>
      <w:tr>
        <w:trPr>
          <w:trHeight w:val="119"/>
        </w:trPr>
        <w:tc>
          <w:tcPr>
            <w:tcW w:w="5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$0.001 par value per share</w:t>
            </w:r>
          </w:p>
        </w:tc>
        <w:tc>
          <w:tcPr>
            <w:tcW w:w="200" w:type="dxa"/>
            <w:vAlign w:val="bottom"/>
          </w:tcPr>
          <w:p>
            <w:pPr>
              <w:spacing w:after="0"/>
              <w:rPr>
                <w:sz w:val="10"/>
                <w:szCs w:val="10"/>
                <w:color w:val="auto"/>
              </w:rPr>
            </w:pPr>
          </w:p>
        </w:tc>
        <w:tc>
          <w:tcPr>
            <w:tcW w:w="56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130,126,683 shares</w:t>
            </w:r>
          </w:p>
        </w:tc>
      </w:tr>
      <w:tr>
        <w:trPr>
          <w:trHeight w:val="188"/>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Class B Common Stock, $0.001 par value per share</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49530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460" w:firstLine="518"/>
        <w:spacing w:after="0" w:line="262" w:lineRule="auto"/>
        <w:rPr>
          <w:sz w:val="20"/>
          <w:szCs w:val="20"/>
          <w:color w:val="auto"/>
        </w:rPr>
      </w:pPr>
      <w:r>
        <w:rPr>
          <w:rFonts w:ascii="Times New Roman" w:cs="Times New Roman" w:eastAsia="Times New Roman" w:hAnsi="Times New Roman"/>
          <w:sz w:val="14"/>
          <w:szCs w:val="14"/>
          <w:color w:val="auto"/>
        </w:rPr>
        <w:t>The registrant intends to file a proxy statement pursuant to Regulation 14A not later than 120 days after the close of the fiscal year ended December 31, 2014.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2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gridSpan w:val="6"/>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000" w:type="dxa"/>
            <w:vAlign w:val="bottom"/>
            <w:gridSpan w:val="2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874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Unresolved Staff Comments</w:t>
              </w:r>
            </w:hyperlink>
          </w:p>
        </w:tc>
        <w:tc>
          <w:tcPr>
            <w:tcW w:w="7600" w:type="dxa"/>
            <w:vAlign w:val="bottom"/>
            <w:gridSpan w:val="1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Properties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7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Selected Financial Data</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8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Quantitative and Qualitative Disclosures About Market Risk</w:t>
              </w:r>
            </w:hyperlink>
          </w:p>
        </w:tc>
        <w:tc>
          <w:tcPr>
            <w:tcW w:w="528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Financial Statements and Supplementary Data</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16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Controls and Procedures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Other Information</w:t>
              </w:r>
            </w:hyperlink>
          </w:p>
        </w:tc>
        <w:tc>
          <w:tcPr>
            <w:tcW w:w="7880" w:type="dxa"/>
            <w:vAlign w:val="bottom"/>
            <w:gridSpan w:val="1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Directors, Executive Officers and Corporate Governance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02">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560" w:type="dxa"/>
            <w:vAlign w:val="bottom"/>
            <w:gridSpan w:val="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Certain Relationships and Related Transactions, and Director Independence</w:t>
              </w:r>
            </w:hyperlink>
          </w:p>
        </w:tc>
        <w:tc>
          <w:tcPr>
            <w:tcW w:w="236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Principal Accounting Fees and Services</w:t>
              </w:r>
            </w:hyperlink>
          </w:p>
        </w:tc>
        <w:tc>
          <w:tcPr>
            <w:tcW w:w="420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103">
              <w:r>
                <w:rPr>
                  <w:rFonts w:ascii="Times New Roman" w:cs="Times New Roman" w:eastAsia="Times New Roman" w:hAnsi="Times New Roman"/>
                  <w:sz w:val="18"/>
                  <w:szCs w:val="18"/>
                  <w:color w:val="0000EE"/>
                  <w:w w:val="94"/>
                </w:rPr>
                <w:t>PART IV</w:t>
              </w:r>
            </w:hyperlink>
          </w:p>
        </w:tc>
        <w:tc>
          <w:tcPr>
            <w:tcW w:w="7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Exhibits; Financial Statement Schedules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08" w:right="239" w:bottom="1440" w:gutter="0" w:footer="0" w:header="0"/>
        </w:sectPr>
      </w:pPr>
    </w:p>
    <w:bookmarkStart w:id="2" w:name="page3"/>
    <w:bookmarkEnd w:id="2"/>
    <w:p>
      <w:pPr>
        <w:ind w:right="60" w:firstLine="761"/>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this Annual Report on Form 10-K.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When used, the words “anticipate,” “believe,” “could,” “estimate,” “expect,” “intend,” “may,” “might,” “plan,” “project,” “result” “should,” “will,” and similar expressions which do not relate solely to historical matters are intended to identify forward-looking statements.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very competitive and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9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accommodations, destinations, activities and attractions, and restaurants, throughout the world so that our users have access to trusted advice wherever their trip takes them. Our platform not only helps users plan their trip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initial launch of our U.S.-based tripadvisor.com website was in November 2000. Our TripAdvisor branded websites now include localized versions of the TripAdvisor website in 45 countries, including China under the brand, daodao.com and are offered in 28 languages: English, Spanish Chinese (Traditional and Simplified), Russian, Arabic, Greek, Korean, Polish, Norwegian, Turkish, Danish, Swedish, Dutch, Bahasa, Thai, Portuguese, Japanese, Italian, French, Turkish, Vietnamese, Hebrew, Suomi, Hungarian, Czech, Slovak, Serbian, and German. TripAdvisor-branded sites make up the largest travel community in the world, reaching more than 315 million unique monthly visitors, and more than 200 million reviews and opinions covering more than 4.5 million places to stay, places to eat and things to do, during the year ended December 31, 2014.</w:t>
      </w:r>
    </w:p>
    <w:p>
      <w:pPr>
        <w:spacing w:after="0" w:line="18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addition to the flagship TripAdvisor brand, we now manage and operate 24 other travel media brands, connected by the common goal of providing users the most comprehensive planning and booking resources in the travel industry. These media brands are listed below:</w:t>
      </w:r>
    </w:p>
    <w:p>
      <w:pPr>
        <w:spacing w:after="0" w:line="18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airfarewatchdog.com</w:t>
      </w:r>
      <w:r>
        <w:rPr>
          <w:sz w:val="20"/>
          <w:szCs w:val="20"/>
          <w:color w:val="auto"/>
        </w:rPr>
        <w:tab/>
      </w:r>
      <w:r>
        <w:rPr>
          <w:rFonts w:ascii="Times New Roman" w:cs="Times New Roman" w:eastAsia="Times New Roman" w:hAnsi="Times New Roman"/>
          <w:sz w:val="18"/>
          <w:szCs w:val="18"/>
          <w:color w:val="auto"/>
        </w:rPr>
        <w:t>Provides up-to-date airline deals that have been researched and verified by a team of dedicated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airfare experts.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bookingbuddy.com</w:t>
      </w:r>
      <w:r>
        <w:rPr>
          <w:sz w:val="20"/>
          <w:szCs w:val="20"/>
          <w:color w:val="auto"/>
        </w:rPr>
        <w:tab/>
      </w:r>
      <w:r>
        <w:rPr>
          <w:rFonts w:ascii="Times New Roman" w:cs="Times New Roman" w:eastAsia="Times New Roman" w:hAnsi="Times New Roman"/>
          <w:sz w:val="18"/>
          <w:szCs w:val="18"/>
          <w:color w:val="auto"/>
        </w:rPr>
        <w:t>Travel shopping website that gives travelers easy access to airfare, hotel, car rental, cruise,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vacation rental, and vacation deals, plus prices from selected travel sites.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cruisecritic.com</w:t>
      </w:r>
      <w:r>
        <w:rPr>
          <w:sz w:val="20"/>
          <w:szCs w:val="20"/>
          <w:color w:val="auto"/>
        </w:rPr>
        <w:tab/>
      </w:r>
      <w:r>
        <w:rPr>
          <w:rFonts w:ascii="Times New Roman" w:cs="Times New Roman" w:eastAsia="Times New Roman" w:hAnsi="Times New Roman"/>
          <w:sz w:val="18"/>
          <w:szCs w:val="18"/>
          <w:color w:val="auto"/>
        </w:rPr>
        <w:t>A community of avid and first-time cruisers who enjoy the fun of planning, researching and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sharing their passion for cruising.</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everytrail.com</w:t>
      </w:r>
      <w:r>
        <w:rPr>
          <w:sz w:val="20"/>
          <w:szCs w:val="20"/>
          <w:color w:val="auto"/>
        </w:rPr>
        <w:tab/>
      </w:r>
      <w:r>
        <w:rPr>
          <w:rFonts w:ascii="Times New Roman" w:cs="Times New Roman" w:eastAsia="Times New Roman" w:hAnsi="Times New Roman"/>
          <w:sz w:val="18"/>
          <w:szCs w:val="18"/>
          <w:color w:val="auto"/>
        </w:rPr>
        <w:t>Mobile application and website for collecting and sharing geo-tagged user-generated travel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content, such as walking tours, road trips, sight-seeing tours.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familyvacationcritic.com</w:t>
      </w:r>
      <w:r>
        <w:rPr>
          <w:sz w:val="20"/>
          <w:szCs w:val="20"/>
          <w:color w:val="auto"/>
        </w:rPr>
        <w:tab/>
      </w:r>
      <w:r>
        <w:rPr>
          <w:rFonts w:ascii="Times New Roman" w:cs="Times New Roman" w:eastAsia="Times New Roman" w:hAnsi="Times New Roman"/>
          <w:sz w:val="18"/>
          <w:szCs w:val="18"/>
          <w:color w:val="auto"/>
        </w:rPr>
        <w:t>Reviews of family-friendly hotels, resorts, destinations and attractions, written by experienced</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family travel experts.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flipkey.com</w:t>
      </w:r>
      <w:r>
        <w:rPr>
          <w:sz w:val="20"/>
          <w:szCs w:val="20"/>
          <w:color w:val="auto"/>
        </w:rPr>
        <w:tab/>
      </w:r>
      <w:r>
        <w:rPr>
          <w:rFonts w:ascii="Times New Roman" w:cs="Times New Roman" w:eastAsia="Times New Roman" w:hAnsi="Times New Roman"/>
          <w:sz w:val="18"/>
          <w:szCs w:val="18"/>
          <w:color w:val="auto"/>
        </w:rPr>
        <w:t>A vacation rental site featuring residential properties from around the world, with a large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collection of guest reviews.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gateguru.com</w:t>
      </w:r>
      <w:r>
        <w:rPr>
          <w:sz w:val="20"/>
          <w:szCs w:val="20"/>
          <w:color w:val="auto"/>
        </w:rPr>
        <w:tab/>
      </w:r>
      <w:r>
        <w:rPr>
          <w:rFonts w:ascii="Times New Roman" w:cs="Times New Roman" w:eastAsia="Times New Roman" w:hAnsi="Times New Roman"/>
          <w:sz w:val="18"/>
          <w:szCs w:val="18"/>
          <w:color w:val="auto"/>
        </w:rPr>
        <w:t>Mobile resource for up-to-date flight and airport information around the world.</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holidaylettings.co.uk</w:t>
      </w:r>
      <w:r>
        <w:rPr>
          <w:sz w:val="20"/>
          <w:szCs w:val="20"/>
          <w:color w:val="auto"/>
        </w:rPr>
        <w:tab/>
      </w:r>
      <w:r>
        <w:rPr>
          <w:rFonts w:ascii="Times New Roman" w:cs="Times New Roman" w:eastAsia="Times New Roman" w:hAnsi="Times New Roman"/>
          <w:sz w:val="18"/>
          <w:szCs w:val="18"/>
          <w:color w:val="auto"/>
        </w:rPr>
        <w:t>A leading U.K.-based vacation rental site, featuring residential properties globally listed for rental,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enabling users to live like a local while on holiday.</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holidaywatchdog.com</w:t>
      </w:r>
      <w:r>
        <w:rPr>
          <w:sz w:val="20"/>
          <w:szCs w:val="20"/>
          <w:color w:val="auto"/>
        </w:rPr>
        <w:tab/>
      </w:r>
      <w:r>
        <w:rPr>
          <w:rFonts w:ascii="Times New Roman" w:cs="Times New Roman" w:eastAsia="Times New Roman" w:hAnsi="Times New Roman"/>
          <w:sz w:val="18"/>
          <w:szCs w:val="18"/>
          <w:color w:val="auto"/>
        </w:rPr>
        <w:t>A U.K.-based website for traveler reviews on hotels and destinations focusing on the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Mediterranean.</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independenttraveler.com</w:t>
      </w:r>
      <w:r>
        <w:rPr>
          <w:sz w:val="20"/>
          <w:szCs w:val="20"/>
          <w:color w:val="auto"/>
        </w:rPr>
        <w:tab/>
      </w:r>
      <w:r>
        <w:rPr>
          <w:rFonts w:ascii="Times New Roman" w:cs="Times New Roman" w:eastAsia="Times New Roman" w:hAnsi="Times New Roman"/>
          <w:sz w:val="18"/>
          <w:szCs w:val="18"/>
          <w:color w:val="auto"/>
        </w:rPr>
        <w:t>A traveler’s exchange that features practical travel resources for a community of international</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travelers who enjoy the adventure of independent travel.</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jetsetter.com</w:t>
      </w:r>
      <w:r>
        <w:rPr>
          <w:sz w:val="20"/>
          <w:szCs w:val="20"/>
          <w:color w:val="auto"/>
        </w:rPr>
        <w:tab/>
      </w:r>
      <w:r>
        <w:rPr>
          <w:rFonts w:ascii="Times New Roman" w:cs="Times New Roman" w:eastAsia="Times New Roman" w:hAnsi="Times New Roman"/>
          <w:sz w:val="18"/>
          <w:szCs w:val="18"/>
          <w:color w:val="auto"/>
        </w:rPr>
        <w:t>Members-only private sale site providing insider access, expert knowledge and exclusive deals for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vacations around the world.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thefork.com (including lafourchette.com,A leading online and mobile reservation platform for restaurants with an extensive network of</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eltenedor.com and iens.nl)</w:t>
      </w:r>
      <w:r>
        <w:rPr>
          <w:sz w:val="20"/>
          <w:szCs w:val="20"/>
          <w:color w:val="auto"/>
        </w:rPr>
        <w:tab/>
      </w:r>
      <w:r>
        <w:rPr>
          <w:rFonts w:ascii="Times New Roman" w:cs="Times New Roman" w:eastAsia="Times New Roman" w:hAnsi="Times New Roman"/>
          <w:sz w:val="17"/>
          <w:szCs w:val="17"/>
          <w:color w:val="auto"/>
        </w:rPr>
        <w:t>restaurant partners in Europe.</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kuxun.cn</w:t>
      </w:r>
      <w:r>
        <w:rPr>
          <w:sz w:val="20"/>
          <w:szCs w:val="20"/>
          <w:color w:val="auto"/>
        </w:rPr>
        <w:tab/>
      </w:r>
      <w:r>
        <w:rPr>
          <w:rFonts w:ascii="Times New Roman" w:cs="Times New Roman" w:eastAsia="Times New Roman" w:hAnsi="Times New Roman"/>
          <w:sz w:val="18"/>
          <w:szCs w:val="18"/>
          <w:color w:val="auto"/>
        </w:rPr>
        <w:t>Travel metasearch engine, much like TripAdvisor, operating in China.</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niumba.com</w:t>
      </w:r>
      <w:r>
        <w:rPr>
          <w:sz w:val="20"/>
          <w:szCs w:val="20"/>
          <w:color w:val="auto"/>
        </w:rPr>
        <w:tab/>
      </w:r>
      <w:r>
        <w:rPr>
          <w:rFonts w:ascii="Times New Roman" w:cs="Times New Roman" w:eastAsia="Times New Roman" w:hAnsi="Times New Roman"/>
          <w:sz w:val="18"/>
          <w:szCs w:val="18"/>
          <w:color w:val="auto"/>
        </w:rPr>
        <w:t>A Spanish-based vacation rental site, featuring properties listed globally and the world’s largest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collection of Spanish vacation rentals.</w:t>
      </w:r>
    </w:p>
    <w:p>
      <w:pPr>
        <w:spacing w:after="0" w:line="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onetime.com</w:t>
      </w:r>
      <w:r>
        <w:rPr>
          <w:sz w:val="20"/>
          <w:szCs w:val="20"/>
          <w:color w:val="auto"/>
        </w:rPr>
        <w:tab/>
      </w:r>
      <w:r>
        <w:rPr>
          <w:rFonts w:ascii="Times New Roman" w:cs="Times New Roman" w:eastAsia="Times New Roman" w:hAnsi="Times New Roman"/>
          <w:sz w:val="18"/>
          <w:szCs w:val="18"/>
          <w:color w:val="auto"/>
        </w:rPr>
        <w:t>Comparison shopping travel website that allows travel shoppers to conduct itinerary-based, multi-</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site searches for flights, hotels, cruises, vacations, and car rentals.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11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oyster.com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seatguru.com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smartertravel.com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tingo.com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travelpod.com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tripbod.com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vacationhomerentals.com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viator.com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virtualtourist.com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Hotel review website featuring expert reviews and photos covering cities around the world.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Features aircraft seat maps, seat reviews, and a color-coded system to identify superior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substandard airline seats.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of the largest online travel resources for independent expert advice for the budget-conscious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traveler, helping them find the best deals and get the most value from their trips.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hotel booking site that automatically rebooks hotel rooms at a lower price if the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drops and refunds the difference to the travelers’ credit cards.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Pioneering travel blog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travel community that helps connect travelers to local experts allowing the traveler to obtain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recommendations direct from a local expert.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U.S.-based vacation rental website featuring properties around the world.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leading resource for researching and booking destination activities around the world.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Travel-oriented community website featuring user-contributed travel guides for locations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w:t>
      </w:r>
    </w:p>
    <w:p>
      <w:pPr>
        <w:spacing w:after="0" w:line="200" w:lineRule="exact"/>
        <w:rPr>
          <w:sz w:val="20"/>
          <w:szCs w:val="20"/>
          <w:color w:val="auto"/>
        </w:rPr>
      </w:pPr>
    </w:p>
    <w:p>
      <w:pPr>
        <w:sectPr>
          <w:pgSz w:w="11900" w:h="16838" w:orient="portrait"/>
          <w:cols w:equalWidth="0" w:num="2">
            <w:col w:w="2260" w:space="720"/>
            <w:col w:w="8440"/>
          </w:cols>
          <w:pgMar w:left="240" w:top="121" w:right="239" w:bottom="1440" w:gutter="0" w:footer="0" w:header="0"/>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Highlights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are some business highlights for fiscal 2014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020" w:right="40" w:hanging="35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reached more than 200 million reviews and opinions on more than 4.5 million places to stay, places to eat and things to do – including more than 915,000 hotels and accommodations and approximately 650,000 vacation rentals, 2.4 million restaurants and more than 500,000 attractions in 147,000 destinations throughout the world.</w:t>
      </w:r>
    </w:p>
    <w:p>
      <w:pPr>
        <w:spacing w:after="0" w:line="68" w:lineRule="exact"/>
        <w:rPr>
          <w:rFonts w:ascii="Times New Roman" w:cs="Times New Roman" w:eastAsia="Times New Roman" w:hAnsi="Times New Roman"/>
          <w:sz w:val="18"/>
          <w:szCs w:val="18"/>
          <w:color w:val="auto"/>
        </w:rPr>
      </w:pPr>
    </w:p>
    <w:p>
      <w:pPr>
        <w:ind w:left="1020" w:right="180" w:hanging="35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websites globally reached more than 315 million monthly unique visitors during the year ended December 31, 2014, according to Google Analytics.</w:t>
      </w:r>
    </w:p>
    <w:p>
      <w:pPr>
        <w:spacing w:after="0" w:line="53" w:lineRule="exact"/>
        <w:rPr>
          <w:rFonts w:ascii="Times New Roman" w:cs="Times New Roman" w:eastAsia="Times New Roman" w:hAnsi="Times New Roman"/>
          <w:sz w:val="18"/>
          <w:szCs w:val="18"/>
          <w:color w:val="auto"/>
        </w:rPr>
      </w:pPr>
    </w:p>
    <w:p>
      <w:pPr>
        <w:ind w:left="1020" w:right="20" w:hanging="35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reached nearly 175 million cumulative mobile app downloads and approximately 50% of TripAdvisor traffic visited was via tablets or smartphones in 2014. Average monthly unique visitors via tablets and smartphones grew over 60% year-over-year to approximately 140 million for the year ended December 31, 2014, according to company logs.</w:t>
      </w:r>
    </w:p>
    <w:p>
      <w:pPr>
        <w:spacing w:after="0" w:line="68" w:lineRule="exact"/>
        <w:rPr>
          <w:rFonts w:ascii="Times New Roman" w:cs="Times New Roman" w:eastAsia="Times New Roman" w:hAnsi="Times New Roman"/>
          <w:sz w:val="18"/>
          <w:szCs w:val="18"/>
          <w:color w:val="auto"/>
        </w:rPr>
      </w:pPr>
    </w:p>
    <w:p>
      <w:pPr>
        <w:ind w:left="1020" w:right="720" w:hanging="35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TripAdvisor points of sale in New Zealand, Philippines, South Africa, Vietnam, Austria, Israel, Finland, Hungary, Czech Republic, Slovakia, and Serbia.</w:t>
      </w:r>
    </w:p>
    <w:p>
      <w:pPr>
        <w:spacing w:after="0" w:line="53" w:lineRule="exact"/>
        <w:rPr>
          <w:rFonts w:ascii="Times New Roman" w:cs="Times New Roman" w:eastAsia="Times New Roman" w:hAnsi="Times New Roman"/>
          <w:sz w:val="18"/>
          <w:szCs w:val="18"/>
          <w:color w:val="auto"/>
        </w:rPr>
      </w:pPr>
    </w:p>
    <w:p>
      <w:pPr>
        <w:ind w:left="1020" w:right="180" w:hanging="35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now manage and operate 24 travel media brands in addition to our flagship TripAdvisor brand, all of which are connected by the common goal of providing comprehensive travel planning resources across the travel sector.</w:t>
      </w:r>
    </w:p>
    <w:p>
      <w:pPr>
        <w:spacing w:after="0" w:line="53" w:lineRule="exact"/>
        <w:rPr>
          <w:rFonts w:ascii="Times New Roman" w:cs="Times New Roman" w:eastAsia="Times New Roman" w:hAnsi="Times New Roman"/>
          <w:sz w:val="18"/>
          <w:szCs w:val="18"/>
          <w:color w:val="auto"/>
        </w:rPr>
      </w:pPr>
    </w:p>
    <w:p>
      <w:pPr>
        <w:ind w:left="1020" w:right="40" w:hanging="35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introduced Instant Booking, a feature that enables users to quickly and easily book a hotel on TripAdvisor through our hotel or online travel agent partners.</w:t>
      </w:r>
    </w:p>
    <w:p>
      <w:pPr>
        <w:spacing w:after="0" w:line="53" w:lineRule="exact"/>
        <w:rPr>
          <w:rFonts w:ascii="Times New Roman" w:cs="Times New Roman" w:eastAsia="Times New Roman" w:hAnsi="Times New Roman"/>
          <w:sz w:val="18"/>
          <w:szCs w:val="18"/>
          <w:color w:val="auto"/>
        </w:rPr>
      </w:pPr>
    </w:p>
    <w:p>
      <w:pPr>
        <w:ind w:left="1020" w:right="260" w:hanging="358"/>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Just for You, a feature that makes the hotel research experience more personalized with hotel recommendations to TripAdvisor users based on their individual preferences and travel history on the site.</w:t>
      </w:r>
    </w:p>
    <w:p>
      <w:pPr>
        <w:spacing w:after="0" w:line="53" w:lineRule="exact"/>
        <w:rPr>
          <w:rFonts w:ascii="Times New Roman" w:cs="Times New Roman" w:eastAsia="Times New Roman" w:hAnsi="Times New Roman"/>
          <w:sz w:val="18"/>
          <w:szCs w:val="18"/>
          <w:color w:val="auto"/>
        </w:rPr>
      </w:pPr>
    </w:p>
    <w:p>
      <w:pPr>
        <w:ind w:left="1020" w:right="100" w:hanging="35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became a global leader in attractions by acquiring Viator, the leading resource for researching and booking destination activities around the world. Viator enables users to book online or in-destination activities via the Viator Tours and Activities app, featuring worldwide bookable tours and attractions, including more than 600,000 user reviews, photos, and videos.</w:t>
      </w:r>
    </w:p>
    <w:p>
      <w:pPr>
        <w:spacing w:after="0" w:line="68" w:lineRule="exact"/>
        <w:rPr>
          <w:rFonts w:ascii="Times New Roman" w:cs="Times New Roman" w:eastAsia="Times New Roman" w:hAnsi="Times New Roman"/>
          <w:sz w:val="18"/>
          <w:szCs w:val="18"/>
          <w:color w:val="auto"/>
        </w:rPr>
      </w:pPr>
    </w:p>
    <w:p>
      <w:pPr>
        <w:ind w:left="1020" w:right="160" w:hanging="358"/>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leadership position in online restaurant reservations in Europe by acquiring Lafourchette, Mytable.it, Restopolis, and Iens.nl. Subsequently, we announced the launch of our Instant Reservation feature for restaurants, which lets users select a restaurant and complete a reservation on TripAdvisor and the Lafourchette network of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 Equity Ownership and Voting Control</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TripAdvisor was co-founded in February 2000 by Stephen Kaufer, our current President and Chief Executive Officer. TripAdvisor was acquired by IAC/InterActiveCorp, or IAC, in April 2004. In August 2005, IAC spun-off its portfolio of travel brands, including TripAdvisor, into a separate newly-formed Delaware corporation, called Expedia, Inc., or Expedia.</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During 2011, Expedia announced its plan to separate into two independent public companies in order to better achieve certain strategic objectives of its various businesses. On December 20, 2011 Expedia completed the spin-off of TripAdvisor into a separate publicly traded Delaware corporation. We refer to this transaction as the “Spin-Off.” TripAdvisor began trading on The NASDAQ Global Select Market, or NASDAQ, as an independent public company on December 21, 2011 under the symbol “TRIP.”</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a result, Liberty beneficially owned 18,159,752 shares of our common stock and 12,799,999 shares of our Class B common stock.</w:t>
      </w:r>
    </w:p>
    <w:p>
      <w:pPr>
        <w:spacing w:after="0" w:line="176" w:lineRule="exact"/>
        <w:rPr>
          <w:sz w:val="20"/>
          <w:szCs w:val="20"/>
          <w:color w:val="auto"/>
        </w:rPr>
      </w:pPr>
    </w:p>
    <w:p>
      <w:pPr>
        <w:ind w:right="240" w:firstLine="518"/>
        <w:spacing w:after="0" w:line="281" w:lineRule="auto"/>
        <w:rPr>
          <w:sz w:val="20"/>
          <w:szCs w:val="20"/>
          <w:color w:val="auto"/>
        </w:rPr>
      </w:pPr>
      <w:r>
        <w:rPr>
          <w:rFonts w:ascii="Times New Roman" w:cs="Times New Roman" w:eastAsia="Times New Roman" w:hAnsi="Times New Roman"/>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 Off. As a result of the Liberty Spin-Off, effective August 27, 2014 LTRIP became a separate, publicly traded company and 100% of Liberty’s interest in TripAdvisor was held by LTRIP.</w:t>
      </w:r>
    </w:p>
    <w:p>
      <w:pPr>
        <w:spacing w:after="0" w:line="165" w:lineRule="exact"/>
        <w:rPr>
          <w:sz w:val="20"/>
          <w:szCs w:val="20"/>
          <w:color w:val="auto"/>
        </w:rPr>
      </w:pPr>
    </w:p>
    <w:p>
      <w:pPr>
        <w:ind w:right="60" w:firstLine="552"/>
        <w:spacing w:after="0" w:line="256" w:lineRule="auto"/>
        <w:rPr>
          <w:sz w:val="20"/>
          <w:szCs w:val="20"/>
          <w:color w:val="auto"/>
        </w:rPr>
      </w:pPr>
      <w:r>
        <w:rPr>
          <w:rFonts w:ascii="Times New Roman" w:cs="Times New Roman" w:eastAsia="Times New Roman" w:hAnsi="Times New Roman"/>
          <w:sz w:val="18"/>
          <w:szCs w:val="18"/>
          <w:color w:val="auto"/>
        </w:rPr>
        <w:t>As a result of these transactions, as of December 31, 2014, LTRIP beneficially owned 18,159,752 shares of our common stock and 12,799,999 shares of our Class B common stock, which shares constitute 14.0% of the outstanding shares of common stock and 100% of the outstanding shares of Class B common stock. Assuming the conversion of all of LTRIP’s shares of Class B common stock into common stock, LTRIP would beneficially own 21.7% of the outstanding common stock (calculated in accordance with Rule 13d-3). Because each share of Class B common stock is generally entitled to ten votes per share and each share of common stock is entitled to one vote per share, LTRIP may be deemed to beneficially own equity securities representing approximately 56.6% of our voting power.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platforms connect users wishing to plan and book the best travel experiences with providers of travel accommodations and travel services around the world. We derive the majority of our revenue from the sale of advertising, primarily through click-based advertising and, to a lesser extent, display-based advertising. The remainder of our revenue is generated through a combination of subscription and transaction-based offerings and other revenue including content licensing.</w:t>
      </w:r>
    </w:p>
    <w:p>
      <w:pPr>
        <w:spacing w:after="0" w:line="68" w:lineRule="exact"/>
        <w:rPr>
          <w:sz w:val="20"/>
          <w:szCs w:val="20"/>
          <w:color w:val="auto"/>
        </w:rPr>
      </w:pPr>
    </w:p>
    <w:p>
      <w:pPr>
        <w:ind w:left="1020" w:right="60" w:hanging="35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Click-Based Advertising Revenue</w:t>
      </w:r>
      <w:r>
        <w:rPr>
          <w:rFonts w:ascii="Times New Roman" w:cs="Times New Roman" w:eastAsia="Times New Roman" w:hAnsi="Times New Roman"/>
          <w:sz w:val="18"/>
          <w:szCs w:val="18"/>
          <w:color w:val="auto"/>
        </w:rPr>
        <w:t>. Our largest source of revenue is click-based advertising, which includes links to our partners’ booking 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contextually-relevant branded and unbranded text links. Our click-based advertising partners are predominantly online travel agencies, or OTAs, and direct suppliers in the hotel, airline and cruise product categories. Click-based advertising is generally priced on a cost-per-click, or CPC, basis, with payments from advertisers based on the number of users who click on each type of link. CPC prices are determined in a bidding process that allows our partners to use our proprietary system to submit CPC bids to have their rates and availability listed on our site. When a partner submits a CPC bid they agree to pay the amount of that bid each time a user subsequently clicks on the URL link to the partner’s website. Bids are submitted periodically – sometimes as often as daily or weekly – on a property-by property basis and the size of the bid relative to other bids received determines the partner’s placement in all meta placements on our site with one or more offers shown, including hotel comparison search results and the property detail page. The system is automated and the size of the partner’s bid is the only factor impacting the partner’s placement on that page, except that individual partners may be sorted lower in the event that they have not provided price information or if they cease to have availability for the property. While we enter into master advertising contracts with our partners, the terms of these agreements generally address matters such as privacy and compliance, payment terms and conditions, termination and indemnities. Most of our click-based advertising contracts can be terminated by our partners at will or on short notice. Click-based revenue also includes revenue from our new Instant Booking feature, which allows a partner to pay a commission rate for a user that completes a reservation on TripAdvisor. TripAdvisor is not the merchant of record on Instant Booking reservations. For the years ended December 31, 2014, 2013 and 2012, we earned $870 million, or 70%, $696 million, or 74% and $588 million, or 77%, respectively, of revenue from click-based advertising.</w:t>
      </w:r>
    </w:p>
    <w:p>
      <w:pPr>
        <w:spacing w:after="0" w:line="86" w:lineRule="exact"/>
        <w:rPr>
          <w:rFonts w:ascii="Times New Roman" w:cs="Times New Roman" w:eastAsia="Times New Roman" w:hAnsi="Times New Roman"/>
          <w:sz w:val="18"/>
          <w:szCs w:val="18"/>
          <w:color w:val="auto"/>
        </w:rPr>
      </w:pPr>
    </w:p>
    <w:p>
      <w:pPr>
        <w:ind w:left="1020" w:right="80" w:hanging="35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Display-Based Advertising Revenue</w:t>
      </w:r>
      <w:r>
        <w:rPr>
          <w:rFonts w:ascii="Times New Roman" w:cs="Times New Roman" w:eastAsia="Times New Roman" w:hAnsi="Times New Roman"/>
          <w:sz w:val="18"/>
          <w:szCs w:val="18"/>
          <w:color w:val="auto"/>
        </w:rPr>
        <w:t>. We earn revenue from a variety of display-based advertising placements on our websites through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advertising partners can promote their brands in a contextually-relevant manner. While our display-based advertising clients are predominately direct suppliers in the hotel, airline and cruise categories as well as OTA’s, we also accept display advertising from destination marketing organizations, casinos, resorts and attractions, as well as advertisers from non-travel categories. We generally sell our display-based advertising on a cost per thousand impressions, or CPM, basis. Our display-based advertising products also include a number of custom-built features. For example, Delayed Ad Call, charges customers only when the ad unit is in a users’ view, as well as certain customized co-branded features. For the years ended December 31, 2014, 2013 and 2012, we earned $140 million, or 11%, $119 million, or 13%, and $94 million, or 12%, respectively, in revenue from display-based advertising.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37" w:right="259" w:bottom="1440" w:gutter="0" w:footer="0" w:header="0"/>
        </w:sectPr>
      </w:pPr>
    </w:p>
    <w:bookmarkStart w:id="6" w:name="page7"/>
    <w:bookmarkEnd w:id="6"/>
    <w:p>
      <w:pPr>
        <w:ind w:left="1020" w:hanging="358"/>
        <w:spacing w:after="0" w:line="27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Subscription-Based, Transaction and Other Revenue</w:t>
      </w:r>
      <w:r>
        <w:rPr>
          <w:rFonts w:ascii="Times New Roman" w:cs="Times New Roman" w:eastAsia="Times New Roman" w:hAnsi="Times New Roman"/>
          <w:sz w:val="17"/>
          <w:szCs w:val="17"/>
          <w:color w:val="auto"/>
        </w:rPr>
        <w:t>. Business Listings, is a subscription-based advertising product offered to hotels, B&amp;Bs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specialty lodging properties. Managed by our TripAdvisor for Business team, this advertising product is sold for a flat fee and allows subscribers to list, for a contracted period of time, a website URL, email address and phone number on our TripAdvisor-branded websites, as well as to post special offers for travelers. In addition, we earn revenue from making hotel room nights available for booking on our transaction-based sites, including Jetsetter and Tingo for which we are the merchant of record; making rentals available through our vacation rentals business; selling destination activities through Viator; and providing online restaurant reservations through Lafourchette; as well as other revenue including content licensing with third party sites. For the years ended December 31, 2014, 2013 and 2012 we earned $236 million, or 19%, $130 million, or 14%, and $81 million, or 11%, respectively, in revenue from subscription-based, transaction and other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the global travel industry, focusing exclusively on online travel activity and the online advertising market.</w:t>
      </w:r>
    </w:p>
    <w:p>
      <w:pPr>
        <w:spacing w:after="0" w:line="225"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According to the PhoCusWright, gross bookings in the global travel industry are expected to be greater than $1.3 trillion in 2015. Recent historical trends show that, each year, an increasing percentage of global travel spending has been conducted online through supplier websites and online travel agencies. We believe that this trend will continue as online penetration continues to grow, as more consumers gain broadband access to the Internet, as smartphone, tablets and other mobile computing devices continue to proliferate, and as travel activity increases along with an expanding middle class in certain developing countries like China and India.</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According to the International Data Corporation, or IDC, New Media Market Model, only 26% of the approximately $51 billion that is expected to be spent on travel advertising will be spent online in 2016. 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view real-time pricing, complete bookings, and access information while in-destination.</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According to the IDC New Media Market Model, the global online advertising market is growing and is projected to exceed $165 billion by 2016, as more and more advertisers continue to shift their spending from offline to online channels, mirroring the trend in consumer media consumption generally. Given the size of the online advertising market, we believe that travel providers and travel related advertisers are, and will continue to be, motivated to devote significant resources to advertise their travel products and services. In addition, as more and more travel transactions are conducted online generally, we believe that an increasing amount of travel advertising spending will migrate from traditional offline advertising channels to online advertising opportunities.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Strengths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TripAdvisor branded sites help travelers plan and book the perfect trip. To help our users plan their trip, we have more than 200 million reviews and opinions, approximately 30 million candid photos, and helpful content ranging from hotel room tips to travel guides. We have created a comprehensive online resource for user-generated content on destinations, lodging, restaurants and attractions. We provide real-time pricing and availability search functionality that compares hundreds of partner websites so that our users can find and book the best prices. We also enable users to book activities and attractions and make restaurant reservations through our site. The tools and information we provide are available in 28 different languages on web-based and mobile applications on desktops and across all mobile devices.</w:t>
      </w:r>
    </w:p>
    <w:p>
      <w:pPr>
        <w:spacing w:after="0" w:line="18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order to achieve our goal, we leverage our key assets—a robust travel community, rich user-generated content, continuous technological innovation and global reach—as follows:</w:t>
      </w:r>
    </w:p>
    <w:p>
      <w:pPr>
        <w:spacing w:after="0" w:line="50" w:lineRule="exact"/>
        <w:rPr>
          <w:sz w:val="20"/>
          <w:szCs w:val="20"/>
          <w:color w:val="auto"/>
        </w:rPr>
      </w:pPr>
    </w:p>
    <w:p>
      <w:pPr>
        <w:ind w:left="1020" w:right="180" w:hanging="358"/>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Travel Community</w:t>
      </w:r>
      <w:r>
        <w:rPr>
          <w:rFonts w:ascii="Times New Roman" w:cs="Times New Roman" w:eastAsia="Times New Roman" w:hAnsi="Times New Roman"/>
          <w:sz w:val="18"/>
          <w:szCs w:val="18"/>
          <w:color w:val="auto"/>
        </w:rPr>
        <w:t>. We believe that we have the largest breadth of content in our markets, and that, because of this breadth, travelers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gravitate to our websites to research and plan their trips. By providing an interactive forum to share their experiences, our large and highly engaged community of travelers is a valuable resource. To facilitate planning, we enable consumers to research pricing and availability from third-party travel booking sites. To encourage better travel experiences for consumers and to create a feedback loop between the hospitality industry and individual travelers, we allow hospitality management representatives to respond to reviews of their properties on our website. After completing their trip, consumers can return to our websites to write reviews to give back to the community that helped them plan their trip. Through this cycle, more content is generated, which drives community, traffic, loyalty and higher search engine rankings, all of which lead to further content creation. We believe that the volume of reviews generated on our websites and the robust feedback loop created on our websites provides us with a significant advantage over our competitors.</w:t>
      </w:r>
    </w:p>
    <w:p>
      <w:pPr>
        <w:spacing w:after="0" w:line="73" w:lineRule="exact"/>
        <w:rPr>
          <w:rFonts w:ascii="Times New Roman" w:cs="Times New Roman" w:eastAsia="Times New Roman" w:hAnsi="Times New Roman"/>
          <w:sz w:val="18"/>
          <w:szCs w:val="18"/>
          <w:color w:val="auto"/>
        </w:rPr>
      </w:pPr>
    </w:p>
    <w:p>
      <w:pPr>
        <w:ind w:left="1020" w:right="120" w:hanging="358"/>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Rich User-Generated Content. </w:t>
      </w:r>
      <w:r>
        <w:rPr>
          <w:rFonts w:ascii="Times New Roman" w:cs="Times New Roman" w:eastAsia="Times New Roman" w:hAnsi="Times New Roman"/>
          <w:sz w:val="18"/>
          <w:szCs w:val="18"/>
          <w:color w:val="auto"/>
        </w:rPr>
        <w:t>We believe that the best travel content comes from the wisdom and insight of a robust community of travelers.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user-generated content to power travel planning by allowing members to create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17" w:right="259" w:bottom="1440" w:gutter="0" w:footer="0" w:header="0"/>
        </w:sectPr>
      </w:pPr>
    </w:p>
    <w:bookmarkStart w:id="7" w:name="page8"/>
    <w:bookmarkEnd w:id="7"/>
    <w:p>
      <w:pPr>
        <w:ind w:left="1020" w:right="60"/>
        <w:spacing w:after="0" w:line="258" w:lineRule="auto"/>
        <w:rPr>
          <w:sz w:val="20"/>
          <w:szCs w:val="20"/>
          <w:color w:val="auto"/>
        </w:rPr>
      </w:pPr>
      <w:r>
        <w:rPr>
          <w:rFonts w:ascii="Times New Roman" w:cs="Times New Roman" w:eastAsia="Times New Roman" w:hAnsi="Times New Roman"/>
          <w:sz w:val="18"/>
          <w:szCs w:val="18"/>
          <w:color w:val="auto"/>
        </w:rPr>
        <w:t>reviews and share opinions on hundreds of thousands of accommodations, destinations, attractions and restaurants. As evidenced by the growth of our business, this type of travel planning has been embraced by travelers. To promote an enthusiastic reviewer community that continues to provide valuable content and promotes our brand, we have launched several programs to recognize reviewer contributions, including site badges, helpful vote recognition, and other features, all of which highlight the current and helpful reviews and opinions available throughout the TripAdvisor community.</w:t>
      </w:r>
    </w:p>
    <w:p>
      <w:pPr>
        <w:spacing w:after="0" w:line="72" w:lineRule="exact"/>
        <w:rPr>
          <w:sz w:val="20"/>
          <w:szCs w:val="20"/>
          <w:color w:val="auto"/>
        </w:rPr>
      </w:pPr>
    </w:p>
    <w:p>
      <w:pPr>
        <w:ind w:left="1020" w:right="20" w:hanging="358"/>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and Innovation</w:t>
      </w:r>
      <w:r>
        <w:rPr>
          <w:rFonts w:ascii="Times New Roman" w:cs="Times New Roman" w:eastAsia="Times New Roman" w:hAnsi="Times New Roman"/>
          <w:sz w:val="18"/>
          <w:szCs w:val="18"/>
          <w:color w:val="auto"/>
        </w:rPr>
        <w:t>. Product innovation and speed to market are our two most important priorities in order to create an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rich user experience. We have weekly engineering releases that contain new products and features for our websites and mobile apps. Some recent examples of this product innovation include: Just For You, which delivers users a more personalized hotel shopping experience; Instant Booking, which enables users to complete a hotel reservation while remaining on the TripAdvisor website; hotel metasearch, which enables users to see real-time availability and compare prices from hundreds of partner websites, without requiring the user to visit another website; and TripConnect, which enables independent hoteliers to compete for leads on TripAdvisor. Our ongoing commitment to innovation also extends to content syndication and review collection partnerships, as we leverage our technology and content for the benefit of other websites. In addition, we utilize manual and electronic fraud detection in order to maintain the quality and authenticity of user reviews.</w:t>
      </w:r>
    </w:p>
    <w:p>
      <w:pPr>
        <w:spacing w:after="0" w:line="77" w:lineRule="exact"/>
        <w:rPr>
          <w:rFonts w:ascii="Times New Roman" w:cs="Times New Roman" w:eastAsia="Times New Roman" w:hAnsi="Times New Roman"/>
          <w:sz w:val="18"/>
          <w:szCs w:val="18"/>
          <w:color w:val="auto"/>
        </w:rPr>
      </w:pPr>
    </w:p>
    <w:p>
      <w:pPr>
        <w:ind w:left="1020" w:right="20" w:hanging="358"/>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Reach</w:t>
      </w:r>
      <w:r>
        <w:rPr>
          <w:rFonts w:ascii="Times New Roman" w:cs="Times New Roman" w:eastAsia="Times New Roman" w:hAnsi="Times New Roman"/>
          <w:sz w:val="18"/>
          <w:szCs w:val="18"/>
          <w:color w:val="auto"/>
        </w:rPr>
        <w:t>. We are a global company, both through the reach of our portfolio of branded websites and through our in-market staffing in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countries. As of December 31, 2014, we had approximately 1,500 employees based outside of the United States, representing 54% of our employee population. As of December 31, 2014, we had branded websites in 45 countries and 28 languages, including a local language website in China under the brand daodao.com. We have over 570 million review translations, and are committed to continuing to improve the in-country user experience and the local content coverage for all of our points-of-sale. We believe that the universally-relevant content and community of our core TripAdvisor platform and other brands uniquely position us to appeal to travelers throughout the world.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leverage significant investments in technology, operations, brand-building, and relationships with advertisers and other partners to expand our business and enhance our global competitive position. These investments have enabled us to, among other things, aggregate a large base of consumer reviews, in a variety of languages, across our global platform of our websites. We continue to focus on the following areas to grow our business:</w:t>
      </w:r>
    </w:p>
    <w:p>
      <w:pPr>
        <w:spacing w:after="0" w:line="64" w:lineRule="exact"/>
        <w:rPr>
          <w:sz w:val="20"/>
          <w:szCs w:val="20"/>
          <w:color w:val="auto"/>
        </w:rPr>
      </w:pPr>
    </w:p>
    <w:p>
      <w:pPr>
        <w:ind w:left="1020" w:right="120" w:hanging="358"/>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Continuing Technology Innovation. </w:t>
      </w:r>
      <w:r>
        <w:rPr>
          <w:rFonts w:ascii="Times New Roman" w:cs="Times New Roman" w:eastAsia="Times New Roman" w:hAnsi="Times New Roman"/>
          <w:sz w:val="18"/>
          <w:szCs w:val="18"/>
          <w:color w:val="auto"/>
        </w:rPr>
        <w:t>We believe our ability to innovate and to provide additional functionality to our websites and apps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devices will enable us to continue to deliver an industry-leading user experience. Our innovation culture supports bringing product enhancements to market at speed. In doing so, we believe that we can continue to, among other things, grow content, usage, loyalty and engagement, as well as to reinforce our competitive positioning.</w:t>
      </w:r>
    </w:p>
    <w:p>
      <w:pPr>
        <w:spacing w:after="0" w:line="68" w:lineRule="exact"/>
        <w:rPr>
          <w:rFonts w:ascii="Times New Roman" w:cs="Times New Roman" w:eastAsia="Times New Roman" w:hAnsi="Times New Roman"/>
          <w:sz w:val="18"/>
          <w:szCs w:val="18"/>
          <w:color w:val="auto"/>
        </w:rPr>
      </w:pPr>
    </w:p>
    <w:p>
      <w:pPr>
        <w:ind w:left="1020" w:right="40" w:hanging="358"/>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Social and Personalization Platform. </w:t>
      </w:r>
      <w:r>
        <w:rPr>
          <w:rFonts w:ascii="Times New Roman" w:cs="Times New Roman" w:eastAsia="Times New Roman" w:hAnsi="Times New Roman"/>
          <w:sz w:val="18"/>
          <w:szCs w:val="18"/>
          <w:color w:val="auto"/>
        </w:rPr>
        <w:t>We grow brand awareness and member acquisition on social media channels,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Facebook, Twitter and other social sharing platforms. We intend to continue to expand our social integration and personalization efforts as we believe these initiatives help to drive usage, engagement, and content. Users can share their reviews and ratings with their friends through Facebook Connect and also can publish their TripAdvisor content to their Facebook timeline. Additionally, our Just For You personalization feature gives users personalized recommendations based on friends’ reviews and ratings as well as information collected about user preferences in selecting hotels.</w:t>
      </w:r>
    </w:p>
    <w:p>
      <w:pPr>
        <w:spacing w:after="0" w:line="74" w:lineRule="exact"/>
        <w:rPr>
          <w:rFonts w:ascii="Times New Roman" w:cs="Times New Roman" w:eastAsia="Times New Roman" w:hAnsi="Times New Roman"/>
          <w:sz w:val="18"/>
          <w:szCs w:val="18"/>
          <w:color w:val="auto"/>
        </w:rPr>
      </w:pPr>
    </w:p>
    <w:p>
      <w:pPr>
        <w:ind w:left="1020" w:right="80" w:hanging="358"/>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Improving the Experience. </w:t>
      </w:r>
      <w:r>
        <w:rPr>
          <w:rFonts w:ascii="Times New Roman" w:cs="Times New Roman" w:eastAsia="Times New Roman" w:hAnsi="Times New Roman"/>
          <w:sz w:val="18"/>
          <w:szCs w:val="18"/>
          <w:color w:val="auto"/>
        </w:rPr>
        <w:t>We continue to invest in user experience enhancements that improve the researching, comparing and booking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as well as help a user while they are on the trip. We have offered a flight metasearch product that displays availability and pricing information from multiple sources since 2009, expanding internationally to 38 points of sale as of December 31, 2014. In 2012, we introduced hotel metasearch to our global smartphone traffic and in June 2013, we completed the process of fully implementing hotel metasearch functionality onto our desktop and tablet platforms. During 2014 we introduced Instant Booking, to our mobile users. This product feature allows travelers to complete a hotel reservation, powered by our OTA and hotelier partners, while remaining on the TripAdvisor mobile app. We continue to integrate this feature onto desktop and tablets. In addition to metasearch and Instant Booking, we continue to offer and improve features such as user reviews, photos, mapping, and filtering to assist users in finding the right hotel for their trip.</w:t>
      </w:r>
    </w:p>
    <w:p>
      <w:pPr>
        <w:spacing w:after="0" w:line="77" w:lineRule="exact"/>
        <w:rPr>
          <w:rFonts w:ascii="Times New Roman" w:cs="Times New Roman" w:eastAsia="Times New Roman" w:hAnsi="Times New Roman"/>
          <w:sz w:val="18"/>
          <w:szCs w:val="18"/>
          <w:color w:val="auto"/>
        </w:rPr>
      </w:pPr>
    </w:p>
    <w:p>
      <w:pPr>
        <w:ind w:left="1020" w:right="120" w:hanging="358"/>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Traffic Growth. </w:t>
      </w:r>
      <w:r>
        <w:rPr>
          <w:rFonts w:ascii="Times New Roman" w:cs="Times New Roman" w:eastAsia="Times New Roman" w:hAnsi="Times New Roman"/>
          <w:sz w:val="18"/>
          <w:szCs w:val="18"/>
          <w:color w:val="auto"/>
        </w:rPr>
        <w:t>Attracting more visitors to our sites is at the core of our strategic plan and we dedicate significant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resources towards amplifying our global brand. We do this through online and offline marketing channels to maximize the number of users who navigate to our site either directly, also known as domain direct traffic, or from the marketing channel directly. Offline advertising channels we have used in the past to amplify our brands include: permanent branding campaigns such as TripAdvisor-branded travel awards, certificates, stickers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ind w:left="1020" w:right="160"/>
        <w:spacing w:after="0" w:line="256" w:lineRule="auto"/>
        <w:rPr>
          <w:sz w:val="20"/>
          <w:szCs w:val="20"/>
          <w:color w:val="auto"/>
        </w:rPr>
      </w:pPr>
      <w:r>
        <w:rPr>
          <w:rFonts w:ascii="Times New Roman" w:cs="Times New Roman" w:eastAsia="Times New Roman" w:hAnsi="Times New Roman"/>
          <w:sz w:val="18"/>
          <w:szCs w:val="18"/>
          <w:color w:val="auto"/>
        </w:rPr>
        <w:t>badges and television advertising. Online advertising channels we have used in the past to amplify our brand include, but are not limited to: customer relationship management email campaigns, or CRM; social networks; organic search through search engine optimization, or SEO; paid search through search engine marketing, or SEM; and referrals from partners whose sites contain links to TripAdvisor content, badges or widgets. At approximately 11% of global online travel unique visitors, according to comScore Media Metrix, we believe that we have a large opportunity to continue growing visitors. In order to achieve this objective, we intend to invest in the aforementioned channels, as well as any new channels that we may identify in the future.</w:t>
      </w:r>
    </w:p>
    <w:p>
      <w:pPr>
        <w:spacing w:after="0" w:line="76" w:lineRule="exact"/>
        <w:rPr>
          <w:sz w:val="20"/>
          <w:szCs w:val="20"/>
          <w:color w:val="auto"/>
        </w:rPr>
      </w:pPr>
    </w:p>
    <w:p>
      <w:pPr>
        <w:ind w:left="1020" w:right="40" w:hanging="358"/>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Enhancing International Offerings</w:t>
      </w:r>
      <w:r>
        <w:rPr>
          <w:rFonts w:ascii="Times New Roman" w:cs="Times New Roman" w:eastAsia="Times New Roman" w:hAnsi="Times New Roman"/>
          <w:sz w:val="18"/>
          <w:szCs w:val="18"/>
          <w:color w:val="auto"/>
        </w:rPr>
        <w:t>. We are focused on strengthening our broad global footprint as we believe that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a long-term strategic opportunity for us. We are continuing to improve localization and grow our user base in Europe, Asia and South America, especially in emerging markets, such as Brazil, Russia and China. In addition, we currently have two lead product offerings in the Chinese market—DaoDao and Kuxun—both headquartered in Beijing. We continue to invest in the Chinese market, despite operating at a loss, and will continue to increase our international offerings.</w:t>
      </w:r>
    </w:p>
    <w:p>
      <w:pPr>
        <w:spacing w:after="0" w:line="71" w:lineRule="exact"/>
        <w:rPr>
          <w:rFonts w:ascii="Times New Roman" w:cs="Times New Roman" w:eastAsia="Times New Roman" w:hAnsi="Times New Roman"/>
          <w:sz w:val="18"/>
          <w:szCs w:val="18"/>
          <w:color w:val="auto"/>
        </w:rPr>
      </w:pPr>
    </w:p>
    <w:p>
      <w:pPr>
        <w:ind w:left="1020" w:right="180" w:hanging="358"/>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through Strategic Acquisitions</w:t>
      </w:r>
      <w:r>
        <w:rPr>
          <w:rFonts w:ascii="Times New Roman" w:cs="Times New Roman" w:eastAsia="Times New Roman" w:hAnsi="Times New Roman"/>
          <w:sz w:val="18"/>
          <w:szCs w:val="18"/>
          <w:color w:val="auto"/>
        </w:rPr>
        <w:t>. We have a history of successfully acquiring and integrating companies that expand our footprint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geographically or in market sectors that are complementary to our flagship properties. We intend to continue to grow our business and expand our product and service offerings through acquisitions that either complement our existing businesses or provide additional resources, products and/or services that will improve the user experience. A few recent examples include; Lafourchette, the leading online and mobile reservation platform for restaurants in France, Spain and Switzerland, with a network of restaurant partners in Europe and Viator, the leading online resource for researching and booking destination activities around the world.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Relationships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We have a number of relationships that are strategically important to the success of our business. These relationships are memorialized in some form of agreement, although many of these agreements are for a limited term or are terminable at will or on short notice. As a result, we work hard to ensure the mutual success of these relationships.</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have advertising relationships with the vast majority of the leading OTA’s as well as a variety of other travel suppliers pursuant to which these companies purchase traveler leads from us, generally on a CPC basis. For the year ended December 31, 2014, our two most significant advertising partners, Expedia and Priceline (and their subsidiaries), each accounted for more than 10% of our total revenue and combined accounted for 46% of our total revenue.</w:t>
      </w:r>
    </w:p>
    <w:p>
      <w:pPr>
        <w:spacing w:after="0" w:line="176"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We have a content licensing program utilized by over 1,000 partners around the world, including hotel chains, online travel agents, tourist boards, airlines and media sites. TripAdvisor also distributes its content through self-service HTML widgets, which are used on the websites of hotels, restaurants, attractions and destination marketing organizations. These products, which are available at no cost in the TripAdvisor Management Center, allow businesses and destinations to promote themselves by displaying their TripAdvisor ratings, reviews and awards. TripAdvisor widgets are presently found on more than 150,000 unique domains around the globe, reaching over 800 million people per month. Partners benefit from our user-generated content, such as reviews, ratings, photos and traveler forums. In addition, we power review collection for a growing number of partners, such as Accor Hotels, Wyndham Hotel Group, Best Western and Easytobook.com, enabling them to proactively collect reviews from their own customers post-stay in their own branded environment. We have also developed partnerships with mobile carriers and device manufacturers.</w:t>
      </w:r>
    </w:p>
    <w:p>
      <w:pPr>
        <w:spacing w:after="0" w:line="185" w:lineRule="exact"/>
        <w:rPr>
          <w:sz w:val="20"/>
          <w:szCs w:val="20"/>
          <w:color w:val="auto"/>
        </w:rPr>
      </w:pPr>
    </w:p>
    <w:p>
      <w:pPr>
        <w:ind w:right="20" w:firstLine="518"/>
        <w:spacing w:after="0" w:line="313" w:lineRule="auto"/>
        <w:rPr>
          <w:sz w:val="20"/>
          <w:szCs w:val="20"/>
          <w:color w:val="auto"/>
        </w:rPr>
      </w:pPr>
      <w:r>
        <w:rPr>
          <w:rFonts w:ascii="Times New Roman" w:cs="Times New Roman" w:eastAsia="Times New Roman" w:hAnsi="Times New Roman"/>
          <w:sz w:val="17"/>
          <w:szCs w:val="17"/>
          <w:color w:val="auto"/>
        </w:rPr>
        <w:t>We also syndicate our click-based advertising to third-party websites. The largest such syndication relationship is with Yahoo! Travel Guides, pursuant to which we provide “show prices” advertising on the Yahoo! Travel Guides’ hotel pages. Other syndication partners include Bing and Axel Springer.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have established widely used and recognized brands through marketing and promotion campaigns. We continue to aggressively promote our brands, particularly our flagship brand TripAdvisor. Our marketing programs are intended to build and maintain the value of our brands, promote consumer engagement and contributions, drive qualified clicks to our partners and strategically position our brands in the market. Our long-term success depends on our continued ability to maintain and increase the overall number of consumers flowing through our brand in a cost-effective manner, as well as our ability to attract consumers who will share their own content from their trips. Our marketing channels include SEM and SEO. We also reach consumers across the web through our online marketing program, and offline through our offline brand campaigns. We also utilize CRM in which we send relevant and engaging traveler communications to our members via email. We have a robust global public relations program that yields placements on a constant basis in major print and online publications. We continue to look for new ways to build brand awareness and expand new channels, which may include traditional media and social media channels including Facebook and Twitter</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ind w:right="80"/>
        <w:spacing w:after="0" w:line="266" w:lineRule="auto"/>
        <w:rPr>
          <w:sz w:val="20"/>
          <w:szCs w:val="20"/>
          <w:color w:val="auto"/>
        </w:rPr>
      </w:pPr>
      <w:r>
        <w:rPr>
          <w:rFonts w:ascii="Times New Roman" w:cs="Times New Roman" w:eastAsia="Times New Roman" w:hAnsi="Times New Roman"/>
          <w:sz w:val="18"/>
          <w:szCs w:val="18"/>
          <w:color w:val="auto"/>
        </w:rPr>
        <w:t>to deepen customer engagement. We syndicate our content so that other sites can feature TripAdvisor branding and content. Lastly, marketing and product development initiatives are closely tied. We are constantly creating helpful features and functionality so that our consumers can discover more relevant travel and review content that they want to talk about and share with their friends.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 The TripAdvisor-branded websites are powered primarily using Java programming language.</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Our systems infrastructure, web and database servers for TripAdvisor-branded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our subsidiaries in China, have their own data infrastructure and technology teams.</w:t>
      </w:r>
    </w:p>
    <w:p>
      <w:pPr>
        <w:spacing w:after="0" w:line="18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Widespread adoption of mobile devices such as iPhone, Android-enabled smart phones and tablets such as the iPad, coupled with the improved web browsing functionality and development of thousands of useful apps available on these devices, is driving substantial traffic and commerce activity to mobile platforms. We have seen tremendous growth in the adoption of mobile platforms, as have our advertising partners. Advertising opportunities may be more limited on mobile devices given their small screen sizes. Further, given the size and technical limitations of tablets and smartphones, mobile consumers may not be willing to download multiple apps from multiple travel service providers and instead prefer to use one or a limited number of apps for their mobile travel activity. As a result, the consumer experience with mobile apps (as well as brand recognition and loyalty) is becoming increasingly important and we make significant investments in this area.</w:t>
      </w:r>
    </w:p>
    <w:p>
      <w:pPr>
        <w:spacing w:after="0" w:line="18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believe that mobile bookings are necessary to maintain and grow our business as consumers increasingly turn to mobile devices and mobile applications. If we are unable to continue to rapidly innovate and create new, user-friendly and differentiated mobile offerings and efficiently and effectively advertise and distribute on these platforms, or if our mobile apps are not downloaded and used by travel consumers, we could lose market share to existing or new entrants and our future growth and results of operations could be adversely effected. As a result, we have made significant progress creating mobile offerings which have received strong reviews, solid download trends and are driving a material and increasing share of our business. Our smartphone monetization strategies are still developing, as smartphone monetization remains significantly lower than desktop monetization of hotel shoppers during the year ended December 31, 2014, while tablets monetize more closely to desktops.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face competition for content, users, and advertisers. Our primary competitors include large online portals, social networking sites and search engines, such as Google, Microsoft’s Bing (including Bing Travel), Yahoo! (including Yahoo! Travel) and Baidu. We face competition from OTAs (such as Expedia and Priceline and their respective subsidiaries), as well as wholesalers, tour operators and traditional offline travel agencies. We also compete with a wide range of other companies, including Airbnb, Inc., Ctrip.com International, Ltd., HolidayCheck AG, HomeAway, Inc., Yelp, Inc. and OpenTable, Inc., a subsidiary of Priceline.</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believe we are the world’s largest global platform for travel-related reviews and opinions and we face competition in the travel review space from OTAs, such as Expedia and Priceline and their respective subsidiaries, which solicit reviews from travelers who book travel on their websites. With respect to our restaurant and attractions business, we face competition for reviews from OpenTable, a subsidiary of Priceline and Yelp, Inc. Moreover, networks with significant installed user bases such as Google (for example, via Google + Local and Google Hotel Finder) have begun to compete more directly with us by attracting and accumulating user-generated reviews and opinions or may pursue the acquisition of travel-related content directly from consumers, and other networks and channels, like Facebook, could choose to do the same.</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the competition to attract users, we rely on our ability to acquire traffic through offline brand recognition and brand-direct efforts such as television, email and online search, whether unpaid or paid. Unpaid search is sometimes referred to as SEO, which is the practice of developing websites with relevant and current content that rank well in “organic,” or unpaid, search engine results. SEO can be affected by a number of factors including competitive site content, changes to our website architecture and page designs, changes to search engine ranking algorithms, or changes to display ordering in search engine results such as preferred placement for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29" w:right="259" w:bottom="1440" w:gutter="0" w:footer="0" w:header="0"/>
        </w:sectPr>
      </w:pPr>
    </w:p>
    <w:bookmarkStart w:id="10" w:name="page11"/>
    <w:bookmarkEnd w:id="10"/>
    <w:p>
      <w:pPr>
        <w:ind w:right="600"/>
        <w:spacing w:after="0" w:line="289" w:lineRule="auto"/>
        <w:rPr>
          <w:sz w:val="20"/>
          <w:szCs w:val="20"/>
          <w:color w:val="auto"/>
        </w:rPr>
      </w:pPr>
      <w:r>
        <w:rPr>
          <w:rFonts w:ascii="Times New Roman" w:cs="Times New Roman" w:eastAsia="Times New Roman" w:hAnsi="Times New Roman"/>
          <w:sz w:val="17"/>
          <w:szCs w:val="17"/>
          <w:color w:val="auto"/>
        </w:rPr>
        <w:t>internal products offered by search engines. SEM is a form of Internet marketing that involves the promotion of websites by increasing their visibility in search engine results pages through the use of paid placement, contextual advertising, and paid inclusion. SEM is a competitive marketplace with competitors continually updating their traffic acquisition strategies and economic models across a large number of keywords and markets.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Advertisers</w:t>
      </w:r>
    </w:p>
    <w:p>
      <w:pPr>
        <w:spacing w:after="0" w:line="121" w:lineRule="exact"/>
        <w:rPr>
          <w:sz w:val="20"/>
          <w:szCs w:val="20"/>
          <w:color w:val="auto"/>
        </w:rPr>
      </w:pPr>
    </w:p>
    <w:p>
      <w:pPr>
        <w:ind w:right="240" w:firstLine="518"/>
        <w:spacing w:after="0" w:line="254" w:lineRule="auto"/>
        <w:rPr>
          <w:sz w:val="20"/>
          <w:szCs w:val="20"/>
          <w:color w:val="auto"/>
        </w:rPr>
      </w:pPr>
      <w:r>
        <w:rPr>
          <w:rFonts w:ascii="Times New Roman" w:cs="Times New Roman" w:eastAsia="Times New Roman" w:hAnsi="Times New Roman"/>
          <w:sz w:val="18"/>
          <w:szCs w:val="18"/>
          <w:color w:val="auto"/>
        </w:rPr>
        <w:t>We compete for travel-related advertising budgets with large, established search engines with significantly greater resources than we have, such as Google, Bing, and Yahoo!, as well as online media companies and ad networks, offline advertising sources, such as television and print media. These competitors have large client bases and significantly greater resources than we have and expertise in developing online commerce and facilitating internet traffic are creating inroads into online travel. Competition from these parties could cause us to lose advertising customers or shares of advertising expenditures. For example, Google has launched “Hotel Finder”, a search tool that enables users to search and compare hotel accommodations based on parameters set by users and has, at times, placed the Google supplier websites or its own search engine at or near the top of hotel-related search results. In addition, Microsoft has launched Bing Travel, which searches for hotel reservations and air fares online and predicts the best time to purchase them. If Google, Bing or any other leading search engines refer significant traffic to these or other travel services that they develop in the future, or otherwise favor supplier websites or other travel service websites over other online travel sites, including us, it would likely become more difficult and expensive for us to generate traffic to our websites and therefore maintain or grow our market share.</w:t>
      </w:r>
    </w:p>
    <w:p>
      <w:pPr>
        <w:spacing w:after="0" w:line="18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Certain of the companies we do business with are also our competitors. The consolidation of our competitors and partners, including Expedia (through its investment in Trivago) and Priceline (through its acquisition of Kayak and OpenTable), may affect our competitiveness and partner relationships. As the market evolves for online travel content and the technology supporting it, including new platforms such as smartphone and tablet computing devices, we anticipate that the existing competitive landscape will change and new competitors may emerge.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the use of our intellectual property.</w:t>
      </w:r>
    </w:p>
    <w:p>
      <w:pPr>
        <w:spacing w:after="0" w:line="18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such as TripAdvisor and the Owl Logo,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337" w:right="279" w:bottom="1440" w:gutter="0" w:footer="0" w:header="0"/>
        </w:sectPr>
      </w:pPr>
    </w:p>
    <w:bookmarkStart w:id="11" w:name="page12"/>
    <w:bookmarkEnd w:id="11"/>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United States federal, state and foreign governments are also considering alternative legislative and regulatory proposals that would increase regulation on Internet advertising. It is impossible to accurately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Reportable Segments</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During the fourth quarter of 2014, management changed TripAdvisor’s reportable segments to reflect changes in the management reporting structure of the organization, primarily due to recent business acquisitions, and the manner in which the chief operating decision maker, or CODM, regularly assesses information and evaluates performance for operating decision-making purposes, including allocation of resources. We believe this new segment structure better provides the CODM with information to assess performance and to make resource allocation decisions. The CODM for the company is our Chief Executive Officer.</w:t>
      </w:r>
    </w:p>
    <w:p>
      <w:pPr>
        <w:spacing w:after="0" w:line="184"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revised reporting structure includes two reportable segments: Hotel and Other. Our Other segment consists of the aggregation of three operating segments, which include our Attractions, Restaurants and Vacation Rentals businesses.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Hotel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Hotel segment accounted for 91% of our Company’s consolidated revenue in 2014.</w:t>
      </w:r>
    </w:p>
    <w:p>
      <w:pPr>
        <w:spacing w:after="0" w:line="225"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Hotel segment includes revenue generated from services related to hotels, including click-based and display-based advertising revenue from making hotel room nights, airline reservations, and cruise reservations available for price comparison and booking, as well as subscription-based products such as Business Listings, transaction-based products such as Jetsetter and Tingo, and other revenue related to hotels.</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Hotel segment’s financial performance is principally dependent on our ability to grow click-based advertising revenue. This revenue stream is highly dependent upon growth in our hotel shoppers, how effectively we convert hotel shoppers into revenue, and the price we get paid per hotel shopper, all of which equates to revenue per hotel shopper. The term “hotel shoppers” refers to users who view servlets on our websites that contain a listing of hotels in a city or visitors to a specific hotel page on TripAdvisor.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 than half of TripAdvisor users visit pages that are not hotel related. Revenue generated from these users is reflected in our Other segment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segment accounted for 9% of our consolidated revenue in 2014 and consists of the following businesses below:</w:t>
      </w:r>
    </w:p>
    <w:p>
      <w:pPr>
        <w:spacing w:after="0" w:line="113" w:lineRule="exact"/>
        <w:rPr>
          <w:sz w:val="20"/>
          <w:szCs w:val="20"/>
          <w:color w:val="auto"/>
        </w:rPr>
      </w:pPr>
    </w:p>
    <w:p>
      <w:pPr>
        <w:ind w:left="1260" w:right="400" w:hanging="354"/>
        <w:spacing w:after="0" w:line="262"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Attractions. </w:t>
      </w:r>
      <w:r>
        <w:rPr>
          <w:rFonts w:ascii="Times New Roman" w:cs="Times New Roman" w:eastAsia="Times New Roman" w:hAnsi="Times New Roman"/>
          <w:sz w:val="18"/>
          <w:szCs w:val="18"/>
          <w:color w:val="auto"/>
        </w:rPr>
        <w:t>We provide, through Viator, information and services for researching and booking destination activities around the 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68" w:lineRule="exact"/>
        <w:rPr>
          <w:rFonts w:ascii="Times New Roman" w:cs="Times New Roman" w:eastAsia="Times New Roman" w:hAnsi="Times New Roman"/>
          <w:sz w:val="18"/>
          <w:szCs w:val="18"/>
          <w:color w:val="auto"/>
        </w:rPr>
      </w:pPr>
    </w:p>
    <w:p>
      <w:pPr>
        <w:ind w:left="1260" w:right="20" w:hanging="354"/>
        <w:spacing w:after="0" w:line="259"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Restaurants. </w:t>
      </w:r>
      <w:r>
        <w:rPr>
          <w:rFonts w:ascii="Times New Roman" w:cs="Times New Roman" w:eastAsia="Times New Roman" w:hAnsi="Times New Roman"/>
          <w:sz w:val="18"/>
          <w:szCs w:val="18"/>
          <w:color w:val="auto"/>
        </w:rPr>
        <w:t>We have several websites that provide online and mobile reservation services that connect restaurants with diners.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websites are currently focused on the European market, primarily through Lafourchette. Lafourchette is an online restaurant booking platform with a network of restaurant partners across Europe. Lafourchette also offers management software solutions helping restaurants to maximize business by providing a flexible online booking, discount and data tool. We generate revenue primarily by charging a fee for each restaurant guest seated through the online reservation systems.</w:t>
      </w:r>
    </w:p>
    <w:p>
      <w:pPr>
        <w:spacing w:after="0" w:line="71" w:lineRule="exact"/>
        <w:rPr>
          <w:rFonts w:ascii="Times New Roman" w:cs="Times New Roman" w:eastAsia="Times New Roman" w:hAnsi="Times New Roman"/>
          <w:sz w:val="18"/>
          <w:szCs w:val="18"/>
          <w:color w:val="auto"/>
        </w:rPr>
      </w:pPr>
    </w:p>
    <w:p>
      <w:pPr>
        <w:ind w:left="1260" w:right="140" w:hanging="354"/>
        <w:spacing w:after="0" w:line="259"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Rentals. </w:t>
      </w:r>
      <w:r>
        <w:rPr>
          <w:rFonts w:ascii="Times New Roman" w:cs="Times New Roman" w:eastAsia="Times New Roman" w:hAnsi="Times New Roman"/>
          <w:sz w:val="18"/>
          <w:szCs w:val="18"/>
          <w:color w:val="auto"/>
        </w:rPr>
        <w:t>We offer individual property owners and property managers the ability to list their properties available for rental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 with 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(which includes the Vacation Home Rentals site that was acquired during 2014), and our European-based Holiday Lettings and Niumba businesses.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7" w:right="2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Substantially all of our revenue from our Other segment is included in subscription-based, transaction and other revenue.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Reportable Segments and Geographic Information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2014, 2013 and 2012 our two most significant advertising partners, Expedia and Priceline, each accounted for more than 10% of our consolidated revenue and combined accounted for 46%, 47% and 48% of our consolidated revenue, respectively. This concentration of revenue is recorded in our Hotel segment for these reporting periods. As of December 31, 2014 and 2013, Expedia accounted for 15% and 14%, respectively, of our total accounts receivable.</w:t>
      </w:r>
    </w:p>
    <w:p>
      <w:pPr>
        <w:spacing w:after="0" w:line="178" w:lineRule="exact"/>
        <w:rPr>
          <w:sz w:val="20"/>
          <w:szCs w:val="20"/>
          <w:color w:val="auto"/>
        </w:rPr>
      </w:pPr>
    </w:p>
    <w:p>
      <w:pPr>
        <w:jc w:val="both"/>
        <w:ind w:right="3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Financial information related to our two reportable segments and geographic information required herein is contained in “Note 16 </w:t>
      </w:r>
      <w:r>
        <w:rPr>
          <w:rFonts w:ascii="Times New Roman" w:cs="Times New Roman" w:eastAsia="Times New Roman" w:hAnsi="Times New Roman"/>
          <w:sz w:val="18"/>
          <w:szCs w:val="18"/>
          <w:i w:val="1"/>
          <w:iCs w:val="1"/>
          <w:color w:val="auto"/>
        </w:rPr>
        <w:t>— Segment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Geographic Information</w:t>
      </w:r>
      <w:r>
        <w:rPr>
          <w:rFonts w:ascii="Times New Roman" w:cs="Times New Roman" w:eastAsia="Times New Roman" w:hAnsi="Times New Roman"/>
          <w:sz w:val="18"/>
          <w:szCs w:val="18"/>
          <w:color w:val="auto"/>
        </w:rPr>
        <w:t>,” in the notes to our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As of December 31, 2014, we had approximately 2,793 employees. Of these employees, approximately 1,292 were based in the United States. We believe that we have good relationships with our employees, including relationships with employees represented by international works councils or other similar organizations.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Expenditures by travel advertisers tend to be seasonal. Historically,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Website and Public Filings</w:t>
      </w:r>
    </w:p>
    <w:p>
      <w:pPr>
        <w:spacing w:after="0" w:line="12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www.tripadvisor.com.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76"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Exchange Act as soon as reasonably practicable after they have been electronically filed with, or furnished to,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36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8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increase visitors to our websites and to cost-effectively convert these visitors into repeat users or contributors, our advertising revenue could decline.</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primary asset that we use to attract visitors traffic to our websites and convert these visitors into repeat users is our continued ability to collect, create, organize and distribute high-quality, commercially valuable content that meets user’s specific interests and enables them to share and interact with the content and supporting communities. There can be no assurances that we will</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337" w:right="299" w:bottom="1440" w:gutter="0" w:footer="0" w:header="0"/>
        </w:sectPr>
      </w:pPr>
    </w:p>
    <w:bookmarkStart w:id="13" w:name="page14"/>
    <w:bookmarkEnd w:id="13"/>
    <w:p>
      <w:pPr>
        <w:ind w:right="20"/>
        <w:spacing w:after="0" w:line="258" w:lineRule="auto"/>
        <w:rPr>
          <w:sz w:val="20"/>
          <w:szCs w:val="20"/>
          <w:color w:val="auto"/>
        </w:rPr>
      </w:pPr>
      <w:r>
        <w:rPr>
          <w:rFonts w:ascii="Times New Roman" w:cs="Times New Roman" w:eastAsia="Times New Roman" w:hAnsi="Times New Roman"/>
          <w:sz w:val="18"/>
          <w:szCs w:val="18"/>
          <w:color w:val="auto"/>
        </w:rPr>
        <w:t>continue to obtain content in a cost-effective manner or in a manner that meets rapidly changing consumer demand. Any failure to obtain such content or organize and distribute such content in a manner that will engage users, or a failure to provide products that are perceived as useful, reliable and trustworthy, could adversely affect user experiences and reduce traffic driven to our websites, which would make our websites less attractive to advertisers. Any change in the cost structure pursuant to which we obtain our content, or in travelers’ relative appreciation of user-based versus expert content or our user-based content versus other sites’ user-based content, could also reduce traffic driven to our websites which would negatively impact our business and financial performance.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substantially all of our revenue from advertising and any significant reduction in spending by advertisers could harm our business.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advertising, primarily through click-based advertising and, to a lesser extent, display-based advertising. While we enter into master advertising contracts with our partners, these agreements generally address matters such as privacy and compliance, payment terms and conditions, termination and indemnities. Most of our click-based advertising contracts can be terminated by our partners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or if we do not deliver advertisements in an effective manner. If we are unable to provide value to our advertisers, they will likely stop placing ads on our websites, which would harm our revenues and business. We cannot guarantee that our current advertisers will fulfill their obligations under existing contracts, continue to advertise beyond the terms of existing contracts or enter into any additional contracts with us.</w:t>
      </w:r>
    </w:p>
    <w:p>
      <w:pPr>
        <w:spacing w:after="0" w:line="18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Click-based advertising accounts for the majority of our advertising revenue. Any changes we make to our business model may impact our advertising revenue in ways that we do not expect. If our partners do not receive the benefits they expect from their advertising spend with us, they may reduce their spending. In addition, if new, more effective advertising models were to emerge, there can be no assurance that we will have the ability to offer these models, or offer them in an effective manner.</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8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could be negatively affected by changes in search engine algorithms and dynamics, or search engine disintermediation.</w:t>
      </w:r>
    </w:p>
    <w:p>
      <w:pPr>
        <w:spacing w:after="0" w:line="12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We rely heavily on Internet search engines such as Google, both for organic traffic and through the purchase of travel-related keywords, to generate traffic to our websites. We obtain a significant amount of traffic via search engines and, therefore, utilize techniques such as SEO and SEM to improve our placement in relevant search queries. Search engines, including Google, frequently update and change the logic that determines the placement and display of results of a user’s search, such that the purchased or algorithmic placement of links to our websites can be negatively affected. Moreover, a search engine could, for competitive or other purposes, alter its search algorithms or results causing our websites to place lower in search query results. If a major search engine changes its algorithms in a manner that negatively affects our paid or unpaid search ranking, or if competitive dynamics impact the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extent that Google (including Google + Local and Google Hotel Finder) and Bing (including Bing Travel), or other leading search or metasearch engines that have a significant presence in our key markets, disintermediate OTA’s or travel content providers by offering comprehensive travel planning or shopping capabilities, or refer those leads to suppliers directly, or to other favored partners, there could be a material adverse impact on our business and financial performance. For example, during 2012, Google completed its acquisition of flight search technology company ITA Software and separately made changes to its hotel search results, including both expanding and promoting the use of Google + Local. To the extent these actions have a negative effect on our search traffic, whether on desktop, tablet or mobile devices, our business and financial performance could be adversely affected.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29" w:right="239" w:bottom="1440" w:gutter="0" w:footer="0" w:header="0"/>
        </w:sectPr>
      </w:pPr>
    </w:p>
    <w:bookmarkStart w:id="14" w:name="page15"/>
    <w:bookmarkEnd w:id="14"/>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relatively small number of significant advertisers and any reduction in spending by or loss of those advertisers could seriously harm our business.</w:t>
      </w:r>
    </w:p>
    <w:p>
      <w:pPr>
        <w:spacing w:after="0" w:line="5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derive a substantial portion of our revenue from a relatively small number of significant advertisers. For example, for the year ended December 31, 2014, our two most significant advertising partners, Expedia and Priceline (and their subsidiaries), accounted for a combined 46% of total revenue. If any of our significant advertisers were to cease or significantly curtail advertising on our websites, we could experience a rapid decline in our revenue over a relatively short period of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the acceptance, and successful measurement, of online advertising as an alternative to offline advertising.</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long-term growth of our business will depend heavily on the continued acceptance of online advertising as an alternative or supplement to offline advertising and the increase in the percentage of the advertising market allocated to online advertising, which may not happen in a manner or to the extent that we currently expect. We compete with traditional media for advertising dollars, in addition to websites with higher levels of traffic. If online advertising ceases to be an acceptable alternative or supplement to offline advertising then our business, financial condition and results of operations will be negatively impacted.</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adoption of online advertising, particularly by those entities that have historically relied upon traditional media for advertising, requires the acceptance of a new way of conducting business, exchanging information and evaluating new advertising and marketing technologies and services. Because the online marketing industry is relatively new and rapidly evolving, it uses different methods than traditional media to gauge its effectiveness. Some of our potential customers have little or no experience using the Internet for advertising and marketing purposes and have allocated only limited portions of their advertising and marketing budgets to the Internet. As a result, we are continually evaluating changes to aspects of our business model to keep pace with the expectations of users and advertisers, and these changes may not yield the benefits we expect. In particular, we are dependent on our clients’ adoption of new metrics to measure the success of online marketing campaigns.</w:t>
      </w:r>
    </w:p>
    <w:p>
      <w:pPr>
        <w:spacing w:after="0" w:line="18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addition, if advertisers materially change their transaction attribution models or their return on investment calculations and/or increase their return on investment targets with respect to online advertising in general, or TripAdvisor traffic in particular, they might reduce the prices they are willing to pay for our advertising products, which would have an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in the use of devices other than desktop computers may negatively affect our revenue and financial results.</w:t>
      </w:r>
    </w:p>
    <w:p>
      <w:pPr>
        <w:spacing w:after="0" w:line="12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Our content was originally designed for users accessing the Internet on a desktop computer. The number of people who access the Internet through devices other than desktops computers, including mobile phones, smartphones, handheld computers such as notebooks and tablets, video game consoles and television set-top devices, has increased substantially in the last few years. We anticipate that the rate of use of these computing devices will continue to grow. The lower resolution, functionality and memory associated with some of these alternative devices make the use of our products and services through such devices more difficult and versions of our products and services developed for these devices may not be compelling to users. We have developed services and applications to address limitations of these devices and our advertising revenues continue to grow, however, we monetize users of these devices at a lower rate compared to users who access our websites through desktop computers.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or disruptions in the economy in general and travel industry in particular could adversely affect our businesses and financial performance.</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businesses and financial performance are affected by the health of the global economy generally as well as the travel industry in particular. The global economy may be adversely impacted by a number of negative economic developments including defaults on government debt, significant increases in fuel and energy costs, tax increases and other matters that could reduce discretionary spending, continued tightening of credit markets, further declines in consumer confidence, and policy missteps. These conditions could have a material adverse impact on our business and financial performance.</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Travel expenditures are sensitive to personal and business discretionary spending levels and tend to decline or grow more slowly during economic downturns. Decreased travel expenditures could reduce the demand for our services, thereby causing a reduction in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41" w:right="239" w:bottom="1440" w:gutter="0" w:footer="0" w:header="0"/>
        </w:sectPr>
      </w:pPr>
    </w:p>
    <w:bookmarkStart w:id="15" w:name="page16"/>
    <w:bookmarkEnd w:id="1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believe that the TripAdvisor brand has contributed significantly to our success and that maintaining and enhancing our brand is critical to expanding our base of users, creating content and attracting advertisers. As a result, we invest significantly in brand marketing including television.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receive significant media coverage in our various geographic markets. Unfavorable publicity regarding, for example, our privacy practices, product changes, the accuracy of user-generated content, product quality,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could reduce our market share and harm our financial performance.</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market for the services we offer is intensely competitive. We face competition from a number of different sources and many of our competitors have significantly greater and more diversified resources than we do and may be able to leverage other aspects of their business to enable them to compete more effectively against us. More specifically:</w:t>
      </w:r>
    </w:p>
    <w:p>
      <w:pPr>
        <w:spacing w:after="0" w:line="68" w:lineRule="exact"/>
        <w:rPr>
          <w:sz w:val="20"/>
          <w:szCs w:val="20"/>
          <w:color w:val="auto"/>
        </w:rPr>
      </w:pPr>
    </w:p>
    <w:p>
      <w:pPr>
        <w:ind w:left="1020" w:right="120" w:hanging="358"/>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travel service providers such as major hotel companies, airlines and rental car companies, many of which have their own websites to which they drive business. For example, several major hotel companies launched an online hotel reservation service with a stated goal of driving consumers directly to their brand websites thereby reducing the share receive by online travel agents. They may also attempt to improve their competitive position by offering lower room rates, better room availability or additional features or amenities through this reservation service than are available through services like ours.</w:t>
      </w:r>
    </w:p>
    <w:p>
      <w:pPr>
        <w:spacing w:after="0" w:line="75" w:lineRule="exact"/>
        <w:rPr>
          <w:rFonts w:ascii="Times New Roman" w:cs="Times New Roman" w:eastAsia="Times New Roman" w:hAnsi="Times New Roman"/>
          <w:sz w:val="18"/>
          <w:szCs w:val="18"/>
          <w:color w:val="auto"/>
        </w:rPr>
      </w:pPr>
    </w:p>
    <w:p>
      <w:pPr>
        <w:jc w:val="both"/>
        <w:ind w:left="1020" w:right="120" w:hanging="358"/>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online travel agents, such as Expedia and Priceline (and their subsidiaries), and this competition may increase to the extent that these online travel agents accumulate and develop a comprehensive offering of travel-related reviews and resources. The barriers to entry for these companies may be limited given their access to travel-related information and relationships with consumers.</w:t>
      </w:r>
    </w:p>
    <w:p>
      <w:pPr>
        <w:spacing w:after="0" w:line="68" w:lineRule="exact"/>
        <w:rPr>
          <w:rFonts w:ascii="Times New Roman" w:cs="Times New Roman" w:eastAsia="Times New Roman" w:hAnsi="Times New Roman"/>
          <w:sz w:val="18"/>
          <w:szCs w:val="18"/>
          <w:color w:val="auto"/>
        </w:rPr>
      </w:pPr>
    </w:p>
    <w:p>
      <w:pPr>
        <w:ind w:left="1020" w:right="80" w:hanging="358"/>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increased competition from the large search engines and social networking sites, companies, such as Google and Facebook, or other companies, which competition will only increase should they chose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81" w:lineRule="exact"/>
        <w:rPr>
          <w:rFonts w:ascii="Times New Roman" w:cs="Times New Roman" w:eastAsia="Times New Roman" w:hAnsi="Times New Roman"/>
          <w:sz w:val="18"/>
          <w:szCs w:val="18"/>
          <w:color w:val="auto"/>
        </w:rPr>
      </w:pPr>
    </w:p>
    <w:p>
      <w:pPr>
        <w:ind w:left="1020" w:right="320" w:hanging="35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face competition from travel agencies, wholesalers and travel operators as well as operators of travel industry reservation databases such as Galileo, Travelport, Amadeus and Sabre.</w:t>
      </w:r>
    </w:p>
    <w:p>
      <w:pPr>
        <w:spacing w:after="0" w:line="53" w:lineRule="exact"/>
        <w:rPr>
          <w:rFonts w:ascii="Times New Roman" w:cs="Times New Roman" w:eastAsia="Times New Roman" w:hAnsi="Times New Roman"/>
          <w:sz w:val="18"/>
          <w:szCs w:val="18"/>
          <w:color w:val="auto"/>
        </w:rPr>
      </w:pPr>
    </w:p>
    <w:p>
      <w:pPr>
        <w:ind w:left="1020" w:right="680" w:hanging="35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compete with newspapers, magazines and other traditional media companies that provide offline and online advertising opportunities.</w:t>
      </w:r>
    </w:p>
    <w:p>
      <w:pPr>
        <w:spacing w:after="0" w:line="53" w:lineRule="exact"/>
        <w:rPr>
          <w:rFonts w:ascii="Times New Roman" w:cs="Times New Roman" w:eastAsia="Times New Roman" w:hAnsi="Times New Roman"/>
          <w:sz w:val="18"/>
          <w:szCs w:val="18"/>
          <w:color w:val="auto"/>
        </w:rPr>
      </w:pPr>
    </w:p>
    <w:p>
      <w:pPr>
        <w:ind w:left="1020" w:right="240" w:hanging="35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vacation rental business, we also face competition from several companies, including HomeAway and Airbnb, some of whom have a larger inventory of rooms available than we do.</w:t>
      </w:r>
    </w:p>
    <w:p>
      <w:pPr>
        <w:spacing w:after="0" w:line="53" w:lineRule="exact"/>
        <w:rPr>
          <w:rFonts w:ascii="Times New Roman" w:cs="Times New Roman" w:eastAsia="Times New Roman" w:hAnsi="Times New Roman"/>
          <w:sz w:val="18"/>
          <w:szCs w:val="18"/>
          <w:color w:val="auto"/>
        </w:rPr>
      </w:pPr>
    </w:p>
    <w:p>
      <w:pPr>
        <w:ind w:left="1020" w:right="220" w:hanging="35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restaurant reservation and attractions business, the competition is not as consolidated as it is for other areas of our business; however, we face competition from certain companies like OpenTable in the United States.</w:t>
      </w:r>
    </w:p>
    <w:p>
      <w:pPr>
        <w:spacing w:after="0" w:line="16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41" w:right="239" w:bottom="1440" w:gutter="0" w:footer="0" w:header="0"/>
        </w:sectPr>
      </w:pPr>
    </w:p>
    <w:bookmarkStart w:id="16" w:name="page17"/>
    <w:bookmarkEnd w:id="16"/>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Certain of the companies we do business with, including some of our click-based advertising partners, are also our competitors. The consolidation of our competitors and partners, including Expedia (through its investment in Trivago) and Priceline (through its acquisition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(through its launch of Google Hotel Finder, evolution and expansion of Google + Local and preferred top placement of Places results in Google organic travel search results) and Microsoft’s Bing (through its launch of Bing Travel), have each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regularly subject to claims, suits, government investigations, and other proceedings that may result in adverse outcomes.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involving competition, intellectual property, privacy, consumer protection, tax, labor and employment, commercial disputes, content generated by our users, goods and services offered by advertisers or publishers using our platforms, and other matters. The sale of hardware products also exposes us to the risk of product liability and other litigation involving assertions about product defects, as well as health and safety, hazardous materials usage, and other environmental concerns. In addition, our businesses face intellectual property litigation, as further discussed later, that exposes us to the risk of exclusion and cease and desist orders, which could limit our ability to sell products and services.</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Such claims, suits, and government investigations are inherently uncertain and their results cannot be predicted with certainty. Regardless of the outcome, any of these types of legal proceedings can have an adverse impact on us because of legal costs, diversion of management resources,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product recalls or other field action, or requiring development of non-infringing or otherwise altered products or technologies. Any of these consequences could adversely affect our business and results of operations.</w:t>
      </w:r>
    </w:p>
    <w:p>
      <w:pPr>
        <w:spacing w:after="0" w:line="2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5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use technology and processes to monitor the quality of and to identify any anomalous metrics associated with, the Internet traffic that we deliver to online advertisers. These metrics may be indicative of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9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and data from third parties to calculate certain of our key metrics, and real or perceived inaccuracies in such metrics may harm our reputation and negatively affect our business.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Certain key metrics, such as the number of our active users, unique visitors, total traffic and number of reviews and opinions, are calculated, in some cases, using internal company data and, in other cases, relying on data from third parties. While these numbers are based on what we believe to be reasonable calculations for the applicable periods of measurement, there are inherent challenges in measuring usage and user engagement across our large user base around the world. For example, a single person or user may have multiple accounts or browse the internet on multiple browsers, some mobile applications automatically contact our servers for regular updates with no user action and we are not able to capture user information on all of our platforms. As such, the calculations of our active users and unique visitors may not accurately reflect the number of people actually using our platforms. In addition, our measures of user growth and user engagement may differ from estimates published by third parties or from similar metrics of our competitors due to differences in methodologies utilized by us and the third parties for which we rely on this data.</w:t>
      </w:r>
    </w:p>
    <w:p>
      <w:pPr>
        <w:spacing w:after="0" w:line="185"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are continually seeking to improve our ability to estimate these key metrics. We regularly review and adjust our processes for calculating our internal metrics to improve their accuracy. If our users, advertisers, partners and shareholders do not perceive our metrics to be accurate representations or if we discover material inaccuracies in our user metrics, our reputation may be harmed. In which case, users may not use our products and services and advertisers and partners may be less willing to allocate their budgets to our products and services which could negatively affect our business and operating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337" w:right="259" w:bottom="1440" w:gutter="0" w:footer="0" w:header="0"/>
        </w:sectPr>
      </w:pPr>
    </w:p>
    <w:bookmarkStart w:id="17" w:name="page18"/>
    <w:bookmarkEnd w:id="1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to operate our business and maintain competitiveness, and any failure to adapt to technological developments or industry trends could harm our businesses.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28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5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Our success depends in part on continued innovation to provide features and services that make our websites and smartphone and tablet computing applications useful for travelers. Our competitors are continually developing innovations in online travel-related services and features. As a result, we are continually working to improve our business model and user experience in order to drive user 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technologies could block our ads, which would harm our business.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derive most of our revenues from fees paid to us by advertisers in connection with the display of ads on web pages for our users. Technologies have been developed that can block the display of online ads and that provide tools to users to opt out of some web-based advertising products. As a result, these technologies and tools could adversely affect our business and financial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emphasizes rapid innovation and prioritizes user engagement over short-term financial results.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operate in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conversion rates and/or CPC pricing, thereby ultimately improving our financial performance over the long-term.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offer vacation rental services through our U.S.-based FlipKey and Vacation Home Rentals and European-based Holiday Lettings and Niumba. The online vacation rental market is relatively new and rapidly evolving in many respects, including acceptance of the business model by travelers, property owners and property managers;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51"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In our vacation rental business, revenue is generated when owners or managers of vacation rental properties pay us fees to list and market vacation rental properties to users who visit the websites comprising our marketplace, owners and/or travelers pay us fees upon booking a transaction and property managers pay us fees for email and telephone leads from potential travelers. As a result,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41" w:right="23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t>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Larger competitor already exists in the vacation rental space, with significantly more users and listed properties, and new competitors with significant financial resources are continually emerging.</w:t>
      </w:r>
    </w:p>
    <w:p>
      <w:pPr>
        <w:spacing w:after="0" w:line="2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intellectual property rights. We have received in the past, and may in the future receive, notices that claim we have misappropriated or misused other parties’ intellectual property rights. Any intellectual property claim against us, regardless of merit, could be time 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and acquisitions could disrupt our ongoing business and present risks not originally contemplated.</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or acquisitions. Such endeavors may involve significant risks and uncertainties, including distraction of management from current operations, greater than expected liabilities and expenses, inadequate return of capital, and unidentified issues not discovered in our investigations and evaluations of those strategies and acquisitions. We may decide to make minority investments, including through joint ventures, in which we have limited or no management or operational control. The controlling person in such a case may have business interests, strategies or goals that are inconsistent with ours, and decisions of the company or venture in which we invested may result in harm to our reputation or adversely affect the value of our investment. Further, we may issue shares of our common stock in these transactions, which could result in dilution to our stockholders.</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businesses we have acquired or invested in do not perform as expected or we are unable to effectively integrate acquired businesses, our operating results and prospects could be harmed.</w:t>
      </w:r>
    </w:p>
    <w:p>
      <w:pPr>
        <w:spacing w:after="0" w:line="5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have acquired a number of businesses in the past and our future growth may depend, in part, on future acquisitions, any of which could be material to our financial condition and results of operations. Certain financial and operational risks related to acquisitions that may have a material impact on our business are:</w:t>
      </w:r>
    </w:p>
    <w:p>
      <w:pPr>
        <w:spacing w:after="0" w:line="68" w:lineRule="exact"/>
        <w:rPr>
          <w:sz w:val="20"/>
          <w:szCs w:val="20"/>
          <w:color w:val="auto"/>
        </w:rPr>
      </w:pPr>
    </w:p>
    <w:p>
      <w:pPr>
        <w:ind w:left="1020" w:right="560" w:hanging="358"/>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resources and incurrence of debt and contingent liabilities in funding acquisitions may limit other potential uses of our cash, including stock repurchases, dividend payments and retirement of outstanding indebtedness;</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acquired intangible assets and other adverse accounting consequences;</w:t>
      </w:r>
    </w:p>
    <w:p>
      <w:pPr>
        <w:spacing w:after="0" w:line="117" w:lineRule="exact"/>
        <w:rPr>
          <w:rFonts w:ascii="Times New Roman" w:cs="Times New Roman" w:eastAsia="Times New Roman" w:hAnsi="Times New Roman"/>
          <w:sz w:val="18"/>
          <w:szCs w:val="18"/>
          <w:color w:val="auto"/>
        </w:rPr>
      </w:pPr>
    </w:p>
    <w:p>
      <w:pPr>
        <w:ind w:left="1020" w:right="100" w:hanging="358"/>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and unexpected costs incurred in identifying and pursuing acquisitions, and performing due diligence on potential acquisition targets that may or may not be successful;</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or other resources from our existing business;</w:t>
      </w:r>
    </w:p>
    <w:p>
      <w:pPr>
        <w:spacing w:after="0" w:line="117" w:lineRule="exact"/>
        <w:rPr>
          <w:rFonts w:ascii="Times New Roman" w:cs="Times New Roman" w:eastAsia="Times New Roman" w:hAnsi="Times New Roman"/>
          <w:sz w:val="18"/>
          <w:szCs w:val="18"/>
          <w:color w:val="auto"/>
        </w:rPr>
      </w:pPr>
    </w:p>
    <w:p>
      <w:pPr>
        <w:ind w:left="1020" w:right="200" w:hanging="358"/>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 integrating the operations, products, technology, privacy protection systems, information systems or personnel of the acquired company;</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or other claims relating to the acquired company;</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employees, suppliers and affiliates of our business and the acquired business;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known and unknown debt and liabilities of the acquired company;</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acquired company to achieve anticipated traffic, revenues, earnings or cash flows or to retain key management or employees;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adequate returns on acquisitions and investments;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29" w:right="259" w:bottom="1440" w:gutter="0" w:footer="0" w:header="0"/>
        </w:sectPr>
      </w:pPr>
    </w:p>
    <w:bookmarkStart w:id="19" w:name="page20"/>
    <w:bookmarkEnd w:id="19"/>
    <w:p>
      <w:pPr>
        <w:ind w:left="1020" w:hanging="35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no direct prior experience and increased complexity in our business;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intangible assets such as trademarks or other intellectual property arising from acquisitions; and</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acquisitions.</w:t>
      </w:r>
    </w:p>
    <w:p>
      <w:pPr>
        <w:spacing w:after="0" w:line="225"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Moreover, we rely heavily on the representations and warranties provided to us by the sellers of acquired companies, including as they relate to creation,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 results of operations and business could be harmed.</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which places substantial demands on management and our operational infrastructure. We continue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future capital needs and may not be able to obtain additional financing on acceptable terms.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are party to a term loan with a remaining principal of $300 million, as well as a revolving credit facility of $200 million at December 31, 2014. These arrangements may limit our ability to secure significant additional financing in the future on favorable terms or our operating cash flow may be insufficient to satisfy our financial obligations under indebtedness outstanding from time to time.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 If financing is not available when needed or is not available on favorable terms, we may be unable to issue or develop new or enhanced existing services, complete acquisitions, repurchase equity or otherwise take advantage of business opportunities, any of which could have a material adverse effect on our business, financial condition and results of operations. If we raise additional funds through the issuance of equity securities, our stockholders may experience significant dilution.</w:t>
      </w:r>
    </w:p>
    <w:p>
      <w:pPr>
        <w:spacing w:after="0" w:line="193"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Furthermore, we are also accumulating a greater portion of our cash flows in foreign jurisdictions than previously,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which could adversely affect our business and financial condition.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principal on our term loan $300 million at December 31, 2014. Risks relating to our indebtedness include:</w:t>
      </w:r>
    </w:p>
    <w:p>
      <w:pPr>
        <w:spacing w:after="0" w:line="117" w:lineRule="exact"/>
        <w:rPr>
          <w:sz w:val="20"/>
          <w:szCs w:val="20"/>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020" w:right="180" w:hanging="358"/>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optimally capitalize and manage the cash flow for our businesses;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the markets in which we operate;</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placing us at a competitive disadvantage compared to our competitors that have less debt;</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borrow funds at rates or on other terms that we finds acceptable; and</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our outstanding debt is expected to be subject to variable rates of interest.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it is possible that we may need to incur additional indebtedness in the future in the ordinary course of business. The terms of our term loan and revolving credit facility will allow us to incur additional debt subject to certain limitations. If new debt is added to current debt levels, the risks described above could intensify.</w:t>
      </w:r>
    </w:p>
    <w:p>
      <w:pPr>
        <w:spacing w:after="0" w:line="280"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agreements that govern our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spacing w:after="0" w:line="2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party to a credit agreement providing for a revolving credit facility with a borrowing capacity of $200 million and a term of five years, as well as a five-year, term loan with an original principal of $400 million to our wholly-owned subsidiary, TripAdvisor Holdings, LLC. The agreements that govern the term loan and revolving credit facility contain various covenants, including those that limit our ability to, among other things:</w:t>
      </w:r>
    </w:p>
    <w:p>
      <w:pPr>
        <w:spacing w:after="0" w:line="68" w:lineRule="exact"/>
        <w:rPr>
          <w:sz w:val="20"/>
          <w:szCs w:val="20"/>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capital stock;</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asset sale transactions, including partial or full spin-off transactions;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unrelated businesses.</w:t>
      </w:r>
    </w:p>
    <w:p>
      <w:pPr>
        <w:spacing w:after="0" w:line="225"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These covenants may limit our ability to optimally operate our business. In addition, our term loan and revolving credit facility require that we meet certain financial tests, including an interest coverage test and a leverage ratio test. Any failure to comply with the restrictions of our term loan credit facility may result in an event of default under the agreements governing such facilities. Such default may allow the creditors to accelerate the debt incurred under thereunder. In addition, lenders may be able to terminate any commitments they had made to supply us with further funds (including periodic rollovers of existing borrowings).</w:t>
      </w:r>
    </w:p>
    <w:p>
      <w:pPr>
        <w:spacing w:after="0" w:line="2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Spin-Off, together with certain related transactions, were to fail to qualify as a transaction that is generally tax free for U.S. federal income tax purposes, we could be subject to significant tax liabilities.</w:t>
      </w:r>
    </w:p>
    <w:p>
      <w:pPr>
        <w:spacing w:after="0" w:line="5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As a condition to the completion of the Spin-Off, Expedia obtained a private letter ruling from the Internal Revenue Service, or IRS, along with an opinion of counsel, regarding the qualification of the Spin-Off and certain related transactions, as transactions that are generally tax free for U.S. federal income tax purposes. The IRS private letter ruling and the opinion of counsel were based on, among other things, certain facts and assumptions as well as the accuracy of certain representations, statements and undertakings that Expedia and we made to the IRS and to counsel. If any of these representations, statements or undertakings are, or become, inaccurate or incomplete, or if we or Expedia breach any of the covenants, the IRS private letter ruling and the opinion of counsel may be invalid.</w:t>
      </w:r>
    </w:p>
    <w:p>
      <w:pPr>
        <w:spacing w:after="0" w:line="188"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Moreover, the IRS private letter ruling does not address all the issues that are relevant to determining whether the Spin-Off qualifies as a transaction that is generally tax free for U.S. federal income tax purposes. Notwithstanding the IRS private letter ruling and/or the opinion of counsel, the IRS could determine that the Spin-Off should be treated as a taxable transaction if it determines that any of the representations, assumptions or undertakings that were included in the request for the IRS private letter ruling or on which the opinion of counsel was based is false or has been violated or if it disagrees with the conclusions in the opinion of counsel that are not covered by any IRS ruling.</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additional risks and our exposure to these risks will increase as our business expands globally.</w:t>
      </w:r>
    </w:p>
    <w:p>
      <w:pPr>
        <w:spacing w:after="0" w:line="121" w:lineRule="exact"/>
        <w:rPr>
          <w:sz w:val="20"/>
          <w:szCs w:val="20"/>
          <w:color w:val="auto"/>
        </w:rPr>
      </w:pPr>
    </w:p>
    <w:p>
      <w:pPr>
        <w:jc w:val="both"/>
        <w:ind w:right="640" w:firstLine="518"/>
        <w:spacing w:after="0" w:line="266" w:lineRule="auto"/>
        <w:rPr>
          <w:sz w:val="20"/>
          <w:szCs w:val="20"/>
          <w:color w:val="auto"/>
        </w:rPr>
      </w:pPr>
      <w:r>
        <w:rPr>
          <w:rFonts w:ascii="Times New Roman" w:cs="Times New Roman" w:eastAsia="Times New Roman" w:hAnsi="Times New Roman"/>
          <w:sz w:val="18"/>
          <w:szCs w:val="18"/>
          <w:color w:val="auto"/>
        </w:rPr>
        <w:t>We operate in a number of jurisdictions outside of the United States and intend to continue to expand our international operations. To achieve widespread acceptance in new countries and markets, we must continue to tailor our services and business model to the unique circumstances of such countries and markets, which can be difficult, costly and divert management and personnel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337"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resources. Failure to adapt practices and models effectively to each country into which we expand could slow our international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Examples of other risks faced by us as a result of our international operations include, but are not limited to, the following:</w:t>
      </w:r>
    </w:p>
    <w:p>
      <w:pPr>
        <w:spacing w:after="0" w:line="117" w:lineRule="exact"/>
        <w:rPr>
          <w:sz w:val="20"/>
          <w:szCs w:val="20"/>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acts of terrorism;</w:t>
      </w:r>
    </w:p>
    <w:p>
      <w:pPr>
        <w:spacing w:after="0" w:line="117" w:lineRule="exact"/>
        <w:rPr>
          <w:rFonts w:ascii="Times New Roman" w:cs="Times New Roman" w:eastAsia="Times New Roman" w:hAnsi="Times New Roman"/>
          <w:sz w:val="18"/>
          <w:szCs w:val="18"/>
          <w:color w:val="auto"/>
        </w:rPr>
      </w:pPr>
    </w:p>
    <w:p>
      <w:pPr>
        <w:ind w:left="1020" w:right="400" w:hanging="358"/>
        <w:spacing w:after="0" w:line="313"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comply with additional U.S. laws applicable to U.S. companies operating internationally as well as local laws and regulations, including the Foreign Corrupt Practices Act and U.K. Bribery Act, data privacy requirements, labor laws and anti-competition regulations;</w:t>
      </w:r>
    </w:p>
    <w:p>
      <w:pPr>
        <w:spacing w:after="0" w:line="30" w:lineRule="exact"/>
        <w:rPr>
          <w:rFonts w:ascii="Times New Roman" w:cs="Times New Roman" w:eastAsia="Times New Roman" w:hAnsi="Times New Roman"/>
          <w:sz w:val="17"/>
          <w:szCs w:val="17"/>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contractual rights;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and limits on enforceability of intellectual property rights;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preferences by local populations for local providers;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adverse consequences related to, the withdrawal of non-U.S. investment and earnings;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cash as well as restrictions on investments in operations in certain countries;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arising from transactions in multiple currencies as well as currency exchange restrictions;</w:t>
      </w:r>
    </w:p>
    <w:p>
      <w:pPr>
        <w:spacing w:after="0" w:line="117" w:lineRule="exact"/>
        <w:rPr>
          <w:rFonts w:ascii="Times New Roman" w:cs="Times New Roman" w:eastAsia="Times New Roman" w:hAnsi="Times New Roman"/>
          <w:sz w:val="18"/>
          <w:szCs w:val="18"/>
          <w:color w:val="auto"/>
        </w:rPr>
      </w:pPr>
    </w:p>
    <w:p>
      <w:pPr>
        <w:ind w:left="1020" w:right="460" w:hanging="358"/>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adoption of the Internet as an advertising, broadcast and commerce medium in certain of those markets as compared to the United States;</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staff and operations due to distance, time zones, language and cultural differences; and</w:t>
      </w:r>
    </w:p>
    <w:p>
      <w:pPr>
        <w:spacing w:after="0" w:line="117" w:lineRule="exact"/>
        <w:rPr>
          <w:rFonts w:ascii="Times New Roman" w:cs="Times New Roman" w:eastAsia="Times New Roman" w:hAnsi="Times New Roman"/>
          <w:sz w:val="18"/>
          <w:szCs w:val="18"/>
          <w:color w:val="auto"/>
        </w:rPr>
      </w:pPr>
    </w:p>
    <w:p>
      <w:pPr>
        <w:ind w:left="1020" w:right="220" w:hanging="358"/>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liability for services, content and intellectual property rights, including uncertainty as a result of local laws and lack of precedent.</w:t>
      </w:r>
    </w:p>
    <w:p>
      <w:pPr>
        <w:spacing w:after="0" w:line="16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have businesses operating in China, which create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businesses through a series of agreements, future developments in the interpretation or enforcement of Chinese laws and regulations or a dispute relating to these agreements could restrict our ability to operate or restructure these businesses or to engage in strategic transactions. The success of these businesses, and of any future investments in China, is subject to risks and uncertainties regarding the application, development and interpretation of China’s laws and regulations.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or our failure to attract and retain other highly qualified personnel in the future, could harm our business.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and privacy. Unfavorable changes could decrease demand for products and services, limit marketing methods and capabilities, increase costs and/or subject us to additional liabilities.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29" w:right="259" w:bottom="1440" w:gutter="0" w:footer="0" w:header="0"/>
        </w:sectPr>
      </w:pPr>
    </w:p>
    <w:bookmarkStart w:id="22" w:name="page23"/>
    <w:bookmarkEnd w:id="22"/>
    <w:p>
      <w:pPr>
        <w:ind w:firstLine="518"/>
        <w:spacing w:after="0" w:line="255" w:lineRule="auto"/>
        <w:rPr>
          <w:sz w:val="20"/>
          <w:szCs w:val="20"/>
          <w:color w:val="auto"/>
        </w:rPr>
      </w:pPr>
      <w:r>
        <w:rPr>
          <w:rFonts w:ascii="Times New Roman" w:cs="Times New Roman" w:eastAsia="Times New Roman" w:hAnsi="Times New Roman"/>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85" w:lineRule="exact"/>
        <w:rPr>
          <w:sz w:val="20"/>
          <w:szCs w:val="20"/>
          <w:color w:val="auto"/>
        </w:rPr>
      </w:pPr>
    </w:p>
    <w:p>
      <w:pPr>
        <w:ind w:right="120" w:firstLine="487"/>
        <w:spacing w:after="0" w:line="258" w:lineRule="auto"/>
        <w:rPr>
          <w:sz w:val="20"/>
          <w:szCs w:val="20"/>
          <w:color w:val="auto"/>
        </w:rPr>
      </w:pPr>
      <w:r>
        <w:rPr>
          <w:rFonts w:ascii="Times New Roman" w:cs="Times New Roman" w:eastAsia="Times New Roman" w:hAnsi="Times New Roman"/>
          <w:sz w:val="18"/>
          <w:szCs w:val="18"/>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TripAdvisor Holdings, Inc. currently is a controlling shareholder.</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LTRIP’s control of us, as well as the existing provisions of our organizational documents and Delaware law, may discourage or prevent a change of control of us, which may reduce the market price of our common stock.</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By virtue of our previously filed separate company and consolidated income tax returns with Expedia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85"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that our intellectual property is protected from copying or use by others, including potential competitors.</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our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37" w:right="25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intellectual property. Any misappropriation or violation of our rights could have a material adverse effect on our business. Furthermore, we may need to go to court or other tribunals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United States. As a result, we face exposure to movements in currency exchange rates, particularly those related to the Euro, British pound sterling, Singapore dollar, Australian dollar, and Chinese renminbi. These exposures include, but are not limited to re-measurement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interruption and the lack of redundancy in some of our internal information systems may harm our business.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 and brand could be harmed.</w:t>
      </w:r>
    </w:p>
    <w:p>
      <w:pPr>
        <w:spacing w:after="0" w:line="18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addition, our backup systems and disaster recovery, business continuity /or contingency plans for certain critical aspects of our operations or business processes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processing, storage and use personal information and other data exposes us to risks stemming external and internal security breaches and failure to comply with governmental regulation, which could give rise to liabilities.</w:t>
      </w:r>
    </w:p>
    <w:p>
      <w:pPr>
        <w:spacing w:after="0" w:line="5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29" w:right="259" w:bottom="1440" w:gutter="0" w:footer="0" w:header="0"/>
        </w:sectPr>
      </w:pPr>
    </w:p>
    <w:bookmarkStart w:id="24" w:name="page25"/>
    <w:bookmarkEnd w:id="24"/>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also face risks associated with security breaches affecting third parties conducting business over the Internet. Much of our business is conducted with third party marketing affiliates, which may generate travel reservations through our infrastructure or through our systems.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2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5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54" w:lineRule="exact"/>
        <w:rPr>
          <w:sz w:val="20"/>
          <w:szCs w:val="20"/>
          <w:color w:val="auto"/>
        </w:rPr>
      </w:pPr>
    </w:p>
    <w:p>
      <w:pPr>
        <w:ind w:left="1020" w:hanging="35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20" w:right="840" w:hanging="358"/>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3" w:lineRule="exact"/>
        <w:rPr>
          <w:rFonts w:ascii="Times New Roman" w:cs="Times New Roman" w:eastAsia="Times New Roman" w:hAnsi="Times New Roman"/>
          <w:sz w:val="18"/>
          <w:szCs w:val="18"/>
          <w:color w:val="auto"/>
        </w:rPr>
      </w:pPr>
    </w:p>
    <w:p>
      <w:pPr>
        <w:ind w:left="1020" w:right="700" w:hanging="358"/>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62"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5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7" w:right="239" w:bottom="1440" w:gutter="0" w:footer="0" w:header="0"/>
        </w:sectPr>
      </w:pPr>
    </w:p>
    <w:bookmarkStart w:id="25" w:name="page26"/>
    <w:bookmarkEnd w:id="25"/>
    <w:p>
      <w:pPr>
        <w:ind w:right="180"/>
        <w:spacing w:after="0" w:line="261" w:lineRule="auto"/>
        <w:rPr>
          <w:sz w:val="20"/>
          <w:szCs w:val="20"/>
          <w:color w:val="auto"/>
        </w:rPr>
      </w:pPr>
      <w:r>
        <w:rPr>
          <w:rFonts w:ascii="Times New Roman" w:cs="Times New Roman" w:eastAsia="Times New Roman" w:hAnsi="Times New Roman"/>
          <w:sz w:val="18"/>
          <w:szCs w:val="18"/>
          <w:color w:val="auto"/>
        </w:rPr>
        <w:t>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face negative pressure.</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68" w:lineRule="exact"/>
        <w:rPr>
          <w:sz w:val="20"/>
          <w:szCs w:val="20"/>
          <w:color w:val="auto"/>
        </w:rPr>
      </w:pPr>
    </w:p>
    <w:p>
      <w:pPr>
        <w:ind w:left="1020" w:hanging="35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market expectations;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auto"/>
        </w:rPr>
      </w:pPr>
    </w:p>
    <w:p>
      <w:pPr>
        <w:ind w:left="1020" w:right="140" w:hanging="358"/>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 including changes in governmental regulations; and</w:t>
      </w:r>
    </w:p>
    <w:p>
      <w:pPr>
        <w:spacing w:after="0" w:line="117" w:lineRule="exact"/>
        <w:rPr>
          <w:rFonts w:ascii="Times New Roman" w:cs="Times New Roman" w:eastAsia="Times New Roman" w:hAnsi="Times New Roman"/>
          <w:sz w:val="18"/>
          <w:szCs w:val="18"/>
          <w:color w:val="auto"/>
        </w:rPr>
      </w:pPr>
    </w:p>
    <w:p>
      <w:pPr>
        <w:ind w:left="1020" w:right="620" w:hanging="358"/>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related to our operating performance or the operating performance of our competitors.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For the period ended December 31, 2014, the average daily trading volume of our common stock on NASDAQ was approximately 2.2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67" w:lineRule="exact"/>
        <w:rPr>
          <w:sz w:val="20"/>
          <w:szCs w:val="20"/>
          <w:color w:val="auto"/>
        </w:rPr>
      </w:pPr>
    </w:p>
    <w:p>
      <w:pPr>
        <w:jc w:val="both"/>
        <w:ind w:right="40" w:firstLine="51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54" w:lineRule="exact"/>
        <w:rPr>
          <w:sz w:val="20"/>
          <w:szCs w:val="20"/>
          <w:color w:val="auto"/>
        </w:rPr>
      </w:pPr>
    </w:p>
    <w:p>
      <w:pPr>
        <w:ind w:left="1020" w:right="220" w:hanging="358"/>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which can be created and issued by the Board of Directors without prior stockholder approval, with rights senior to those of our common stock; and</w:t>
      </w:r>
    </w:p>
    <w:p>
      <w:pPr>
        <w:spacing w:after="0" w:line="53"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 or calling special stockholder meetings.</w:t>
      </w:r>
    </w:p>
    <w:p>
      <w:pPr>
        <w:spacing w:after="0" w:line="225"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29" w:right="239" w:bottom="1440" w:gutter="0" w:footer="0" w:header="0"/>
        </w:sectPr>
      </w:pPr>
    </w:p>
    <w:bookmarkStart w:id="26" w:name="page27"/>
    <w:bookmarkEnd w:id="26"/>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adequate for our current operations and that additional leased space can be obtained on reasonable terms if needed. We do not legally own any real estate as of December 31, 2014.</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119,000 square feet for our corporate headquarters in Newton, Massachusetts, pursuant to a lease with an expiration date of April 2015. We are currently in the process of negotiating an extension of this lease until mid-2015.</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June 2013 we entered into an additional lease for an approximately 280,000 square feet rental building which is being built in Needham, Massachusetts by the lessor and will serve as our new corporate headquarters in conjunction with the expiration of our current lease. The transition to our new corporate headquarters is expected to be completed by mid-2015.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for further information on our future corporate headquarters.</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470,000 square feet at approximately 40 other locations across North America, Europe and Asia Pacific, including New York, Boston, London, and Beijing, pursuant to leases with expiration dates through November 2024. These leases are primarily for our sales offices, subsidiary headquarters, and international management teams.</w:t>
      </w:r>
    </w:p>
    <w:p>
      <w:pPr>
        <w:spacing w:after="0" w:line="2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relate to claims involving alleged infringement of third-party intellectual property rights, defamation, taxes, regulatory compliance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legal proceedings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37" w:right="25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54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quoted on NASDAQ under the ticker symbol “TRIP.” On February 6, 2015, the closing price of our common stock reported on NASDAQ was $68.58 per share.</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Class B common stock is not listed and there is no established public trading market for that security. As of February 6, 2015, all of our Class B common stock was held by LTRIP.</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per share of our common stock as reported on NASDAQ during the period indicated.</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4"/>
        </w:trPr>
        <w:tc>
          <w:tcPr>
            <w:tcW w:w="3220" w:type="dxa"/>
            <w:vAlign w:val="bottom"/>
            <w:gridSpan w:val="2"/>
          </w:tcPr>
          <w:p>
            <w:pPr>
              <w:spacing w:after="0"/>
              <w:rPr>
                <w:sz w:val="2"/>
                <w:szCs w:val="2"/>
                <w:color w:val="auto"/>
              </w:rPr>
            </w:pPr>
          </w:p>
        </w:tc>
        <w:tc>
          <w:tcPr>
            <w:tcW w:w="2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220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2014:</w:t>
            </w:r>
          </w:p>
        </w:tc>
        <w:tc>
          <w:tcPr>
            <w:tcW w:w="2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 2014:</w:t>
            </w:r>
          </w:p>
        </w:tc>
        <w:tc>
          <w:tcPr>
            <w:tcW w:w="2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2014:</w:t>
            </w:r>
          </w:p>
        </w:tc>
        <w:tc>
          <w:tcPr>
            <w:tcW w:w="2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 2014:</w:t>
            </w:r>
          </w:p>
        </w:tc>
        <w:tc>
          <w:tcPr>
            <w:tcW w:w="2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2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2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2013:</w:t>
            </w:r>
          </w:p>
        </w:tc>
        <w:tc>
          <w:tcPr>
            <w:tcW w:w="2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2013:</w:t>
            </w:r>
          </w:p>
        </w:tc>
        <w:tc>
          <w:tcPr>
            <w:tcW w:w="2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2013:</w:t>
            </w:r>
          </w:p>
        </w:tc>
        <w:tc>
          <w:tcPr>
            <w:tcW w:w="2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2013:</w:t>
            </w:r>
          </w:p>
        </w:tc>
        <w:tc>
          <w:tcPr>
            <w:tcW w:w="2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7"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Performance Comparison Graph</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of the total stockholder return from December 21, 2011 to December 31, 2014 of an investment of $100 in cash on December 21, 2011 for TripAdvisor, Inc. common stock and an investment of $100 in cash on November 30, 2011 for (i) the Standard and Poor’s 500 Index (the “S&amp;P 500 Index”), (ii) the NASDAQ Composite Index, ,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267970</wp:posOffset>
            </wp:positionV>
            <wp:extent cx="5342890" cy="4433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2890"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This performance comparison graph is not “soliciting material,” is not deemed filed with the Securities and Exchange Commission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As of February 6, 2015, there were 130,126,683 outstanding shares of our common stock held by 2,944 stockholders of record, and 12,799,999 outstanding shares of our Class B common stock held by one stockholder of record: LTRIP.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41"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and do not expect to pay any dividends for the foreseeable future. Our ability to pay dividends is limited by the terms of a credit agreement, dated as of December 20, 2011, that provides for a revolving credit facility and a term loan. See “Management’s Discussion and Analysis of Financial Condition and Results of Operations – Term Loan Facility Due 2016 and Revolving Credit Facility” for additional information regarding our revolving credit facility and term loan.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100" w:firstLine="55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2014.</w:t>
      </w:r>
    </w:p>
    <w:p>
      <w:pPr>
        <w:spacing w:after="0" w:line="225" w:lineRule="exact"/>
        <w:rPr>
          <w:sz w:val="20"/>
          <w:szCs w:val="20"/>
          <w:color w:val="auto"/>
        </w:rPr>
      </w:pPr>
    </w:p>
    <w:p>
      <w:pPr>
        <w:ind w:right="160" w:firstLine="548"/>
        <w:spacing w:after="0" w:line="255" w:lineRule="auto"/>
        <w:rPr>
          <w:sz w:val="20"/>
          <w:szCs w:val="20"/>
          <w:color w:val="auto"/>
        </w:rPr>
      </w:pPr>
      <w:r>
        <w:rPr>
          <w:rFonts w:ascii="Times New Roman" w:cs="Times New Roman" w:eastAsia="Times New Roman" w:hAnsi="Times New Roman"/>
          <w:sz w:val="18"/>
          <w:szCs w:val="18"/>
          <w:color w:val="auto"/>
        </w:rPr>
        <w:t>In February 2013, we announced that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As of December 31, 2014, we have $105 million remaining to repurchase shares of our common stock under this share repurchase program.</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 The financial statements and related financial information pertaining to the periods preceding December 21, 2011 have been presented on a combined basis and reflect the results of TripAdvisor that were ultimately transferred to us as part of the Spin-Off.</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4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5"/>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Revenue (1)</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TripAdvisor, Inc.</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(2)</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(2)</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r>
      <w:tr>
        <w:trPr>
          <w:trHeight w:val="25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(2)</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 (2)</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9"/>
                <w:szCs w:val="19"/>
                <w:color w:val="auto"/>
              </w:rPr>
            </w:pPr>
          </w:p>
        </w:tc>
      </w:tr>
      <w:tr>
        <w:trPr>
          <w:trHeight w:val="675"/>
        </w:trPr>
        <w:tc>
          <w:tcPr>
            <w:tcW w:w="466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5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short and long term</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586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1,473</w:t>
            </w:r>
          </w:p>
        </w:tc>
        <w:tc>
          <w:tcPr>
            <w:tcW w:w="24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1,299</w:t>
            </w:r>
          </w:p>
        </w:tc>
        <w:tc>
          <w:tcPr>
            <w:tcW w:w="3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836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 (5)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380</w:t>
            </w:r>
          </w:p>
        </w:tc>
        <w:tc>
          <w:tcPr>
            <w:tcW w:w="3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 under build to suit lease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and invested equity (6)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449"/>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5"/>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(7)</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20"/>
                <w:szCs w:val="20"/>
                <w:color w:val="auto"/>
              </w:rPr>
            </w:pPr>
          </w:p>
        </w:tc>
      </w:tr>
    </w:tbl>
    <w:p>
      <w:pPr>
        <w:spacing w:after="0" w:line="247" w:lineRule="exact"/>
        <w:rPr>
          <w:sz w:val="20"/>
          <w:szCs w:val="20"/>
          <w:color w:val="auto"/>
        </w:rPr>
      </w:pPr>
    </w:p>
    <w:p>
      <w:pPr>
        <w:ind w:left="540" w:right="100" w:hanging="532"/>
        <w:spacing w:after="0" w:line="257"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no longer consider Expedia a related party. Certain reclassifications have been made to conform the prior period to the current presentation relating to Expedia transactions, which includes the reclassification of revenue from Expedia on our consolidated financial statements to revenue.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the consolidated financial statements in Item 8 regarding our reclassifications.</w:t>
      </w:r>
    </w:p>
    <w:p>
      <w:pPr>
        <w:spacing w:after="0" w:line="1" w:lineRule="exact"/>
        <w:rPr>
          <w:rFonts w:ascii="Times New Roman" w:cs="Times New Roman" w:eastAsia="Times New Roman" w:hAnsi="Times New Roman"/>
          <w:sz w:val="18"/>
          <w:szCs w:val="18"/>
          <w:color w:val="auto"/>
        </w:rPr>
      </w:pPr>
    </w:p>
    <w:p>
      <w:pPr>
        <w:ind w:left="540" w:right="20" w:hanging="532"/>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the consolidated financial statements in Item 8 regarding our calculation of earnings per share numbers.</w:t>
      </w:r>
    </w:p>
    <w:p>
      <w:pPr>
        <w:jc w:val="both"/>
        <w:ind w:left="540" w:right="220" w:hanging="532"/>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one-time exercise proceeds of $215 million related to stock warrant exercises for the year ended December 31, 2012. See “Note 4—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Based Awards and Other Equity Instruments</w:t>
      </w:r>
      <w:r>
        <w:rPr>
          <w:rFonts w:ascii="Times New Roman" w:cs="Times New Roman" w:eastAsia="Times New Roman" w:hAnsi="Times New Roman"/>
          <w:sz w:val="18"/>
          <w:szCs w:val="18"/>
          <w:color w:val="auto"/>
        </w:rPr>
        <w:t>” in the notes to the consolidated financial statements in Item 8 for additional information on our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instruments.</w:t>
      </w:r>
    </w:p>
    <w:p>
      <w:pPr>
        <w:spacing w:after="0" w:line="1" w:lineRule="exact"/>
        <w:rPr>
          <w:rFonts w:ascii="Times New Roman" w:cs="Times New Roman" w:eastAsia="Times New Roman" w:hAnsi="Times New Roman"/>
          <w:sz w:val="18"/>
          <w:szCs w:val="18"/>
          <w:color w:val="auto"/>
        </w:rPr>
      </w:pPr>
    </w:p>
    <w:p>
      <w:pPr>
        <w:ind w:left="540" w:right="220" w:hanging="532"/>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does not include available for sale long-term marketable securities of $31 million, $188 million, and $99 million, as of December 31, 2014, 2013, and 2012, respectively.</w:t>
      </w:r>
    </w:p>
    <w:p>
      <w:pPr>
        <w:ind w:left="540" w:hanging="532"/>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consolidated financial statements for information regarding our long-term debt.</w:t>
      </w:r>
    </w:p>
    <w:p>
      <w:pPr>
        <w:spacing w:after="0" w:line="9" w:lineRule="exact"/>
        <w:rPr>
          <w:rFonts w:ascii="Times New Roman" w:cs="Times New Roman" w:eastAsia="Times New Roman" w:hAnsi="Times New Roman"/>
          <w:sz w:val="18"/>
          <w:szCs w:val="18"/>
          <w:color w:val="auto"/>
        </w:rPr>
      </w:pPr>
    </w:p>
    <w:p>
      <w:pPr>
        <w:ind w:left="540" w:right="300" w:hanging="532"/>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our consolidated statements of changes in stockholders’ equity and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the consolidated financial statements in Item 8 for additional information on changes to our stockholders’ equity and invested capital.</w:t>
      </w:r>
    </w:p>
    <w:p>
      <w:pPr>
        <w:ind w:left="540" w:right="160" w:hanging="532"/>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investors with additional information regarding our financial results, we have disclosed Adjusted EBITDA, a non-GAAP financial measure, within this Annual Report on Form 10-K. Adjusted EBITDA is the primary metric by which management evaluates the performance of our business and on which internal budgets are based. We define Adjusted EBITDA as net income (loss) plus: (1) provision for income taxes; (2) other income (expense), net; (3) depreciation of property and equipment, including amortization of internal use software and website development;</w:t>
      </w:r>
    </w:p>
    <w:p>
      <w:pPr>
        <w:spacing w:after="0" w:line="1" w:lineRule="exact"/>
        <w:rPr>
          <w:rFonts w:ascii="Times New Roman" w:cs="Times New Roman" w:eastAsia="Times New Roman" w:hAnsi="Times New Roman"/>
          <w:sz w:val="18"/>
          <w:szCs w:val="18"/>
          <w:color w:val="auto"/>
        </w:rPr>
      </w:pPr>
    </w:p>
    <w:p>
      <w:pPr>
        <w:ind w:left="54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amortization of intangible assets; (5) stock-based compensation; and (6) non-recurring expenses. Such amounts are detailed below. See a discussion of “Adjusted EBITDA” in Item 7. “Management’s Discussion and Analysis of Financial Condition and Results of Operations” within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provided a reconciliation below of Adjusted EBITDA to net income, the most directly comparable GAAP financial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
        </w:trPr>
        <w:tc>
          <w:tcPr>
            <w:tcW w:w="37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Pr>
          <w:p>
            <w:pPr>
              <w:spacing w:after="0"/>
              <w:rPr>
                <w:sz w:val="13"/>
                <w:szCs w:val="13"/>
                <w:color w:val="auto"/>
              </w:rPr>
            </w:pPr>
          </w:p>
        </w:tc>
      </w:tr>
      <w:tr>
        <w:trPr>
          <w:trHeight w:val="200"/>
        </w:trPr>
        <w:tc>
          <w:tcPr>
            <w:tcW w:w="3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shd w:val="clear" w:color="auto" w:fill="CFF0FC"/>
          </w:tcPr>
          <w:p>
            <w:pPr>
              <w:spacing w:after="0"/>
              <w:rPr>
                <w:sz w:val="20"/>
                <w:szCs w:val="20"/>
                <w:color w:val="auto"/>
              </w:rPr>
            </w:pPr>
          </w:p>
        </w:tc>
      </w:tr>
      <w:tr>
        <w:trPr>
          <w:trHeight w:val="23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(1)</w:t>
            </w: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Spin-Off costs</w:t>
            </w: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amortization of internal use software and website development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70"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420"/>
          </w:cols>
          <w:pgMar w:left="240" w:top="196" w:right="239" w:bottom="1440" w:gutter="0" w:footer="0" w:header="0"/>
        </w:sectPr>
      </w:pPr>
    </w:p>
    <w:bookmarkStart w:id="31" w:name="page32"/>
    <w:bookmarkEnd w:id="3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accommodations, destinations, activities and attractions, and restaurants throughout the world so that our users have access to trusted advice wherever their trip takes them. Our platform not only helps users plan their trip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Our branded websites include tripadvisor.com in the United States and localized versions of the TripAdvisor website in 45 other countries, including China under the brand, daodao.com. Our TripAdvisor-branded websites reached more than 315 million monthly unique visitors during the year ended December 31, 2014, according to Google Analytics. We currently feature more than 200 million reviews and opinions on 1.6 million accommodations – including more than 915,000 hotels and accommodations and 650,000 vacation rentals – as well as 2.4 million restaurants and more than 500,000 attractions in 147,000 destinations throughout the world. In addition to user-generated content, our websites feature price comparison tools, links to partner websites, including travel advertisers, where users can book their travel arrangements. Users may now also complete hotel bookings directly without our partners through tripadvisor.com and also through the TripAdvisor mobile application where coverage is available. In addition to the flagship TripAdvisor brand, we now manage and operate 24 other travel media brands, connected by the common goal of providing users the most comprehensive travel-planning and trip-taking resources in the travel industry.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long-term financial results are principally dependent on our ability to grow click-based advertising revenue, or CPC revenue. We are investing in areas of potential CPC revenue growth, including Instant Booking, international expansion and innovations in the mobile user experience. We are also investing in display-based advertising, Business Listings, Vacation Rentals, Restaurants and Attractions. As the largest online travel website,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click-based and display-based advertising revenue are described below, as well as a summary of our key growth areas, current trends impacting our business and our reporting segments, which currently consists of our Hotel segment and Other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Click-Based Advertising Revenue</w:t>
      </w:r>
    </w:p>
    <w:p>
      <w:pPr>
        <w:spacing w:after="0" w:line="119"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2014, 2013 and 2012, 70%, 74% and 77%, respectively, of our total revenue came from our CPC product. All of our CPC revenue is included in our Hotel segment. The key drivers of our CPC revenue include the growth in monthly unique hotel shoppers and revenue per hotel shopper.</w:t>
      </w:r>
    </w:p>
    <w:p>
      <w:pPr>
        <w:spacing w:after="0" w:line="66" w:lineRule="exact"/>
        <w:rPr>
          <w:sz w:val="20"/>
          <w:szCs w:val="20"/>
          <w:color w:val="auto"/>
        </w:rPr>
      </w:pPr>
    </w:p>
    <w:p>
      <w:pPr>
        <w:ind w:left="1020" w:right="60" w:hanging="358"/>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Hotel shoppers: </w:t>
      </w:r>
      <w:r>
        <w:rPr>
          <w:rFonts w:ascii="Times New Roman" w:cs="Times New Roman" w:eastAsia="Times New Roman" w:hAnsi="Times New Roman"/>
          <w:sz w:val="18"/>
          <w:szCs w:val="18"/>
          <w:color w:val="auto"/>
        </w:rPr>
        <w:t>We believe that total traffic growth, or growth in monthly visits from unique visitors, is reflective of our overall brand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devices (for which usage trends continue to evolve) and international growth, quarterly and annual hotel shopper growth is difficult to forecast. Unique hotel shoppers on TripAdvisor sites increased 17% for the year ended December 31, 2014 over 2013 and increased 35% for the year ended December 31, 2013 over 2012, according to our log files. The deceleration of hotel shopper growth for the year ended December 31, 2014 is primarily due to high hotel shopper growth from search engine optimization (“SEO”) for the year ended December 31, 2013, which provides for a challenging comparative. Increasing the number of hotel shoppers on our sites remains a top strategic priority.</w:t>
      </w:r>
    </w:p>
    <w:p>
      <w:pPr>
        <w:spacing w:after="0" w:line="188" w:lineRule="exact"/>
        <w:rPr>
          <w:rFonts w:ascii="Times New Roman" w:cs="Times New Roman" w:eastAsia="Times New Roman" w:hAnsi="Times New Roman"/>
          <w:sz w:val="18"/>
          <w:szCs w:val="18"/>
          <w:color w:val="auto"/>
        </w:rPr>
      </w:pPr>
    </w:p>
    <w:p>
      <w:pPr>
        <w:ind w:left="104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traffic grows and we optimize the hotel shopper experience on our site, the number of pages on which a user can engage with the TripAdvisor brand also grows. We have captured these additional page views in the data for the year ended December 31, 2014 regarding hotel shopper growth and have also updated our historical hotel shopper growth figure for the years ended December 31, 2013 and 2012 for comparative purposes. The impact of this change is immaterial to hotel shopper growth and revenue per hotel shopper and did not affect our consolidated financial statements for any period presented.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7" w:right="279" w:bottom="1440" w:gutter="0" w:footer="0" w:header="0"/>
        </w:sectPr>
      </w:pPr>
    </w:p>
    <w:bookmarkStart w:id="32" w:name="page33"/>
    <w:bookmarkEnd w:id="32"/>
    <w:p>
      <w:pPr>
        <w:ind w:left="1020" w:right="40" w:hanging="358"/>
        <w:spacing w:after="0" w:line="26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per hotel shopper: </w:t>
      </w:r>
      <w:r>
        <w:rPr>
          <w:rFonts w:ascii="Times New Roman" w:cs="Times New Roman" w:eastAsia="Times New Roman" w:hAnsi="Times New Roman"/>
          <w:sz w:val="18"/>
          <w:szCs w:val="18"/>
          <w:color w:val="auto"/>
        </w:rPr>
        <w:t>Revenue per hotel shopper is designed to measure how effectively we convert hotel shoppers into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per hotel shopper is made up of three factors—the number of monthly unique hotel shoppers, the rate of conversion of a hotel shopper to a paid click and the price per click that we receive.</w:t>
      </w:r>
    </w:p>
    <w:p>
      <w:pPr>
        <w:spacing w:after="0" w:line="65" w:lineRule="exact"/>
        <w:rPr>
          <w:sz w:val="20"/>
          <w:szCs w:val="20"/>
          <w:color w:val="auto"/>
        </w:rPr>
      </w:pPr>
    </w:p>
    <w:p>
      <w:pPr>
        <w:ind w:left="2120" w:right="100" w:hanging="317"/>
        <w:spacing w:after="0" w:line="254" w:lineRule="auto"/>
        <w:tabs>
          <w:tab w:leader="none" w:pos="2120" w:val="left"/>
        </w:tabs>
        <w:numPr>
          <w:ilvl w:val="0"/>
          <w:numId w:val="2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Conversion of a hotel shopper to a paid click on a TripAdvisor site is driven by three primary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Hotel shoppers visiting via mobile generally convert to a paid click at a lower rate than hotel shoppers visiting via desktop and tablet.</w:t>
      </w:r>
    </w:p>
    <w:p>
      <w:pPr>
        <w:spacing w:after="0" w:line="77" w:lineRule="exact"/>
        <w:rPr>
          <w:rFonts w:ascii="Courier New" w:cs="Courier New" w:eastAsia="Courier New" w:hAnsi="Courier New"/>
          <w:sz w:val="18"/>
          <w:szCs w:val="18"/>
          <w:color w:val="auto"/>
        </w:rPr>
      </w:pPr>
    </w:p>
    <w:p>
      <w:pPr>
        <w:ind w:left="2120" w:right="420" w:hanging="324"/>
        <w:spacing w:after="0" w:line="258" w:lineRule="auto"/>
        <w:tabs>
          <w:tab w:leader="none" w:pos="2120" w:val="left"/>
        </w:tabs>
        <w:numPr>
          <w:ilvl w:val="0"/>
          <w:numId w:val="2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Cost per click (CPC): </w:t>
      </w:r>
      <w:r>
        <w:rPr>
          <w:rFonts w:ascii="Times New Roman" w:cs="Times New Roman" w:eastAsia="Times New Roman" w:hAnsi="Times New Roman"/>
          <w:sz w:val="18"/>
          <w:szCs w:val="18"/>
          <w:color w:val="auto"/>
        </w:rPr>
        <w:t>Cost per click is the effective CPC that partners are willing to pay us for a hotel shopper lead,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in a competitive bidding process which determines the CPC price paid. CPCs are generally lower in emerging international markets as well as on mobile, given the use case and form factor of those devices.</w:t>
      </w:r>
    </w:p>
    <w:p>
      <w:pPr>
        <w:spacing w:after="0" w:line="183" w:lineRule="exact"/>
        <w:rPr>
          <w:sz w:val="20"/>
          <w:szCs w:val="20"/>
          <w:color w:val="auto"/>
        </w:rPr>
      </w:pPr>
    </w:p>
    <w:p>
      <w:pPr>
        <w:ind w:left="1040" w:right="80"/>
        <w:spacing w:after="0" w:line="254" w:lineRule="auto"/>
        <w:rPr>
          <w:sz w:val="20"/>
          <w:szCs w:val="20"/>
          <w:color w:val="auto"/>
        </w:rPr>
      </w:pPr>
      <w:r>
        <w:rPr>
          <w:rFonts w:ascii="Times New Roman" w:cs="Times New Roman" w:eastAsia="Times New Roman" w:hAnsi="Times New Roman"/>
          <w:sz w:val="18"/>
          <w:szCs w:val="18"/>
          <w:color w:val="auto"/>
        </w:rPr>
        <w:t>Revenue per hotel shopper increased 7% for the year ended December 31, 2014 in comparison to 2013, and decreased 13% for the year ended December 31, 2013 in comparison to 2012, according to our log files. Revenue per hotel shopper increased 7% for the year ended December 31, 2014, largely due to our implementation of hotel metasearch completed in June of 2013, which has resulted in higher CPC pricing paid by our partners, due to higher quality clicks being delivered, offset by relatively lower rates of hotel shopper conversion. Other factors that can impact revenue per hotel shopper include the device and IP addresses from which users access TripAdvisor and the IP address of the user. In our experience, hotel shoppers visiting on mobile devices generally exhibit a lower rate of conversion, monetize at a significantly lower rate than hotel shoppers visiting via desktop or tablet and emerging international destinations tend to have lower CPCs associated with them. A growing percentage of our hotel shoppers are using mobile; this trend will create pressure on the revenue per hotel shopper metric, particularly if we fail to realize the opportunities we anticipate with the transition to more mobile users.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Display-Based Advertising Revenue</w:t>
      </w:r>
    </w:p>
    <w:p>
      <w:pPr>
        <w:spacing w:after="0" w:line="11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2014, 2013 and 2012, 11%, 13% and 12%, respectively, of our total revenue came from our display-based advertising products. Substantially all of our display-based advertising revenue is included in our Hotel segment. The key drivers of our display-based advertising revenue include the growth in number of impressions sold, or the number of times an ad is displayed on our site, and the revenue we received for such impressions, measured in cost per thousand impressions (“CPM”). According to our logs, number of impressions sold increased 19% for the year ended December 31, 2014 over 2013 and increased 34% for the year ended December 31, 2013 over 2012, which has typically correlated to our hotel shopper growth rates, while pricing decreased 1% for the year ended December 31, 2014 over 2013 and decreased 5% for the years ended December 31, 2013 over 2012.</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Growth Areas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invest in areas of potential growth, including our content and community, product innovation, and international expansion.</w:t>
      </w:r>
    </w:p>
    <w:p>
      <w:pPr>
        <w:spacing w:after="0" w:line="223"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Content &amp; Community</w:t>
      </w:r>
      <w:r>
        <w:rPr>
          <w:rFonts w:ascii="Times New Roman" w:cs="Times New Roman" w:eastAsia="Times New Roman" w:hAnsi="Times New Roman"/>
          <w:sz w:val="18"/>
          <w:szCs w:val="18"/>
          <w:color w:val="auto"/>
        </w:rPr>
        <w:t>. TripAdvisor is an online community in which travelers share their experiences with the rest of the community. Establishing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reinforcing that sense of community is a key competitive advantage for TripAdvisor and is a component of our long-term strategic growth plan. As a result, we continue to look for ways to make it easier for users and enjoy a more personalized and social travel planning experience when planning their perfect trip on TripAdvisor and to share their experiences (including by leveraging social features across devices and platforms).</w:t>
      </w:r>
    </w:p>
    <w:p>
      <w:pPr>
        <w:spacing w:after="0" w:line="180"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Mobile</w:t>
      </w:r>
      <w:r>
        <w:rPr>
          <w:rFonts w:ascii="Times New Roman" w:cs="Times New Roman" w:eastAsia="Times New Roman" w:hAnsi="Times New Roman"/>
          <w:sz w:val="18"/>
          <w:szCs w:val="18"/>
          <w:color w:val="auto"/>
        </w:rPr>
        <w:t>. Improving our products and engaging our community on devices other than desktop computers, in particular mobile phones, are key priorities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believe are critical to maintaining and growing our user base over the long term. As of December 31, 2014, our mobile apps reached nearly 175 million downloads and average monthly unique visitors via smartphone and tablet devices grew over 60% year-over-year from 87 million to 140 million, according to company log files. We anticipate that the rate of growth in mobile visitors will continue to exceed the growth rate of our overall unique monthly visitors, and that an increasing proportion of users will use mobile devices to access the full range of services available on our sites. We expect to continue to commit resources to improve the features, functionality and commercialization of our mobile websites and applications.</w:t>
      </w:r>
    </w:p>
    <w:p>
      <w:pPr>
        <w:spacing w:after="0" w:line="183"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Listings. </w:t>
      </w:r>
      <w:r>
        <w:rPr>
          <w:rFonts w:ascii="Times New Roman" w:cs="Times New Roman" w:eastAsia="Times New Roman" w:hAnsi="Times New Roman"/>
          <w:sz w:val="18"/>
          <w:szCs w:val="18"/>
          <w:color w:val="auto"/>
        </w:rPr>
        <w:t>Our Business Listings product enable hotel and accommodation owners to buy placement for pertinent information on TripAdvisor,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bringing them closer to potential customers and thereby increasing awareness, engagement, 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9" w:right="259" w:bottom="1440" w:gutter="0" w:footer="0" w:header="0"/>
        </w:sectPr>
      </w:pPr>
    </w:p>
    <w:bookmarkStart w:id="33" w:name="page34"/>
    <w:bookmarkEnd w:id="33"/>
    <w:p>
      <w:pPr>
        <w:ind w:right="160"/>
        <w:spacing w:after="0" w:line="282" w:lineRule="auto"/>
        <w:rPr>
          <w:sz w:val="20"/>
          <w:szCs w:val="20"/>
          <w:color w:val="auto"/>
        </w:rPr>
      </w:pPr>
      <w:r>
        <w:rPr>
          <w:rFonts w:ascii="Times New Roman" w:cs="Times New Roman" w:eastAsia="Times New Roman" w:hAnsi="Times New Roman"/>
          <w:sz w:val="18"/>
          <w:szCs w:val="18"/>
          <w:color w:val="auto"/>
        </w:rPr>
        <w:t>potentially, direct bookings. In the year ended December 31, 2014, we grew our Business Listings customer base 18% to 81,000 subscribers. We continue to expand our sales force and improve features to grow our subscriber base.</w:t>
      </w:r>
    </w:p>
    <w:p>
      <w:pPr>
        <w:spacing w:after="0" w:line="16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In the year ended December 31, 2014, we grew our Vacation Rental property inventory 19% to more than 650,000 properties,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strong listings growth in our free-to-list model. We offer individual property owners and property managers the ability to list using a free-to-list, commission-based structure or a subscription-based fee option and we believe our highly-engaged and motivated user community creates a competitive advantage for us in this market.</w:t>
      </w:r>
    </w:p>
    <w:p>
      <w:pPr>
        <w:spacing w:after="0" w:line="180" w:lineRule="exact"/>
        <w:rPr>
          <w:sz w:val="20"/>
          <w:szCs w:val="20"/>
          <w:color w:val="auto"/>
        </w:rPr>
      </w:pPr>
    </w:p>
    <w:p>
      <w:pPr>
        <w:ind w:right="60" w:firstLine="55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Restaurants &amp; Attractions. </w:t>
      </w:r>
      <w:r>
        <w:rPr>
          <w:rFonts w:ascii="Times New Roman" w:cs="Times New Roman" w:eastAsia="Times New Roman" w:hAnsi="Times New Roman"/>
          <w:sz w:val="18"/>
          <w:szCs w:val="18"/>
          <w:color w:val="auto"/>
        </w:rPr>
        <w:t>More than half of our users are not hotel shoppers as they visit TripAdvisor without navigating to pages that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of hotels in a city or a specific hotel’s page. TripAdvisor has information and user-generated content on 2.4 million restaurants, and more than 500,000 tours and attractions in 147,000 destinations throughout the world. We believe TripAdvisor has a unique opportunity to monetize its community of these non-hotel shoppers looking for places to eat and things to do. With the acquisitions of Lafourchette for online restaurant reservations and Viator for online bookable tours and attractions, we are attempting to match more users with more businesses on mobile and desktop.</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Trends Affecting Our Business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number of trends that affect our business.  Following are examples of some of the current trends affecting our business:</w:t>
      </w:r>
    </w:p>
    <w:p>
      <w:pPr>
        <w:spacing w:after="0" w:line="223"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Increasing Competition. </w:t>
      </w:r>
      <w:r>
        <w:rPr>
          <w:rFonts w:ascii="Times New Roman" w:cs="Times New Roman" w:eastAsia="Times New Roman" w:hAnsi="Times New Roman"/>
          <w:sz w:val="18"/>
          <w:szCs w:val="18"/>
          <w:color w:val="auto"/>
        </w:rPr>
        <w:t>The travel review industry and, more generally, the business of collecting and aggregating travel-related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continue to be increasingly competitive. In recent years, an increasing number of companies, such as search companies Google, Inc. and Baidu.com, Inc. and large OTAs, have begun to collect and aggregate travel information and resources. We plan to continue to invest in order to remain the leading source of travel reviews as well as continue to enhance our user experience. In addition, we face strong competition in our Other segment, including vacation rentals, restaurants and attractions. Refer to our discussion above in “—Competition” in Item 1 “Business” section for additional information on our competition.</w:t>
      </w:r>
    </w:p>
    <w:p>
      <w:pPr>
        <w:spacing w:after="0" w:line="183"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Increasing Use of Internet and Social Media to Access Travel Information. </w:t>
      </w:r>
      <w:r>
        <w:rPr>
          <w:rFonts w:ascii="Times New Roman" w:cs="Times New Roman" w:eastAsia="Times New Roman" w:hAnsi="Times New Roman"/>
          <w:sz w:val="18"/>
          <w:szCs w:val="18"/>
          <w:color w:val="auto"/>
        </w:rPr>
        <w:t>Commerce, information and advertising continue to migrate to the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away from traditional media outlets. We believe that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Over the years, we have made significant progress using social networking to leverage the expanding use of these channels and enhance traffic diversification and user engagement. We will continue to adapt our user experience in response to a changing Internet environment and usage trends.</w:t>
      </w:r>
    </w:p>
    <w:p>
      <w:pPr>
        <w:spacing w:after="0" w:line="183" w:lineRule="exact"/>
        <w:rPr>
          <w:sz w:val="20"/>
          <w:szCs w:val="20"/>
          <w:color w:val="auto"/>
        </w:rPr>
      </w:pPr>
    </w:p>
    <w:p>
      <w:pPr>
        <w:ind w:firstLine="55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Increasing Use of Devices Other than Desktop Computers. </w:t>
      </w:r>
      <w:r>
        <w:rPr>
          <w:rFonts w:ascii="Times New Roman" w:cs="Times New Roman" w:eastAsia="Times New Roman" w:hAnsi="Times New Roman"/>
          <w:sz w:val="18"/>
          <w:szCs w:val="18"/>
          <w:color w:val="auto"/>
        </w:rPr>
        <w:t>Users are increasingly using devices other than desktop computers, including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phones, smartphones and handheld computers such as notebooks and tablets, to access the Internet.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 phone devices. We do display graphic advertising on smartphones; however, our mobile phone monetization strategies are still developing, as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 An example of our mobile development efforts is Instant Booking, which we integrated into our smartphone sessions in 2014. This product feature allows travelers to complete a hotel reservation, powered by our OTA and hotelier partners, while remaining on the TripAdvisor mobile app.</w:t>
      </w:r>
    </w:p>
    <w:p>
      <w:pPr>
        <w:spacing w:after="0" w:line="18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Continued Reliance on Click-Based Advertising Revenue. </w:t>
      </w:r>
      <w:r>
        <w:rPr>
          <w:rFonts w:ascii="Times New Roman" w:cs="Times New Roman" w:eastAsia="Times New Roman" w:hAnsi="Times New Roman"/>
          <w:sz w:val="18"/>
          <w:szCs w:val="18"/>
          <w:color w:val="auto"/>
        </w:rPr>
        <w:t>In recent years, the majority of our revenue growth resulted from higher click-based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 due to increased traffic on our websites and an increase in the volume of clicks on our advertisers’ placements. Although click-based advertising revenue growth has generally been driven by traffic volume, we remain focused on the various other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in 2013 as discussed under “Improving the Experience” in the “Our Strategy” section in Item 1 “Business.”</w:t>
      </w:r>
    </w:p>
    <w:p>
      <w:pPr>
        <w:spacing w:after="0" w:line="189" w:lineRule="exact"/>
        <w:rPr>
          <w:sz w:val="20"/>
          <w:szCs w:val="20"/>
          <w:color w:val="auto"/>
        </w:rPr>
      </w:pPr>
    </w:p>
    <w:p>
      <w:pPr>
        <w:ind w:right="360" w:firstLine="55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Risks Associated with Transaction-Based Revenue. </w:t>
      </w:r>
      <w:r>
        <w:rPr>
          <w:rFonts w:ascii="Times New Roman" w:cs="Times New Roman" w:eastAsia="Times New Roman" w:hAnsi="Times New Roman"/>
          <w:sz w:val="18"/>
          <w:szCs w:val="18"/>
          <w:color w:val="auto"/>
        </w:rPr>
        <w:t>We currently derive only a small percentage of our revenue from transaction-based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these types of offerings create additional risks and expenses. Transaction revenue is derived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from making online bookings available for, among other things, hotel rooms, vacation rentals and destination activities. During the course of making these arrangements, we collect, use, transmit and store personal information and other consumer data. The protection of this data is critically important to us. An increasing number of websites, including the website operated by our subsidiary Viator, have reported compromises of their systems and the data stored within those systems. We rely on strong encryption, authentication and network perimeter security to effectively secure confidential information; however, despite our security measures, our brands’ information technologies and infrastructures may be vulnerable to cyber-attacks or security incidents due to system configurations, employee error, malfeasance or other vulnerabilities. Advances in computer capabilities, new discoveries in the field of cryptography or other developments may result in the breach or compromise of the technology used by us to protect transaction data. In the future, we expect to expend additional resources to enhance our security measures, protect against security breaches and/or to address problems caused by breaches. As we expand our transaction-based businesses, the challenges we face will become more difficult and the measures we must take to protect against them will become more costly.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During the fourth quarter of 2014, management revised our reportable segments to reflect changes in the management reporting structure of the organization, primarily due to recent business acquisitions, and the manner in which the chief operating decision maker regularly assesses information and evaluates performance for operating decision-making purposes, including allocation of resources. We believe this new segment structure better provides the CODM with information to assess performance and to make resource allocation decisions. The chief operating decision maker for the Company is our Chief Executive Officer.</w:t>
      </w:r>
    </w:p>
    <w:p>
      <w:pPr>
        <w:spacing w:after="0" w:line="184"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revised reporting structure includes two reportable segments: Hotel and Other. Our Other segment consists of the aggregation of three operating segments, which include our Vacation Rentals, Restaurants and Attractions businesses. All prior periods have been reclassified to conform to the current reporting structure. These reclassifications had no effect on our consolidated financial statements.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further description of our segments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337" w:right="2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53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34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24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revenue (exclusive of amortization) (1)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 (2)</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content (2)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2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92"/>
        </w:trPr>
        <w:tc>
          <w:tcPr>
            <w:tcW w:w="53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Earnings per share attributable to TripAdvisor, Inc.</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234"/>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5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8"/>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5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1"/>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website development costs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53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included in depreciation</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r>
      <w:tr>
        <w:trPr>
          <w:trHeight w:val="250"/>
        </w:trPr>
        <w:tc>
          <w:tcPr>
            <w:tcW w:w="53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11"/>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follows: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7"/>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7"/>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content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bl>
    <w:p>
      <w:pPr>
        <w:spacing w:after="0" w:line="198" w:lineRule="exact"/>
        <w:rPr>
          <w:sz w:val="20"/>
          <w:szCs w:val="20"/>
          <w:color w:val="auto"/>
        </w:rPr>
      </w:pPr>
    </w:p>
    <w:p>
      <w:pPr>
        <w:ind w:left="540" w:right="580" w:hanging="532"/>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“Adjusted EBITDA” discussion below for more information and for a reconciliation of Adjusted EBITDA to net income, the most directly comparable financial measure calculated and presented in accordance with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firstLine="552"/>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4" w:lineRule="exact"/>
        <w:rPr>
          <w:sz w:val="20"/>
          <w:szCs w:val="20"/>
          <w:color w:val="auto"/>
        </w:rPr>
      </w:pPr>
    </w:p>
    <w:p>
      <w:pPr>
        <w:ind w:firstLine="552"/>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that by excluding certain non-cash expenses,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9"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4" w:lineRule="exact"/>
        <w:rPr>
          <w:sz w:val="20"/>
          <w:szCs w:val="20"/>
          <w:color w:val="auto"/>
        </w:rPr>
      </w:pPr>
    </w:p>
    <w:p>
      <w:pPr>
        <w:ind w:left="1020" w:hanging="35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020" w:right="20" w:hanging="358"/>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8"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17" w:lineRule="exact"/>
        <w:rPr>
          <w:rFonts w:ascii="Times New Roman" w:cs="Times New Roman" w:eastAsia="Times New Roman" w:hAnsi="Times New Roman"/>
          <w:sz w:val="18"/>
          <w:szCs w:val="18"/>
          <w:color w:val="auto"/>
        </w:rPr>
      </w:pPr>
    </w:p>
    <w:p>
      <w:pPr>
        <w:ind w:left="1020" w:hanging="358"/>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cash flows, net income and our other GAAP results.</w:t>
      </w:r>
    </w:p>
    <w:p>
      <w:pPr>
        <w:spacing w:after="0" w:line="160" w:lineRule="exact"/>
        <w:rPr>
          <w:sz w:val="20"/>
          <w:szCs w:val="20"/>
          <w:color w:val="auto"/>
        </w:rPr>
      </w:pPr>
    </w:p>
    <w:p>
      <w:pPr>
        <w:ind w:right="80" w:firstLine="518"/>
        <w:spacing w:after="0" w:line="315" w:lineRule="auto"/>
        <w:rPr>
          <w:sz w:val="20"/>
          <w:szCs w:val="20"/>
          <w:color w:val="auto"/>
        </w:rPr>
      </w:pPr>
      <w:r>
        <w:rPr>
          <w:rFonts w:ascii="Times New Roman" w:cs="Times New Roman" w:eastAsia="Times New Roman" w:hAnsi="Times New Roman"/>
          <w:sz w:val="17"/>
          <w:szCs w:val="17"/>
          <w:color w:val="auto"/>
        </w:rPr>
        <w:t xml:space="preserve">Refer to “Note 16— </w:t>
      </w:r>
      <w:r>
        <w:rPr>
          <w:rFonts w:ascii="Times New Roman" w:cs="Times New Roman" w:eastAsia="Times New Roman" w:hAnsi="Times New Roman"/>
          <w:sz w:val="17"/>
          <w:szCs w:val="17"/>
          <w:i w:val="1"/>
          <w:iCs w:val="1"/>
          <w:color w:val="auto"/>
        </w:rPr>
        <w:t>Segment and Geographic Information”</w:t>
      </w:r>
      <w:r>
        <w:rPr>
          <w:rFonts w:ascii="Times New Roman" w:cs="Times New Roman" w:eastAsia="Times New Roman" w:hAnsi="Times New Roman"/>
          <w:sz w:val="17"/>
          <w:szCs w:val="17"/>
          <w:color w:val="auto"/>
        </w:rPr>
        <w:t xml:space="preserve"> in the notes to our consolidated financial statements for a reconciliation of Adjusted EBITDA to net income, the most directly comparable financial measure calculated and presented in accordance with GAAP, for the periods presented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previously disclosed, we no longer consider Expedia a related party. Certain reclassifications have been made to conform the prior period to the current presentation relating to Expedia transactions, which includes the reclassification of revenue from Expedia on our statements of operations for the years ended December 31, 2013 and 2012 of $217 million and $204 million, respectively, to revenue, the reclassification of receivables at December 31, 2013 of $16 million, from Expedia, net on our consolidated balance sheets to accounts receivable, as well as operating cash flow reclassifications related to Expedia for the years ended December 31, 2013 and 2012 of cash provided of $8 million and cash used of $17 million, respectively, to operating cash flows for accounts receivable on our consolidated statements of cash flows those years. These reclassifications had no net effect on our consolidated financial statements.</w:t>
      </w:r>
    </w:p>
    <w:p>
      <w:pPr>
        <w:spacing w:after="0" w:line="189"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 addition, as discussed above, we revised our reportable segment structure during the fourth quarter of 2014. Consequently all prior periods have been reclassified to conform to the current reporting structure, which is reflected in all segment disclosures made in this Form 10-K. These reclassifications had no effect on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657" w:right="259" w:bottom="1440" w:gutter="0" w:footer="0" w:header="0"/>
        </w:sectPr>
      </w:pPr>
    </w:p>
    <w:bookmarkStart w:id="37" w:name="page38"/>
    <w:bookmarkEnd w:id="37"/>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All other reclassifications, made to conform the prior periods to the current presentation, were not material and had no net effect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and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w:t>
      </w:r>
    </w:p>
    <w:p>
      <w:pPr>
        <w:spacing w:after="0" w:line="121" w:lineRule="exact"/>
        <w:rPr>
          <w:sz w:val="20"/>
          <w:szCs w:val="20"/>
          <w:color w:val="auto"/>
        </w:rPr>
      </w:pPr>
    </w:p>
    <w:p>
      <w:pPr>
        <w:ind w:firstLine="552"/>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through our Jetsetter and Tingo brands; selling destination activities from newly-acquired Viator; fulfilling online restaurant reservations through Lafourchette; as well as other revenue including content licensing.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2014 vs</w:t>
            </w: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 vs 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12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 other*</w:t>
            </w:r>
          </w:p>
        </w:tc>
        <w:tc>
          <w:tcPr>
            <w:tcW w:w="8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125"/>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Substantially all revenue reported in our Other segment is from our subscription, transaction and other products.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Revenue increased $301 million during the year ended December 31, 2014 when compared to the same period in 2013, primarily due to an increase in click-based advertising revenue of $174 million. The primary driver of the increase in click-based advertising revenue was an increase in hotel shoppers of 17% and an increase in revenue per hotel shopper of 7% for the year ended December 31, 2014. Display-based advertising increased by $21 million during the year ended December 31, 2014, primarily as a result of a 19% increase in the number of impressions sold when compared to the same period in 2013, primarily due to increased sales productivity, ad tech improvements that have enhanced marketers ability to target, coupled with worldwide growth particularly in emerging markets, partially offset by a decrease in pricing by 1% for the same period. Subscription, transaction and other revenue increased by $106 million during the year ended December 31, 2014, primarily due to growth in our Business Listings and Vacation Rentals products, as well as revenue generated by the businesses we acquired during 2014 of $43 million.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Revenue increased $182 million during the year ended December 31, 2013 when compared to the same period in 2012, primarily due to an increase in click-based advertising revenue of $108 million. The primary driver of the increase in click-based advertising revenue was an increase in hotel shoppers of 35% for the year ended December 31, 2013, partially offset by lower revenue per hotel shopper of 13% for the year ended December 31, 2013, primarily due to a combination of lower user conversion related to our transition to hotel metasearch, growth in hotel shoppers on smartphones, which have a lower monetization rate than desktops and tablets, and growth in emerging international markets that are currently monetizing at lower levels than our mature markets. Display-based advertising increased by $25 million during the year ended December 31, 2013, primarily as a result of a 34% increase in the number of impressions sold due to increased sales productivity coupled with our new Delayed Ad Call product, and worldwide growth particularly in emerging markets when compared to the same period in 2013, partially offset by a decrease in pricing by 5% for the year ended December 31, 2013. Subscription, transaction and other revenue increased by $49 million during the year ended December 31, 2013, primarily due to growth in our Business Listings and Vacation Rentals products.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553"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ectPr>
          <w:pgSz w:w="11900" w:h="16838" w:orient="portrait"/>
          <w:cols w:equalWidth="0" w:num="1">
            <w:col w:w="11360"/>
          </w:cols>
          <w:pgMar w:left="240" w:top="657" w:right="299" w:bottom="1440" w:gutter="0" w:footer="0" w:header="0"/>
        </w:sectPr>
      </w:pPr>
    </w:p>
    <w:p>
      <w:pPr>
        <w:spacing w:after="0" w:line="33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7620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 w:lineRule="exact"/>
        <w:rPr>
          <w:sz w:val="20"/>
          <w:szCs w:val="20"/>
          <w:color w:val="auto"/>
        </w:rPr>
      </w:pPr>
    </w:p>
    <w:p>
      <w:pPr>
        <w:ind w:left="5180"/>
        <w:spacing w:after="0"/>
        <w:tabs>
          <w:tab w:leader="none" w:pos="6120" w:val="left"/>
          <w:tab w:leader="none" w:pos="710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r>
        <w:rPr>
          <w:sz w:val="20"/>
          <w:szCs w:val="20"/>
          <w:color w:val="auto"/>
        </w:rPr>
        <w:tab/>
      </w:r>
      <w:r>
        <w:rPr>
          <w:rFonts w:ascii="Times New Roman" w:cs="Times New Roman" w:eastAsia="Times New Roman" w:hAnsi="Times New Roman"/>
          <w:sz w:val="14"/>
          <w:szCs w:val="14"/>
          <w:b w:val="1"/>
          <w:bCs w:val="1"/>
          <w:color w:val="auto"/>
        </w:rPr>
        <w:t>2012</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2014 vs. 2013</w:t>
      </w:r>
      <w:r>
        <w:rPr>
          <w:sz w:val="20"/>
          <w:szCs w:val="20"/>
          <w:color w:val="auto"/>
        </w:rPr>
        <w:tab/>
      </w:r>
      <w:r>
        <w:rPr>
          <w:rFonts w:ascii="Times New Roman" w:cs="Times New Roman" w:eastAsia="Times New Roman" w:hAnsi="Times New Roman"/>
          <w:sz w:val="14"/>
          <w:szCs w:val="14"/>
          <w:b w:val="1"/>
          <w:bCs w:val="1"/>
          <w:color w:val="auto"/>
        </w:rPr>
        <w:t>2013 vs. 2012</w:t>
      </w:r>
    </w:p>
    <w:p>
      <w:pPr>
        <w:spacing w:after="0" w:line="1" w:lineRule="exact"/>
        <w:rPr>
          <w:sz w:val="20"/>
          <w:szCs w:val="20"/>
          <w:color w:val="auto"/>
        </w:rPr>
      </w:pPr>
    </w:p>
    <w:p>
      <w:pPr>
        <w:sectPr>
          <w:pgSz w:w="11900" w:h="16838" w:orient="portrait"/>
          <w:cols w:equalWidth="0" w:num="2">
            <w:col w:w="7400" w:space="520"/>
            <w:col w:w="3440"/>
          </w:cols>
          <w:pgMar w:left="240" w:top="657" w:right="299" w:bottom="1440" w:gutter="0" w:footer="0" w:header="0"/>
          <w:type w:val="continuous"/>
        </w:sectPr>
      </w:pPr>
    </w:p>
    <w:tbl>
      <w:tblPr>
        <w:tblLayout w:type="fixed"/>
        <w:tblInd w:w="1140" w:type="dxa"/>
        <w:tblCellMar>
          <w:top w:w="0" w:type="dxa"/>
          <w:left w:w="0" w:type="dxa"/>
          <w:bottom w:w="0" w:type="dxa"/>
          <w:right w:w="0" w:type="dxa"/>
        </w:tblCellMar>
      </w:tblPr>
      <w:tr>
        <w:trPr>
          <w:trHeight w:val="21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20"/>
                <w:szCs w:val="20"/>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20"/>
                <w:szCs w:val="20"/>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bottom w:val="single" w:sz="8" w:color="CFF0FC"/>
            </w:tcBorders>
          </w:tcPr>
          <w:p>
            <w:pPr>
              <w:spacing w:after="0"/>
              <w:rPr>
                <w:sz w:val="22"/>
                <w:szCs w:val="22"/>
                <w:color w:val="auto"/>
              </w:rPr>
            </w:pPr>
          </w:p>
        </w:tc>
        <w:tc>
          <w:tcPr>
            <w:tcW w:w="122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2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(1):</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Pr>
          <w:p>
            <w:pPr>
              <w:spacing w:after="0"/>
              <w:rPr>
                <w:sz w:val="19"/>
                <w:szCs w:val="19"/>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6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bottom w:val="single" w:sz="8" w:color="CFF0FC"/>
            </w:tcBorders>
          </w:tcPr>
          <w:p>
            <w:pPr>
              <w:spacing w:after="0"/>
              <w:rPr>
                <w:sz w:val="22"/>
                <w:szCs w:val="22"/>
                <w:color w:val="auto"/>
              </w:rPr>
            </w:pPr>
          </w:p>
        </w:tc>
        <w:tc>
          <w:tcPr>
            <w:tcW w:w="122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(2):</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bl>
    <w:p>
      <w:pPr>
        <w:spacing w:after="0" w:line="247" w:lineRule="exact"/>
        <w:rPr>
          <w:sz w:val="20"/>
          <w:szCs w:val="20"/>
          <w:color w:val="auto"/>
        </w:rPr>
      </w:pPr>
    </w:p>
    <w:p>
      <w:pPr>
        <w:ind w:left="1140" w:right="80" w:hanging="371"/>
        <w:spacing w:after="0" w:line="233"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Adjusted EBITDA is a general and administrative expense allocation for each segment, which is based on the segment’s percentage of our total personnel costs. See “Note 16 </w:t>
      </w:r>
      <w:r>
        <w:rPr>
          <w:rFonts w:ascii="Times New Roman" w:cs="Times New Roman" w:eastAsia="Times New Roman" w:hAnsi="Times New Roman"/>
          <w:sz w:val="14"/>
          <w:szCs w:val="14"/>
          <w:i w:val="1"/>
          <w:iCs w:val="1"/>
          <w:color w:val="auto"/>
        </w:rPr>
        <w:t>— Segment and Geographic Information</w:t>
      </w:r>
      <w:r>
        <w:rPr>
          <w:rFonts w:ascii="Times New Roman" w:cs="Times New Roman" w:eastAsia="Times New Roman" w:hAnsi="Times New Roman"/>
          <w:sz w:val="14"/>
          <w:szCs w:val="14"/>
          <w:color w:val="auto"/>
        </w:rPr>
        <w:t>,” in the notes to our consolidated financial statements for more information.</w:t>
      </w:r>
    </w:p>
    <w:p>
      <w:pPr>
        <w:ind w:left="1140" w:right="660" w:hanging="371"/>
        <w:spacing w:after="0" w:line="239"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 non-GAAP measure, as Adjusted EBITDA as a percentage of revenue. See “Adjusted EBITDA” discussion above for more information on the limitations of using Adjusted EBITDA, a non-GAAP measure, as an analytical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-396240</wp:posOffset>
            </wp:positionV>
            <wp:extent cx="600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Hotel segment revenue increased $236 million during the year ended December 31, 2014 when compared to the same period in 2013, primarily due to an increase in click-based advertising revenue of $174 million and an increase in display-based advertising of $21 million. Subscription, transaction and other revenue increased by $41 million during the year ended December 31, 2014 when compared to the same period in 2013, primarily due to growth in Business Listings.</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Adjusted EBITDA in our hotel segment increased $88 million during the year ended December 31, 2014 when compared to the same period in 2013, due to an increase in revenue, partially offset, primarily by increased personnel and overhead costs, and SEM and other online traffic acquisition costs. The segment’s Adjusted EBITDA margin for the year ended December 31, 2014, was essentially flat when compared to the same period in 2013.</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Other segment revenue increased $65 million during the year ended December 31, 2014 when compared to the same period in 2013. This was driven by growth in Vacation Rentals, primarily due to our free-to-list commission-based booking model, as well as by incremental revenue, primarily related to our 2014 acquisitions of Lafourchette and Viator.</w:t>
      </w:r>
    </w:p>
    <w:p>
      <w:pPr>
        <w:spacing w:after="0" w:line="176"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Adjusted EBITDA in our Other segment remained essentially flat during the year ended December 31, 2014 when compared to the same period in 2013. Our Vacation Rentals, Attractions, and Restaurants businesses, are all at earlier stages of their growth and business life cycle, and therefore at points requiring significant investments to fund growth initiatives, which is a contributing factor to this reportable segment currently operating at a loss.</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Hotel segment revenue increased $167 million during the year ended December 31, 2013 when compared to the same period in 2012, primarily due to an increase in click-based advertising revenue of $108 million and an increase in display-based advertising of $25 million. Subscription, transaction and other revenue increased by $34 million during the year ended December 31, 2013 when compared to the same period in 2012, primarily due to growth in Business Listings.</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Adjusted EBITDA in our hotel segment increased $35 million during the year ended December 31, 2014 when compared to the same period in 2013, due to an increase in revenue, partially offset, primarily by increased personnel and overhead costs, SEM and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657" w:right="299" w:bottom="1440" w:gutter="0" w:footer="0" w:header="0"/>
          <w:type w:val="continuous"/>
        </w:sectPr>
      </w:pPr>
    </w:p>
    <w:bookmarkStart w:id="39" w:name="page40"/>
    <w:bookmarkEnd w:id="39"/>
    <w:p>
      <w:pPr>
        <w:ind w:right="720"/>
        <w:spacing w:after="0" w:line="282" w:lineRule="auto"/>
        <w:rPr>
          <w:sz w:val="20"/>
          <w:szCs w:val="20"/>
          <w:color w:val="auto"/>
        </w:rPr>
      </w:pPr>
      <w:r>
        <w:rPr>
          <w:rFonts w:ascii="Times New Roman" w:cs="Times New Roman" w:eastAsia="Times New Roman" w:hAnsi="Times New Roman"/>
          <w:sz w:val="18"/>
          <w:szCs w:val="18"/>
          <w:color w:val="auto"/>
        </w:rPr>
        <w:t>other online traffic acquisition costs, and costs incurred for our 2013 television advertising campaign, offset by a decrease in social media costs. The segment’s Adjusted EBITDA margin for the year ended December 31, 2013, decreased by 5% when compared to the same period in 2012.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Our Other segment revenue increased $15 million during the year ended December 31, 2013 when compared to the same period in 2012. This was driven by growth in Vacation Rentals.</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Adjusted EBITDA in our Other segment decreased by $8 million during the year ended December 31, 2013 when compared to the same period in 2012. This was driven by increased spending to fund growth initiatives in Vacation Rentals.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Geography</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geographic region, which reflects how we view our geographic revenue internally. Revenue by geography is based on the geographic location of our websites: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3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120" w:type="dxa"/>
            <w:vAlign w:val="bottom"/>
            <w:tcBorders>
              <w:top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200" w:type="dxa"/>
            <w:vAlign w:val="bottom"/>
          </w:tcPr>
          <w:p>
            <w:pPr>
              <w:spacing w:after="0"/>
              <w:rPr>
                <w:sz w:val="13"/>
                <w:szCs w:val="13"/>
                <w:color w:val="auto"/>
              </w:rPr>
            </w:pPr>
          </w:p>
        </w:tc>
      </w:tr>
      <w:tr>
        <w:trPr>
          <w:trHeight w:val="156"/>
        </w:trPr>
        <w:tc>
          <w:tcPr>
            <w:tcW w:w="3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region:</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North America (1)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EMEA (2)</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APAC (3)</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LATAM (4)</w:t>
            </w:r>
          </w:p>
        </w:tc>
        <w:tc>
          <w:tcPr>
            <w:tcW w:w="1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Canada*</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Middle East and Africa</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Asia-Pacific</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200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is included in international revenue below for discussion purposes.</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International revenue increased $171 million and $105 million during the years ended December 31, 2014 and 2013, respectively, compared to the same periods in 2013 and 2012. International revenue represented 52%, 51%, and 49% of total revenue during the years ended December 31, 2014, 2013, and 2012, respectively. The increase in international revenue, in absolute dollars and as a percentage of total revenue, is primarily due to additional investment in international expansion and growth in international hotel shoppers.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60" w:firstLine="552"/>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00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66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660" w:type="dxa"/>
            <w:vAlign w:val="bottom"/>
            <w:tcBorders>
              <w:bottom w:val="single" w:sz="8" w:color="auto"/>
            </w:tcBorders>
            <w:shd w:val="clear" w:color="auto" w:fill="CFF0FC"/>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0"/>
        </w:trPr>
        <w:tc>
          <w:tcPr>
            <w:tcW w:w="5320" w:type="dxa"/>
            <w:vAlign w:val="bottom"/>
          </w:tcPr>
          <w:p>
            <w:pPr>
              <w:spacing w:after="0"/>
              <w:rPr>
                <w:sz w:val="24"/>
                <w:szCs w:val="2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Cost of revenue increased $22 million during the year ended December 31, 2014, respectively, when compared to the same periods in 2013, primarily due to increased data center costs, driven by higher site traffic; increased merchant credit card and transaction fees, driven by additional transaction costs from our recent business acquisitions and free-to-list growth in our Vacation Rental business; and customer support costs. In total, our restaurant and attraction businesses contributed $6 million to our cost of revenue in 2014, of which $3 million related to personnel and overhead.</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Cost of revenue increased $6 million during the year ended December 31, 2013 when compared to the same period in 2012, primarily due to increased data center costs, driven by higher site traffic and merchant credit card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40" w:type="dxa"/>
            <w:vAlign w:val="bottom"/>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3"/>
                <w:szCs w:val="13"/>
                <w:color w:val="auto"/>
              </w:rPr>
            </w:pPr>
          </w:p>
        </w:tc>
        <w:tc>
          <w:tcPr>
            <w:tcW w:w="124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ind w:left="76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selling and marketing</w:t>
            </w: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40.3%</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Direct selling and marketing costs increased $104 million during the year ended December 31, 2014 when compared to the same period in 2013, primarily due to increased SEM costs, other online traffic acquisition costs, costs related to our television campaign, in addition to incremental costs from our recent business acquisitions, partially offset by a decrease in spending in social media costs and other offline advertising costs, excluding television advertising. We spent $33 million on our new television campaign during the year ended December 31, 2014, which was launched in May 2014. Personnel and overhead costs increased $30 million during the year ended December 31, 2014 when compared to the same period in 2013, primarily due to an increase in headcount to support business growth, including international expansion and employees joining us through recent business acquisitions, which also increased stock-based compensation costs. In total, our restaurant and attraction businesses contributed $25 million to our selling and marketing expense in 2014, of which $8 million related to personnel and overhead.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Direct selling and marketing costs increased $66 million during the year ended December 31, 2013 when compared to the same period in 2012, primarily due to increased SEM costs, other traffic acquisition costs and brand advertising costs, and an increase in offline advertising costs, primarily television advertising of $30 million, partially offset by a decrease in spending in social media costs. Personnel and overhead costs increased $36 million during the year ended December 31, 2013 when compared to the same period in 2012, primarily due to an increase in headcount to support business growth, including international expansion and employees joining us through business acquisitions, and also increased stock-based compensation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5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40" w:type="dxa"/>
            <w:vAlign w:val="bottom"/>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3"/>
                <w:szCs w:val="13"/>
                <w:color w:val="auto"/>
              </w:rPr>
            </w:pPr>
          </w:p>
        </w:tc>
        <w:tc>
          <w:tcPr>
            <w:tcW w:w="124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ind w:left="7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technology and content</w:t>
            </w: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13.7%</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187" w:lineRule="exact"/>
        <w:rPr>
          <w:sz w:val="20"/>
          <w:szCs w:val="20"/>
          <w:color w:val="auto"/>
        </w:rPr>
      </w:pPr>
    </w:p>
    <w:p>
      <w:pPr>
        <w:ind w:right="120" w:firstLine="552"/>
        <w:spacing w:after="0" w:line="258" w:lineRule="auto"/>
        <w:rPr>
          <w:sz w:val="20"/>
          <w:szCs w:val="20"/>
          <w:color w:val="auto"/>
        </w:rPr>
      </w:pPr>
      <w:r>
        <w:rPr>
          <w:rFonts w:ascii="Times New Roman" w:cs="Times New Roman" w:eastAsia="Times New Roman" w:hAnsi="Times New Roman"/>
          <w:sz w:val="18"/>
          <w:szCs w:val="18"/>
          <w:color w:val="auto"/>
        </w:rPr>
        <w:t>Technology and content costs increased $40 million during the year ended December 31, 2014 when compared to the same period in 2013, primarily due to increased personnel costs from increased headcount to support business growth, including international expansion and enhanced site features, as well as additional personnel costs related to employees joining us through recent business acquisitions and also increased stock-based compensation costs. In total, our restaurant and attraction businesses contributed $6 million to our technology and content expense in 2014, of which $4 million related to personnel and overhead.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Technology and content costs increased $44 million during the year ended December 31, 2013 when compared to the same period in 2012, primarily due to increased personnel costs from increased headcount to support business growth, including international expansion, enhanced site features, extending our products onto smartphone and tablet platforms, and development of our hotel metasearch product, as well as an increase in stock based compensation and additional personnel costs related to employees joining us through business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5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for personnel engaged in executive leadership, finance, legal, and human resources and stock-based compensation as well as professional service fees and other fees including audit, legal, tax and accounting, and other costs including bad debt expense and our charitable foundation costs.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40" w:type="dxa"/>
            <w:vAlign w:val="bottom"/>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3"/>
                <w:szCs w:val="13"/>
                <w:color w:val="auto"/>
              </w:rPr>
            </w:pPr>
          </w:p>
        </w:tc>
        <w:tc>
          <w:tcPr>
            <w:tcW w:w="124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Professional service fees and other</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ind w:left="76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General and administrative costs increased $30 million during the year ended December 31, 2014, when compared to the same period in 2013, primarily due to personnel costs and overhead costs related to an increase in headcount to support our business operations, as well as additional personnel costs related to employees joining us through recent business acquisitions and professional fees primarily related to our 2014 business acquisitions, higher charitable contributions and increased bad debt expense. In total, our restaurant and attraction businesses contributed $8 million to our cost of revenue in 2014, of which $5 million related to personnel and overhead.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increased $22 million during the year ended December 31, 2013, when compared to the same period in 2012, primarily due to increased personnel costs related to an increase in stock-based compensation, as well as increased headcount to support business growth and additional professional service fees in order to support our operations and an increase in our bad debt provision.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5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4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20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7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23"/>
                <w:szCs w:val="23"/>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bl>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increased $17 million during the year ended December 31, 2014 when compared to the same period in 2013 primarily due to increased amortization related to capitalized software and website development costs.</w:t>
      </w: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increased $10 million during the year ended December 31, 2013 when compared to the same period in 2012 primarily due to increased amortization related to capitalized software and website development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239"/>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1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bl>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187" w:lineRule="exact"/>
        <w:rPr>
          <w:sz w:val="20"/>
          <w:szCs w:val="20"/>
          <w:color w:val="auto"/>
        </w:rPr>
      </w:pPr>
    </w:p>
    <w:p>
      <w:pPr>
        <w:ind w:right="100" w:firstLine="552"/>
        <w:spacing w:after="0" w:line="266" w:lineRule="auto"/>
        <w:rPr>
          <w:sz w:val="20"/>
          <w:szCs w:val="20"/>
          <w:color w:val="auto"/>
        </w:rPr>
      </w:pPr>
      <w:r>
        <w:rPr>
          <w:rFonts w:ascii="Times New Roman" w:cs="Times New Roman" w:eastAsia="Times New Roman" w:hAnsi="Times New Roman"/>
          <w:sz w:val="18"/>
          <w:szCs w:val="18"/>
          <w:color w:val="auto"/>
        </w:rPr>
        <w:t xml:space="preserve">Amortization of intangible assets increased $12 million during the year ended December 31, 2014 when compared to the same period in 2013, primarily due to incremental amortization on purchased definite lived intangibles related to our 2014 business acquisitions. Refer to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in the notes to our consolidated financial statements for additional information on our acquisitions.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did not materially change during the year ended December 31, 2013 when compared to the same period in 2012. Incremental amortization related to acquired definite lived intangibles from business acquisitions during 2013 was offset by the completion of amortization related to certain technology intangible assets from prior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00" w:firstLine="552"/>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Credit Agreement and Chinese Credit Facilities.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jc w:val="center"/>
              <w:ind w:right="12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bl>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decreased $1 million during the year ended December 31, 2014 when compared to the same periods in 2013, primarily due to a lower principal on our term loan amount related to our Credit Agreement.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on our outstanding borrowing facilities.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657" w:right="29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decreased $1 million during the year ended December 31, 2013 when compared to the same periods in 2012, primarily due to a combination of a lower principal amount and a lower effective interest rate on our Term Loan related to our Credit Agreement.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on our outstanding borrowing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right="140" w:firstLine="552"/>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and net foreign exchange gains and losses.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46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86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center"/>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and other, net decreased $9 million during the year ended December 31, 2014, respectively, when compared to the same periods in 2013, primarily due to the fluctuation of foreign exchange rates. Our interest income is primarily due to investing in marketable securities. Refer to “Note 5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additional information on our portfolio investment as of December 31, 2014.</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and other, net increased $3 million during the year ended December 31, 2013, respectively, when compared to the same periods in 2012, primarily due to the fluctuation of foreign exchange rates. Our interest income is primarily due to investing in marketable securities. Refer to “Note 5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additional information on our portfolio investment as of December 31, 2013.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239"/>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bl>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Our effective tax rate increased 2% during the year ended December 31, 2014 over the same period in 2013. The change in the effective tax rate for 2014 compared to the 2013 rate was primarily due to a change in jurisdictional earnings and certain discrete items.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effective tax rate is less than the federal statutory rate primarily due to earnings in jurisdictions outside the United States, where our effective tax rate is lower. This is partly driven by a decrease in the statutory tax rate in the United Kingdom from 23% to 21% in 2014, and our tax incentive on qualifying income in Singapore granted by the Singapore Economic Development Board in 2011. Our effective tax rate is partially offset by state income taxes, non-deductible stock compensation and accruals on uncertain tax positions.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United Kingdom statutory tax rate is set to decrease from 21% to 20% effective April 1, 2015, which will reduce our effective tax rate.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659" w:right="259" w:bottom="1440" w:gutter="0" w:footer="0" w:header="0"/>
        </w:sectPr>
      </w:pPr>
    </w:p>
    <w:bookmarkStart w:id="44" w:name="page45"/>
    <w:bookmarkEnd w:id="44"/>
    <w:p>
      <w:pPr>
        <w:jc w:val="cente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decreased 2% during the year ended December 31, 2013 over the same period in 2012.</w:t>
      </w:r>
    </w:p>
    <w:p>
      <w:pPr>
        <w:spacing w:after="0" w:line="225"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decrease in the effective tax rate for 2013 compared to the 2012 rate was primarily due to an increase in earnings in jurisdictions outside the United States as well as an internal restructuring that occurred during the fourth quarter of 2012. This restructuring was undertaken within our non-U.S. operations to align our global structure for more efficient treasury management and global cash deployment. Additionally, during the third quarter of 2013, Massachusetts enacted a statute that changed how sales are apportioned from being a cost of performance measure to market based sourcing, which resulted in a lower overall state effective tax 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section explains how we have generated and used our cash historically, describes our current capital resources and discusses our future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aggregates our material contractual obligations and minimum commercial commitments as of December 31, 2014: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4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60" w:type="dxa"/>
            <w:vAlign w:val="bottom"/>
          </w:tcPr>
          <w:p>
            <w:pPr>
              <w:spacing w:after="0"/>
              <w:rPr>
                <w:sz w:val="11"/>
                <w:szCs w:val="11"/>
                <w:color w:val="auto"/>
              </w:rPr>
            </w:pPr>
          </w:p>
        </w:tc>
        <w:tc>
          <w:tcPr>
            <w:tcW w:w="9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Term Loan (1)</w:t>
            </w: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interest payments on Term Loan (1)</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Chinese credit facilities (1)</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Build to suit lease obligation (2)</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(3)(4)(5)(6)</w:t>
            </w: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80" w:hanging="532"/>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included as expected interest payments on the Term Loan in this table are based on the current effective interest rate and payment terms as of December 31, 2014, but, could change significantly in the future. Amounts assume that our existing debt is repaid at maturity and do not assume additional borrowings or refinancings of existing debt.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consolidated financial statements for additional information on our Term Loan and Chinese Credit Facilities.</w:t>
      </w:r>
    </w:p>
    <w:p>
      <w:pPr>
        <w:spacing w:after="0" w:line="2" w:lineRule="exact"/>
        <w:rPr>
          <w:rFonts w:ascii="Times New Roman" w:cs="Times New Roman" w:eastAsia="Times New Roman" w:hAnsi="Times New Roman"/>
          <w:sz w:val="18"/>
          <w:szCs w:val="18"/>
          <w:color w:val="auto"/>
        </w:rPr>
      </w:pPr>
    </w:p>
    <w:p>
      <w:pPr>
        <w:ind w:left="540" w:right="1100" w:hanging="532"/>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minimum rental payments for our future corporate headquarters in Needham, MA. See discussion under “Office Lease Commitments” below.</w:t>
      </w:r>
    </w:p>
    <w:p>
      <w:pPr>
        <w:ind w:left="540" w:right="40" w:hanging="532"/>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current liabilities already recorded on the consolidated balance sheet at December 31, 2014, as these liabilities are expected to be paid within one year.</w:t>
      </w:r>
    </w:p>
    <w:p>
      <w:pPr>
        <w:ind w:left="540" w:right="20" w:hanging="532"/>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table was $68 million of unrecognized tax benefits, including interest, that we have recorded in other long-term liabilities for which we cannot make a reasonably reliable estimate of the amount and period of payment. We estimate that approximately $1 million will be paid within the next twelve months.</w:t>
      </w:r>
    </w:p>
    <w:p>
      <w:pPr>
        <w:spacing w:after="0" w:line="1" w:lineRule="exact"/>
        <w:rPr>
          <w:rFonts w:ascii="Times New Roman" w:cs="Times New Roman" w:eastAsia="Times New Roman" w:hAnsi="Times New Roman"/>
          <w:sz w:val="18"/>
          <w:szCs w:val="18"/>
          <w:color w:val="auto"/>
        </w:rPr>
      </w:pPr>
    </w:p>
    <w:p>
      <w:pPr>
        <w:ind w:left="540" w:hanging="532"/>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Excluded from the table is our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2014. For a discussion regarding OIBA see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Geographic Information” </w:t>
      </w:r>
      <w:r>
        <w:rPr>
          <w:rFonts w:ascii="Times New Roman" w:cs="Times New Roman" w:eastAsia="Times New Roman" w:hAnsi="Times New Roman"/>
          <w:sz w:val="18"/>
          <w:szCs w:val="18"/>
          <w:color w:val="auto"/>
        </w:rPr>
        <w:t>in the notes to the consolidated financial statements.</w:t>
      </w:r>
    </w:p>
    <w:p>
      <w:pPr>
        <w:spacing w:after="0" w:line="1" w:lineRule="exact"/>
        <w:rPr>
          <w:rFonts w:ascii="Times New Roman" w:cs="Times New Roman" w:eastAsia="Times New Roman" w:hAnsi="Times New Roman"/>
          <w:sz w:val="18"/>
          <w:szCs w:val="18"/>
          <w:color w:val="auto"/>
        </w:rPr>
      </w:pPr>
    </w:p>
    <w:p>
      <w:pPr>
        <w:jc w:val="both"/>
        <w:ind w:left="540" w:right="120" w:hanging="532"/>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spending on anticipated leasehold improvements on our Needham, Massachusetts lease, including design, development, construction costs, and the purchase and installation of equipment, net of related landlord incentives which we estimate will be in the range of $25-$30 million primarily incurred during the first six months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200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5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 Due 2016 and Revolving Credit Facility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20, 2012, in connection with the Spin-Off, we entered into the Credit Agreement, which provides $600 million of borrowing including:</w:t>
      </w:r>
    </w:p>
    <w:p>
      <w:pPr>
        <w:spacing w:after="0" w:line="117" w:lineRule="exact"/>
        <w:rPr>
          <w:sz w:val="20"/>
          <w:szCs w:val="20"/>
          <w:color w:val="auto"/>
        </w:rPr>
      </w:pPr>
    </w:p>
    <w:p>
      <w:pPr>
        <w:ind w:left="1020" w:hanging="358"/>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Facility, or Term Loan, in an aggregate principal amount of $400 million with a term of five years due December 2016; and</w:t>
      </w:r>
    </w:p>
    <w:p>
      <w:pPr>
        <w:spacing w:after="0" w:line="117" w:lineRule="exact"/>
        <w:rPr>
          <w:rFonts w:ascii="Times New Roman" w:cs="Times New Roman" w:eastAsia="Times New Roman" w:hAnsi="Times New Roman"/>
          <w:sz w:val="18"/>
          <w:szCs w:val="18"/>
          <w:color w:val="auto"/>
        </w:rPr>
      </w:pPr>
    </w:p>
    <w:p>
      <w:pPr>
        <w:ind w:left="1020" w:hanging="358"/>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Facility in an aggregate principal amount of $200 million available in U.S. dollars, Euros and British pound sterling with a term of five years expiring December 2016.</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2014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$1 million per annum.</w:t>
      </w:r>
    </w:p>
    <w:p>
      <w:pPr>
        <w:spacing w:after="0" w:line="180"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$40 million of borrowing capacity available for letters of credit and $40 million for borrowings on same-day notice. As of December 31, 2014 there are no outstanding borrowings under our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Credit Agreement at any time without premium or penalty, other than customary breakage costs with respect to Eurocurrency loans.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we are in compliance with all of our debt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Credit Agreement, we maintain our Chinese Credit Facilities. As of December 31, 2014 and 2013, we had $38 million and $28 million of short term borrowings outstanding,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657" w:right="259" w:bottom="1440" w:gutter="0" w:footer="0" w:header="0"/>
        </w:sectPr>
      </w:pPr>
    </w:p>
    <w:bookmarkStart w:id="46" w:name="page47"/>
    <w:bookmarkEnd w:id="46"/>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Certain of our Chinese subsidiaries are entered into a RMB 189,000,000 (approximately $30 million), one-year revolving credit facility with Bank of America (the “Chinese Credit Facility—BOA”) that is currently subject to review on a periodic basis with no-specific expiration period. We had $19 million of outstanding borrowings from the Chinese Credit Facility—BOA as of December 31, 2014. Our Chinese Credit Facility—BOA currently bears interest based at a 100% of the People’s Bank of China’s base rate, which was 5.6% as of December 31, 2014.</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certain of our Chinese subsidiaries are entered into a RMB 125,000,000 (approximately $20 million) one-year revolving credit facility with J.P. Morgan Chase Bank (“Chinese Credit Facility-JPM”). We had $19 million of outstanding borrowings from the Chinese Credit Facility-JPM as of December 31, 2014. Our Chinese Credit Facility—JPM currently bears interest based at a 100% of the People’s Bank of China’s base rate, which was 5.6% as of December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 Commitments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119,000 square feet for our corporate headquarters in Newton, Massachusetts, pursuant to a lease with an expiration date of April 2015. We are currently in the process of negotiating an extension of this lease until mid-2015.</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(the “Lease”), for a new corporate headquarters.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 TA LLC also has an option to extend the term of the Lease for two consecutive terms of five years each.</w:t>
      </w:r>
    </w:p>
    <w:p>
      <w:pPr>
        <w:spacing w:after="0" w:line="18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The aggregate future minimum lease payments are $143 million and are currently scheduled to be paid, beginning in November 2015, as follows: $1 million for 2015, $9 million for 2016, $9 million for 2017, $9 million for 2018, $9 million for 2019 and $106 million for 2020 and thereafter. The Lease has escalating rental payments and initial periods of free rent. TA LLC was also obligated to deliver a letter of credit to the Landlord in the amount of $1 million as security deposit, which amount is subject to increase under certain circumstances. TA LLC also has an option to extend the term of the Lease for two consecutive terms of five years each. In connection with the Lease, TripAdvisor entered into a Guaranty (the “Guaranty”), pursuant to which TripAdvisor provides full payment and performance guaranty for all of TA LLC’s obligations under the Lease.</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have concluded we are the deemed owner (for accounting purposes only) of the Premises during the construction period under build to suit lease accounting. Building construction began in the fourth quarter of 2013. Since construction began, we have recorded estimated project construction costs incurred by the landlord as a construction in progress asset and a corresponding long term liability in “Property and equipment, net” and “Other long-term liabilities,” respectively, on our consolidated balance sheets. We will continue to increase the asset and corresponding long term liability as additional building costs are incurred by the landlord during the construction period. In addition, the amounts that we have paid or incurred for normal tenant improvements and structural improvements have also been recorded to the construction-in-progress asset.</w:t>
      </w:r>
    </w:p>
    <w:p>
      <w:pPr>
        <w:spacing w:after="0" w:line="188" w:lineRule="exact"/>
        <w:rPr>
          <w:sz w:val="20"/>
          <w:szCs w:val="20"/>
          <w:color w:val="auto"/>
        </w:rPr>
      </w:pPr>
    </w:p>
    <w:p>
      <w:pPr>
        <w:ind w:right="60" w:firstLine="518"/>
        <w:spacing w:after="0" w:line="281" w:lineRule="auto"/>
        <w:rPr>
          <w:sz w:val="20"/>
          <w:szCs w:val="20"/>
          <w:color w:val="auto"/>
        </w:rPr>
      </w:pPr>
      <w:r>
        <w:rPr>
          <w:rFonts w:ascii="Times New Roman" w:cs="Times New Roman" w:eastAsia="Times New Roman" w:hAnsi="Times New Roman"/>
          <w:sz w:val="17"/>
          <w:szCs w:val="17"/>
          <w:color w:val="auto"/>
        </w:rPr>
        <w:t>Once the landlord completes the construction of the Premises (estimated to be mid 2015), we will evaluate the Lease in order to determine whether or not the Lease meets the criteria for “sale-leaseback” treatment under GAAP. If the Lease meets the “sale-leaseback” criteria, we will remove the asset and the related liability from our consolidated balance sheet and treat the Lease as either an operating or capital lease based on the our assessment of the accounting guidance. However, we currently expect that upon completion of construction of the Premises that the Lease will not meet the "sale-leaseback" criteria.</w:t>
      </w:r>
    </w:p>
    <w:p>
      <w:pPr>
        <w:spacing w:after="0" w:line="16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If the Lease does not meet “sale-leaseback” criteria, we will treat the Lease as a financing obligation and lease payments will be attributed to (1) a reduction of the principal financing obligation; (2) imputed interest expense; and (3) land lease expense (which is considered an operating lease) representing an imputed cost to lease the underlying land of the facility. In addition, the underlying building asset will be depreciated over the initial term of the lease. And at the conclusion of the lease term, we would de-recognize both the net book values of the asset and financing obligation. Although we will not begin making lease payments pursuant to the Lease until November 2015, the portion of the lease obligations allocated to the land is treated for accounting purposes as an operating lease that commenced in 2013.</w:t>
      </w:r>
    </w:p>
    <w:p>
      <w:pPr>
        <w:spacing w:after="0" w:line="18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470,000 square feet at approximately 40 other locations across North America, Europe and Asia Pacific, in cities such as, New York, Boston, London, and Beijing, primarily for our sales offices, subsidiary headquarters, and international management teams, pursuant to leases with expiration dates through November 2024.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we have issued unused letters of credit totaling $1 million, related to our property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30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principal source of liquidity is cash flows generated from operations, although liquidity needs can also be met through drawdowns under our credit facilities discussed above. As of December 31, 2014 and 2013, we had $594 million and $670 million of cash, cash equivalents and short and long-term available-for-sale marketable securities. As of December 31, 2014 approximately $435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$630 million as of December 31, 2014.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89" w:lineRule="exact"/>
        <w:rPr>
          <w:sz w:val="20"/>
          <w:szCs w:val="20"/>
          <w:color w:val="auto"/>
        </w:rPr>
      </w:pPr>
    </w:p>
    <w:p>
      <w:pPr>
        <w:ind w:right="160" w:firstLine="552"/>
        <w:spacing w:after="0" w:line="258" w:lineRule="auto"/>
        <w:rPr>
          <w:sz w:val="20"/>
          <w:szCs w:val="20"/>
          <w:color w:val="auto"/>
        </w:rPr>
      </w:pPr>
      <w:r>
        <w:rPr>
          <w:rFonts w:ascii="Times New Roman" w:cs="Times New Roman" w:eastAsia="Times New Roman" w:hAnsi="Times New Roman"/>
          <w:sz w:val="18"/>
          <w:szCs w:val="18"/>
          <w:color w:val="auto"/>
        </w:rPr>
        <w:t>As of December 31, 2014, $199 million was available under our Revolving Credit Facility representing the total $200 million facility less $1 million of outstanding letters of credit. There are currently no outstanding borrowings under the Revolving Credit Facility. The Revolving Credit Facility bears interest at LIBOR plus 150 basis points, or the Eurocurrency Spread, or the alternate base rate (“ABR”) plus 50 basis points, and undrawn amounts are currently subject to a commitment fee of 22.5 basis points, as of December 31, 2014. In addition we have approximately $12 million available under our Chinese Credit Facilities, which currently bear interest at a 100% of the People’s Bank of China’s base rate, which was 5.6% as of December 31, 2014.</w:t>
      </w:r>
    </w:p>
    <w:p>
      <w:pPr>
        <w:spacing w:after="0" w:line="184" w:lineRule="exact"/>
        <w:rPr>
          <w:sz w:val="20"/>
          <w:szCs w:val="20"/>
          <w:color w:val="auto"/>
        </w:rPr>
      </w:pPr>
    </w:p>
    <w:p>
      <w:pPr>
        <w:ind w:firstLine="552"/>
        <w:spacing w:after="0" w:line="254" w:lineRule="auto"/>
        <w:rPr>
          <w:sz w:val="20"/>
          <w:szCs w:val="20"/>
          <w:color w:val="auto"/>
        </w:rPr>
      </w:pPr>
      <w:r>
        <w:rPr>
          <w:rFonts w:ascii="Times New Roman" w:cs="Times New Roman" w:eastAsia="Times New Roman" w:hAnsi="Times New Roman"/>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 for 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other financial commitments, fund our new corporate lease obligations, share repurchases and fund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net cash provided by operating activities increased by $38 million or 11% when compared to the same period in 2013, primarily due to an increase in net income of $21 million and an increase in non-cash items affecting cash flows of $23 million, which is primarily due to an increase in the following items; stock-based compensation; depreciation; amortization of intangibles; fluctuation of foreign exchange rates, offset by an increase in excess tax benefits from stock-based awards and deferred tax benefits. Working capital movements decreased $6 million mainly related to the timing of customer receipts, income tax payments, vendor and merchant payments, partially offset by growth in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5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net cash used in investing activities increased by $38 million when compared to the same period in 2013, primarily due to an increase in cash paid for acquisitions of businesses in 2014 of $296 million and an increase in capital expenditures of $26 million in 2014, when compared against 2013, partially offset by a net decrease in cash used for the purchases, sales and maturities of marketable securities of $284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55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2014, net cash used in financing activities decreased by $129 million when compared to the same period in 2013, primarily due to an increase of $8 million in excess tax benefits related to stock compensation, a decrease of $12 million in repayments of our outstanding borrowings on our Chinese Credit Facilities in 2014, and payments of $145 million for common stock share repurchases under our authorized share repurchase program in 2013, which did not reoccur in 2014. This was offset by a reduction in proceeds from the exercise of our stock options of $21 million in 2014, due to the introduction in the third quarter of 2013 of the net share settlement of the majority of our stock options and an increase in payments of minimum withholding taxes related to net share settlement of equity awards of $19 million in 2014.</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2013 vs.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2013, net cash provided by operating activities increased by $110 million or 46% when compared to the same period in 2012, primarily due to an increase in net income of $10 million and an increase in non-cash items not affecting cash flows of $35 million, which is primarily related to increased stock based compensation and depreciation. Working capital movements increased $64 million for the year ended December 31, 2013 when compared to the same period in 2012, primarily due to an increase in operating cash flow from deferred merchant payables of $18 million and lower income tax payments primarily due to a lower effective tax rate with the remaining increase related to the timing of customer receipts, cash receipts from Expedia, income tax payments, and vendor payments.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2013, net cash used in investing activities decreased by $48 million when compared to the same period in 2012, primarily due to the sale and maturity of marketable securities of $326 million in 2013. This was primarily offset by an increase in the purchases of marketable securities by $213 million, cash paid for 2013 business acquisitions of $35 million, net of cash acquired, and an increase in capital expenditures of $26 million. In addition, we received $7 million during 2012 from Expedia related to Spin-Off, which did not reoccur in 2013.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2013, net cash provided by financing activities decreased by $360 million when compared to the same period in 2012 primarily due to an increase of $20 million in principal payments on our Term Loan, payments of $145 million for common stock share repurchases under our authorized share repurchase program, a reduction of $207 million in proceeds related to the exercise of our stock options and warrants, primarily due to one-time warrant proceeds of $215 million during 2012 and the introduction in Q3 2013 of the net share settlement of the majority of our stock option exercises, and a $15 million repayment of our outstanding borrowings on our Chinese Credit Facilities in 2013. This was offset by a $10 million repayment of our outstanding borrowing on our Revolving Credit Facility in 2012 that did not reoccur in 2013 and $22 million paid to purchase the remaining shares of our non-controlling interest in 2012 that did not reoccur in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As of December 31, 2014,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659"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involving, among other things, arising out of our operations. These matters may relate to claims involving alleged infringement of third-party intellectual property rights, defamation, taxes, regulatory compliance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legal proceedings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right="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our relationships with Expedia and Liberty Interactive Corporation refer to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the notes to our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the consolidated financial statements. We consider an accounting estimate to be critical if:</w:t>
      </w:r>
    </w:p>
    <w:p>
      <w:pPr>
        <w:spacing w:after="0" w:line="54" w:lineRule="exact"/>
        <w:rPr>
          <w:sz w:val="20"/>
          <w:szCs w:val="20"/>
          <w:color w:val="auto"/>
        </w:rPr>
      </w:pPr>
    </w:p>
    <w:p>
      <w:pPr>
        <w:ind w:left="1020" w:right="200" w:hanging="358"/>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management was making the estimate; and/or</w:t>
      </w:r>
    </w:p>
    <w:p>
      <w:pPr>
        <w:spacing w:after="0" w:line="53" w:lineRule="exact"/>
        <w:rPr>
          <w:rFonts w:ascii="Times New Roman" w:cs="Times New Roman" w:eastAsia="Times New Roman" w:hAnsi="Times New Roman"/>
          <w:sz w:val="18"/>
          <w:szCs w:val="18"/>
          <w:color w:val="auto"/>
        </w:rPr>
      </w:pPr>
    </w:p>
    <w:p>
      <w:pPr>
        <w:ind w:left="1020" w:right="120" w:hanging="358"/>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management could have selected may have had a material impact on our financial condition or results of operations.</w:t>
      </w:r>
    </w:p>
    <w:p>
      <w:pPr>
        <w:spacing w:after="0" w:line="160" w:lineRule="exact"/>
        <w:rPr>
          <w:sz w:val="20"/>
          <w:szCs w:val="20"/>
          <w:color w:val="auto"/>
        </w:rPr>
      </w:pPr>
    </w:p>
    <w:p>
      <w:pPr>
        <w:ind w:right="8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Our significant accounting policies and estimates are more fully described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consolidated financial statements. A discussion of information about the nature and rationale for our critical accounting estimates is below.</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Valuations and Recoverability of Goodwill, Indefinite and Definite-Lived Intangible Assets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We account for acquired businesses using the purchase method of accounting which requires that the assets acquired and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recorded at the date of acquisition at their respective fair values. Any excess 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 at the reporting unit level (operating segment or one level below an operating segment). Goodwill is allocated to our reporting units at the date the goodwill is initially recorded.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the evaluation of goodwill for impairment, we generally first perform a qualitative assessment to determine whether it is more likely than not (i.e., a likelihood of more than 50%) that the implied fair value of the reporting unit is less than the carrying amount.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implied fair value of the reporting unit to the carrying value. If the carrying value of a reporting unit exceeds its implied fair value, the goodwill of that reporting unit is potentially impaired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57" w:right="239" w:bottom="1440" w:gutter="0" w:footer="0" w:header="0"/>
        </w:sectPr>
      </w:pPr>
    </w:p>
    <w:bookmarkStart w:id="50" w:name="page51"/>
    <w:bookmarkEnd w:id="50"/>
    <w:p>
      <w:pPr>
        <w:ind w:right="40"/>
        <w:spacing w:after="0" w:line="282" w:lineRule="auto"/>
        <w:rPr>
          <w:sz w:val="20"/>
          <w:szCs w:val="20"/>
          <w:color w:val="auto"/>
        </w:rPr>
      </w:pPr>
      <w:r>
        <w:rPr>
          <w:rFonts w:ascii="Times New Roman" w:cs="Times New Roman" w:eastAsia="Times New Roman" w:hAnsi="Times New Roman"/>
          <w:sz w:val="18"/>
          <w:szCs w:val="18"/>
          <w:color w:val="auto"/>
        </w:rPr>
        <w:t>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62" w:lineRule="exact"/>
        <w:rPr>
          <w:sz w:val="20"/>
          <w:szCs w:val="20"/>
          <w:color w:val="auto"/>
        </w:rPr>
      </w:pPr>
    </w:p>
    <w:p>
      <w:pPr>
        <w:jc w:val="both"/>
        <w:ind w:firstLine="761"/>
        <w:spacing w:after="0" w:line="254" w:lineRule="auto"/>
        <w:rPr>
          <w:sz w:val="20"/>
          <w:szCs w:val="20"/>
          <w:color w:val="auto"/>
        </w:rPr>
      </w:pPr>
      <w:r>
        <w:rPr>
          <w:rFonts w:ascii="Times New Roman" w:cs="Times New Roman" w:eastAsia="Times New Roman" w:hAnsi="Times New Roman"/>
          <w:sz w:val="18"/>
          <w:szCs w:val="18"/>
          <w:color w:val="auto"/>
        </w:rPr>
        <w:t>In determining the estimated fair value of assets acquired and liabilities assumed in business combinations and for determining implied fair values of reporting units in a quantitative goodwill impairment test, we use one of the following recognized valuation methods: the income approach (including discounted cash flows), the market approach or the cost approach. Our significant estimates in those fair value measurements include identifying business factors such as size, growth, profitability, risk and return on investment and assessing comparable revenue and operating income multiples. Further, when measuring fair value based on discounted cash flows, we make assumptions about risk-adjusted discount rates, future price levels, rates of increase in revenue, cost of revenue, and operating expenses, weighted average cost of capital, rates of long-term growth, and income tax rates. Valuations are performed by management or third party valuation specialists under management's supervision, where appropriate. We believe that the fair values assigned to the assets acquired and liabilities assumed in business combinations and impairment tests are based on reasonable assumptions that marketplace participants would use. However, such assumptions are inherently uncertain and actual results could differ from those estimates.</w:t>
      </w:r>
    </w:p>
    <w:p>
      <w:pPr>
        <w:spacing w:after="0" w:line="189" w:lineRule="exact"/>
        <w:rPr>
          <w:sz w:val="20"/>
          <w:szCs w:val="20"/>
          <w:color w:val="auto"/>
        </w:rPr>
      </w:pPr>
    </w:p>
    <w:p>
      <w:pPr>
        <w:jc w:val="both"/>
        <w:ind w:right="240" w:firstLine="518"/>
        <w:spacing w:after="0" w:line="276" w:lineRule="auto"/>
        <w:rPr>
          <w:sz w:val="20"/>
          <w:szCs w:val="20"/>
          <w:color w:val="auto"/>
        </w:rPr>
      </w:pPr>
      <w:r>
        <w:rPr>
          <w:rFonts w:ascii="Times New Roman" w:cs="Times New Roman" w:eastAsia="Times New Roman" w:hAnsi="Times New Roman"/>
          <w:sz w:val="17"/>
          <w:szCs w:val="17"/>
          <w:color w:val="auto"/>
        </w:rPr>
        <w:t>As part of our qualitative assessment for our 2014 goodwill impairment analysis on October 1, the factors that we considered included, but were not limited to: (a) changes in macroeconomic conditions in the overall economy and the specific markets in which we operate, (b) our ability to access capital,</w:t>
      </w:r>
    </w:p>
    <w:p>
      <w:pPr>
        <w:spacing w:after="0" w:line="1" w:lineRule="exact"/>
        <w:rPr>
          <w:sz w:val="20"/>
          <w:szCs w:val="20"/>
          <w:color w:val="auto"/>
        </w:rPr>
      </w:pPr>
    </w:p>
    <w:p>
      <w:pPr>
        <w:ind w:right="120" w:firstLine="8"/>
        <w:spacing w:after="0" w:line="254"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online travel industry, (d) changes in the level of competition, (e) comparison of our current financial performance to historical and budgeted results, and (f) changes in excess market capitalization over book value based on our current common stock price and latest unaudited consolidated balance sheet. After considering these factors and the impact that changes in such factors would have on the inputs used in our previous quantitative assessment, we determined that it was more likely than not that goodwill was not impaired.</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Subsequent to the annual impairment test on October 1, 2014, as discussed in “Note 16—</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the composition of our operating segments, and our reporting units, has been revised. As a result of this revision, we performed an updated goodwill impairment analysis as of December 31, 2014, for each of our four reporting units which we have identified: Hotels, Vacation Rentals, Restaurants and Attractions. As part of our qualitative assessment for our Hotel reporting unit, we considered the same factors used above in our October 1 qualitative assessment. As part of our process for our Vacation Rentals, Restaurants and Attractions reporting units, we began our qualitative analysis leveraging quantitative valuations for recent acquisitions in these reporting units, prepared by third party appraisers or management, which were used by management for initial purchase accounting required under GAAP. We then considered many of the same qualitative factors used in our October 1, 2014 qualitative assessment and the impact that changes in such factors would have on the inputs previously used in those recent quantitative valuations. After considering this information, we determined that, regarding all reporting units, it was more likely than not that these assets were not impaired at December 31, 2014.</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Indefinite-Lived Intangible Assets</w:t>
      </w:r>
      <w:r>
        <w:rPr>
          <w:rFonts w:ascii="Times New Roman" w:cs="Times New Roman" w:eastAsia="Times New Roman" w:hAnsi="Times New Roman"/>
          <w:sz w:val="18"/>
          <w:szCs w:val="18"/>
          <w:color w:val="auto"/>
        </w:rPr>
        <w:t>. Intangible assets that have indefinite lives are not amortized and are tested for impairment annually on October 1,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91" w:lineRule="exact"/>
        <w:rPr>
          <w:sz w:val="20"/>
          <w:szCs w:val="20"/>
          <w:color w:val="auto"/>
        </w:rPr>
      </w:pPr>
    </w:p>
    <w:p>
      <w:pPr>
        <w:ind w:right="120" w:firstLine="518"/>
        <w:spacing w:after="0" w:line="276" w:lineRule="auto"/>
        <w:rPr>
          <w:sz w:val="20"/>
          <w:szCs w:val="20"/>
          <w:color w:val="auto"/>
        </w:rPr>
      </w:pPr>
      <w:r>
        <w:rPr>
          <w:rFonts w:ascii="Times New Roman" w:cs="Times New Roman" w:eastAsia="Times New Roman" w:hAnsi="Times New Roman"/>
          <w:sz w:val="17"/>
          <w:szCs w:val="17"/>
          <w:color w:val="auto"/>
        </w:rPr>
        <w:t>As part of our qualitative assessment for our 2014 impairment analysis on October 1, the factors that we considered for our indefinite-lived intangible assets included, but were not limited to: (a) changes in macroeconomic conditions in the overall economy and the specific markets in which we operate,</w:t>
      </w:r>
    </w:p>
    <w:p>
      <w:pPr>
        <w:spacing w:after="0" w:line="1" w:lineRule="exact"/>
        <w:rPr>
          <w:sz w:val="20"/>
          <w:szCs w:val="20"/>
          <w:color w:val="auto"/>
        </w:rPr>
      </w:pPr>
    </w:p>
    <w:p>
      <w:pPr>
        <w:ind w:right="320" w:firstLine="8"/>
        <w:spacing w:after="0" w:line="253"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unaudited consolidated balance sheet, and (g) comparison of the excess of the fair value of our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that it was more likely than not that these assets were not impaired.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53" w:right="239" w:bottom="1440" w:gutter="0" w:footer="0" w:header="0"/>
        </w:sectPr>
      </w:pPr>
    </w:p>
    <w:bookmarkStart w:id="51" w:name="page52"/>
    <w:bookmarkEnd w:id="51"/>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Since the annual impairment test on October 1, 2014, there have been no events or changes in circumstances to indicate any potential impairment to our indefinite lived intangible assets. In the event that future circumstances indicate that our indefinite-lived intangibles are impaired, an impairment charge would be recorded.</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recognized to our consolidated statement of operations during the years ended December 31, 2014, 2013 and 2012 related to our goodwill and indefinite lived intangible assets.</w:t>
      </w:r>
    </w:p>
    <w:p>
      <w:pPr>
        <w:spacing w:after="0" w:line="160"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Definite-Lived Intangible Assets and Other Long-Lived Assets</w:t>
      </w:r>
      <w:r>
        <w:rPr>
          <w:rFonts w:ascii="Times New Roman" w:cs="Times New Roman" w:eastAsia="Times New Roman" w:hAnsi="Times New Roman"/>
          <w:sz w:val="18"/>
          <w:szCs w:val="18"/>
          <w:color w:val="auto"/>
        </w:rPr>
        <w:t>. Intangible assets with definite lives and other long-lived assets are carried at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amortized on a straight-line basis over their estimated useful lives of two to twelve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82"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by the amount that the carrying value of such assets exceeds their fair value and would be included in operating income on the consolidated statement of operations. We have not identified any circumstances that would warrant an impairment assessment of any recorded assets in our consolidated balance sheet at December 31, 2014.</w:t>
      </w:r>
    </w:p>
    <w:p>
      <w:pPr>
        <w:spacing w:after="0" w:line="187" w:lineRule="exact"/>
        <w:rPr>
          <w:sz w:val="20"/>
          <w:szCs w:val="20"/>
          <w:color w:val="auto"/>
        </w:rPr>
      </w:pPr>
    </w:p>
    <w:p>
      <w:pPr>
        <w:ind w:right="4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goodwill, indefinite-lived intangibles and definite-lived intangibles refer to “Note 7— </w:t>
      </w:r>
      <w:r>
        <w:rPr>
          <w:rFonts w:ascii="Times New Roman" w:cs="Times New Roman" w:eastAsia="Times New Roman" w:hAnsi="Times New Roman"/>
          <w:sz w:val="18"/>
          <w:szCs w:val="18"/>
          <w:i w:val="1"/>
          <w:iCs w:val="1"/>
          <w:color w:val="auto"/>
        </w:rPr>
        <w:t>Goodwill and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net” in the notes to our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89" w:lineRule="exact"/>
        <w:rPr>
          <w:sz w:val="20"/>
          <w:szCs w:val="20"/>
          <w:color w:val="auto"/>
        </w:rPr>
      </w:pPr>
    </w:p>
    <w:p>
      <w:pPr>
        <w:jc w:val="both"/>
        <w:ind w:right="40" w:firstLine="518"/>
        <w:spacing w:after="0" w:line="270" w:lineRule="auto"/>
        <w:rPr>
          <w:sz w:val="20"/>
          <w:szCs w:val="20"/>
          <w:color w:val="auto"/>
        </w:rPr>
      </w:pPr>
      <w:r>
        <w:rPr>
          <w:rFonts w:ascii="Times New Roman" w:cs="Times New Roman" w:eastAsia="Times New Roman" w:hAnsi="Times New Roman"/>
          <w:sz w:val="17"/>
          <w:szCs w:val="17"/>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difference between the amount recognized and the total tax position is recorded as a liability. The ultimate resolution of these tax positions may be greater or less than the liabilities recorded.</w:t>
      </w:r>
    </w:p>
    <w:p>
      <w:pPr>
        <w:spacing w:after="0" w:line="180"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have not provided for deferred U.S. income taxes on undistributed earnings of our foreign subsidiaries, which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for further information on income taxes.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2014 had a term of ten years from the date of grant and generally vest over a four-year requisite service period.</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we issued 578,973 of primarily service based stock non-qualified stock options under the 2011 Incentive Plan with a weighted average grant-date fair value per option of $46.65 and assumed acquisition related options of 100,595 with a weighted average grant-date fair value per option of $80.31. We will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w:t>
      </w:r>
    </w:p>
    <w:p>
      <w:pPr>
        <w:spacing w:after="0" w:line="18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options granted under the 2011 Incentive Plan to date, have been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76" w:lineRule="exact"/>
        <w:rPr>
          <w:sz w:val="20"/>
          <w:szCs w:val="20"/>
          <w:color w:val="auto"/>
        </w:rPr>
      </w:pPr>
    </w:p>
    <w:p>
      <w:pPr>
        <w:ind w:right="100" w:firstLine="761"/>
        <w:spacing w:after="0" w:line="256" w:lineRule="auto"/>
        <w:rPr>
          <w:sz w:val="20"/>
          <w:szCs w:val="20"/>
          <w:color w:val="auto"/>
        </w:rPr>
      </w:pPr>
      <w:r>
        <w:rPr>
          <w:rFonts w:ascii="Times New Roman" w:cs="Times New Roman" w:eastAsia="Times New Roman" w:hAnsi="Times New Roman"/>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have estimated the volatility of our common stock, to date, by using an average of our historical stock price volatility and of publicly traded companies that we consider peers based on daily price observations. We have estimated our expected term, to date, using the simplified method, as we have not had sufficient historical exercise data on our common stock to date. Our expected dividend yield is zero, as we have not paid any dividends on our common stock to date and do not expect to pay any cash dividends for the foreseeable future.</w:t>
      </w:r>
    </w:p>
    <w:p>
      <w:pPr>
        <w:spacing w:after="0" w:line="188" w:lineRule="exact"/>
        <w:rPr>
          <w:sz w:val="20"/>
          <w:szCs w:val="20"/>
          <w:color w:val="auto"/>
        </w:rPr>
      </w:pPr>
    </w:p>
    <w:p>
      <w:pPr>
        <w:jc w:val="both"/>
        <w:ind w:firstLine="608"/>
        <w:spacing w:after="0" w:line="255" w:lineRule="auto"/>
        <w:rPr>
          <w:sz w:val="20"/>
          <w:szCs w:val="20"/>
          <w:color w:val="auto"/>
        </w:rPr>
      </w:pPr>
      <w:r>
        <w:rPr>
          <w:rFonts w:ascii="Times New Roman" w:cs="Times New Roman" w:eastAsia="Times New Roman" w:hAnsi="Times New Roman"/>
          <w:sz w:val="18"/>
          <w:szCs w:val="18"/>
          <w:color w:val="auto"/>
        </w:rPr>
        <w:t>As the Company now has three years of post-Spin-Off equity award activity, beginning in February 2015, we will change our method of estimating our expected term, from the simplified method, and use historical exercise behavior and expected post-vest termination data. Simultaneously, we will also begin estimating our expected volatility by equally weighting the historical volatility and implied volatility on our own stock. Historical volatility will be determined using actual daily price observations of our stock price over a period equivalent to or approximate to the expected term of our stock option grants to date. Implied volatility represents the volatility of our actively traded options on our stock, with remaining maturities in excess of twelve months and market prices approximate to the exercise prices of the stock option grant. These changes are not expected to materially affect our future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RSUs are stock awards that are granted to employees entitling the holder to shares of our common stock as the award vests. During the year ended December 31, 2014, we issued 752,460 of primarily service based RSUs under the 2011 Incentive Plan with a weighted average grant date fair value per option of $93.36. RSUs are measured at fair value based on the number of shares granted and the quoted price of our common stock at the date of grant. We amortize the fair value, net of estimated forfeitures, as stock-based compensation expense over the vesting term (generally a four-year requisite service period) on a straight-line basis, with the amount of compensation expense recognized at any date at least equaling the portion of the grant-date fair value of the award that is vested at that date. Estimated forfeitures are calculated consistent with the methodology used for our stock options using historical data to estimate pre-vesting RSU forfeitures.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We have considered various factors when estimating expected forfeitures, including, the employee class and historical forfeiture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 and will also impact the amount of stock compensation expense to be recognized in future periods.</w:t>
      </w:r>
    </w:p>
    <w:p>
      <w:pPr>
        <w:spacing w:after="0" w:line="186"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Stock Based Awards and Other Equity Instruments</w:t>
      </w:r>
      <w:r>
        <w:rPr>
          <w:rFonts w:ascii="Times New Roman" w:cs="Times New Roman" w:eastAsia="Times New Roman" w:hAnsi="Times New Roman"/>
          <w:sz w:val="18"/>
          <w:szCs w:val="18"/>
          <w:color w:val="auto"/>
        </w:rPr>
        <w:t>” in the notes to our consolidated financial statements for further information on current year equity award activity.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5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Websites and Internal Use Software Development Costs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capitalize certain costs incurred during the application development stage related to the development of websites and internal use software when it is probable the project will be completed and the software will be used as intended. Such costs are amortized on a straight-line basis over the estimated useful life of the related asset, generally estimated to be three years.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 To the extent that we change the manner in which we develop and test new features and functionalities related to our websites and internal use software, assess the ongoing value of capitalized assets or determine the estimated useful lives over which the costs are amortized, the amount of website and internal use software development costs we capitalize and amortize could change in future periods.</w:t>
      </w:r>
    </w:p>
    <w:p>
      <w:pPr>
        <w:spacing w:after="0" w:line="187" w:lineRule="exact"/>
        <w:rPr>
          <w:sz w:val="20"/>
          <w:szCs w:val="20"/>
          <w:color w:val="auto"/>
        </w:rPr>
      </w:pPr>
    </w:p>
    <w:p>
      <w:pPr>
        <w:ind w:right="3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Fixed Assets</w:t>
      </w:r>
      <w:r>
        <w:rPr>
          <w:rFonts w:ascii="Times New Roman" w:cs="Times New Roman" w:eastAsia="Times New Roman" w:hAnsi="Times New Roman"/>
          <w:sz w:val="18"/>
          <w:szCs w:val="18"/>
          <w:color w:val="auto"/>
        </w:rPr>
        <w:t>” in the notes to our consolidated financial statements for further information on our development of websites and internal use software.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78" w:lineRule="exact"/>
        <w:rPr>
          <w:sz w:val="20"/>
          <w:szCs w:val="20"/>
          <w:color w:val="auto"/>
        </w:rPr>
      </w:pPr>
    </w:p>
    <w:p>
      <w:pPr>
        <w:ind w:right="5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Click-based Advertising</w:t>
      </w:r>
      <w:r>
        <w:rPr>
          <w:rFonts w:ascii="Times New Roman" w:cs="Times New Roman" w:eastAsia="Times New Roman" w:hAnsi="Times New Roman"/>
          <w:sz w:val="18"/>
          <w:szCs w:val="18"/>
          <w:color w:val="auto"/>
        </w:rPr>
        <w:t>. Revenue is derived primarily from click-through fees charged to our travel partners for traveler leads sent to the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website. We record revenue from click-through fees after the traveler makes the click-through to the travel partners’ websites.</w:t>
      </w:r>
    </w:p>
    <w:p>
      <w:pPr>
        <w:spacing w:after="0" w:line="160"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Instant booking commission revenue is recorded at the time a traveler books a hotel transaction on our site where we do not assume cancellation risk. In transactions in which we assume cancellation risk, we record revenue when we receive cash from our travel partners, given the current uncertainty of the traveler’s stay. We have no post-booking service obligations for Instant Booking transactions.</w:t>
      </w:r>
    </w:p>
    <w:p>
      <w:pPr>
        <w:spacing w:after="0" w:line="174" w:lineRule="exact"/>
        <w:rPr>
          <w:sz w:val="20"/>
          <w:szCs w:val="20"/>
          <w:color w:val="auto"/>
        </w:rPr>
      </w:pPr>
    </w:p>
    <w:p>
      <w:pPr>
        <w:jc w:val="both"/>
        <w:ind w:right="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Display-based Advertising</w:t>
      </w:r>
      <w:r>
        <w:rPr>
          <w:rFonts w:ascii="Times New Roman" w:cs="Times New Roman" w:eastAsia="Times New Roman" w:hAnsi="Times New Roman"/>
          <w:sz w:val="18"/>
          <w:szCs w:val="18"/>
          <w:color w:val="auto"/>
        </w:rPr>
        <w:t>. We recognize display advertising revenue ratably over the advertising period or upon delivery of advertising impressions,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terms of the advertising contract. Subscription-based revenue is recognized ratably over the related contractual period over which service is delivered.</w:t>
      </w:r>
    </w:p>
    <w:p>
      <w:pPr>
        <w:spacing w:after="0" w:line="174"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Attractions</w:t>
      </w:r>
      <w:r>
        <w:rPr>
          <w:rFonts w:ascii="Times New Roman" w:cs="Times New Roman" w:eastAsia="Times New Roman" w:hAnsi="Times New Roman"/>
          <w:sz w:val="18"/>
          <w:szCs w:val="18"/>
          <w:color w:val="auto"/>
        </w:rPr>
        <w:t>. We receive cash from the consumer at the time of booking of the destination activity and record these amounts, net of commissions,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merchant payables on our consolidated balance sheet. Commission revenue is recorded as deferred revenue at the time of booking and later recognized when the consumer has completed the destination activity or as the consumer’s refund privileges lapse. We pay the destination activity operators after the travelers’ use.</w:t>
      </w:r>
    </w:p>
    <w:p>
      <w:pPr>
        <w:spacing w:after="0" w:line="180" w:lineRule="exact"/>
        <w:rPr>
          <w:sz w:val="20"/>
          <w:szCs w:val="20"/>
          <w:color w:val="auto"/>
        </w:rPr>
      </w:pPr>
    </w:p>
    <w:p>
      <w:pPr>
        <w:ind w:right="2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recognize reservation revenues (or per seated diner fees) on a transaction-by-transaction basis as diners are seated by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Subscription-based revenue is recognized ratably over the related contractual period over which the service is delivered.</w:t>
      </w:r>
    </w:p>
    <w:p>
      <w:pPr>
        <w:spacing w:after="0" w:line="15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Vacation Rentals. </w:t>
      </w:r>
      <w:r>
        <w:rPr>
          <w:rFonts w:ascii="Times New Roman" w:cs="Times New Roman" w:eastAsia="Times New Roman" w:hAnsi="Times New Roman"/>
          <w:sz w:val="18"/>
          <w:szCs w:val="18"/>
          <w:color w:val="auto"/>
        </w:rPr>
        <w:t>We generate revenue from customers for online advertising listing services related to the listing of their properties for rent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basis, over a fixed-term, or on a free-to-list option. Payments for term-based paid subscriptions received in advance of services being rendered are recorded as deferred revenue and recognized ratably on a straight-line basis over the listing period. We generate commission revenue from our free-to-list bookings option. We receive cash from travelers at the time of booking, net of commissions, and record as deferred merchant payables on our consolidated balance sheet. Commission revenue is recorded as deferred revenue at the time of booking and later recognized when the traveler has completed the stay or as the travelers’ refund privileges lapse. We pay the customer or property owner after the travelers’ stay.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Pronouncements</w:t>
      </w:r>
    </w:p>
    <w:p>
      <w:pPr>
        <w:spacing w:after="0" w:line="119" w:lineRule="exact"/>
        <w:rPr>
          <w:sz w:val="20"/>
          <w:szCs w:val="20"/>
          <w:color w:val="auto"/>
        </w:rPr>
      </w:pPr>
    </w:p>
    <w:p>
      <w:pPr>
        <w:ind w:right="7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and recently adopted accounting pronouncements,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657" w:right="259" w:bottom="1440" w:gutter="0" w:footer="0" w:header="0"/>
        </w:sectPr>
      </w:pPr>
    </w:p>
    <w:bookmarkStart w:id="54" w:name="page55"/>
    <w:bookmarkEnd w:id="54"/>
    <w:p>
      <w:pPr>
        <w:ind w:right="568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Market Risk Management</w:t>
      </w: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current exposure to changes in interest rates relate primarily to our investment portfolio and the outstanding principal on our Term Loan. Our interest income and expense is most sensitive to fluctuations in U.S. interest rates and Libor. Changes in interest rates affect the interest earned on our cash, cash equivalents and marketable securities and the fair value of those securities, as well as the amount of interest we pay on our outstanding debt.</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2014, a hypothetical 100 basis point increase in interest rates across all maturities would result in an approximate $1 million incremental decline in the fair market value of the portfolio. Such losses would only be realized if we sold the investments prior to maturity.</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2014, we had $300 million of debt under our Term Loan, which has a variable rate. The variable interest rate on the Term Loan is based on current assumptions, leverage and LIBOR rates. Based on our current loan balance through December 31, 2014, a 25 basis point change in our interest rate on the Term Loan would result in an increase or decrease to interest expense of approximately $1 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experience any significant impact from changes in interest rates for the years ended December 31, 2014, 2013 or 2012.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1"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We conduct business in certain international markets, primarily the European Union, the United Kingdom, Singapore, Australia and China. Because we operate in international markets, we have exposure to different economic climates, political arenas, tax systems and regulations that could affect foreign exchange rates.</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Some of our foreign subsidiaries maintain their accounting records in their respective local currencies other than the U.S. dollar (primarily in British pound sterling). Consequently, changes in currency exchange rates may impact the translation of foreign financial statements into U.S. dollars. As a result, we face exposure to adverse movements in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exchange on our business historically has varied from quarter to quarter and may continue to do so, potentially materially. A hypothetical 10% decrease of the foreign exchange rates relative to the U.S. Dollar, or strengthening of the U.S. Dollar, would generate an unrealized loss of approximately $21 million related to an decrease in our net assets held in functional currencies other than the U.S. Dollar as of December 31, 2014, which would be recorded to accumulated other comprehensive loss on our consolidated balance sheet.</w:t>
      </w:r>
    </w:p>
    <w:p>
      <w:pPr>
        <w:spacing w:after="0" w:line="18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addition, foreign exchange rate fluctuations on transactions denominated in currencies other than the functional currency result in gains and losses. We recognize these transactional gains and losses (primarily Euro currency transactions) in our consolidated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657" w:right="259" w:bottom="1440" w:gutter="0" w:footer="0" w:header="0"/>
        </w:sectPr>
      </w:pPr>
    </w:p>
    <w:bookmarkStart w:id="55" w:name="page56"/>
    <w:bookmarkEnd w:id="55"/>
    <w:p>
      <w:pPr>
        <w:ind w:right="160"/>
        <w:spacing w:after="0" w:line="282" w:lineRule="auto"/>
        <w:rPr>
          <w:sz w:val="20"/>
          <w:szCs w:val="20"/>
          <w:color w:val="auto"/>
        </w:rPr>
      </w:pPr>
      <w:r>
        <w:rPr>
          <w:rFonts w:ascii="Times New Roman" w:cs="Times New Roman" w:eastAsia="Times New Roman" w:hAnsi="Times New Roman"/>
          <w:sz w:val="18"/>
          <w:szCs w:val="18"/>
          <w:color w:val="auto"/>
        </w:rPr>
        <w:t>statements of operations and have recorded foreign exchange losses of $10 million, $0 million and $3 million for the years ended December 31, 2014, 2013 and 2012, respectively, in other, net on our consolidated statements of operations.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exchange derivative contracts to manage certain short-term foreign currency risk to try and reduce the effects of fluctuating foreign currency exchange rates on our cash flows denominated in foreign currencies.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Our objective is to hedge only those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 We do not use financial instruments for trading purposes and are not a party to any leveraged derivatives.</w:t>
      </w:r>
    </w:p>
    <w:p>
      <w:pPr>
        <w:spacing w:after="0" w:line="180"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Our current derivative contracts principally address foreign exchange fluctuation risk for the Euro versus the U.S. Dollar. We account for our derivative instruments as either assets or liabilities and carry them at fair value.</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2014 and 2013, we had outstanding forward currency contracts not designated as hedging contracts with a notional value of $20 million and $5 million, respectively. These contracts are all short-term in nature. The fair value of these derivatives at both December 31, 2014 and 2013, were not material and are recorded in accrued expenses and other current liabilities on our consolidated balance sheets. For the years ended December 31, 2014 and 2013, expense related to our derivatives contracts was recorded to other, net on our consolidated statements of operations and was not material. A hypothetical 10% change of the foreign exchange rates relative to the U.S. Dollar, with all other variables held constant, would not have a material impact on the fair value of our outstanding derivatives as of December 31, 2014 and 2013. Refer to “Note 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in the notes to the consolidated financial statements for further detail on our derivative instruments.</w:t>
      </w:r>
    </w:p>
    <w:p>
      <w:pPr>
        <w:spacing w:after="0" w:line="18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553"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26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360" w:type="dxa"/>
            <w:vAlign w:val="bottom"/>
          </w:tcPr>
          <w:p>
            <w:pPr>
              <w:spacing w:after="0"/>
              <w:rPr>
                <w:sz w:val="20"/>
                <w:szCs w:val="20"/>
                <w:color w:val="auto"/>
              </w:rPr>
            </w:pPr>
          </w:p>
        </w:tc>
      </w:tr>
      <w:tr>
        <w:trPr>
          <w:trHeight w:val="459"/>
        </w:trPr>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1360" w:type="dxa"/>
            <w:vAlign w:val="bottom"/>
          </w:tcPr>
          <w:p>
            <w:pPr>
              <w:spacing w:after="0"/>
              <w:rPr>
                <w:sz w:val="24"/>
                <w:szCs w:val="24"/>
                <w:color w:val="auto"/>
              </w:rPr>
            </w:pPr>
          </w:p>
        </w:tc>
      </w:tr>
      <w:tr>
        <w:trPr>
          <w:trHeight w:val="297"/>
        </w:trPr>
        <w:tc>
          <w:tcPr>
            <w:tcW w:w="10060" w:type="dxa"/>
            <w:vAlign w:val="bottom"/>
            <w:gridSpan w:val="1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Report of Independent Registered Public Accounting Firm - KPMG, LLP</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Report of Independent Registered Public Accounting Firm - Ernst &amp; Young, LLP</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6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Consolidated Statements of Operations for the years ended December 31, 2014, 2013 and 2012</w:t>
              </w:r>
            </w:hyperlink>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6"/>
        </w:trPr>
        <w:tc>
          <w:tcPr>
            <w:tcW w:w="440" w:type="dxa"/>
            <w:vAlign w:val="bottom"/>
          </w:tcPr>
          <w:p>
            <w:pPr>
              <w:spacing w:after="0"/>
              <w:rPr>
                <w:sz w:val="17"/>
                <w:szCs w:val="17"/>
                <w:color w:val="auto"/>
              </w:rPr>
            </w:pPr>
          </w:p>
        </w:tc>
        <w:tc>
          <w:tcPr>
            <w:tcW w:w="7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Statements of Comprehensive Income for the years ended December 31, 2014, 2013 and 2012</w:t>
              </w:r>
            </w:hyperlink>
          </w:p>
        </w:tc>
        <w:tc>
          <w:tcPr>
            <w:tcW w:w="18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44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Balance Sheets as of December 31, 2014 and 2013</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Consolidated Statements of Changes in Stockholders’ Equity for the years ended December 31, 2014, 2013 and 2012</w:t>
              </w:r>
            </w:hyperlink>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44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Consolidated Statements of Cash Flows for the years ended December 31, 2014, 2013 and 2012</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Notes to Consolidated Financial Statements</w:t>
              </w:r>
            </w:hyperlink>
          </w:p>
        </w:tc>
        <w:tc>
          <w:tcPr>
            <w:tcW w:w="272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Quarterly Financial Information (Unaudited)</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7" w:name="page58"/>
    <w:bookmarkEnd w:id="57"/>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31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TripAdvisor, Inc. and subsidiaries (the Company) as of December 31, 2014, and the related consolidated statements of operations, comprehensive income,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TripAdvisor, Inc. and subsidiaries as of December 31, 2014, and the results of their operations and their cash flows for the year then ended, in conformity with U.S. generally accepted accounting principles.</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TripAdvisor, Inc.’s internal control over financial reporting as of December 31, 2014, based on criteria established in Internal Control – Integrated Framework (1992) issued by the Committee of Sponsoring Organizations of the Treadway Commission (COSO), and our report dated February 17, 2015 expressed an unqualified opinion on the effectiveness of the Company’s internal control over financial reporting.</w:t>
      </w:r>
    </w:p>
    <w:p>
      <w:pPr>
        <w:spacing w:after="0" w:line="1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333" w:right="259" w:bottom="1440" w:gutter="0" w:footer="0" w:header="0"/>
        </w:sectPr>
      </w:pPr>
    </w:p>
    <w:bookmarkStart w:id="58" w:name="page59"/>
    <w:bookmarkEnd w:id="58"/>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TripAdvisor, Inc.:</w:t>
      </w:r>
    </w:p>
    <w:p>
      <w:pPr>
        <w:spacing w:after="0" w:line="20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TripAdvisor, Inc. as of December 31, 2013, and the related consolidated statements of operations, comprehensive income, stockholders’ equity, and cash flows for each of the two years in the period ended December 31, 2013.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TripAdvisor, Inc. at December 31, 2013, and the consolidated results of its operations and its cash flows for each of the two years in the period ended December 31, 2013, in conformity with U.S. generally accepted accounting principles.</w:t>
      </w:r>
    </w:p>
    <w:p>
      <w:pPr>
        <w:spacing w:after="0" w:line="17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11, 2014, except for Note 2 and Note 16,</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to which the date 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40" w:top="333" w:right="2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92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(Note 2)</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(1)</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and marketing (2)</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content (2)</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8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 TripAdvisor, Inc.</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 to common stockholders (Note 2):</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2):</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website development costs included in</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 follows:</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content</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3"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9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5"/>
                <w:szCs w:val="15"/>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(1)</w:t>
            </w:r>
          </w:p>
        </w:tc>
        <w:tc>
          <w:tcPr>
            <w:tcW w:w="9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9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TripAdvisor, Inc.</w:t>
            </w: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right="20" w:hanging="532"/>
        <w:spacing w:after="0" w:line="298"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Foreign currency translation adjustments exclude income taxes due to our practice and intention to indefinitely reinvest the earnings of our foreign subsidiaries in those operations. See “Note 14 </w:t>
      </w:r>
      <w:r>
        <w:rPr>
          <w:rFonts w:ascii="Times New Roman" w:cs="Times New Roman" w:eastAsia="Times New Roman" w:hAnsi="Times New Roman"/>
          <w:sz w:val="16"/>
          <w:szCs w:val="16"/>
          <w:i w:val="1"/>
          <w:iCs w:val="1"/>
          <w:color w:val="auto"/>
        </w:rPr>
        <w:t>— Stockholders’ Equity”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00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5"/>
                <w:szCs w:val="15"/>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 (Note 5)</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r>
      <w:tr>
        <w:trPr>
          <w:trHeight w:val="205"/>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$7 and $3 at December 31,</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2014 and December 31, 2013, respectively (Note 2)</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FF0FC"/>
            </w:tcBorders>
          </w:tcPr>
          <w:p>
            <w:pPr>
              <w:spacing w:after="0"/>
              <w:rPr>
                <w:sz w:val="18"/>
                <w:szCs w:val="18"/>
                <w:color w:val="auto"/>
              </w:rPr>
            </w:pPr>
          </w:p>
        </w:tc>
      </w:tr>
      <w:tr>
        <w:trPr>
          <w:trHeight w:val="212"/>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 net (Note 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long-term assets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Intangible assets, net (Note 7)</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Goodwill (Note 7)</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FF0FC"/>
          </w:tcPr>
          <w:p>
            <w:pPr>
              <w:spacing w:after="0"/>
              <w:rPr>
                <w:sz w:val="19"/>
                <w:szCs w:val="19"/>
                <w:color w:val="auto"/>
              </w:rPr>
            </w:pPr>
          </w:p>
        </w:tc>
      </w:tr>
      <w:tr>
        <w:trPr>
          <w:trHeight w:val="247"/>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20" w:type="dxa"/>
            <w:vAlign w:val="bottom"/>
            <w:tcBorders>
              <w:bottom w:val="single" w:sz="8" w:color="CFF0FC"/>
            </w:tcBorders>
          </w:tcPr>
          <w:p>
            <w:pPr>
              <w:spacing w:after="0"/>
              <w:rPr>
                <w:sz w:val="21"/>
                <w:szCs w:val="21"/>
                <w:color w:val="auto"/>
              </w:rPr>
            </w:pPr>
          </w:p>
        </w:tc>
      </w:tr>
      <w:tr>
        <w:trPr>
          <w:trHeight w:val="19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merchant payables (Note 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Credit facility borrowings (Note 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Borrowings, current (Note 8)</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Taxes payable (Note 9)</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 (Note 10)</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FF0FC"/>
          </w:tcPr>
          <w:p>
            <w:pPr>
              <w:spacing w:after="0"/>
              <w:rPr>
                <w:sz w:val="19"/>
                <w:szCs w:val="19"/>
                <w:color w:val="auto"/>
              </w:rPr>
            </w:pPr>
          </w:p>
        </w:tc>
      </w:tr>
      <w:tr>
        <w:trPr>
          <w:trHeight w:val="207"/>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7"/>
                <w:szCs w:val="17"/>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 net (Note 9)</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long-term liabilities (Note 11)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Borrowings, net of current portion (Note 8)</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9"/>
                <w:szCs w:val="19"/>
                <w:color w:val="auto"/>
              </w:rPr>
            </w:pPr>
          </w:p>
        </w:tc>
      </w:tr>
      <w:tr>
        <w:trPr>
          <w:trHeight w:val="207"/>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CFF0FC"/>
            </w:tcBorders>
          </w:tcPr>
          <w:p>
            <w:pPr>
              <w:spacing w:after="0"/>
              <w:rPr>
                <w:sz w:val="17"/>
                <w:szCs w:val="17"/>
                <w:color w:val="auto"/>
              </w:rPr>
            </w:pPr>
          </w:p>
        </w:tc>
      </w:tr>
      <w:tr>
        <w:trPr>
          <w:trHeight w:val="212"/>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(Note 14)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Shares issued: 132,315,465 and 131,537,798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Shares outstanding: 130,121,292 and 129,417,089</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Shares issued and outstanding: 12,799,999 and 12,799,999</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shd w:val="clear" w:color="auto" w:fill="CFF0FC"/>
          </w:tcPr>
          <w:p>
            <w:pPr>
              <w:spacing w:after="0"/>
              <w:rPr>
                <w:sz w:val="19"/>
                <w:szCs w:val="19"/>
                <w:color w:val="auto"/>
              </w:rPr>
            </w:pP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8"/>
                <w:szCs w:val="18"/>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Treasury stock-common stock, at cost, 2,194,173 and 2,120,709 shares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r>
      <w:tr>
        <w:trPr>
          <w:trHeight w:val="212"/>
        </w:trPr>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9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20" w:type="dxa"/>
            <w:vAlign w:val="bottom"/>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3"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paid-in</w:t>
            </w:r>
          </w:p>
        </w:tc>
        <w:tc>
          <w:tcPr>
            <w:tcW w:w="8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2960" w:type="dxa"/>
            <w:vAlign w:val="bottom"/>
          </w:tcPr>
          <w:p>
            <w:pPr>
              <w:spacing w:after="0"/>
              <w:rPr>
                <w:sz w:val="14"/>
                <w:szCs w:val="14"/>
                <w:color w:val="auto"/>
              </w:rPr>
            </w:pPr>
          </w:p>
        </w:tc>
        <w:tc>
          <w:tcPr>
            <w:tcW w:w="15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3"/>
              </w:rPr>
              <w:t>earnings</w:t>
            </w:r>
          </w:p>
        </w:tc>
        <w:tc>
          <w:tcPr>
            <w:tcW w:w="2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(loss) income</w:t>
            </w:r>
          </w:p>
        </w:tc>
        <w:tc>
          <w:tcPr>
            <w:tcW w:w="80" w:type="dxa"/>
            <w:vAlign w:val="bottom"/>
          </w:tcPr>
          <w:p>
            <w:pPr>
              <w:spacing w:after="0"/>
              <w:rPr>
                <w:sz w:val="14"/>
                <w:szCs w:val="14"/>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Treasury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2960" w:type="dxa"/>
            <w:vAlign w:val="bottom"/>
          </w:tcPr>
          <w:p>
            <w:pPr>
              <w:spacing w:after="0"/>
              <w:rPr>
                <w:sz w:val="13"/>
                <w:szCs w:val="13"/>
                <w:color w:val="auto"/>
              </w:rPr>
            </w:pPr>
          </w:p>
        </w:tc>
        <w:tc>
          <w:tcPr>
            <w:tcW w:w="96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9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2011</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120,661,808</w:t>
            </w:r>
          </w:p>
        </w:tc>
        <w:tc>
          <w:tcPr>
            <w:tcW w:w="18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294</w:t>
            </w: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Borders>
              <w:top w:val="single" w:sz="8" w:color="CFF0FC"/>
            </w:tcBorders>
            <w:gridSpan w:val="2"/>
            <w:shd w:val="clear" w:color="auto" w:fill="CFF0FC"/>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CFF0FC"/>
            </w:tcBorders>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294</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TripAdvisor, Inc.</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4"/>
                <w:szCs w:val="14"/>
                <w:color w:val="auto"/>
              </w:rPr>
            </w:pP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FF0FC"/>
          </w:tcPr>
          <w:p>
            <w:pPr>
              <w:spacing w:after="0"/>
              <w:rPr>
                <w:sz w:val="14"/>
                <w:szCs w:val="14"/>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related to exercise of</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warrants and vesting 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9,398,330</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4"/>
                <w:szCs w:val="14"/>
                <w:color w:val="auto"/>
              </w:rPr>
            </w:pP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FF0FC"/>
          </w:tcPr>
          <w:p>
            <w:pPr>
              <w:spacing w:after="0"/>
              <w:rPr>
                <w:sz w:val="14"/>
                <w:szCs w:val="14"/>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Minimum withholding taxes on net share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settlements of</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 to the fair value of redeemable</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noncontrolling interest</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non-employee equity awards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FF0FC"/>
          </w:tcPr>
          <w:p>
            <w:pPr>
              <w:spacing w:after="0"/>
              <w:rPr>
                <w:sz w:val="14"/>
                <w:szCs w:val="14"/>
                <w:color w:val="auto"/>
              </w:rPr>
            </w:pPr>
          </w:p>
        </w:tc>
      </w:tr>
      <w:tr>
        <w:trPr>
          <w:trHeight w:val="156"/>
        </w:trPr>
        <w:tc>
          <w:tcPr>
            <w:tcW w:w="29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2012</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130,060,138</w:t>
            </w:r>
          </w:p>
        </w:tc>
        <w:tc>
          <w:tcPr>
            <w:tcW w:w="180" w:type="dxa"/>
            <w:vAlign w:val="bottom"/>
          </w:tcPr>
          <w:p>
            <w:pPr>
              <w:spacing w:after="0"/>
              <w:rPr>
                <w:sz w:val="13"/>
                <w:szCs w:val="13"/>
                <w:color w:val="auto"/>
              </w:rPr>
            </w:pPr>
          </w:p>
        </w:tc>
        <w:tc>
          <w:tcPr>
            <w:tcW w:w="56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w:t>
            </w:r>
          </w:p>
        </w:tc>
        <w:tc>
          <w:tcPr>
            <w:tcW w:w="2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727</w:t>
            </w:r>
          </w:p>
        </w:tc>
        <w:tc>
          <w:tcPr>
            <w:tcW w:w="60" w:type="dxa"/>
            <w:vAlign w:val="bottom"/>
          </w:tcPr>
          <w:p>
            <w:pPr>
              <w:spacing w:after="0"/>
              <w:rPr>
                <w:sz w:val="13"/>
                <w:szCs w:val="13"/>
                <w:color w:val="auto"/>
              </w:rPr>
            </w:pP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attributable to TripAdvisor, Inc.</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60" w:type="dxa"/>
            <w:vAlign w:val="bottom"/>
            <w:shd w:val="clear" w:color="auto" w:fill="CFF0FC"/>
          </w:tcPr>
          <w:p>
            <w:pPr>
              <w:spacing w:after="0"/>
              <w:rPr>
                <w:sz w:val="14"/>
                <w:szCs w:val="14"/>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4"/>
                <w:szCs w:val="14"/>
                <w:color w:val="auto"/>
              </w:rPr>
            </w:pP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related to exercise of</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and vesting of RSUs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1,477,660</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FF0FC"/>
          </w:tcPr>
          <w:p>
            <w:pPr>
              <w:spacing w:after="0"/>
              <w:rPr>
                <w:sz w:val="14"/>
                <w:szCs w:val="14"/>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color w:val="auto"/>
              </w:rPr>
              <w:t>(2,120,709)</w:t>
            </w:r>
          </w:p>
        </w:tc>
        <w:tc>
          <w:tcPr>
            <w:tcW w:w="2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w:t>
            </w: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FF0FC"/>
          </w:tcPr>
          <w:p>
            <w:pPr>
              <w:spacing w:after="0"/>
              <w:rPr>
                <w:sz w:val="14"/>
                <w:szCs w:val="14"/>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Minimum withholding taxes on net share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settlements of</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FF0FC"/>
          </w:tcPr>
          <w:p>
            <w:pPr>
              <w:spacing w:after="0"/>
              <w:rPr>
                <w:sz w:val="14"/>
                <w:szCs w:val="14"/>
                <w:color w:val="auto"/>
              </w:rPr>
            </w:pPr>
          </w:p>
        </w:tc>
      </w:tr>
      <w:tr>
        <w:trPr>
          <w:trHeight w:val="156"/>
        </w:trPr>
        <w:tc>
          <w:tcPr>
            <w:tcW w:w="29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2013</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131,537,798</w:t>
            </w:r>
          </w:p>
        </w:tc>
        <w:tc>
          <w:tcPr>
            <w:tcW w:w="180" w:type="dxa"/>
            <w:vAlign w:val="bottom"/>
          </w:tcPr>
          <w:p>
            <w:pPr>
              <w:spacing w:after="0"/>
              <w:rPr>
                <w:sz w:val="13"/>
                <w:szCs w:val="13"/>
                <w:color w:val="auto"/>
              </w:rPr>
            </w:pPr>
          </w:p>
        </w:tc>
        <w:tc>
          <w:tcPr>
            <w:tcW w:w="56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402</w:t>
            </w:r>
          </w:p>
        </w:tc>
        <w:tc>
          <w:tcPr>
            <w:tcW w:w="2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(2,120,709)</w:t>
            </w:r>
          </w:p>
        </w:tc>
        <w:tc>
          <w:tcPr>
            <w:tcW w:w="22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(145)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865</w:t>
            </w:r>
          </w:p>
        </w:tc>
        <w:tc>
          <w:tcPr>
            <w:tcW w:w="60" w:type="dxa"/>
            <w:vAlign w:val="bottom"/>
          </w:tcPr>
          <w:p>
            <w:pPr>
              <w:spacing w:after="0"/>
              <w:rPr>
                <w:sz w:val="13"/>
                <w:szCs w:val="13"/>
                <w:color w:val="auto"/>
              </w:rPr>
            </w:pP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attributable to TripAdvisor, Inc.</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60" w:type="dxa"/>
            <w:vAlign w:val="bottom"/>
            <w:shd w:val="clear" w:color="auto" w:fill="CFF0FC"/>
          </w:tcPr>
          <w:p>
            <w:pPr>
              <w:spacing w:after="0"/>
              <w:rPr>
                <w:sz w:val="14"/>
                <w:szCs w:val="14"/>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related to exercise of</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and vesting of RSUs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777,667</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FF0FC"/>
          </w:tcPr>
          <w:p>
            <w:pPr>
              <w:spacing w:after="0"/>
              <w:rPr>
                <w:sz w:val="14"/>
                <w:szCs w:val="14"/>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Minimum withholding taxes on net share</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settlements of</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stock options assumed in connection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with acquisition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r>
      <w:tr>
        <w:trPr>
          <w:trHeight w:val="16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FF0FC"/>
          </w:tcPr>
          <w:p>
            <w:pPr>
              <w:spacing w:after="0"/>
              <w:rPr>
                <w:sz w:val="14"/>
                <w:szCs w:val="14"/>
                <w:color w:val="auto"/>
              </w:rPr>
            </w:pPr>
          </w:p>
        </w:tc>
      </w:tr>
      <w:tr>
        <w:trPr>
          <w:trHeight w:val="16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color w:val="auto"/>
              </w:rPr>
              <w:t>(73,464)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56"/>
        </w:trPr>
        <w:tc>
          <w:tcPr>
            <w:tcW w:w="29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2014</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132,315,465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628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 (2,194,173</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(145</w:t>
            </w:r>
          </w:p>
        </w:tc>
        <w:tc>
          <w:tcPr>
            <w:tcW w:w="8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1,125</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2"/>
                <w:szCs w:val="12"/>
                <w:color w:val="auto"/>
              </w:rPr>
            </w:pP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80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Depreciation of property and equipment, including amortization of internal-use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 and website development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discounts and premiums on marketable securities,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(recovery) for doubtful accounts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prepaid expenses and other assets (Note 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taxes, net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8"/>
                <w:szCs w:val="18"/>
                <w:color w:val="auto"/>
              </w:rPr>
            </w:pP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 including internal-use software and website development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Distributions proceeds from Expedia related to Spin-Off</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r>
      <w:tr>
        <w:trPr>
          <w:trHeight w:val="210"/>
        </w:trPr>
        <w:tc>
          <w:tcPr>
            <w:tcW w:w="8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credit facilities</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minimum withholding taxes on net share settlements of equity awards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purchase subsidiary shares from noncontrolling interest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construction in-process related to build to suit lease obligation, net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18"/>
                <w:szCs w:val="18"/>
                <w:color w:val="auto"/>
              </w:rPr>
            </w:pPr>
          </w:p>
        </w:tc>
      </w:tr>
      <w:tr>
        <w:trPr>
          <w:trHeight w:val="25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FF0FC"/>
            </w:tcBorders>
          </w:tcPr>
          <w:p>
            <w:pPr>
              <w:spacing w:after="0"/>
              <w:rPr>
                <w:sz w:val="21"/>
                <w:szCs w:val="21"/>
                <w:color w:val="auto"/>
              </w:rPr>
            </w:pPr>
          </w:p>
        </w:tc>
      </w:tr>
      <w:tr>
        <w:trPr>
          <w:trHeight w:val="197"/>
        </w:trPr>
        <w:tc>
          <w:tcPr>
            <w:tcW w:w="8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Capitalization of construction in-process related to build to suit lease obligation</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 incurred but not yet paid primarily related to build to suit lease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fair value increase for redeemable noncontrolling interests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3" w:right="2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 DESCRIPTION</w:t>
      </w:r>
    </w:p>
    <w:p>
      <w:pPr>
        <w:spacing w:after="0" w:line="121"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these notes to the consolidated financial statements.</w:t>
      </w:r>
    </w:p>
    <w:p>
      <w:pPr>
        <w:spacing w:after="0" w:line="162"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During 2011, Expedia announced its plan to separate into two independent public companies in order to better achieve certain strategic objectives of its various businesses. On December 20, 2011 Expedia completed the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a result, Liberty beneficially owned 18,159,752 shares of our common stock and 12,799,999 shares of our Class B common stock.</w:t>
      </w:r>
    </w:p>
    <w:p>
      <w:pPr>
        <w:spacing w:after="0" w:line="176"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indirectly acquired by Liberty TripAdvisor Holdings, Inc. (“LTRIP”) by means of a spin-off (the “Liberty Spin-Off”). In the Liberty Spin-Off, Liberty, LTRIP’s former parent company, distributed, by means of a dividend, to the holders of its Liberty Ventures common stock, Liberty’s entire equity interest in LTRIP. As a result of the Liberty Spin-Off, LTRIP became a separate, publicly traded company and 100% of Liberty’s interest in TripAdvisor is now held by LTRIP.</w:t>
      </w:r>
    </w:p>
    <w:p>
      <w:pPr>
        <w:spacing w:after="0" w:line="180"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As December 31, 2014, LTRIP beneficially owned 18,159,752 shares of our common stock and 12,799,999 shares of our Class B common stock, which shares constitute 14.0% of the outstanding shares of Common Stock and 100% of the outstanding shares of Class B Common Stock. Assuming the conversion of all of LTRIP’s shares of Class B common stock into common stock, LTRIP would beneficially own 21.7% of the outstanding common stock (calculated in accordance with Rule 13d-3). Because each share of Class B common stock generally is entitled to ten votes per share and each share of common stock is entitled to one vote per share, LTRIP may be deemed to beneficially own equity securities representing approximately 56.6% of our voting power.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TripAdvisor is an online travel company, empowering users to plan and book the perfect trip. TripAdvisor’s travel research platform aggregates reviews and opinions of members about accommodations, destinations, activities and attractions, and restaurants, throughout the world so that our users have access to trusted advice wherever their trip takes them. Our platform not only helps users plan their trip with our unique user-generated content, but also enables users to compare real-time pricing and availability so that they can book hotels, vacation rentals, flights, activities and attractions, and restaurants.</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Our flagship brand is TripAdvisor. TripAdvisor-branded websites include tripadvisor.com in the United States and localized versions of the website in 45 countries including in China under the brand daodao.com. In addition to the flagship TripAdvisor brand, we manage and operate 24 other media brands, connected by the common goal of providing comprehensive travel planning resources across the travel sector, which include; www.airfarewatchdog.com, www.bookingbuddy.com, www.cruisecritic.com, www.everytrail.com, www.familyvacationcritic.com, www.flipkey.com, www.gateguru.com, www.holidaylettings.co.uk, www.holidaywatchdog.com, www.independenttraveler.com, www.jetsetter.com, www.thefork.com (including www.lafourchette.com, www.eltenedor.com and www.iens.nl), www.niumba.com, www.onetime.com, www.oyster.com, www.seatguru.com, www.smartertravel.com, www.tingo.com, www.travelpod.com, www.tripbod.com, www.vacationhomerentals.com, www.viator.com, www.virtualtourist.com, and www.kuxun.cn. For further description of our other travel brands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60" w:firstLine="548"/>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through our Jetsetter and Tingo brands; selling destination activities from Viator; fulfilling online restaurant reservations through Lafourchette; as well as other revenue including content licensing.</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have two reportable segments: Hotel and Other. Our Other segment consists of the aggregation of three operating segments, which include our Vacation Rentals, Restaurants and Attractions businesses. Our operating segments are determined based on how our chief operating decision maker manages our business, regularly assesses information and evaluates performance for operating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333" w:right="259" w:bottom="1440" w:gutter="0" w:footer="0" w:header="0"/>
        </w:sectPr>
      </w:pPr>
    </w:p>
    <w:bookmarkStart w:id="65" w:name="page66"/>
    <w:bookmarkEnd w:id="65"/>
    <w:p>
      <w:pPr>
        <w:ind w:right="200"/>
        <w:spacing w:after="0" w:line="282" w:lineRule="auto"/>
        <w:rPr>
          <w:sz w:val="20"/>
          <w:szCs w:val="20"/>
          <w:color w:val="auto"/>
        </w:rPr>
      </w:pPr>
      <w:r>
        <w:rPr>
          <w:rFonts w:ascii="Times New Roman" w:cs="Times New Roman" w:eastAsia="Times New Roman" w:hAnsi="Times New Roman"/>
          <w:sz w:val="18"/>
          <w:szCs w:val="18"/>
          <w:color w:val="auto"/>
        </w:rPr>
        <w:t>decision-making purposes, including allocation of resources. For further information on our reportable segments see “Note 16 — Segment and Geographic Information,” in the notes to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TripAdvisor, our wholly-owned subsidiaries, and entities we control, or in which we have a variable interest and are the primary beneficiary of expected cash profits or losses. We record noncontrolling interest in our consolidated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We have eliminated significant intercompany transactions and accounts. The accompanying consolidated financial statements have been prepared in accordance with generally accepted accounting principles in the United States (“GAAP”).</w:t>
      </w:r>
    </w:p>
    <w:p>
      <w:pPr>
        <w:spacing w:after="0" w:line="18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recoverability of intangible assets and goodwill; (ii) recoverability and useful life of long-lived assets; (iii) accounting for income taxes; (iv) purchase accounting for business combinations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stock-based compensation.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previously disclosed, we no longer consider Expedia a related party. Certain reclassifications have been made to conform the prior period to the current presentation relating to Expedia transactions, which includes the reclassification of revenue from Expedia on our statements of operations for the years ended December 31, 2013 and 2012 of $217 million and $204 million, respectively, to revenue, the reclassification of receivables at December 31, 2013 of $16 million, from Expedia, net on our consolidated balance sheets to accounts receivable, as well as operating cash flow reclassifications related to Expedia for the years ended December 31, 2013 and 2012 of cash provided of $8 million and cash used of $17 million, respectively, to operating cash flows for accounts receivable on our consolidated statements of cash flows those years. These reclassifications had no net effect on our consolidated financial statements.</w:t>
      </w:r>
    </w:p>
    <w:p>
      <w:pPr>
        <w:spacing w:after="0" w:line="189"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In addition, as discussed above, we revised our reportable segment structure during the fourth quarter of 2014. Consequently all prior periods have been reclassified to conform to the current reporting structure, which is reflected in all required segment disclosures made in this Form 10-K. These reclassifications had no effect on our consolidated financial statements.</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All other reclassifications, made to conform the prior period to the current presentation, were not material and had no net effect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53" w:right="239" w:bottom="1440" w:gutter="0" w:footer="0" w:header="0"/>
        </w:sectPr>
      </w:pPr>
    </w:p>
    <w:bookmarkStart w:id="66" w:name="page67"/>
    <w:bookmarkEnd w:id="66"/>
    <w:p>
      <w:pPr>
        <w:ind w:right="20"/>
        <w:spacing w:after="0" w:line="282" w:lineRule="auto"/>
        <w:rPr>
          <w:sz w:val="20"/>
          <w:szCs w:val="20"/>
          <w:color w:val="auto"/>
        </w:rPr>
      </w:pPr>
      <w:r>
        <w:rPr>
          <w:rFonts w:ascii="Times New Roman" w:cs="Times New Roman" w:eastAsia="Times New Roman" w:hAnsi="Times New Roman"/>
          <w:sz w:val="18"/>
          <w:szCs w:val="18"/>
          <w:color w:val="auto"/>
        </w:rPr>
        <w:t>assured. Deferred revenue, which primarily relates to our subscription-based and commission based arrangements, is recorded when payments are received in advance of our performance as required by the underlying agreements.</w:t>
      </w:r>
    </w:p>
    <w:p>
      <w:pPr>
        <w:spacing w:after="0" w:line="160" w:lineRule="exact"/>
        <w:rPr>
          <w:sz w:val="20"/>
          <w:szCs w:val="20"/>
          <w:color w:val="auto"/>
        </w:rPr>
      </w:pPr>
    </w:p>
    <w:p>
      <w:pPr>
        <w:ind w:right="5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Click-based Advertising</w:t>
      </w:r>
      <w:r>
        <w:rPr>
          <w:rFonts w:ascii="Times New Roman" w:cs="Times New Roman" w:eastAsia="Times New Roman" w:hAnsi="Times New Roman"/>
          <w:sz w:val="18"/>
          <w:szCs w:val="18"/>
          <w:color w:val="auto"/>
        </w:rPr>
        <w:t>. Revenue is derived primarily from click-through fees charged to our travel partners for traveler leads sent to the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website. We record revenue from click-through fees after the traveler makes the click-through to the travel partners’ websites.</w:t>
      </w:r>
    </w:p>
    <w:p>
      <w:pPr>
        <w:spacing w:after="0" w:line="16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Instant booking commission revenue is recorded at the time a traveler books a hotel transaction on our site where we do not assume cancellation risk. In transactions in which we assume cancellation risk, we record revenue when we receive cash from our travel partners, given the current uncertainty of the traveler’s stay. We have no post-booking service obligations for Instant Booking transactions.</w:t>
      </w:r>
    </w:p>
    <w:p>
      <w:pPr>
        <w:spacing w:after="0" w:line="174" w:lineRule="exact"/>
        <w:rPr>
          <w:sz w:val="20"/>
          <w:szCs w:val="20"/>
          <w:color w:val="auto"/>
        </w:rPr>
      </w:pPr>
    </w:p>
    <w:p>
      <w:pPr>
        <w:jc w:val="both"/>
        <w:ind w:right="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Display-based Advertising</w:t>
      </w:r>
      <w:r>
        <w:rPr>
          <w:rFonts w:ascii="Times New Roman" w:cs="Times New Roman" w:eastAsia="Times New Roman" w:hAnsi="Times New Roman"/>
          <w:sz w:val="18"/>
          <w:szCs w:val="18"/>
          <w:color w:val="auto"/>
        </w:rPr>
        <w:t>. We recognize display advertising revenue ratably over the advertising period or upon delivery of advertising impressions,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terms of the advertising contract. Subscription-based revenue is recognized ratably over the related contractual period over which service is delivered.</w:t>
      </w:r>
    </w:p>
    <w:p>
      <w:pPr>
        <w:spacing w:after="0" w:line="17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Attractions</w:t>
      </w:r>
      <w:r>
        <w:rPr>
          <w:rFonts w:ascii="Times New Roman" w:cs="Times New Roman" w:eastAsia="Times New Roman" w:hAnsi="Times New Roman"/>
          <w:sz w:val="18"/>
          <w:szCs w:val="18"/>
          <w:color w:val="auto"/>
        </w:rPr>
        <w:t>. We receive cash from the consumer at the time of booking of the destination activity and record these amounts, net of commissions,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merchant payables on our consolidated balance sheet. Commission revenue is recorded as deferred revenue at the time of booking and later recognized when the consumer has completed the destination activity or as the consumer’s refund privileges lapse. We pay the destination activity operators after the travelers’ use.</w:t>
      </w:r>
    </w:p>
    <w:p>
      <w:pPr>
        <w:spacing w:after="0" w:line="180" w:lineRule="exact"/>
        <w:rPr>
          <w:sz w:val="20"/>
          <w:szCs w:val="20"/>
          <w:color w:val="auto"/>
        </w:rPr>
      </w:pPr>
    </w:p>
    <w:p>
      <w:pPr>
        <w:ind w:right="1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recognize reservation revenues (or per seated diner fees) on a transaction-by-transaction basis as diners are seated by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Subscription-based revenue is recognized ratably over the related contractual period over which the service is delivered.</w:t>
      </w:r>
    </w:p>
    <w:p>
      <w:pPr>
        <w:spacing w:after="0" w:line="158"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Vacation Rentals. </w:t>
      </w:r>
      <w:r>
        <w:rPr>
          <w:rFonts w:ascii="Times New Roman" w:cs="Times New Roman" w:eastAsia="Times New Roman" w:hAnsi="Times New Roman"/>
          <w:sz w:val="18"/>
          <w:szCs w:val="18"/>
          <w:color w:val="auto"/>
        </w:rPr>
        <w:t>We generate revenue from customers for online advertising listing services related to the listing of their properties for rent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basis, over a fixed-term, or on a free-to-list option. Payments for term-based paid subscriptions received in advance of services being rendered are recorded as deferred revenue and recognized ratably on a straight-line basis over the listing period. We generate commission revenue from our free-to-list bookings option. We receive cash from travelers at the time of booking, net of commissions, and record as deferred merchant payables on our consolidated balance sheet. Commission revenue is recorded as deferred revenue at the time of booking and later recognized when the traveler has completed the stay or as the travelers’ refund privileges lapse. We pay the customer or property owner after the travelers’ stay.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00" w:firstLine="761"/>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445" w:right="2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and net foreign exchange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Credit Agreement and Chinese Credit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Our cash equivalents consist of highly liquid investments with maturities of 90 days or less at the date of purchase. 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16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stockholders’ equity. Fair values are determined for each individual security in the investment portfolio.</w:t>
      </w:r>
    </w:p>
    <w:p>
      <w:pPr>
        <w:spacing w:after="0" w:line="18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Realized gains and losses on the sale of securities are determined by specific identification of each security’s cost basis. We may sell certain of our marketable securities prior to their stated maturities for strategic reasons including, but not limited to, anticipation of credit deterioration and liquidity and duration management. The weighted average maturity of our total invested cash shall not exceed 18 months, and no security shall have a final maturity date greater than three years.</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debt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consists of cash deposits held in global financial institutions.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57" w:right="239" w:bottom="1440" w:gutter="0" w:footer="0" w:header="0"/>
        </w:sectPr>
      </w:pPr>
    </w:p>
    <w:bookmarkStart w:id="68" w:name="page69"/>
    <w:bookmarkEnd w:id="68"/>
    <w:p>
      <w:pPr>
        <w:ind w:right="140"/>
        <w:spacing w:after="0" w:line="282" w:lineRule="auto"/>
        <w:rPr>
          <w:sz w:val="20"/>
          <w:szCs w:val="20"/>
          <w:color w:val="auto"/>
        </w:rPr>
      </w:pPr>
      <w:r>
        <w:rPr>
          <w:rFonts w:ascii="Times New Roman" w:cs="Times New Roman" w:eastAsia="Times New Roman" w:hAnsi="Times New Roman"/>
          <w:sz w:val="18"/>
          <w:szCs w:val="18"/>
          <w:color w:val="auto"/>
        </w:rPr>
        <w:t>on either a recurring or nonrecurring basis whereby inputs, used in valuation techniques, are assigned a hierarchical level. The following are the hierarchical levels of inputs to measure fair value:</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1—Valuations are based on quoted prices for identical assets and liabilities in active markets.</w:t>
      </w:r>
    </w:p>
    <w:p>
      <w:pPr>
        <w:spacing w:after="0" w:line="117" w:lineRule="exact"/>
        <w:rPr>
          <w:sz w:val="20"/>
          <w:szCs w:val="20"/>
          <w:color w:val="auto"/>
        </w:rPr>
      </w:pPr>
    </w:p>
    <w:p>
      <w:pPr>
        <w:ind w:left="520" w:right="60" w:firstLine="495"/>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80" w:firstLine="495"/>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Our goal in managing our foreign exchange risk is to reduce, to the extent practicable, our potential exposure to the changes that exchange rates might have on our earnings, cash flows and financial position. We do not use derivatives for trading or speculative purposes. We account for our derivative instruments as either assets or liabilities and carry them at fair value.</w:t>
      </w:r>
    </w:p>
    <w:p>
      <w:pPr>
        <w:spacing w:after="0" w:line="1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(loss) in stockholders’ equity and reclassified into income in the same period or periods during which the hedged transaction affects earnings. The ineffective portion of the gain or loss on the derivative instrument, if any, is recognized in current income. To receive hedge accounting treatment, cash flow hedges must be highly effective in offsetting changes to expected future cash flows on hedged transactions. For options designated as cash flow hedges, changes in the time value are excluded from the assessment of hedge effectiveness and are recognized in income. For derivative instruments that hedge the exposure to changes in the fair value of an asset or a liability and that are designated as fair value hedges, both the net gain or loss on the derivative instrument as well as the offsetting gain or loss on the hedged item attributable to the hedged risk are recognized in earnings in the current period. The net gain or loss on the effective portion of a derivative instrument that is designated as an economic hedge of the foreign currency translation exposure of the net investment in a foreign operation is reported in the same manner as a foreign currency translation adjustment. For forward exchange contracts designated as net investment hedges, we exclude changes in fair value relating to changes in the forward carrying component from its definition of effectiveness. Accordingly, any gains or losses related to this component are recognized in current income. We have not entered into any cash flow, fair value or net investment hedges to date as of December 31, 2014.</w:t>
      </w:r>
    </w:p>
    <w:p>
      <w:pPr>
        <w:spacing w:after="0" w:line="19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Derivatives that do not qualify for hedge accounting must be adjusted to fair value through current income. In certain circumstances, we enter into foreign currency forward exchange contracts (“forward contracts”) to reduce the effects of fluctuating foreign currency exchange rates on our cash flows denominated in foreign currencies. Our derivative instruments or forward contracts entered into are not designated as hedges as of December 31, 2014 are disclosed below in “Note 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in the notes to the consolidated financial statements. Monetary assets and liabilities denominated in a currency other than the functional currency of a given subsidiary are remeasured at spot rates in effect on the balance sheet date with the effects of changes in spot rates reported in other, net on our consolidated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generally had maturities at inception of 90 days or less. The net cash received or paid related to our derivative instruments are classified as an operating activity in our consolidated statements of cash flow, which is based on the objective of the derivative instruments. These net cash flows have not been material in any reporting period to date.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Accounts receivable are generally due within 30 days and are recorded net of an allowance for doubtful accounts. We record accounts receivable at the invoiced amount. Collateral is not required for accounts receivable. We consider accounts outstanding longer than the contractual payment terms as past due. We determine our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45" w:right="25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doubtful accounts for the periods presented: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20" w:type="dxa"/>
            <w:vAlign w:val="bottom"/>
          </w:tcPr>
          <w:p>
            <w:pPr>
              <w:spacing w:after="0"/>
              <w:rPr>
                <w:sz w:val="22"/>
                <w:szCs w:val="22"/>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6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2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Charges (recoveries) to earnings</w:t>
            </w: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Write-offs, net of recoveries and other adjustments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Balance, end of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Including Website and Software Development Costs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lease office space in several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 period in accordance with GAAP.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financing obligations.</w:t>
      </w:r>
    </w:p>
    <w:p>
      <w:pPr>
        <w:spacing w:after="0" w:line="184"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Valuations and Recoverability of Goodwill and Indefinite-Lived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account for acquired businesses using the purchase method of accounting which requires that the assets acquired and liabilities assumed be recorded at the date of acquisition at their respective fair values. Any excess 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 at the reporting unit level (operating segment or one level below an operating segment). Goodwill is allocated to our reporting units at the date the goodwill is initially recorded.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553" w:right="259" w:bottom="1440" w:gutter="0" w:footer="0" w:header="0"/>
        </w:sectPr>
      </w:pPr>
    </w:p>
    <w:bookmarkStart w:id="70" w:name="page71"/>
    <w:bookmarkEnd w:id="70"/>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the evaluation of goodwill for impairment, we generally first perform a qualitative assessment to determine whether it is more likely than not (i.e., a likelihood of more than 50%) that the implied fair value of the reporting unit is less than the carrying amount.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implied fair value of the reporting unit to the carrying value. If the carrying value of a reporting unit exceeds its implied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89" w:lineRule="exact"/>
        <w:rPr>
          <w:sz w:val="20"/>
          <w:szCs w:val="20"/>
          <w:color w:val="auto"/>
        </w:rPr>
      </w:pPr>
    </w:p>
    <w:p>
      <w:pPr>
        <w:jc w:val="both"/>
        <w:ind w:firstLine="761"/>
        <w:spacing w:after="0" w:line="254" w:lineRule="auto"/>
        <w:rPr>
          <w:sz w:val="20"/>
          <w:szCs w:val="20"/>
          <w:color w:val="auto"/>
        </w:rPr>
      </w:pPr>
      <w:r>
        <w:rPr>
          <w:rFonts w:ascii="Times New Roman" w:cs="Times New Roman" w:eastAsia="Times New Roman" w:hAnsi="Times New Roman"/>
          <w:sz w:val="18"/>
          <w:szCs w:val="18"/>
          <w:color w:val="auto"/>
        </w:rPr>
        <w:t>In determining the estimated fair value of assets acquired and liabilities assumed in business combinations and for determining implied fair values of reporting units in a quantitative goodwill impairment test, we use one of the following recognized valuation methods: the income approach (including discounted cash flows), the market approach or the cost approach. Our significant estimates in those fair value measurements include identifying business factors such as size, growth, profitability, risk and return on investment and assessing comparable revenue and operating income multiples. Further, when measuring fair value based on discounted cash flows, we make assumptions about risk-adjusted discount rates, future price levels, rates of increase in revenue, cost of revenue, and operating expenses, weighted average cost of capital, rates of long-term growth, and income tax rates. Valuations are performed by management or third party valuation specialists under management's supervision, where appropriate. We believe that the fair values assigned to the assets acquired and liabilities assumed in business combinations and impairment tests are based on reasonable assumptions that marketplace participants would use. However, such assumptions are inherently uncertain and actual results could differ from those estimates.</w:t>
      </w:r>
    </w:p>
    <w:p>
      <w:pPr>
        <w:spacing w:after="0" w:line="189" w:lineRule="exact"/>
        <w:rPr>
          <w:sz w:val="20"/>
          <w:szCs w:val="20"/>
          <w:color w:val="auto"/>
        </w:rPr>
      </w:pPr>
    </w:p>
    <w:p>
      <w:pPr>
        <w:jc w:val="both"/>
        <w:ind w:right="240" w:firstLine="518"/>
        <w:spacing w:after="0" w:line="276" w:lineRule="auto"/>
        <w:rPr>
          <w:sz w:val="20"/>
          <w:szCs w:val="20"/>
          <w:color w:val="auto"/>
        </w:rPr>
      </w:pPr>
      <w:r>
        <w:rPr>
          <w:rFonts w:ascii="Times New Roman" w:cs="Times New Roman" w:eastAsia="Times New Roman" w:hAnsi="Times New Roman"/>
          <w:sz w:val="17"/>
          <w:szCs w:val="17"/>
          <w:color w:val="auto"/>
        </w:rPr>
        <w:t>As part of our qualitative assessment for our 2014 goodwill impairment analysis on October 1, the factors that we considered included, but were not limited to: (a) changes in macroeconomic conditions in the overall economy and the specific markets in which we operate, (b) our ability to access capital,</w:t>
      </w:r>
    </w:p>
    <w:p>
      <w:pPr>
        <w:spacing w:after="0" w:line="1" w:lineRule="exact"/>
        <w:rPr>
          <w:sz w:val="20"/>
          <w:szCs w:val="20"/>
          <w:color w:val="auto"/>
        </w:rPr>
      </w:pPr>
    </w:p>
    <w:p>
      <w:pPr>
        <w:ind w:right="120" w:firstLine="8"/>
        <w:spacing w:after="0" w:line="254"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online travel industry, (d) changes in the level of competition, (e) comparison of our current financial performance to historical and budgeted results, and (f) changes in excess market capitalization over book value based on our current common stock price and latest unaudited consolidated balance sheet. After considering these factors and the impact that changes in such factors would have on the inputs used in our previous quantitative assessment, we determined that it was more likely than not that goodwill was not impaired.</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Subsequent to the annual impairment test on October 1, 2014, as discussed in “Note 16—</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the composition of our operating segments and our reporting units, has been revised. As a result of this revision, we performed an updated goodwill impairment analysis as of December 31, 2014, for each of our four reporting units which we have identified: Hotels, Vacation Rentals, Restaurants and Attractions. As part of our qualitative assessment for our Hotel reporting unit, we considered the same factors used above in our October 1 qualitative assessment. As part of our process for our Vacation Rentals, Restaurants and Attractions reporting units, we began our qualitative analysis leveraging quantitative valuations for recent acquisitions in these reporting units, prepared by third party appraisers or management, which were used by management for initial purchase accounting required under GAAP. We then considered many of the same qualitative factors used in our October 1, 2014 qualitative assessment and the impact that changes in such factors would have on the inputs previously used in those recent quantitative valuations. After considering this information, we determined that, regarding all reporting units, it was more likely than not that these assets were not impaired at December 31, 2014.</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Intangible assets that have indefinite lives are not amortized and are tested for impairment annually on October 1,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89" w:lineRule="exact"/>
        <w:rPr>
          <w:sz w:val="20"/>
          <w:szCs w:val="20"/>
          <w:color w:val="auto"/>
        </w:rPr>
      </w:pPr>
    </w:p>
    <w:p>
      <w:pPr>
        <w:ind w:right="120" w:firstLine="518"/>
        <w:spacing w:after="0" w:line="276" w:lineRule="auto"/>
        <w:rPr>
          <w:sz w:val="20"/>
          <w:szCs w:val="20"/>
          <w:color w:val="auto"/>
        </w:rPr>
      </w:pPr>
      <w:r>
        <w:rPr>
          <w:rFonts w:ascii="Times New Roman" w:cs="Times New Roman" w:eastAsia="Times New Roman" w:hAnsi="Times New Roman"/>
          <w:sz w:val="17"/>
          <w:szCs w:val="17"/>
          <w:color w:val="auto"/>
        </w:rPr>
        <w:t>As part of our qualitative assessment for our 2014 impairment analysis on October 1, the factors that we considered for our indefinite-lived intangible assets included, but were not limited to: (a) changes in macroeconomic conditions in the overall economy and the specific markets in which we operate,</w:t>
      </w:r>
    </w:p>
    <w:p>
      <w:pPr>
        <w:spacing w:after="0" w:line="1" w:lineRule="exact"/>
        <w:rPr>
          <w:sz w:val="20"/>
          <w:szCs w:val="20"/>
          <w:color w:val="auto"/>
        </w:rPr>
      </w:pPr>
    </w:p>
    <w:p>
      <w:pPr>
        <w:ind w:right="400" w:firstLine="8"/>
        <w:spacing w:after="0" w:line="255"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unaudited consolidated balance sheet,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53" w:right="239" w:bottom="1440" w:gutter="0" w:footer="0" w:header="0"/>
        </w:sectPr>
      </w:pPr>
    </w:p>
    <w:bookmarkStart w:id="71" w:name="page72"/>
    <w:bookmarkEnd w:id="71"/>
    <w:p>
      <w:pPr>
        <w:jc w:val="both"/>
        <w:ind w:right="42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excess of the fair value of our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that it was more likely than not that these assets were not impaired.</w:t>
      </w:r>
    </w:p>
    <w:p>
      <w:pPr>
        <w:spacing w:after="0" w:line="176"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Since the annual impairment test on October 1, 2014, there have been no events or changes in circumstances to indicate any potential impairment to our indefinite lived intangible assets. In the event that future circumstances indicate that our indefinite-lived intangibles are impaired, an impairment charge would be recorded.</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recognized to our consolidated statement of operations during the years ended December 31, 2014, 2013 and 2012 related to our goodwill or indefinite-lived intangible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Intangible Assets with Definite Lives and Other Long-Lived Assets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Intangible assets with definite lives and other long-lived assets are carried at cost and are amortized on a straight-line basis over their estimated useful lives of two to twelve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84"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by the amount that the carrying value of such assets exceeds their fair value and would be included in operating income on the consolidated statement of operations. We have not identified any circumstances that would warrant an impairment assessment of any recorded assets in our consolidated balance sheet at December 31, 2014.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8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We recognize in our consolidated financial statements the impact of a tax position, if that position is more likely than not to be sustained upon an examination, based on the technical merits of the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income(loss) in stockholders’ equity on our consolidated balance sheet.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53" w:right="239" w:bottom="1440" w:gutter="0" w:footer="0" w:header="0"/>
        </w:sectPr>
      </w:pPr>
    </w:p>
    <w:bookmarkStart w:id="72" w:name="page73"/>
    <w:bookmarkEnd w:id="72"/>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 in other, net.</w:t>
      </w:r>
    </w:p>
    <w:p>
      <w:pPr>
        <w:spacing w:after="0" w:line="18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Accordingly, we have recorded foreign exchange losses of $10 million, $0 million and $3 million for the years ended December 31, 2014, 2013 and 2012, respectively, in other, net on our consolidated statement of operations. These amounts include gains and losses, realized and unrealized, on foreign currency forward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We incur advertising expense, which includes traffic generation costs from search engines and Internet portals, other online and offline (including television) advertising expense, promotions and public relations to promote our brands. We expense the costs associated with communicating the advertisements in the period in which the advertisement takes place. We initially capitalize and then expense the production costs associated with advertisements in the period in which the advertisement first takes place. For the years ended December 31, 2014, 2013 and 2012, our advertising expense was $341 million, $237 million, and $175 million, respectively. As of December 31, 2014 and 2013, we had $5 million and $1 million of prepaid marketing expenses included in prepaid expenses and other current assets. We expect to fully expense our prepaid marketing asset of $5 million as of December 31, 2014 to the consolidated statement of operations during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3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exercise price for all stock options granted by us to date has been equal to the market price of the underlying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date of grant. In this regard, when making stock option awards, our practice is to determine the applicable grant date and to specify that the exercise price shall be the closing price of our common stock on the date of grant.</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estimated grant-date fair value of stock options is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76"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have estimated, to date, the volatility of our common stock by using an average of our historical stock price volatility and of publicly traded companies that we consider peers based on daily price observations. We have estimated our expected term, to date, using the simplified method, as we have not had sufficient historical exercise data on our common stock to date. Our expected dividend yield is zero, as we have not paid any dividends on our common stock to date and do not expect to pay any cash dividends for the foreseeable future.</w:t>
      </w:r>
    </w:p>
    <w:p>
      <w:pPr>
        <w:spacing w:after="0" w:line="188" w:lineRule="exact"/>
        <w:rPr>
          <w:sz w:val="20"/>
          <w:szCs w:val="20"/>
          <w:color w:val="auto"/>
        </w:rPr>
      </w:pPr>
    </w:p>
    <w:p>
      <w:pPr>
        <w:ind w:right="80" w:firstLine="552"/>
        <w:spacing w:after="0" w:line="261"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generally vest equitably over a four-year requisite service period. We amortize the grant-date fair value of our stock option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80" w:lineRule="exact"/>
        <w:rPr>
          <w:sz w:val="20"/>
          <w:szCs w:val="20"/>
          <w:color w:val="auto"/>
        </w:rPr>
      </w:pPr>
    </w:p>
    <w:p>
      <w:pPr>
        <w:jc w:val="both"/>
        <w:ind w:firstLine="608"/>
        <w:spacing w:after="0" w:line="255" w:lineRule="auto"/>
        <w:rPr>
          <w:sz w:val="20"/>
          <w:szCs w:val="20"/>
          <w:color w:val="auto"/>
        </w:rPr>
      </w:pPr>
      <w:r>
        <w:rPr>
          <w:rFonts w:ascii="Times New Roman" w:cs="Times New Roman" w:eastAsia="Times New Roman" w:hAnsi="Times New Roman"/>
          <w:sz w:val="18"/>
          <w:szCs w:val="18"/>
          <w:color w:val="auto"/>
        </w:rPr>
        <w:t>As the Company now has three years of post-Spin-Off equity award activity, beginning in February 2015, we will change our method of estimating our expected term from the simplified method and use historical exercise behavior and expected post-vest termination data. Simultaneously, we will also begin estimating our expected volatility by equally weighting the historical volatility and implied volatility on our own stock. Historical volatility will be determined using actual daily price observations of our stock price over a period equivalent to or approximate to the expected term of our stock option grants to date. Implied volatility represents the volatility of our actively traded options on our stock, with remaining maturities in excess of twelve months and market prices approximate to the exercise prices of the stock option grant. These changes are not expected to materially affect our future consolidated financial statements.</w:t>
      </w:r>
    </w:p>
    <w:p>
      <w:pPr>
        <w:spacing w:after="0" w:line="187"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are stock awards that are granted to employees entitling the holder to shares of our common stock as the award vests.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are measured at fair value based on the number of shares granted and the quoted price of our common stock at the date of grant. We amortize the fair value of RSUs,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53" w:right="239" w:bottom="1440" w:gutter="0" w:footer="0" w:header="0"/>
        </w:sectPr>
      </w:pPr>
    </w:p>
    <w:bookmarkStart w:id="73" w:name="page74"/>
    <w:bookmarkEnd w:id="73"/>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Performance-based stock options and RSUs vest upon achievement of certain company-based performance conditions and a requisite service period. On the date of grant, the fair value of performance-based award is determined based on the fair value, which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8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We use historical data to estimate pre-vesting stock option and RSU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Merchant Payables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receive cash from travelers at the time of booking related to our vacation rental, attractions and transaction-based businesses and we record these amounts, net of commissions, on our consolidated balance sheets as deferred merchant payables. We pay the hotel, destination activity operators or vacation rental owners after the travelers’ use and subsequent billing from the hotel, attraction provider or vacation rental owners. Therefore, we receive cash from the traveler prior to paying the hotel, destination activity operator or vacation rental owners, and this operating cycle represents a working capital source or use of cash to us. As long as these businesses grow, we expect that changes in working capital related to these transactions, depending on timing of payments and seasonality, will continue to impact operating cash flows. Our deferred merchant payables balance was $93 million and $30 million for the years ended December 31, 2014 and 2013, respectively. A payable balance of $76 million was acquired during the year ended December 31, 2014, primarily related to our Viator acquisition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is included within investing activities in our consolidated statement of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consist primarily of cash and cash equivalents, corporate debt securities, foreign exchange contracts, accounts receivable and customer concentrations. We maintain some cash and cash equivalents balances with financial institutions that are in excess of Federal Deposit Insurance Corporation insurance limits. Our cash and cash equivalents are primarily composed of prime institutional money market funds as well as bank account balances primarily denominated in U.S. dollars, Euros, British pound sterling, Chinese renminbi, Australian dollars and Singapore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Foreign exchange contracts are transacted with various international financial institutions with high credit standing.</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business is also subject to certain risks due to concentrations related to dependence on our relationships with our customers. For the years ended December 31, 2014, 2013 and 2012 our two most significant advertising partners, Expedia and Priceline, each accounted for more than 10% of our consolidated revenue and combined accounted for 46%, 47% and 48% of our consolidated revenue, respectively. This concentration of revenue is recorded in our Hotel segment for these reporting periods. As of December 31, 2014 and 2013, Expedia accounted for 15% and 14%, respectively, of our total accounts receivable. Our overall credit risk related to accounts receivable is also mitigated by the relatively short collection period.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553" w:right="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Comprehensive income (loss) currently consists of net income, cumulative foreign currency translation adjustments, and unrealized gains and losses on available-for-sale securities, net of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Earnings Per Share</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attributable to TripAdvisor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compute diluted earnings per share (“Diluted EPS”) by dividing net income attributable to TripAdvisor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657" w:right="259" w:bottom="1440" w:gutter="0" w:footer="0" w:header="0"/>
        </w:sectPr>
      </w:pPr>
    </w:p>
    <w:bookmarkStart w:id="75" w:name="page76"/>
    <w:bookmarkEnd w:id="75"/>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Basic EPS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gridSpan w:val="3"/>
          </w:tcPr>
          <w:p>
            <w:pPr>
              <w:ind w:left="480"/>
              <w:spacing w:after="0"/>
              <w:rPr>
                <w:sz w:val="20"/>
                <w:szCs w:val="20"/>
                <w:color w:val="auto"/>
              </w:rPr>
            </w:pPr>
            <w:r>
              <w:rPr>
                <w:rFonts w:ascii="Times New Roman" w:cs="Times New Roman" w:eastAsia="Times New Roman" w:hAnsi="Times New Roman"/>
                <w:sz w:val="18"/>
                <w:szCs w:val="18"/>
                <w:color w:val="auto"/>
              </w:rPr>
              <w:t>Stock warrants</w:t>
            </w: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80" w:type="dxa"/>
            <w:vAlign w:val="bottom"/>
            <w:gridSpan w:val="3"/>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 EPS</w:t>
            </w:r>
          </w:p>
        </w:tc>
        <w:tc>
          <w:tcPr>
            <w:tcW w:w="1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145,800</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145,263</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141,341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EPS</w:t>
            </w: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4"/>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3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related to stock options and RSUs were excluded from the calculation of Diluted EPS because their effect would have been anti-dilutive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6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2014(1)</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40" w:hanging="532"/>
        <w:spacing w:after="0" w:line="25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44,000 performance based RSUs representing the right to acquire 110,666 shares of common stock for which all targets required to trigger vesting had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jc w:val="both"/>
        <w:ind w:left="540" w:right="80" w:hanging="532"/>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155,000 performance based options and 44,000 performance based RSUs representing the right to acquire 199,000 shares of common stock for which all targets required to trigger vesting had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jc w:val="both"/>
        <w:ind w:left="540" w:right="60" w:hanging="532"/>
        <w:spacing w:after="0" w:line="255"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110,000 performance based options and 200,000 performance based RSUs representing the right to acquire 310,000 shares of common stock, respectively, for which all targets required to trigger vesting had not been achieved; therefore, such awards were excluded from the calculation of weighted average shares used to compute Diluted EPS for those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-1250315</wp:posOffset>
            </wp:positionV>
            <wp:extent cx="7200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Revenue From Contracts With Customers</w:t>
      </w:r>
    </w:p>
    <w:p>
      <w:pPr>
        <w:spacing w:after="0" w:line="119" w:lineRule="exact"/>
        <w:rPr>
          <w:sz w:val="20"/>
          <w:szCs w:val="20"/>
          <w:color w:val="auto"/>
        </w:rPr>
      </w:pPr>
    </w:p>
    <w:p>
      <w:pPr>
        <w:jc w:val="both"/>
        <w:ind w:firstLine="608"/>
        <w:spacing w:after="0" w:line="256"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retrospective or cumulative effect transition method. This guidance is effective for fiscal years, and interim periods within those fiscal years, beginning after December 15, 2016. We have not yet selected a transition method and we are currently evaluating the effect that the updated standard will have on our consolidated financial statements and related disclosures.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53"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Pushdown Accounting</w:t>
      </w:r>
    </w:p>
    <w:p>
      <w:pPr>
        <w:spacing w:after="0" w:line="119" w:lineRule="exact"/>
        <w:rPr>
          <w:sz w:val="20"/>
          <w:szCs w:val="20"/>
          <w:color w:val="auto"/>
        </w:rPr>
      </w:pPr>
    </w:p>
    <w:p>
      <w:pPr>
        <w:ind w:right="40" w:firstLine="761"/>
        <w:spacing w:after="0" w:line="254" w:lineRule="auto"/>
        <w:rPr>
          <w:sz w:val="20"/>
          <w:szCs w:val="20"/>
          <w:color w:val="auto"/>
        </w:rPr>
      </w:pPr>
      <w:r>
        <w:rPr>
          <w:rFonts w:ascii="Times New Roman" w:cs="Times New Roman" w:eastAsia="Times New Roman" w:hAnsi="Times New Roman"/>
          <w:sz w:val="18"/>
          <w:szCs w:val="18"/>
          <w:color w:val="auto"/>
        </w:rPr>
        <w:t>In November 2014, the FASB issued new accounting guidance that provides companies with the option to apply pushdown accounting in its separate financial statements upon occurrence of an event in which an acquirer obtains control of the acquired entity. The acquired entity may elect the option to apply pushdown accounting in the reporting period in which the change-in-control event occurs. If pushdown accounting is not applied in the reporting period in which the change-in-control event occurs, an acquired entity will have the option to elect to apply pushdown accounting in a subsequent reporting period as a change in accounting principle under GAAP. If pushdown accounting is applied to an individual change-in-control event, that election is irrevocable. This guidance also requires an acquired entity that elects the option to apply pushdown accounting in its separate financial statements to disclose information in the current reporting period that enables users of financial statements to evaluate the effect of pushdown accounting. We have adopted this guidance effective November 18, 2014, as the amendments are effective upon issuance. The adoption of this new guidance did not have any impact on our consolidated financial statements and related disclosures.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of an Unrecognized Tax Benefit When a Net Operating Loss Carryforward, a Similar Tax Loss, or a Tax Credit Carryforward Exists</w:t>
      </w:r>
    </w:p>
    <w:p>
      <w:pPr>
        <w:spacing w:after="0" w:line="119" w:lineRule="exact"/>
        <w:rPr>
          <w:sz w:val="20"/>
          <w:szCs w:val="20"/>
          <w:color w:val="auto"/>
        </w:rPr>
      </w:pPr>
    </w:p>
    <w:p>
      <w:pPr>
        <w:ind w:right="20" w:firstLine="552"/>
        <w:spacing w:after="0" w:line="254" w:lineRule="auto"/>
        <w:rPr>
          <w:sz w:val="20"/>
          <w:szCs w:val="20"/>
          <w:color w:val="auto"/>
        </w:rPr>
      </w:pPr>
      <w:r>
        <w:rPr>
          <w:rFonts w:ascii="Times New Roman" w:cs="Times New Roman" w:eastAsia="Times New Roman" w:hAnsi="Times New Roman"/>
          <w:sz w:val="18"/>
          <w:szCs w:val="18"/>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then the unrecognized tax benefit should be presented in the financial statements as a liability and should not be combined with deferred tax assets. This guidance was effective for fiscal years, and interim periods within those fiscal years, beginning after December 15, 2013, with early adoption permitted. Accordingly, we adopted these presentation requirements during the first quarter of 2014. The adoption of this new guidance did not have a material impact on our consolidated financial statements and related disclosures.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acquired a number of businesses during the years ended December 31, 2014, 2013 and 2012. These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unallocated amount recorded as goodwill. Acquired goodwill represents the premium we paid over the fair value of the net tangible and intangible assets acquired. We paid a premium in these transactions for a number of reasons, but, primarily it was attributable to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all of these acquisitions have not been presented as the financial impact to our consolidated financial statements, both individually and in aggregate, are not material. For the years ended December 31, 2014 and 2013, acquisition-related costs were expensed as incurred and were $4 million and $2 million, respectively, and are included in general and administrative expenses on our consolidated statements of operations. Acquisition-related expenses were not material for the year ended December 31, 2012.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Acquisitions</w:t>
      </w:r>
    </w:p>
    <w:p>
      <w:pPr>
        <w:spacing w:after="0" w:line="121" w:lineRule="exact"/>
        <w:rPr>
          <w:sz w:val="20"/>
          <w:szCs w:val="20"/>
          <w:color w:val="auto"/>
        </w:rPr>
      </w:pPr>
    </w:p>
    <w:p>
      <w:pPr>
        <w:ind w:firstLine="519"/>
        <w:spacing w:after="0" w:line="261" w:lineRule="auto"/>
        <w:rPr>
          <w:sz w:val="20"/>
          <w:szCs w:val="20"/>
          <w:color w:val="auto"/>
        </w:rPr>
      </w:pPr>
      <w:r>
        <w:rPr>
          <w:rFonts w:ascii="Times New Roman" w:cs="Times New Roman" w:eastAsia="Times New Roman" w:hAnsi="Times New Roman"/>
          <w:sz w:val="18"/>
          <w:szCs w:val="18"/>
          <w:color w:val="auto"/>
        </w:rPr>
        <w:t>In August 2014, we completed our acquisition of Viator, Inc. (“Viator”). Viator, which is headquartered in San Francisco and has offices in Las Vegas, London, and Sydney, is a leading resource for researching and booking destination activities around the world. Our total purchase price was $192 million, for all the outstanding shares of capital stock of Viator, consisting of approximately $187 million in cash consideration (or $132 million, net of cash acquired from Viator of $55 million) and the value of certain Viator stock options that were assumed. We issued 100,595 TripAdvisor stock options related to the assumed Viator stock options. The fair value of the earned portion of assumed stock options was $5 million and is included in the purchase price, with the remaining fair value of $3 million resulting in post-acquisition compensation expense that will generally be recognized ratably over three years from the date of acquisition. The total cash consideration was paid from one of our U.S. based subsidiaries.</w:t>
      </w:r>
    </w:p>
    <w:p>
      <w:pPr>
        <w:spacing w:after="0" w:line="180" w:lineRule="exact"/>
        <w:rPr>
          <w:sz w:val="20"/>
          <w:szCs w:val="20"/>
          <w:color w:val="auto"/>
        </w:rPr>
      </w:pPr>
    </w:p>
    <w:p>
      <w:pPr>
        <w:ind w:right="80" w:firstLine="5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completed six other acquisitions for a total purchase price consideration of $208 million, for which the Company paid total cash consideration of $199 million, which is net of cash acquired of $7 million and approximately $2 million in holdbacks for general representations and warranties of the respective sellers. The cash consideration was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657" w:right="25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paid primarily from our international subsidiaries. We acquired 100% of the outstanding shares of capital stock for the following companies; Vacation Home Rentals, a U.S.-based vacation rental website featuring more than 14,000 properties around the world purchased in May 2014; London-based Tripbod, a travel community that helps connect travelers to local experts purchased in May 2014; Lafourchette, a provider of an online and mobile reservations platform for restaurants in Europe purchased in May 2014; MyTable and Restopolis, both providers of an online and mobile reservations platform for restaurants in Italy purchased in October 2014; and Iens, a provider of an online and mobile reservations platform for restaurants in the Netherlands purchased in December</w:t>
      </w:r>
    </w:p>
    <w:p>
      <w:pPr>
        <w:spacing w:after="0" w:line="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2014. The purchase price consideration is subject to an adjustment based on the finalization of working capital adjustments for Restopolis and Iens, as of December 31, 2014. During 2014, all 2014 acquisitions accounted for approximately 3% of consolidated revenue for the year.</w:t>
      </w:r>
    </w:p>
    <w:p>
      <w:pPr>
        <w:spacing w:after="0" w:line="180" w:lineRule="exact"/>
        <w:rPr>
          <w:sz w:val="20"/>
          <w:szCs w:val="20"/>
          <w:color w:val="auto"/>
        </w:rPr>
      </w:pPr>
    </w:p>
    <w:p>
      <w:pPr>
        <w:ind w:right="160" w:firstLine="519"/>
        <w:spacing w:after="0" w:line="258" w:lineRule="auto"/>
        <w:rPr>
          <w:sz w:val="20"/>
          <w:szCs w:val="20"/>
          <w:color w:val="auto"/>
        </w:rPr>
      </w:pPr>
      <w:r>
        <w:rPr>
          <w:rFonts w:ascii="Times New Roman" w:cs="Times New Roman" w:eastAsia="Times New Roman" w:hAnsi="Times New Roman"/>
          <w:sz w:val="18"/>
          <w:szCs w:val="18"/>
          <w:color w:val="auto"/>
        </w:rPr>
        <w:t>The purchase price allocation of our 2014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on a retroactive basis. The primary areas of the purchase price allocation that are not yet finalized are related to the fair values of intangibles assets and net assets for Iens, net assets of Viator, and income tax related balances for all 2014 acquisitions. Acquired goodwill related to our 2014 acquisitions was allocated to our Other segment.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purchase price allocations initially recorded on our consolidated balance sheet for all 2014 acquisitions (in millions):</w:t>
      </w:r>
    </w:p>
    <w:p>
      <w:pPr>
        <w:spacing w:after="0" w:line="313" w:lineRule="exact"/>
        <w:rPr>
          <w:sz w:val="20"/>
          <w:szCs w:val="20"/>
          <w:color w:val="auto"/>
        </w:rPr>
      </w:pPr>
    </w:p>
    <w:tbl>
      <w:tblPr>
        <w:tblLayout w:type="fixed"/>
        <w:tblInd w:w="23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440" w:type="dxa"/>
            <w:vAlign w:val="bottom"/>
            <w:tcBorders>
              <w:top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(2)</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tangible assets (liabilities) (3)</w:t>
            </w: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purchase price consideration (4)</w:t>
            </w: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540" w:hanging="532"/>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 the amount of $5 million is expected to be deductible for tax purposes.</w:t>
      </w:r>
    </w:p>
    <w:p>
      <w:pPr>
        <w:spacing w:after="0" w:line="27" w:lineRule="exact"/>
        <w:rPr>
          <w:rFonts w:ascii="Times New Roman" w:cs="Times New Roman" w:eastAsia="Times New Roman" w:hAnsi="Times New Roman"/>
          <w:sz w:val="18"/>
          <w:szCs w:val="18"/>
          <w:color w:val="auto"/>
        </w:rPr>
      </w:pPr>
    </w:p>
    <w:p>
      <w:pPr>
        <w:ind w:left="540" w:right="40" w:hanging="532"/>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2014 were comprised of trade names of $44 million with a weighted average life of 10.0 years, customer lists and supplier relationships of $82 million with a weighted average life of 7.2 years, subscriber relationships of $25 million with a weighted average life of 6.0 years and developed technology and other of $43 million with a weighted average life of 4.9 years. The overall weighted-average life of the identifiable definite-lived intangible assets acquired in the purchase of the companies during 2014 was 7.2 years, and will be amortized on a straight-line basis over their estimated useful lives from acquisition date.</w:t>
      </w:r>
    </w:p>
    <w:p>
      <w:pPr>
        <w:spacing w:after="0" w:line="2" w:lineRule="exact"/>
        <w:rPr>
          <w:rFonts w:ascii="Times New Roman" w:cs="Times New Roman" w:eastAsia="Times New Roman" w:hAnsi="Times New Roman"/>
          <w:sz w:val="18"/>
          <w:szCs w:val="18"/>
          <w:color w:val="auto"/>
        </w:rPr>
      </w:pPr>
    </w:p>
    <w:p>
      <w:pPr>
        <w:ind w:left="540" w:right="60" w:hanging="532"/>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acquired, including cash of $62 million and accounts receivable of $25 million and liabilities assumed, including deferred merchant payables of $76 million, accrued expenses and other current liabilities of $15 million and deferred revenue of $5 million which reflect their respective fair values at acquisition date.</w:t>
      </w:r>
    </w:p>
    <w:p>
      <w:pPr>
        <w:spacing w:after="0" w:line="1" w:lineRule="exact"/>
        <w:rPr>
          <w:rFonts w:ascii="Times New Roman" w:cs="Times New Roman" w:eastAsia="Times New Roman" w:hAnsi="Times New Roman"/>
          <w:sz w:val="18"/>
          <w:szCs w:val="18"/>
          <w:color w:val="auto"/>
        </w:rPr>
      </w:pPr>
    </w:p>
    <w:p>
      <w:pPr>
        <w:ind w:left="540" w:right="360" w:hanging="532"/>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based on (i) final working capital adjustment calculations to be determined for Restopolis and Iens, and (ii) indemnification obligations for general representations and warranties of the acquired company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-1528445</wp:posOffset>
            </wp:positionV>
            <wp:extent cx="720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Acquisitions</w:t>
      </w:r>
    </w:p>
    <w:p>
      <w:pPr>
        <w:spacing w:after="0" w:line="121" w:lineRule="exact"/>
        <w:rPr>
          <w:sz w:val="20"/>
          <w:szCs w:val="20"/>
          <w:color w:val="auto"/>
        </w:rPr>
      </w:pPr>
    </w:p>
    <w:p>
      <w:pPr>
        <w:ind w:right="80" w:firstLine="487"/>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we completed six acquisitions for a total purchase price consideration of $40 million, for which the Company paid total cash consideration of $35 million, net of cash acquired of $3 million and approximately $2 million in holdbacks for general representations and warranties of the respective sellers, of which $1 million was paid in 2014. The cash consideration was paid primarily from our international subsidiaries. We acquired TinyPost, the developer of a product that enables users to write over photos and turn them into stories, Jetsetter, a members-only private sale site for hotel bookings; CruiseWise, a cruise research and planning site; Niumba, a Spain-based vacation rental site; GateGuru, a mobile app with flight and airport information around the world; Oyster, a hotel review website featuring expert reviews and photos around the world, all of which complemented our existing brands in those areas of the travel ecosystem. The purchase price allocation for our 2013 acquisitions is considered final at December 31, 2014.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553" w:right="259" w:bottom="1440" w:gutter="0" w:footer="0" w:header="0"/>
        </w:sectPr>
      </w:pPr>
    </w:p>
    <w:bookmarkStart w:id="78" w:name="page79"/>
    <w:bookmarkEnd w:id="78"/>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price allocation recorded on our consolidated balance sheet at fair value for all 2013 acquisitions (in millions):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liabilities assumed (3)</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purchase price consideration (4)</w:t>
            </w: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 the amount of $14 million is expected to be deductible for tax purposes.</w:t>
      </w:r>
    </w:p>
    <w:p>
      <w:pPr>
        <w:spacing w:after="0" w:line="27" w:lineRule="exact"/>
        <w:rPr>
          <w:rFonts w:ascii="Times New Roman" w:cs="Times New Roman" w:eastAsia="Times New Roman" w:hAnsi="Times New Roman"/>
          <w:sz w:val="18"/>
          <w:szCs w:val="18"/>
          <w:color w:val="auto"/>
        </w:rPr>
      </w:pPr>
    </w:p>
    <w:p>
      <w:pPr>
        <w:ind w:left="540" w:hanging="532"/>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2013 were comprised of trade names of $8 million, subscriber relationships of $8 million, and developed technology and other of $3 million. The overall weighted-average life of the identifiable definite-lived intangible assets acquired in the purchase of the companies during 2013 was 8.0 years, which is being amortized on a straight-line basis over their estimated useful lives from acquisition date.</w:t>
      </w:r>
    </w:p>
    <w:p>
      <w:pPr>
        <w:spacing w:after="0" w:line="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acquired, including cash of $3 million and accounts receivable of $2 million and liabilities assumed, including accounts payables of</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accrued expenses and other current liabilities of $1 million and deferred revenue of $3 million which reflected their respective fair values at acquisition date.</w:t>
      </w: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based on (i) indemnification obligations for general representations and warranties of the acquired company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720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Acquisitions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purchased a travel media company for approximately $3 million. The purchase price consideration was primarily allocated to goodwill, which is not tax deductible. The purchase price and purchase price allocation is final for this acquisition at December 31, 2014.</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We also paid $22 million for the remaining noncontrolling interest subsidiary shares related to a 2008 acquisition, which brought our ownership to 100%. This amount is included in financing activities in our consolidated statement of cash flows for the year ended December 31, 2012.</w:t>
      </w:r>
    </w:p>
    <w:p>
      <w:pPr>
        <w:spacing w:after="0" w:line="347" w:lineRule="exact"/>
        <w:rPr>
          <w:sz w:val="20"/>
          <w:szCs w:val="20"/>
          <w:color w:val="auto"/>
        </w:rPr>
      </w:pPr>
    </w:p>
    <w:p>
      <w:pPr>
        <w:ind w:right="52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4: STOCK BASED AWARDS AND OTHER EQUITY INSTRUMENTS </w:t>
      </w:r>
      <w:r>
        <w:rPr>
          <w:rFonts w:ascii="Times New Roman" w:cs="Times New Roman" w:eastAsia="Times New Roman" w:hAnsi="Times New Roman"/>
          <w:sz w:val="18"/>
          <w:szCs w:val="18"/>
          <w:b w:val="1"/>
          <w:bCs w:val="1"/>
          <w:i w:val="1"/>
          <w:iCs w:val="1"/>
          <w:color w:val="auto"/>
        </w:rPr>
        <w:t>Stock-based Compensation Expense</w:t>
      </w: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related to stock-based awards, primarily stock options and RSUs, on our consolidated statements of operations during the periods presented: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gridSpan w:val="8"/>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6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9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and 2013, we capitalized $8 million and $5 million, respectively, of stock-based compensation as website development costs. This amount was immaterial for the year ended December 31, 2012.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Incentive Plan</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On December 20, 2011, our 2011 Stock and Annual Incentive Plan became effective and we filed Post-Effective Amendment No. 1 on Form S-8 to Registration Statement on Form S-4 (File No. 333-178637) (the “Prior Registration Statement”) with the Securities and Exchange Commission (the “Commission”), registering a total of 17,500,000 shares of our common stock, of which 17,400,000 shares were issuable in connection with grants of equity-based awards under our 2011 Incentive Plan (7,400,000 of which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553" w:right="319" w:bottom="1440" w:gutter="0" w:footer="0" w:header="0"/>
        </w:sectPr>
      </w:pPr>
    </w:p>
    <w:bookmarkStart w:id="79" w:name="page80"/>
    <w:bookmarkEnd w:id="79"/>
    <w:p>
      <w:pPr>
        <w:ind w:right="440"/>
        <w:spacing w:after="0" w:line="266" w:lineRule="auto"/>
        <w:rPr>
          <w:sz w:val="20"/>
          <w:szCs w:val="20"/>
          <w:color w:val="auto"/>
        </w:rPr>
      </w:pPr>
      <w:r>
        <w:rPr>
          <w:rFonts w:ascii="Times New Roman" w:cs="Times New Roman" w:eastAsia="Times New Roman" w:hAnsi="Times New Roman"/>
          <w:sz w:val="18"/>
          <w:szCs w:val="18"/>
          <w:color w:val="auto"/>
        </w:rPr>
        <w:t>shares were originally registered on the Form S-4 and 10,000,000 of which shares were first registered on the Prior Registration Statement) and 100,000 shares were issuable under our Deferred Compensation Plan for Non-Employee Directors (refer to “Note 13— Employee Benefit Plans” below for information on our Deferred Compensation Plan for Non-Employee Directors).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At our annual meeting of stockholders held on June 28, 2013 (the “Annual Meeting”),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by the amendment as the “2011 Incentive Plan.” A summary of the material terms of the 2011 Incentive Plan can be found in “Proposal 3: Approval of the 2011 Stock and Annual Incentive Plan, as amended” in our Proxy Statement for the Annual Meeting.</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September 12, 2014, we filed a Registration Statement on Form S-8 with respect to up to 100,595 shares of our common stock for issuance under the Viator, Inc. 2010 Stock Incentive Plan, as amended (the “Viator Plan”). Pursuant to the Amended and Restated Agreement and Plan of Merger among TripAdvisor LLC; Vineyard Acquisition Corporation and Viator, Inc., dated as of July 24, 2014 (the “Merger Agreement”), Vineyard Acquisition Corporation merged with and into Viator, Inc. with Viator, Inc. surviving as a wholly-owned subsidiary of the Company. In accordance with the Merger Agreement, we assumed certain outstanding options to purchase shares of common stock of Viator granted under the Viator Plan (the “Assumed Options”). As a result of this assumption, the Assumed Options were converted into options to purchase shares of our common stock. We do not intend to grant new equity or equity-based awards under the Viator Plan.</w:t>
      </w:r>
    </w:p>
    <w:p>
      <w:pPr>
        <w:spacing w:after="0" w:line="189"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Pursuant to the 2011 Annual Incentive Plan, we may, among other things, grant RSUs, restricted stock, stock options and other stock-based awards to our directors, officers, employees and consultants. The summary of the material terms of the 2011 Incentive Plan is qualified in its entirety by the full text of the 2011 Incentive Plan previously filed.</w:t>
      </w:r>
    </w:p>
    <w:p>
      <w:pPr>
        <w:spacing w:after="0" w:line="176" w:lineRule="exact"/>
        <w:rPr>
          <w:sz w:val="20"/>
          <w:szCs w:val="20"/>
          <w:color w:val="auto"/>
        </w:rPr>
      </w:pPr>
    </w:p>
    <w:p>
      <w:pPr>
        <w:ind w:right="80" w:firstLine="518"/>
        <w:spacing w:after="0" w:line="313" w:lineRule="auto"/>
        <w:rPr>
          <w:sz w:val="20"/>
          <w:szCs w:val="20"/>
          <w:color w:val="auto"/>
        </w:rPr>
      </w:pPr>
      <w:r>
        <w:rPr>
          <w:rFonts w:ascii="Times New Roman" w:cs="Times New Roman" w:eastAsia="Times New Roman" w:hAnsi="Times New Roman"/>
          <w:sz w:val="17"/>
          <w:szCs w:val="17"/>
          <w:color w:val="auto"/>
        </w:rPr>
        <w:t>As of December 31, 2014, the total number of shares available for issuance under the 2011 Incentive Plan is 17,691,977 shares. All shares of common stock issued in respect of the exercise of options or other equity awards since Spin-Off have been issued from authorized, but unissued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Award Activity and Valuation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Activity</w:t>
      </w:r>
    </w:p>
    <w:p>
      <w:pPr>
        <w:spacing w:after="0" w:line="119"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have issued 679,568 of primarily service based non-qualified stock options primarily from the 2011 Incentive Plan. These stock options generally have a term of ten years from the date of grant and generally vest equitably over a four-year requisite service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is presented below:</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Assumed options from acquisition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Exercised (1)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outstanding at December 31, 2014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tcBorders>
              <w:bottom w:val="single" w:sz="8" w:color="CFF0FC"/>
            </w:tcBorders>
          </w:tcPr>
          <w:p>
            <w:pPr>
              <w:spacing w:after="0"/>
              <w:rPr>
                <w:sz w:val="22"/>
                <w:szCs w:val="22"/>
                <w:color w:val="auto"/>
              </w:rPr>
            </w:pP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2014</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after December 31, 2014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140" w:hanging="532"/>
        <w:spacing w:after="0" w:line="258"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628,010 options, which were not converted into shares due to net share settlement in order to cover the aggregate exercise price and the minimum amount of required employee withholding taxes. Potential shares which had been convertible under stock options that were withheld under net share settlement remain in the authorized but unissued pool under the 2011 Incentive Plan and can be reissued by the Company. We began net-share settling the majority of our stock option exercises during the third quarter of 2013. Total payments for the employees’ tax obligations to the taxing authorities due to net share settlements are reflected as a financing activity within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2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45" w:right="239" w:bottom="1440" w:gutter="0" w:footer="0" w:header="0"/>
        </w:sectPr>
      </w:pPr>
    </w:p>
    <w:bookmarkStart w:id="80" w:name="page81"/>
    <w:bookmarkEnd w:id="80"/>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NASDAQ as of December 31, 2014 was $74.66. The total intrinsic value of stock options exercised for the years ended December 31, 2014, 2013, and 2012 were $75 million, $58 million, and $25 million, respectively.</w:t>
      </w:r>
    </w:p>
    <w:p>
      <w:pPr>
        <w:spacing w:after="0" w:line="176"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under the 2011 Plan and Viator Plan has been estimated at the date of grant using the Black–Scholes option pricing model with the following weighted average assumptions for the periods presented: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44.04%</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50.78%</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53.46%</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120" w:firstLine="518"/>
        <w:spacing w:after="0" w:line="281"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excluding assumed acquisition-related options, was $46.65, $28.30, and $20.36 for the years ended December 31, 2014, 2013 and 2012, respectively. The weighted-average grant date fair value of assumed acquisition-related options was $80.31 for the year ended December 31, 2014. There were no assumed acquisition-related options granted for the years ended December 31, 2013 and 2012. The total fair value of stock options vested for the years ended December 31, 2014, 2013, and 2012 were $34 million, $27 million, and $10 million, respectively.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RSU Activity</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we issued 752,460 RSUs under the 2011 Incentive Plan for which the fair value was measured based on the quoted price of our common stock on the date of grant. These RSUs generally vest over a four-year requisite service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RSU activity: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69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3"/>
        </w:trPr>
        <w:tc>
          <w:tcPr>
            <w:tcW w:w="692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56"/>
        </w:trPr>
        <w:tc>
          <w:tcPr>
            <w:tcW w:w="69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2013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2014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140" w:hanging="532"/>
        <w:spacing w:after="0" w:line="261"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103,641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Activity</w:t>
      </w:r>
    </w:p>
    <w:p>
      <w:pPr>
        <w:spacing w:after="0" w:line="11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In total, at Spin-Off, the warrants could have been converted into a maximum of 8,046,698 shares of our common stock without any further adjustments to the Warrant Agreement and had an expiration date of May 7,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53" w:right="239" w:bottom="1440" w:gutter="0" w:footer="0" w:header="0"/>
        </w:sectPr>
      </w:pPr>
    </w:p>
    <w:bookmarkStart w:id="81" w:name="page82"/>
    <w:bookmarkEnd w:id="81"/>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One tranche of warrants (issued in respect of Expedia warrants that had featured an exercise price of $12.23 per warrant prior to adjustment) were exercisable for 0.25 (one-quarter) of a share of TripAdvisor common stock at an exercise price equal to $6.48 per warrant, and the other tranche of warrants (issued in respect of Expedia warrants that had featured an exercise price of $14.45 per warrant prior to adjustment) were exercisable for 0.25 (one-quarter) of a share of TripAdvisor common stock at an exercise price equal to $7.66 per warrant. The exercise price could have been paid in cash or via “cashless exercise” as set forth in the Warrant Agreement.</w:t>
      </w:r>
    </w:p>
    <w:p>
      <w:pPr>
        <w:spacing w:after="0" w:line="18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2012, and prior to the expiration date, there were a total of 32,186,791 warrants exercised which resulted in a total of 7,952,456 shares of our common stock being issued during that period, which included 31,641,337 warrants for which the exercise price was paid in cash at a weighted average price of $27.11. We received total exercise proceeds of $215 million related to these warrant exercises, which is reflected as a financing activity within the consolidated statement of cash flows. In addition there were 545,454 cashless warrants exercised with a weighted average exercise price of $25.92 of which we did not receive any exercise proceeds. We currently have no outstanding warrants remaining which could be convertible to shares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A summary of our remaining unrecognized compensation expense, net of estimated forfeitures, and the weighted average remaining amortization period at December 31, 2014 related to our non-vested stock options and RSU awards is presented below (in millions, except per year information):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8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5560" w:type="dxa"/>
            <w:vAlign w:val="bottom"/>
          </w:tcPr>
          <w:p>
            <w:pPr>
              <w:spacing w:after="0"/>
              <w:rPr>
                <w:sz w:val="15"/>
                <w:szCs w:val="15"/>
                <w:color w:val="auto"/>
              </w:rPr>
            </w:pPr>
          </w:p>
        </w:tc>
        <w:tc>
          <w:tcPr>
            <w:tcW w:w="8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compensation expense (net of forfeitures)</w:t>
            </w:r>
          </w:p>
        </w:tc>
        <w:tc>
          <w:tcPr>
            <w:tcW w:w="82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period remaining (in years)</w:t>
            </w: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December 31, 2014 and December 31, 2013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10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r>
      <w:tr>
        <w:trPr>
          <w:trHeight w:val="223"/>
        </w:trPr>
        <w:tc>
          <w:tcPr>
            <w:tcW w:w="30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10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r>
      <w:tr>
        <w:trPr>
          <w:trHeight w:val="223"/>
        </w:trPr>
        <w:tc>
          <w:tcPr>
            <w:tcW w:w="30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December 31, 2014 and 2013, respectively.</w:t>
      </w:r>
    </w:p>
    <w:p>
      <w:pPr>
        <w:spacing w:after="0" w:line="180"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material realized gains or losses related to sales of our marketable securities for the years ended December 31, 2014, 2013 and 2012.</w:t>
      </w:r>
    </w:p>
    <w:p>
      <w:pPr>
        <w:spacing w:after="0" w:line="22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2014, we have marketable securities with a total fair value of $68 million currently in an unrealized loss position. The gross unrealized loss amount was not material at December 31, 2014. We consider the declines in market value of our marketable securities investment portfolio to be temporary in nature and do not consider any of our investments other-than-temporarily impaired. During the years ended December 31, 2014, 2013 and 2012, we did not recognize any impairment charges. We also did not have any material investments in marketable securities that were in a continuous unrealized loss position for 12 months or greater at December 31, 2014 or 2013.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Our current forward contracts are not designated as hedges and have current maturities of less than 90 days. Consequently, any gain or loss resulting from the change in fair value was recognized in our consolidated statement of operations. All gains and losses recorded to other, net on the consolidated statement of operations for the years ended December 31, 2014, 2013, and 2012 were not material.</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that are not designated as hedging instruments for the periods presented:</w:t>
      </w: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64"/>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2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3"/>
          </w:tcPr>
          <w:p>
            <w:pPr>
              <w:jc w:val="right"/>
              <w:ind w:right="90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exchange-forward contracts </w:t>
            </w:r>
            <w:r>
              <w:rPr>
                <w:rFonts w:ascii="Times New Roman" w:cs="Times New Roman" w:eastAsia="Times New Roman" w:hAnsi="Times New Roman"/>
                <w:sz w:val="14"/>
                <w:szCs w:val="14"/>
                <w:color w:val="auto"/>
              </w:rPr>
              <w:t>(1)(2)</w:t>
            </w: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r>
    </w:tbl>
    <w:p>
      <w:pPr>
        <w:spacing w:after="0" w:line="252"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address foreign exchange fluctuations for the Euro versus the U.S. Dollar.</w:t>
      </w:r>
    </w:p>
    <w:p>
      <w:pPr>
        <w:spacing w:after="0" w:line="27" w:lineRule="exact"/>
        <w:rPr>
          <w:rFonts w:ascii="Times New Roman" w:cs="Times New Roman" w:eastAsia="Times New Roman" w:hAnsi="Times New Roman"/>
          <w:sz w:val="18"/>
          <w:szCs w:val="18"/>
          <w:color w:val="auto"/>
        </w:rPr>
      </w:pPr>
    </w:p>
    <w:p>
      <w:pPr>
        <w:jc w:val="both"/>
        <w:ind w:left="540" w:right="140" w:hanging="532"/>
        <w:spacing w:after="0" w:line="255"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derivatives are not material for all periods presented and are reported as liabilities in accrued and other current liabilities on our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87" w:right="239" w:bottom="1440" w:gutter="0" w:footer="0" w:header="0"/>
        </w:sectPr>
      </w:pPr>
    </w:p>
    <w:bookmarkStart w:id="83" w:name="page84"/>
    <w:bookmarkEnd w:id="83"/>
    <w:p>
      <w:pPr>
        <w:ind w:left="2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the consolidated balance sheets as of December 31, 2014 and December 31, 2013. The carrying value of the long-term borrowings outstanding on our Credit Agreement bears interest at a variable rate and therefore is also considered to approximate fair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3 assets or liabilities at December 31, 2014 or 2013.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 for the periods presented: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156"/>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73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 (1)</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40" w:hanging="532"/>
        <w:spacing w:after="0" w:line="25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capitalize construction in progress for build-to-suit lease agreements where we are considered the owner, for accounting purposes only, during the construction period. These amounts represent construction costs to date incurred by the landlord and the Company related to our future corporate headquarters in Needham, MA. During the years ended December 31, 2014 and 2013, we capitalized $52 million and $8 million, respectively, in non-cash construction costs which were incurred by the landlord, with a corresponding liability recorded in other long-term liabilities, and in addition, we capitalized $26 million in normal and structural tenant improvements on our consolidated balance sheet incurred by the Company.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additional information on our future corporate headquarters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20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2014 and 2013, our recorded capitalized software and website development costs, net of accumulated amortization, were $61 million and $46 million, respectively. For the years ended December 31, 2014 and 2013, we capitalized $47 million and $38 million, respectively, related to software and website development costs. For the years ended December 31, 2014, 2013 and 2012, we recorded amortization of capitalized software and website development costs of $30 million, $20 million and $13 million, respectively, which is included in depreciation expense on our consolidated statements of operations for those years.</w:t>
      </w:r>
    </w:p>
    <w:p>
      <w:pPr>
        <w:spacing w:after="0" w:line="184"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retired and disposed of property and equipment, primarily capitalized software and website development, which were no longer in use with a total cost of $22 million and associated accumulated depreciation of $20 million, resulting in a loss of $2 million included in operating income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659"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segment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TripAdvisor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8"/>
        </w:trPr>
        <w:tc>
          <w:tcPr>
            <w:tcW w:w="4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(1)</w:t>
            </w:r>
          </w:p>
        </w:tc>
        <w:tc>
          <w:tcPr>
            <w:tcW w:w="15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(1)</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adjustments (2)</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Allocation to new segments (3)</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 2014</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0"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additions to goodwill relate to our business acquisitions.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information.</w:t>
      </w:r>
    </w:p>
    <w:p>
      <w:pPr>
        <w:spacing w:after="0" w:line="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impact of changes in foreign exchange rates to goodwill.</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w:t>
      </w:r>
      <w:r>
        <w:rPr>
          <w:rFonts w:ascii="Times New Roman" w:cs="Times New Roman" w:eastAsia="Times New Roman" w:hAnsi="Times New Roman"/>
          <w:sz w:val="18"/>
          <w:szCs w:val="18"/>
          <w:i w:val="1"/>
          <w:iCs w:val="1"/>
          <w:color w:val="auto"/>
        </w:rPr>
        <w:t>Segments and Geographic Information</w:t>
      </w:r>
      <w:r>
        <w:rPr>
          <w:rFonts w:ascii="Times New Roman" w:cs="Times New Roman" w:eastAsia="Times New Roman" w:hAnsi="Times New Roman"/>
          <w:sz w:val="18"/>
          <w:szCs w:val="18"/>
          <w:color w:val="auto"/>
        </w:rPr>
        <w:t>” for information on our reporting segment changes in the fourth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7"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which were acquired in business combinations and recorded at fair value on the date of purchase, consist of the following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540" w:type="dxa"/>
            <w:vAlign w:val="bottom"/>
          </w:tcPr>
          <w:p>
            <w:pPr>
              <w:spacing w:after="0"/>
              <w:rPr>
                <w:sz w:val="19"/>
                <w:szCs w:val="19"/>
                <w:color w:val="auto"/>
              </w:rPr>
            </w:pPr>
          </w:p>
        </w:tc>
        <w:tc>
          <w:tcPr>
            <w:tcW w:w="35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9"/>
                <w:szCs w:val="19"/>
                <w:color w:val="auto"/>
              </w:rPr>
            </w:pPr>
          </w:p>
        </w:tc>
      </w:tr>
      <w:tr>
        <w:trPr>
          <w:trHeight w:val="223"/>
        </w:trPr>
        <w:tc>
          <w:tcPr>
            <w:tcW w:w="5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354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5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4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4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19"/>
                <w:szCs w:val="19"/>
                <w:color w:val="auto"/>
              </w:rPr>
            </w:pPr>
          </w:p>
        </w:tc>
        <w:tc>
          <w:tcPr>
            <w:tcW w:w="24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$18 million, $6 million, and $6 million, respectively, for the years ended December 31, 2014, 2013 and 2012.</w:t>
      </w:r>
    </w:p>
    <w:p>
      <w:pPr>
        <w:spacing w:after="0" w:line="223" w:lineRule="exact"/>
        <w:rPr>
          <w:sz w:val="20"/>
          <w:szCs w:val="20"/>
          <w:color w:val="auto"/>
        </w:rPr>
      </w:pPr>
    </w:p>
    <w:p>
      <w:pPr>
        <w:ind w:right="3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Our indefinite-lived assets relate to trade names and trademarks.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above for a discussion of our annual indefinite-lived intangible asset impairment assessment.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our intangible assets with definite lives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 and supplier relationships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above for a discussion of definite lived intangible assets acquired in business combinations during the years ended December 31, 2014 and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333" w:right="239" w:bottom="1440" w:gutter="0" w:footer="0" w:header="0"/>
        </w:sectPr>
      </w:pPr>
    </w:p>
    <w:bookmarkStart w:id="85" w:name="page86"/>
    <w:bookmarkEnd w:id="85"/>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 Due 2016 and 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December 20, 2011, we entered into a credit agreement,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72" w:lineRule="exact"/>
        <w:rPr>
          <w:sz w:val="20"/>
          <w:szCs w:val="20"/>
          <w:color w:val="auto"/>
        </w:rPr>
      </w:pPr>
    </w:p>
    <w:p>
      <w:pPr>
        <w:ind w:left="1020" w:hanging="358"/>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Facility, or Term Loan, in an aggregate principal amount of $400 million with a term of five years due December 2016; and</w:t>
      </w:r>
    </w:p>
    <w:p>
      <w:pPr>
        <w:spacing w:after="0" w:line="117" w:lineRule="exact"/>
        <w:rPr>
          <w:rFonts w:ascii="Times New Roman" w:cs="Times New Roman" w:eastAsia="Times New Roman" w:hAnsi="Times New Roman"/>
          <w:sz w:val="18"/>
          <w:szCs w:val="18"/>
          <w:color w:val="auto"/>
        </w:rPr>
      </w:pPr>
    </w:p>
    <w:p>
      <w:pPr>
        <w:ind w:left="1020" w:right="20" w:hanging="358"/>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Facility in an aggregate principal amount of $200 million available in U.S. dollars, Euros and British pound sterling with a term of five years expiring December 2016.</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December 31, 2014 and 2013, we were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85" w:lineRule="exact"/>
        <w:rPr>
          <w:sz w:val="20"/>
          <w:szCs w:val="20"/>
          <w:color w:val="auto"/>
        </w:rPr>
      </w:pPr>
    </w:p>
    <w:p>
      <w:pPr>
        <w:ind w:right="40" w:firstLine="518"/>
        <w:spacing w:after="0" w:line="313" w:lineRule="auto"/>
        <w:rPr>
          <w:sz w:val="20"/>
          <w:szCs w:val="20"/>
          <w:color w:val="auto"/>
        </w:rPr>
      </w:pPr>
      <w:r>
        <w:rPr>
          <w:rFonts w:ascii="Times New Roman" w:cs="Times New Roman" w:eastAsia="Times New Roman" w:hAnsi="Times New Roman"/>
          <w:sz w:val="17"/>
          <w:szCs w:val="17"/>
          <w:color w:val="auto"/>
        </w:rPr>
        <w:t>The Term Loan principal is currently repayable in quarterly installments on the last day of each calendar quarter equal to 2.5% of the original principal amount with the balance due on the final maturity date. Principal payments aggregating $40 million were made during the year ended December 31, 2014.</w:t>
      </w:r>
    </w:p>
    <w:p>
      <w:pPr>
        <w:spacing w:after="0" w:line="13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Revolving Credit Facility includes $40 million of borrowing capacity available for letters of credit and $40 million for borrowings on same-day notice. As of December 31, 2014 there are no outstanding borrowings under our Revolving Credit Facility. As of December 31, 2014 there were $1 million of outstanding letters of credit against the Revolving Credit Facility.</w:t>
      </w:r>
    </w:p>
    <w:p>
      <w:pPr>
        <w:spacing w:after="0" w:line="176"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we recorded total interest and commitment fees on our Credit Agreement of $6 million, $8 million and $9 million, respectively, to interest expense on our consolidated statements of operations. All unpaid interest and commitment fee amounts as of December 31, 2014 and 2013 were not material.</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we also incurred debt financing costs totaling $3.5 million, which were initially capitalized as deferred financing costs. During the years ended December 31, 2014, 2013 and 2012, we recorded amortization expense of $1 million, respectively, to interest expense on our consolidated statements of operations. These costs will continue to be amortized over the remaining term of the Term Loan using the effective interest rate method.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color w:val="auto"/>
        </w:rPr>
        <w:t>Total outstanding borrowings under the Credit Agreement consist of the following:</w:t>
      </w:r>
    </w:p>
    <w:p>
      <w:pPr>
        <w:spacing w:after="0" w:line="30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8"/>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1040" w:type="dxa"/>
            <w:vAlign w:val="bottom"/>
            <w:gridSpan w:val="3"/>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Long-Term Debt:</w:t>
            </w: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Total Long-Term Borrowings</w:t>
            </w:r>
          </w:p>
        </w:tc>
        <w:tc>
          <w:tcPr>
            <w:tcW w:w="2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320" w:type="dxa"/>
            <w:vAlign w:val="bottom"/>
            <w:gridSpan w:val="12"/>
          </w:tcPr>
          <w:p>
            <w:pPr>
              <w:jc w:val="right"/>
              <w:ind w:right="357"/>
              <w:spacing w:after="0"/>
              <w:rPr>
                <w:sz w:val="20"/>
                <w:szCs w:val="20"/>
                <w:color w:val="auto"/>
              </w:rPr>
            </w:pPr>
            <w:r>
              <w:rPr>
                <w:rFonts w:ascii="Times New Roman" w:cs="Times New Roman" w:eastAsia="Times New Roman" w:hAnsi="Times New Roman"/>
                <w:sz w:val="18"/>
                <w:szCs w:val="18"/>
                <w:color w:val="auto"/>
                <w:w w:val="99"/>
              </w:rPr>
              <w:t>The future minimum principal payment obligations due under the Credit Agreement related to our Term Loan is as follows: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173"/>
        </w:trPr>
        <w:tc>
          <w:tcPr>
            <w:tcW w:w="48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2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2015</w:t>
            </w:r>
          </w:p>
        </w:tc>
        <w:tc>
          <w:tcPr>
            <w:tcW w:w="2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2016</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Credit Agreement at any time without premium or penalty, other than customary breakage costs with respect to Eurocurrency loans.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we are in compliance with all of our debt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Credit Agreement, we maintain our Chinese Credit Facilities. As of December 31, 2014 and 2013, we had short-term borrowings outstanding of $38 million and $28 million, respectively.</w:t>
      </w:r>
    </w:p>
    <w:p>
      <w:pPr>
        <w:spacing w:after="0" w:line="162"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Certain of our Chinese subsidiaries are entered into a RMB 189,000,000 (approximately $30 million), one-year revolving credit facility with Bank of America (the “Chinese Credit Facility—BOA”) that is currently subject to review on a periodic basis with no-specific expiration period. We had $19 million of outstanding borrowings from the Chinese Credit Facility—BOA as of December 31, 2014. Our Chinese Credit Facility—BOA currently bears interest at a 100% of the People’s Bank of China’s base rate which was 5.6% as of December 31, 2014.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553" w:right="279" w:bottom="1440" w:gutter="0" w:footer="0" w:header="0"/>
        </w:sectPr>
      </w:pPr>
    </w:p>
    <w:bookmarkStart w:id="87" w:name="page88"/>
    <w:bookmarkEnd w:id="87"/>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certain of our Chinese subsidiaries are entered into a RMB 125,000,000 (approximately $20 million) one-year revolving credit facility with J.P. Morgan Chase Bank (“Chinese Credit Facility-JPM”). We had $19 million of outstanding borrowings from the Chinese Credit Facility—JPM as of December 31, 2014. Our Chinese Credit Facility—JPM currently bears interest at a 100% of the People’s Bank of China’s base rate which was 5.6% as of December 31, 2014.</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domestic and foreign income before income taxes: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306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components of our provision for income taxes: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20" w:type="dxa"/>
            <w:vAlign w:val="bottom"/>
          </w:tcPr>
          <w:p>
            <w:pPr>
              <w:spacing w:after="0"/>
              <w:rPr>
                <w:sz w:val="22"/>
                <w:szCs w:val="22"/>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8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r>
      <w:tr>
        <w:trPr>
          <w:trHeight w:val="25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2014, our current income tax receivable and income tax payable balances represent amounts that we will receive and pay, respectively, to the Internal Revenue Service and other tax authorities.</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240" w:top="553" w:right="41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Our deferred tax assets and deferred tax liabilities as of December 31, 2014 and 2013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80" w:type="dxa"/>
            <w:vAlign w:val="bottom"/>
            <w:gridSpan w:val="2"/>
            <w:shd w:val="clear" w:color="auto" w:fill="CFF0FC"/>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Build-to-suit lease</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advertising spend</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0" w:type="dxa"/>
            <w:vAlign w:val="bottom"/>
          </w:tcPr>
          <w:p>
            <w:pPr>
              <w:spacing w:after="0"/>
              <w:rPr>
                <w:sz w:val="19"/>
                <w:szCs w:val="19"/>
                <w:color w:val="auto"/>
              </w:rPr>
            </w:pPr>
          </w:p>
        </w:tc>
        <w:tc>
          <w:tcPr>
            <w:tcW w:w="68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0" w:type="dxa"/>
            <w:vAlign w:val="bottom"/>
          </w:tcPr>
          <w:p>
            <w:pPr>
              <w:spacing w:after="0"/>
              <w:rPr>
                <w:sz w:val="19"/>
                <w:szCs w:val="19"/>
                <w:color w:val="auto"/>
              </w:rPr>
            </w:pPr>
          </w:p>
        </w:tc>
        <w:tc>
          <w:tcPr>
            <w:tcW w:w="680" w:type="dxa"/>
            <w:vAlign w:val="bottom"/>
            <w:tcBorders>
              <w:top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0" w:type="dxa"/>
            <w:vAlign w:val="bottom"/>
            <w:tcBorders>
              <w:top w:val="single" w:sz="8" w:color="CFF0FC"/>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8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2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(144)</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0" w:type="dxa"/>
            <w:vAlign w:val="bottom"/>
          </w:tcPr>
          <w:p>
            <w:pPr>
              <w:spacing w:after="0"/>
              <w:rPr>
                <w:sz w:val="19"/>
                <w:szCs w:val="19"/>
                <w:color w:val="auto"/>
              </w:rPr>
            </w:pPr>
          </w:p>
        </w:tc>
        <w:tc>
          <w:tcPr>
            <w:tcW w:w="6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2014, we had federal, state and foreign net operating loss carryforwards (“NOLs”) of approximately $42 million, $36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million. If not utilized, the federal and state NOLs will expire at various times between 2020 and 2034 and the foreign NOLs will expire at various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2015 and 2034.</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2014, we had a valuation allowance of $19 million primarily related to foreign net operating loss carryforwards for which it is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than not that the tax benefit will not be realized. This amount represented an overall increase of $6 million over the amount recorded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The increase is primarily due to additional foreign advertising spend, offset by expiring foreign net operating losses. Except for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we expect to realize all of our deferred tax assets based on a strong history of earnings in the US and other jurisdictions, as well as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reversals of taxable temporary differences.</w:t>
      </w:r>
    </w:p>
    <w:p>
      <w:pPr>
        <w:spacing w:after="0" w:line="20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have not provided for deferred U.S. income taxes on undistributed earnings of our foreign subsidiaries that we intend to reinvest permanently outside the United States; the total amount of such earnings as of December 31, 2014 was $630 million.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8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amounts computed by applying the statutory federal income tax rate to income before income taxes is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at the federal statutory rate of 35%</w:t>
            </w:r>
          </w:p>
        </w:tc>
        <w:tc>
          <w:tcPr>
            <w:tcW w:w="176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87</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53" w:right="299" w:bottom="1440" w:gutter="0" w:footer="0" w:header="0"/>
        </w:sectPr>
      </w:pPr>
    </w:p>
    <w:bookmarkStart w:id="89" w:name="page90"/>
    <w:bookmarkEnd w:id="89"/>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is set to expire on June 30, 2016, with the ability to extend for another five years. This benefit resulted in a decrease to the 2014 tax provision of $6 million or an incremental $0.04 to Diluted EPS for 2014.</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By virtue of previously filed consolidated income tax returns filed with Expedia, we are currently under an IRS audit for the 2009 and 2010 tax years, and have various ongoing state income tax audits. We are separately under audit for the 2012 tax year. As of December 31, 2014, no material assessments have resulted from these audits. These audits include questioning of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(excluding interest and penalties)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76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tax positions related to the current year</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to tax positions related to the prior year</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lapsed statute of limitations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to tax positions related to the prior year</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Settlements during current year</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2014, we had $67 million of unrecognized tax benefits, net of interest, which is classified as long-term and included in other long-term liabilities. Of this amount, approximately $65 million would affect the effective tax rate if recognized, while $2 million would affect goodwill. We recognize interest and penalties related to unrecognized tax benefits in income tax expense. As of December 31, 2014 and 2013, total gross interest accrued was $4 million and $2 million, respectively. We estimate that approximately $1 million will be paid within the next year related to audits.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for the periods presented: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156"/>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71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related 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charitable foundation payments (1)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0" w:lineRule="exact"/>
        <w:rPr>
          <w:sz w:val="20"/>
          <w:szCs w:val="20"/>
          <w:color w:val="auto"/>
        </w:rPr>
      </w:pPr>
    </w:p>
    <w:p>
      <w:pPr>
        <w:ind w:left="540" w:hanging="532"/>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information regarding our charitable foundation.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11: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for the periods presented: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156"/>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71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liabilities (2)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9—Income Taxes” for additional information on our unrecognized tax benefits. Amount includes accrued interest related to this liability.</w:t>
      </w:r>
    </w:p>
    <w:p>
      <w:pPr>
        <w:spacing w:after="0" w:line="27" w:lineRule="exact"/>
        <w:rPr>
          <w:rFonts w:ascii="Times New Roman" w:cs="Times New Roman" w:eastAsia="Times New Roman" w:hAnsi="Times New Roman"/>
          <w:sz w:val="18"/>
          <w:szCs w:val="18"/>
          <w:color w:val="auto"/>
        </w:rPr>
      </w:pPr>
    </w:p>
    <w:p>
      <w:pPr>
        <w:ind w:left="540" w:hanging="532"/>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capitalize construction in progress and record a corresponding long-term liability for build-to-suit lease agreements where we are considered the owner during the construction period for accounting purposes only.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additional information on our future corporate headquarters lease.</w:t>
      </w:r>
    </w:p>
    <w:p>
      <w:pPr>
        <w:spacing w:after="0" w:line="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consist of long term deferred rent balances related to operating leases for office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200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have material commitments and obligations that include office space leases and expected interest on long-term debt, which are not accrued on the consolidated balance sheet at December 31, 2014 but we expect to require future cash outflows.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 Commitments</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Operating lease obligations expire at various dates with the latest maturity in December 2030. For the years ended December 31, 2014, 2013 and 2012, we recorded rental expense of $17 million, $11 million and $8 million, respectively.</w:t>
      </w:r>
    </w:p>
    <w:p>
      <w:pPr>
        <w:spacing w:after="0" w:line="18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119,000 square feet for our corporate headquarters in Newton, Massachusetts, pursuant to a lease with an expiration date of April 2015. We are in the process of negotiating an extension of this lease until mid-2015.</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Transition to New Corporate Headquarters</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(the “Lease”), for a new corporate headquarters.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 TA LLC also has an option to extend the term of the Lease for two consecutive terms of five years each.</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aggregate future minimum lease payments are $143 million and are currently scheduled to be paid, beginning in November 2015, as follows: $1 million for 2015, $9 million for 2016, $9 million for 2017, $9 million for 2018, $9 million for 2019 and $106 million for 2020 and thereafter. The Lease has escalating rental payments and initial periods of free rent. TA LLC was also obligated to deliver a letter of credit to the Landlord in the amount of $1 million as security deposit, which amount is subject to increase under certain circumstances. TA LLC also has an option to extend the term of the Lease for two consecutive terms of five years each. Subject to certain conditions, TA LLC has certain rights under the Lease, including rights of first offer to lease additional space or to purchase the Premises if the Landlord elects to sell. In connection with the Lease, TripAdvisor entered into a Guaranty (the “Guaranty”), pursuant to which TripAdvisor provides full payment and performance guaranty for all of TA LLC’s obligations under the Lease.</w:t>
      </w:r>
    </w:p>
    <w:p>
      <w:pPr>
        <w:spacing w:after="0" w:line="18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have concluded we are the deemed owner (for accounting purposes only) of the Premises during the construction period under build to suit lease accounting. Building construction began in the fourth quarter of 2013. Since construction began, we have recorded estimated project construction costs incurred by the landlord as a construction in progress asset and a corresponding long term liability in “Property and equipment, net” and “Other long-term liabilities,” respectively, on our consolidated balance sheets. We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333" w:right="299" w:bottom="1440" w:gutter="0" w:footer="0" w:header="0"/>
        </w:sectPr>
      </w:pPr>
    </w:p>
    <w:bookmarkStart w:id="91" w:name="page92"/>
    <w:bookmarkEnd w:id="91"/>
    <w:p>
      <w:pPr>
        <w:ind w:right="20"/>
        <w:spacing w:after="0" w:line="266" w:lineRule="auto"/>
        <w:rPr>
          <w:sz w:val="20"/>
          <w:szCs w:val="20"/>
          <w:color w:val="auto"/>
        </w:rPr>
      </w:pPr>
      <w:r>
        <w:rPr>
          <w:rFonts w:ascii="Times New Roman" w:cs="Times New Roman" w:eastAsia="Times New Roman" w:hAnsi="Times New Roman"/>
          <w:sz w:val="18"/>
          <w:szCs w:val="18"/>
          <w:color w:val="auto"/>
        </w:rPr>
        <w:t>will continue to increase the asset and corresponding long term liability as additional building costs are incurred by the landlord during the construction period. In addition, the amounts that the Company has paid or incurred for normal tenant improvements and structural improvements have also been recorded to the construction-in-progress asset.</w:t>
      </w:r>
    </w:p>
    <w:p>
      <w:pPr>
        <w:spacing w:after="0" w:line="176" w:lineRule="exact"/>
        <w:rPr>
          <w:sz w:val="20"/>
          <w:szCs w:val="20"/>
          <w:color w:val="auto"/>
        </w:rPr>
      </w:pPr>
    </w:p>
    <w:p>
      <w:pPr>
        <w:ind w:right="60" w:firstLine="518"/>
        <w:spacing w:after="0" w:line="281" w:lineRule="auto"/>
        <w:rPr>
          <w:sz w:val="20"/>
          <w:szCs w:val="20"/>
          <w:color w:val="auto"/>
        </w:rPr>
      </w:pPr>
      <w:r>
        <w:rPr>
          <w:rFonts w:ascii="Times New Roman" w:cs="Times New Roman" w:eastAsia="Times New Roman" w:hAnsi="Times New Roman"/>
          <w:sz w:val="17"/>
          <w:szCs w:val="17"/>
          <w:color w:val="auto"/>
        </w:rPr>
        <w:t>Once the landlord completes the construction of the Premises (estimated to be mid 2015), we will evaluate the Lease in order to determine whether or not the Lease meets the criteria for “sale-leaseback” treatment under GAAP. If the Lease meets the “sale-leaseback” criteria, we will remove the asset and the related liability from our consolidated balance sheet and treat the Lease as either an operating or capital lease based on the our assessment of the accounting guidance. However, we currently expect that upon completion of construction of the Premises that the Lease will not meet the "sale-leaseback" criteria.</w:t>
      </w:r>
    </w:p>
    <w:p>
      <w:pPr>
        <w:spacing w:after="0" w:line="16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If the Lease does not meet “sale-leaseback” criteria, we will treat the Lease as a financing obligation and lease payments will be attributed to (1) a reduction of the principal financing obligation; (2) imputed interest expense; and (3) land lease expense (which is considered an operating lease) representing an imputed cost to lease the underlying land of the facility. In addition, the underlying building asset will be depreciated over the initial term of the lease. And at the conclusion of the lease term, we would de-recognize both the net book values of the asset and financing obligation. Although we will not begin making lease payments pursuant to the Lease until November 2015, the portion of the lease obligations allocated to the land is treated for accounting purposes as an operating lease that commenced in 2013.</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United States and International Locations</w:t>
      </w:r>
    </w:p>
    <w:p>
      <w:pPr>
        <w:spacing w:after="0" w:line="119"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470,000 square feet at approximately 40 other locations across North America, Europe and Asia Pacific, in cities such as, New York, Boston, London, and Beijing, primarily for our sales offices, subsidiary headquarters, and international management teams, pursuant to leases with expiration dates through November 2024.</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material commitments and obligations as of December 31, 2014 and excludes amounts already recorded on the consolidated 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1"/>
                <w:szCs w:val="11"/>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1"/>
                <w:szCs w:val="11"/>
                <w:color w:val="auto"/>
              </w:rPr>
            </w:pPr>
          </w:p>
        </w:tc>
        <w:tc>
          <w:tcPr>
            <w:tcW w:w="78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1"/>
        </w:trPr>
        <w:tc>
          <w:tcPr>
            <w:tcW w:w="6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 to suit lease obligation (2)</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interest payments on Term Loan (3)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(4)(5)(6)(7)</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minimum rental payments under operating leases with non-cancelable lease terms.</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minimum rental payments for our future corporate headquarters in Needham, MA.</w:t>
      </w:r>
    </w:p>
    <w:p>
      <w:pPr>
        <w:spacing w:after="0" w:line="9" w:lineRule="exact"/>
        <w:rPr>
          <w:rFonts w:ascii="Times New Roman" w:cs="Times New Roman" w:eastAsia="Times New Roman" w:hAnsi="Times New Roman"/>
          <w:sz w:val="18"/>
          <w:szCs w:val="18"/>
          <w:color w:val="auto"/>
        </w:rPr>
      </w:pPr>
    </w:p>
    <w:p>
      <w:pPr>
        <w:ind w:left="540" w:right="80" w:hanging="532"/>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included as expected interest payments on the Term Loan in this table are based on the current effective interest rate and payment terms as of December 31, 2014, but, could change significantly in the future. Amounts assume that our existing debt is repaid at maturity and do not assume additional borrowings or refinancings of existing debt.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including principal payments expected to be paid over the next two years, on our Term Loan.</w:t>
      </w:r>
    </w:p>
    <w:p>
      <w:pPr>
        <w:spacing w:after="0" w:line="1" w:lineRule="exact"/>
        <w:rPr>
          <w:rFonts w:ascii="Times New Roman" w:cs="Times New Roman" w:eastAsia="Times New Roman" w:hAnsi="Times New Roman"/>
          <w:sz w:val="18"/>
          <w:szCs w:val="18"/>
          <w:color w:val="auto"/>
        </w:rPr>
      </w:pPr>
    </w:p>
    <w:p>
      <w:pPr>
        <w:ind w:left="540" w:right="20" w:hanging="532"/>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table was $68 million of unrecognized tax benefits, including accrued interest, that we have recorded in other long-term liabilities for which we cannot make a reasonably reliable estimate of the amount and period of payment. We estimate that approximately $1 million will be paid within the next twelve months.</w:t>
      </w:r>
    </w:p>
    <w:p>
      <w:pPr>
        <w:spacing w:after="0" w:line="1" w:lineRule="exact"/>
        <w:rPr>
          <w:rFonts w:ascii="Times New Roman" w:cs="Times New Roman" w:eastAsia="Times New Roman" w:hAnsi="Times New Roman"/>
          <w:sz w:val="18"/>
          <w:szCs w:val="18"/>
          <w:color w:val="auto"/>
        </w:rPr>
      </w:pPr>
    </w:p>
    <w:p>
      <w:pPr>
        <w:ind w:left="540" w:hanging="532"/>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Excluded from the table is our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2014. For a discussion regarding OIBA see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Geographic Information” </w:t>
      </w:r>
      <w:r>
        <w:rPr>
          <w:rFonts w:ascii="Times New Roman" w:cs="Times New Roman" w:eastAsia="Times New Roman" w:hAnsi="Times New Roman"/>
          <w:sz w:val="18"/>
          <w:szCs w:val="18"/>
          <w:color w:val="auto"/>
        </w:rPr>
        <w:t>in the notes to the consolidated financial statements. This future commitment has been excluded from the table above.</w:t>
      </w:r>
    </w:p>
    <w:p>
      <w:pPr>
        <w:spacing w:after="0" w:line="1" w:lineRule="exact"/>
        <w:rPr>
          <w:rFonts w:ascii="Times New Roman" w:cs="Times New Roman" w:eastAsia="Times New Roman" w:hAnsi="Times New Roman"/>
          <w:sz w:val="18"/>
          <w:szCs w:val="18"/>
          <w:color w:val="auto"/>
        </w:rPr>
      </w:pPr>
    </w:p>
    <w:p>
      <w:pPr>
        <w:ind w:left="540" w:right="80" w:hanging="532"/>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spending on anticipated leasehold improvements on our Needham, Massachusetts lease, including design, development, construction costs, and the purchase and installation of equipment, net of related landlord incentives, which we estimate will be in the range of $25-$30 million primarily incurred during the first six months of 2015.</w:t>
      </w:r>
    </w:p>
    <w:p>
      <w:pPr>
        <w:spacing w:after="0" w:line="1"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current liabilities already recorded on the consolidated balance sheet at December 31, 2014, as these liabilities are expected to be paid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-2489200</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2014, we have issued unused letters of credit totaling $1 million, related to our property leases.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53"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40" w:firstLine="518"/>
        <w:spacing w:after="0" w:line="313" w:lineRule="auto"/>
        <w:rPr>
          <w:sz w:val="20"/>
          <w:szCs w:val="20"/>
          <w:color w:val="auto"/>
        </w:rPr>
      </w:pPr>
      <w:r>
        <w:rPr>
          <w:rFonts w:ascii="Times New Roman" w:cs="Times New Roman" w:eastAsia="Times New Roman" w:hAnsi="Times New Roman"/>
          <w:sz w:val="17"/>
          <w:szCs w:val="17"/>
          <w:color w:val="auto"/>
        </w:rPr>
        <w:t>We did not have any off-balance sheet arrangements, as defined in Item 303(a)(4)(ii) of Regulation S-K of the SEC, that have, or are reasonably likely to have, a current or future effect on our financial condition, results of operations, liquidity, capital expenditures or capital resources at December 31, 2014.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Employees may also contribute into the 401(k) Plan on an after-tax basis up to an annual maximum of 10%. The 401(k) Plan has an automatic enrollment feature at 3% pre-tax. We match 50% of the first 6% of employee contributions to the plan for a maximum employer contribution of 3% of a participant’s eligible earnings. The “catch up contributions”, are not eligible for employer matching contributions. The matching contributions portion of an employee’s account, vests after two years of service. Effective June 8, 2012 the 401(k) Plan permits certain after-tax Roth 401(k) contributions. Additionally, at the end of the 401 (k) Plan year, we make a discretionary matching contribution to eligible participants. This additional discretionary matching employer contribution referred to as “true up” is limited to match only contributions up to 3% of eligible compensation.</w:t>
      </w:r>
    </w:p>
    <w:p>
      <w:pPr>
        <w:spacing w:after="0" w:line="18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We also have various defined contribution plans for our international employees. Our contribution to the 401(k) Plan and our international defined contribution plans was $5 million, $5 million, and $3 million for the years ended December 31, 2014, 2013 and 2012,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TripAdvisor, Inc. Deferred Compensation Plan for Non-Employee Directors</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On December 20, 2011, the TripAdvisor, Inc. Deferred Compensation Plan for Non-Employee Directors (the “Plan”) became effective.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8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Under the 2011 Incentive Plan, 100,000 shares of TripAdvisor common stock are available for issuance to non-employee directors. From the inception of the Plan through December 31, 2014, a total of 557 shares have been reserved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80"/>
          </w:cols>
          <w:pgMar w:left="240" w:top="657" w:right="2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addition to common stock, we are authorized to issue up to 100 million preferred shares, with $ 0.001 par value per share, with terms determined by our Board of Directors, without further action by our stockholders. At December 31, 2014, no preferred shares had been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Class B Common Stock</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three directors as of December 31, 2014.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132,315,465 and 130,121,292 shares of common stock issued and outstanding, respectively, at December 31, 2014 and 12,799,999 shares of Class B common stock issued and outstanding at December 31, 2014.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is primarily comprised of accumulated foreign currency translation adjustments, as follows for the periods presented:</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4"/>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foreign currency translation adjustments (1)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73"/>
              </w:rPr>
              <w:t>(31)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780" w:right="460" w:hanging="772"/>
        <w:spacing w:after="0" w:line="282"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our foreign subsidiary earnings indefinitely reinvested; therefore; deferred taxes are not provided on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0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2014, we have repurchased 2,120,709 shares of outstanding common stock under the share repurchase program at an aggregate cost of $145 million. We did not repurchase any shares under this share repurchase program during the year ended December 31, 2014. As of December 31, 2014, from the authorized share repurchase program granted by the Board of Directors we have $105 million remaining to repurchase shares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our Board of Directors did not declare any dividends on our outstanding common stock and do not expect to pay any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333"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Expedia and TripAdvisor</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post-spin obligations under the Tax Sharing Agreement.</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information regarding the status of completed and ongoing IRS audits of our consolidated income tax returns with Expedia to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Liberty Interactive Corporation, Liberty TripAdvisor Holdings, Inc. and TripAdvisor</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of December 31, 2013, Liberty beneficially owned 18,159,752 shares of our common stock and 12,799,999 shares of our Class B common stock and was considered a related party with TripAdvisor.</w:t>
      </w:r>
    </w:p>
    <w:p>
      <w:pPr>
        <w:spacing w:after="0" w:line="180"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indirectly acquired by Liberty TripAdvisor Holdings, Inc. (“LTRIP”) by means of a spin-off (the “Liberty Spin-Off”). In the Liberty Spin-Off, Liberty, LTRIP’s former parent company, distributed, by means of a dividend, to the holders of its Liberty Ventures common stock, Liberty’s entire equity interest in LTRIP. As a result of the Liberty Spin-Off, LTRIP became a separate, publicly traded company and 100% of Liberty’s interest in TripAdvisor is now held by LTRIP. Given the change in ownership of our shares, we no longer consider Liberty a related party effective as of the Liberty Spin-Off.</w:t>
      </w:r>
    </w:p>
    <w:p>
      <w:pPr>
        <w:spacing w:after="0" w:line="184" w:lineRule="exact"/>
        <w:rPr>
          <w:sz w:val="20"/>
          <w:szCs w:val="20"/>
          <w:color w:val="auto"/>
        </w:rPr>
      </w:pPr>
    </w:p>
    <w:p>
      <w:pPr>
        <w:ind w:right="120" w:firstLine="552"/>
        <w:spacing w:after="0" w:line="256" w:lineRule="auto"/>
        <w:rPr>
          <w:sz w:val="20"/>
          <w:szCs w:val="20"/>
          <w:color w:val="auto"/>
        </w:rPr>
      </w:pPr>
      <w:r>
        <w:rPr>
          <w:rFonts w:ascii="Times New Roman" w:cs="Times New Roman" w:eastAsia="Times New Roman" w:hAnsi="Times New Roman"/>
          <w:sz w:val="18"/>
          <w:szCs w:val="18"/>
          <w:color w:val="auto"/>
        </w:rPr>
        <w:t>As of December 31, 2014, LTRIP beneficially owned 18,159,752 shares of our common stock and 12,799,999 shares of our Class B common stock, which shares constitute 14.0% of the outstanding shares of Common Stock and 100% of the outstanding shares of Class B Common Stock. Assuming the conversion of all of LTRIP’s shares of Class B common stock into common stock, LTRIP would beneficially own 21.7% of the outstanding common stock (calculated in accordance with Rule 13d-3). Because each share of Class B common stock is generally entitled to ten votes per share and each share of common stock is entitled to one vote per share, LTRIP may be deemed to beneficially own equity securities representing approximately 56.6% of our voting power. We consider LTRIP a related party at December 31, 2014.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material related party transactions with Liberty or LTRIP during the years ended December 31, 2014, 2013 or 2012.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AND GEOGRAPHIC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During the fourth quarter of 2014, management changed TripAdvisor’s reportable segments to reflect changes in the management reporting structure of the organization, primarily due to recent business acquisitions, and the manner in which the chief operating decision maker, or CODM, regularly assesses information and evaluates performance for operating decision-making purposes, including allocation of resources. We believe this new segment structure better provides the CODM with information to assess performance and to make resource allocation decisions. The CODM for the company is our Chief Executive Officer.</w:t>
      </w:r>
    </w:p>
    <w:p>
      <w:pPr>
        <w:spacing w:after="0" w:line="184"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revised reporting structure includes two reportable segments: Hotel and Other. Our Other segment consists of the aggregation of three operating segments, which include our Vacation Rentals, Restaurants and Attractions businesses. All prior periods have been reclassified to conform to the current reporting structure.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333"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Hotel</w:t>
      </w:r>
    </w:p>
    <w:p>
      <w:pPr>
        <w:spacing w:after="0" w:line="11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Our Hotel segment includes revenue generated from services related to hotels, including click-based and display-based advertising revenue from making hotel room nights, airline reservations, and cruise reservations available for price comparison and booking, as well as subscription-based products such as Business Listings, transaction-based products such as Jetsetter and Tingo, and other revenue related to hotels. Our CODM is also the Hotel segment manager.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Attractions. </w:t>
      </w:r>
      <w:r>
        <w:rPr>
          <w:rFonts w:ascii="Times New Roman" w:cs="Times New Roman" w:eastAsia="Times New Roman" w:hAnsi="Times New Roman"/>
          <w:sz w:val="18"/>
          <w:szCs w:val="18"/>
          <w:color w:val="auto"/>
        </w:rPr>
        <w:t>We provide, through Viator, information and services for researching and booking destination activities around the world. Viator 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This business is comprised of our websites that provide online and mobile reservation services that connect restaurants with</w:t>
      </w:r>
    </w:p>
    <w:p>
      <w:pPr>
        <w:spacing w:after="0" w:line="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diners. These websites are currently focused on the European market, primarily through Lafourchette. Lafourchette is an online restaurant booking platform with a network of restaurant partners across Europe. Lafourchette also offers management software solutions helping restaurants to maximize business by providing a flexible online booking, discount and data tool. Revenue is primarily generated by receiving a fee for each restaurant guest seated through the online reservation systems.</w:t>
      </w:r>
    </w:p>
    <w:p>
      <w:pPr>
        <w:spacing w:after="0" w:line="184"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their properties available for rental and 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(which includes Vacation Home Rentals acquired during 2014), and European-based Holiday Lettings and Niumba.</w:t>
      </w:r>
    </w:p>
    <w:p>
      <w:pPr>
        <w:spacing w:after="0" w:line="182"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Each operating segment in our Other segment has a segment manager who is directly accountable to and maintains regular contact with our chief operating decision maker to discuss operating activities, financial results, forecasts, and plans for the segment.</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primary operating metric for evaluating segment performance is Adjusted EBITDA, which is a non-GAAP financial measure.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(6) non-recurring expenses. Such amounts are detailed in our segment reconciliation below. In addition, please see our discussion of Adjusted EBITDA in the section of this Annual Report on Form 10-K entitled “Management’s Discussion and Analysis of Financial Condition and Results of Operations.”</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years ended December 31, 2014, 2013 and 2012. We record depreciation of property and equipment, including amortization of internal-use software and website development, amortization of intangible assets, stock-based compensation, other expense, net, other non-recurring expenses, net, and income taxes, which are excluded from segment operating performance, in Corporate and unallocated. In addition, we do not report our assets or capital expenditures by segment as it would not be meaningful. We also do not regularly provide asset, capital expenditure or depreciation information by segment to our CODM.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3"/>
          </w:tcPr>
          <w:p>
            <w:pPr>
              <w:jc w:val="center"/>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0" w:type="dxa"/>
            <w:vAlign w:val="bottom"/>
            <w:tcBorders>
              <w:top w:val="single" w:sz="8" w:color="auto"/>
            </w:tcBorders>
            <w:gridSpan w:val="7"/>
          </w:tcPr>
          <w:p>
            <w:pPr>
              <w:jc w:val="center"/>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CFF0FC"/>
            </w:tcBorders>
          </w:tcPr>
          <w:p>
            <w:pPr>
              <w:spacing w:after="0"/>
              <w:rPr>
                <w:sz w:val="22"/>
                <w:szCs w:val="22"/>
                <w:color w:val="auto"/>
              </w:rPr>
            </w:pPr>
          </w:p>
        </w:tc>
        <w:tc>
          <w:tcPr>
            <w:tcW w:w="106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59" w:right="279" w:bottom="1440" w:gutter="0" w:footer="0" w:header="0"/>
        </w:sectPr>
      </w:pPr>
    </w:p>
    <w:bookmarkStart w:id="96" w:name="page97"/>
    <w:bookmarkEnd w:id="96"/>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right"/>
              <w:ind w:right="64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12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(85)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CFF0FC"/>
            </w:tcBorders>
          </w:tcPr>
          <w:p>
            <w:pPr>
              <w:spacing w:after="0"/>
              <w:rPr>
                <w:sz w:val="22"/>
                <w:szCs w:val="22"/>
                <w:color w:val="auto"/>
              </w:rPr>
            </w:pPr>
          </w:p>
        </w:tc>
        <w:tc>
          <w:tcPr>
            <w:tcW w:w="106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right"/>
              <w:ind w:right="644"/>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gridSpan w:val="2"/>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12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1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31"/>
        </w:trPr>
        <w:tc>
          <w:tcPr>
            <w:tcW w:w="33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top w:val="single" w:sz="8" w:color="CFF0FC"/>
            </w:tcBorders>
            <w:shd w:val="clear" w:color="auto" w:fill="CFF0FC"/>
          </w:tcPr>
          <w:p>
            <w:pPr>
              <w:spacing w:after="0"/>
              <w:rPr>
                <w:sz w:val="22"/>
                <w:szCs w:val="22"/>
                <w:color w:val="auto"/>
              </w:rPr>
            </w:pPr>
          </w:p>
        </w:tc>
        <w:tc>
          <w:tcPr>
            <w:tcW w:w="9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CFF0FC"/>
            </w:tcBorders>
            <w:shd w:val="clear" w:color="auto" w:fill="CFF0FC"/>
          </w:tcPr>
          <w:p>
            <w:pPr>
              <w:spacing w:after="0"/>
              <w:rPr>
                <w:sz w:val="22"/>
                <w:szCs w:val="22"/>
                <w:color w:val="auto"/>
              </w:rPr>
            </w:pPr>
          </w:p>
        </w:tc>
        <w:tc>
          <w:tcPr>
            <w:tcW w:w="940" w:type="dxa"/>
            <w:vAlign w:val="bottom"/>
            <w:tcBorders>
              <w:top w:val="single" w:sz="8" w:color="CFF0FC"/>
            </w:tcBorders>
            <w:shd w:val="clear" w:color="auto" w:fill="CFF0FC"/>
          </w:tcPr>
          <w:p>
            <w:pPr>
              <w:spacing w:after="0"/>
              <w:rPr>
                <w:sz w:val="22"/>
                <w:szCs w:val="22"/>
                <w:color w:val="auto"/>
              </w:rPr>
            </w:pPr>
          </w:p>
        </w:tc>
        <w:tc>
          <w:tcPr>
            <w:tcW w:w="36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102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top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hanging="532"/>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$87 million, $72 million and $56 million; and in our Other segment of $18 million, $9 million and $6 million for the years ended December 31, 2014,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0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our Adjusted EBITDA to net income, the most directly comparable financial measure calculated and presented in accordance with GAAP, for the periods presented: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8"/>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8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(1)</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OIBA (2)</w:t>
            </w:r>
          </w:p>
        </w:tc>
        <w:tc>
          <w:tcPr>
            <w:tcW w:w="15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hanging="532"/>
        <w:spacing w:after="0"/>
        <w:tabs>
          <w:tab w:leader="none" w:pos="5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amortization of internal use software and website development costs.</w:t>
      </w:r>
    </w:p>
    <w:p>
      <w:pPr>
        <w:spacing w:after="0" w:line="26" w:lineRule="exact"/>
        <w:rPr>
          <w:rFonts w:ascii="Times New Roman" w:cs="Times New Roman" w:eastAsia="Times New Roman" w:hAnsi="Times New Roman"/>
          <w:sz w:val="16"/>
          <w:szCs w:val="16"/>
          <w:color w:val="auto"/>
        </w:rPr>
      </w:pPr>
    </w:p>
    <w:p>
      <w:pPr>
        <w:ind w:left="540" w:right="600" w:hanging="532"/>
        <w:spacing w:after="0" w:line="276" w:lineRule="auto"/>
        <w:tabs>
          <w:tab w:leader="none" w:pos="5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define OIBA as net income (loss) plus: (1) provision for income taxes; (2) other income (expense), net; (3) stock-based compensation; (4) amortization of intangible assets; and (5) non-recurring expenses. This operating metric is only used by our management to calculate our annual obligation for our charitable foundation. Refer to “Note 12—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 discussion of our charitable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60"/>
          </w:cols>
          <w:pgMar w:left="240" w:top="587"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Geographic Information</w:t>
      </w:r>
    </w:p>
    <w:p>
      <w:pPr>
        <w:spacing w:after="0" w:line="121"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selling destination activities; fulfilling online restaurant reservations; as well as other revenue including content licensing.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revenue by product for the periods presented: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182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 other</w:t>
            </w:r>
          </w:p>
        </w:tc>
        <w:tc>
          <w:tcPr>
            <w:tcW w:w="9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Pr>
          <w:p>
            <w:pPr>
              <w:spacing w:after="0"/>
              <w:rPr>
                <w:sz w:val="19"/>
                <w:szCs w:val="19"/>
                <w:color w:val="auto"/>
              </w:rPr>
            </w:pPr>
          </w:p>
        </w:tc>
        <w:tc>
          <w:tcPr>
            <w:tcW w:w="9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geographic area, the United States, the United Kingdom and all other countries, based on the geographic location of our websites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1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FF0FC"/>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294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FF0F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property and equipment, net for the United States and all other countries based on the geographic location of the assets for the periods presented: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gridSpan w:val="3"/>
          </w:tcPr>
          <w:p>
            <w:pPr>
              <w:jc w:val="right"/>
              <w:ind w:right="17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9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0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r>
      <w:tr>
        <w:trPr>
          <w:trHeight w:val="230"/>
        </w:trPr>
        <w:tc>
          <w:tcPr>
            <w:tcW w:w="3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9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r>
      <w:tr>
        <w:trPr>
          <w:trHeight w:val="244"/>
        </w:trPr>
        <w:tc>
          <w:tcPr>
            <w:tcW w:w="3140" w:type="dxa"/>
            <w:vAlign w:val="bottom"/>
          </w:tcPr>
          <w:p>
            <w:pPr>
              <w:spacing w:after="0"/>
              <w:rPr>
                <w:sz w:val="21"/>
                <w:szCs w:val="21"/>
                <w:color w:val="auto"/>
              </w:rPr>
            </w:pPr>
          </w:p>
        </w:tc>
        <w:tc>
          <w:tcPr>
            <w:tcW w:w="220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INTEREST INCOME AND OTHER,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detail of interest income and other, net, for the periods presented: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realized and unrealized, on foreign exchange and</w:t>
            </w:r>
          </w:p>
        </w:tc>
        <w:tc>
          <w:tcPr>
            <w:tcW w:w="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derivative contracts and other, net</w:t>
            </w:r>
          </w:p>
        </w:tc>
        <w:tc>
          <w:tcPr>
            <w:tcW w:w="140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interest income and other, net</w:t>
            </w:r>
          </w:p>
        </w:tc>
        <w:tc>
          <w:tcPr>
            <w:tcW w:w="6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80"/>
          </w:cols>
          <w:pgMar w:left="240" w:top="657" w:right="37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Financial Information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financial information for the eight quarters in the period ended December 31, 2014. The results for any quarter are not necessarily indicative of future quarterly results and, accordingly, period to period comparisons should not be relied upon as an indication of future performance.</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3"/>
          </w:tcPr>
          <w:p>
            <w:pPr>
              <w:jc w:val="right"/>
              <w:ind w:right="891"/>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0.47</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FF0FC"/>
          </w:tcPr>
          <w:p>
            <w:pPr>
              <w:spacing w:after="0"/>
              <w:rPr>
                <w:sz w:val="19"/>
                <w:szCs w:val="19"/>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FF0FC"/>
          </w:tcPr>
          <w:p>
            <w:pPr>
              <w:spacing w:after="0"/>
              <w:rPr>
                <w:sz w:val="21"/>
                <w:szCs w:val="2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0.44</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FF0FC"/>
          </w:tcPr>
          <w:p>
            <w:pPr>
              <w:spacing w:after="0"/>
              <w:rPr>
                <w:sz w:val="19"/>
                <w:szCs w:val="19"/>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p>
        </w:tc>
      </w:tr>
    </w:tbl>
    <w:p>
      <w:pPr>
        <w:spacing w:after="0" w:line="39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2014,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2014,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December 31, 2014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(1992)</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333" w:right="239" w:bottom="1440" w:gutter="0" w:footer="0" w:header="0"/>
        </w:sectPr>
      </w:pPr>
    </w:p>
    <w:bookmarkStart w:id="99" w:name="page100"/>
    <w:bookmarkEnd w:id="99"/>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management evaluated the effectiveness of the Company’s internal control over financial reporting as of December 31, 2014, excluding an assessment of internal control over financial reporting of Lafourchette and Viator, and their subsidiaries. Lafourchette and Viator were acquired on May 22, 2014 and August 8, 2014, respectively, whose consolidated financial statements represent, in the aggregate, 2% of total assets, excluding goodwill and other intangibles, and 3% of total revenue, respectively, of the Company’s consolidated financial statement amounts as of and for the year ended December 31,2014. Pursuant to Exchange Act Rule 13a-15(d) or 15d-15(d), management has concluded that, as of December 31,2014, our internal control over financial reporting was effective and these exclusions will not extend beyond one year from the acquisition dates stated herein. Management has reviewed its assessment with the Audit Committee. KPMG LLP, an independent registered public accounting firm, has audited the effectiveness of our internal control over financial reporting as of December 31, 2014, as stated in their report which is included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553" w:right="259" w:bottom="1440" w:gutter="0" w:footer="0" w:header="0"/>
        </w:sectPr>
      </w:pPr>
    </w:p>
    <w:bookmarkStart w:id="100" w:name="page101"/>
    <w:bookmarkEnd w:id="100"/>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TripAdvisor, Inc.:</w:t>
      </w:r>
    </w:p>
    <w:p>
      <w:pPr>
        <w:spacing w:after="0" w:line="30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have audited TripAdvisor, Inc.’s (the Company) internal control over financial reporting as of December 31, 2014, based on criteria established in Internal Control – Integrated Framework (1992) issued by the Committee of Sponsoring Organizations of the Treadway Commission (COSO). TripAdvisor,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60" w:firstLine="518"/>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In our opinion, TripAdvisor, Inc. maintained, in all material respects, effective internal control over financial reporting as of December 31, 2014, based on criteria established in Internal Control – Integrated Framework (1992) issued by the Committee of Sponsoring Organizations of the Treadway Commission (COSO).</w:t>
      </w:r>
    </w:p>
    <w:p>
      <w:pPr>
        <w:spacing w:after="0" w:line="176"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TripAdvisor, Inc. acquired Lafourchette SAS and its subsidiaries (Lafourchette) and Viator, Inc. and its subsidiaries (Viator) during 2014, and management excluded from its assessment of the effectiveness of TripAdvisor, Inc.’s internal control over financial reporting as of December 31, 2014, Lafourchette and Viator’s internal control over financial reporting associated with total assets of 2% and total revenues of 3% included in the consolidated financial statements of the Company as of and for the year ended December 31, 2014. Our audit of internal control over financial reporting of TripAdvisor, Inc. also excluded an evaluation of the internal control over financial reporting of Lafourchette and Viator.</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 of TripAdvisor, Inc. and subsidiaries as of December 31, 2014, and the related consolidated statements of operations, comprehensive income, changes in stockholders’ equity, and cash flows for the year then ended, and our report dated February 17, 2015 expressed an unqualified opinion on those consolidated financial statements.</w:t>
      </w:r>
    </w:p>
    <w:p>
      <w:pPr>
        <w:spacing w:after="0" w:line="1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333" w:right="239" w:bottom="1440" w:gutter="0" w:footer="0" w:header="0"/>
        </w:sectPr>
      </w:pPr>
    </w:p>
    <w:bookmarkStart w:id="101" w:name="page102"/>
    <w:bookmarkEnd w:id="10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2015 Proxy Statement, which proxy statement will be filed with the Securities and Exchange Commission not later than 120 days after the close of our fiscal year ended December 31, 2014.</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2015 Proxy Statement, which proxy statement will be filed with the Securities and Exchange Commission not later than 120 days after the close of our fiscal year ended December 31, 2014.</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3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2015 Proxy Statement, which proxy statement will be filed with the Securities and Exchange Commission not later than 120 days after the close of our fiscal year ended December 31, 2014.</w:t>
      </w:r>
    </w:p>
    <w:p>
      <w:pPr>
        <w:spacing w:after="0" w:line="36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2015 Proxy Statement, which proxy statement will be filed with the Securities and Exchange Commission not later than 120 days after the close of our fiscal year ended December 31, 2014.</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2015 Proxy Statement, which proxy statement will be filed with the Securities and Exchange Commission not later than 120 days after the close of our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333" w:right="239" w:bottom="1440" w:gutter="0" w:footer="0" w:header="0"/>
        </w:sectPr>
      </w:pPr>
    </w:p>
    <w:bookmarkStart w:id="102" w:name="page103"/>
    <w:bookmarkEnd w:id="10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The following is filed as part of this Annual Report on Form 10-K:</w:t>
      </w:r>
    </w:p>
    <w:p>
      <w:pPr>
        <w:spacing w:after="0" w:line="115" w:lineRule="exact"/>
        <w:rPr>
          <w:sz w:val="20"/>
          <w:szCs w:val="20"/>
          <w:color w:val="auto"/>
        </w:rPr>
      </w:pPr>
    </w:p>
    <w:p>
      <w:pPr>
        <w:ind w:left="1520" w:hanging="478"/>
        <w:spacing w:after="0" w:line="284" w:lineRule="auto"/>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consolidated financial statements and report of independent registered public accounting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item are included in Part II, Item 8.</w:t>
      </w:r>
    </w:p>
    <w:p>
      <w:pPr>
        <w:spacing w:after="0" w:line="52" w:lineRule="exact"/>
        <w:rPr>
          <w:sz w:val="20"/>
          <w:szCs w:val="20"/>
          <w:color w:val="auto"/>
        </w:rPr>
      </w:pPr>
    </w:p>
    <w:p>
      <w:pPr>
        <w:ind w:left="1040" w:right="3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62" w:lineRule="exact"/>
        <w:rPr>
          <w:sz w:val="20"/>
          <w:szCs w:val="20"/>
          <w:color w:val="auto"/>
        </w:rPr>
      </w:pPr>
    </w:p>
    <w:p>
      <w:pPr>
        <w:ind w:right="240" w:firstLine="526"/>
        <w:spacing w:after="0" w:line="282" w:lineRule="auto"/>
        <w:tabs>
          <w:tab w:leader="none" w:pos="7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attached list of exhibits in the “Exhibit Index” immediately preceding the exhibits to this annual report is incorporated herein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60"/>
          </w:cols>
          <w:pgMar w:left="240" w:top="333" w:right="3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52" w:lineRule="exact"/>
        <w:rPr>
          <w:sz w:val="20"/>
          <w:szCs w:val="20"/>
          <w:color w:val="auto"/>
        </w:rPr>
      </w:pPr>
    </w:p>
    <w:p>
      <w:pPr>
        <w:ind w:left="7320"/>
        <w:spacing w:after="0"/>
        <w:tabs>
          <w:tab w:leader="none" w:pos="7800" w:val="left"/>
        </w:tabs>
        <w:rPr>
          <w:sz w:val="20"/>
          <w:szCs w:val="20"/>
          <w:color w:val="auto"/>
        </w:rPr>
      </w:pPr>
      <w:r>
        <w:rPr>
          <w:rFonts w:ascii="Times New Roman" w:cs="Times New Roman" w:eastAsia="Times New Roman" w:hAnsi="Times New Roman"/>
          <w:sz w:val="18"/>
          <w:szCs w:val="18"/>
          <w:color w:val="auto"/>
        </w:rPr>
        <w:t>By:</w:t>
        <w:tab/>
        <w:t>/s/ STEPHEN KAUFER</w:t>
      </w:r>
    </w:p>
    <w:p>
      <w:pPr>
        <w:spacing w:after="0" w:line="27"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February 17, 2015</w:t>
      </w:r>
      <w:r>
        <w:rPr>
          <w:sz w:val="20"/>
          <w:szCs w:val="20"/>
          <w:color w:val="auto"/>
        </w:rPr>
        <w:tab/>
      </w:r>
      <w:r>
        <w:rPr>
          <w:rFonts w:ascii="Times New Roman" w:cs="Times New Roman" w:eastAsia="Times New Roman" w:hAnsi="Times New Roman"/>
          <w:sz w:val="17"/>
          <w:szCs w:val="17"/>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-130810</wp:posOffset>
            </wp:positionV>
            <wp:extent cx="22898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TripAdvisor, Inc., hereby severally constitute and appoint Stephen Kaufer and Julie M.B. Bradley,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80"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17, 2015.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3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Stephen Kaufer</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Julie M.B. Bradley</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B. MAFFEI</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Gregory B. Maffei</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F. MILLER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Jonathan F. Miller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DIPCHAND V. NISHAR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Dipchand V. Nishar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PHILIPS</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Jeremy Philips</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SPENCER M. RASCOFF</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Spencer M. Rascoff</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W. SHEAN</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 Shean</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SUKINDER SINGH CASSIDY</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Sukinder Singh Cassidy</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WIESENTHAL</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S. Wiesenthal</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333" w:right="239" w:bottom="1440" w:gutter="0" w:footer="0" w:header="0"/>
        </w:sectPr>
      </w:pPr>
    </w:p>
    <w:bookmarkStart w:id="104" w:name="page105"/>
    <w:bookmarkEnd w:id="10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320"/>
          </w:cols>
          <w:pgMar w:left="240" w:top="333" w:right="339" w:bottom="1440" w:gutter="0" w:footer="0" w:header="0"/>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0" w:type="dxa"/>
            <w:vAlign w:val="bottom"/>
          </w:tcPr>
          <w:p>
            <w:pPr>
              <w:spacing w:after="0"/>
              <w:rPr>
                <w:sz w:val="13"/>
                <w:szCs w:val="13"/>
                <w:color w:val="auto"/>
              </w:rPr>
            </w:pPr>
          </w:p>
        </w:tc>
        <w:tc>
          <w:tcPr>
            <w:tcW w:w="55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4"/>
                <w:szCs w:val="14"/>
                <w:color w:val="auto"/>
              </w:rPr>
            </w:pPr>
          </w:p>
        </w:tc>
        <w:tc>
          <w:tcPr>
            <w:tcW w:w="5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Separation Agreement by and between TripAdvisor, Inc. and Expedia,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Restated Certificate of Incorporation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No. 1 to Amended and Restated Bylaws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Warrant Agreement by and between TripAdvisor, Inc. and Mellon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Services LLC, as Equity Warrant Agent, dated as of December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Specimen TripAdvisor, Inc. Common Stock Certificate</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Governance Agreement, by and among TripAdvisor, Inc., Liberty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Corporation and Barry Diller,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Sharing Agreement by and between TripAdvisor, Inc. and Expedia,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 Matters Agreement by and between TripAdvisor, Inc.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Expedia, 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Transition Services Agreement by and between TripAdvisor, Inc.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Expedia, 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Sublease between Newton Technology Park LLC and TripAdvisor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dated as of October 31, 2007</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Sublease between Newton Technology Park LLC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LLC, dated as of June 15, 2009</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Credit Agreement, by and among TripAdvisor, TripAdvisor Holdings,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TripAdvisor LLC, the lenders party thereto, JPMorgan Chase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 as administrative agent, and J.P. Morgan Europe Limited, as London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agent,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Waiver and Amendment Agreement, by and among TripAdvisor,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Holdings, LLC, and TripAdvisor LLC, the lenders party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JPMorgan Chase Bank, N.A., as administrative agent, and 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Morgan Europe Limited, as London agent, dated as of December 27, 2013</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Inc. 2011 Stock and Annual Incentive 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TripAdvisor, Inc. 2011 Stock and Annual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TripAdvisor, Inc. Deferred Compensation Plan for Non-Employee Directors</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Option Agreement (Domestic)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Option Agreement (International)</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(Domestic)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(PRC)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(Other International)</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(Non-Employee Directors)</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(Performance Based)</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Corporate Headquarters Lease with Normandy Gap-V Needham Building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LLC, as landlord, dated as of June 20, 2013</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Guaranty dated June 20, 2013 by TripAdvisor, Inc. for the benefit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Normandy Gap-V Needham Building 3, LLC, as landlord</w:t>
            </w: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TripAdvisor Media Group Master Advertising Insertion Order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Filed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8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Filing</w:t>
            </w: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Form</w:t>
            </w:r>
          </w:p>
        </w:tc>
        <w:tc>
          <w:tcPr>
            <w:tcW w:w="166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Exhibit</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Herewith</w:t>
            </w:r>
          </w:p>
        </w:tc>
        <w:tc>
          <w:tcPr>
            <w:tcW w:w="82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28"/>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19"/>
                <w:szCs w:val="19"/>
                <w:color w:val="auto"/>
              </w:rPr>
            </w:pPr>
          </w:p>
        </w:tc>
        <w:tc>
          <w:tcPr>
            <w:tcW w:w="146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39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8"/>
                <w:szCs w:val="18"/>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8"/>
                <w:szCs w:val="18"/>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2/12/13</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0"/>
                <w:szCs w:val="20"/>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630"/>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4.6</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10/24/11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200" w:type="dxa"/>
            <w:vAlign w:val="bottom"/>
          </w:tcPr>
          <w:p>
            <w:pPr>
              <w:spacing w:after="0"/>
              <w:rPr>
                <w:sz w:val="20"/>
                <w:szCs w:val="20"/>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10.2</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10.3</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10.4</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10/24/11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10/24/11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12/27/11</w:t>
            </w:r>
          </w:p>
        </w:tc>
        <w:tc>
          <w:tcPr>
            <w:tcW w:w="0" w:type="dxa"/>
            <w:vAlign w:val="bottom"/>
          </w:tcPr>
          <w:p>
            <w:pPr>
              <w:spacing w:after="0"/>
              <w:rPr>
                <w:sz w:val="1"/>
                <w:szCs w:val="1"/>
                <w:color w:val="auto"/>
              </w:rPr>
            </w:pPr>
          </w:p>
        </w:tc>
      </w:tr>
      <w:tr>
        <w:trPr>
          <w:trHeight w:val="864"/>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01-35362</w:t>
            </w:r>
          </w:p>
        </w:tc>
        <w:tc>
          <w:tcPr>
            <w:tcW w:w="2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2/11/14</w:t>
            </w:r>
          </w:p>
        </w:tc>
        <w:tc>
          <w:tcPr>
            <w:tcW w:w="0" w:type="dxa"/>
            <w:vAlign w:val="bottom"/>
          </w:tcPr>
          <w:p>
            <w:pPr>
              <w:spacing w:after="0"/>
              <w:rPr>
                <w:sz w:val="1"/>
                <w:szCs w:val="1"/>
                <w:color w:val="auto"/>
              </w:rPr>
            </w:pPr>
          </w:p>
        </w:tc>
      </w:tr>
      <w:tr>
        <w:trPr>
          <w:trHeight w:val="84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333-178637</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4.5</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12/20/11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0"/>
                <w:szCs w:val="20"/>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7/24/13</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333-178637</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4.6</w:t>
            </w:r>
          </w:p>
        </w:tc>
        <w:tc>
          <w:tcPr>
            <w:tcW w:w="200" w:type="dxa"/>
            <w:vAlign w:val="bottom"/>
          </w:tcPr>
          <w:p>
            <w:pPr>
              <w:spacing w:after="0"/>
              <w:rPr>
                <w:sz w:val="24"/>
                <w:szCs w:val="24"/>
                <w:color w:val="auto"/>
              </w:rPr>
            </w:pPr>
          </w:p>
        </w:tc>
        <w:tc>
          <w:tcPr>
            <w:tcW w:w="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12/20/11</w:t>
            </w:r>
          </w:p>
        </w:tc>
        <w:tc>
          <w:tcPr>
            <w:tcW w:w="0" w:type="dxa"/>
            <w:vAlign w:val="bottom"/>
          </w:tcPr>
          <w:p>
            <w:pPr>
              <w:spacing w:after="0"/>
              <w:rPr>
                <w:sz w:val="1"/>
                <w:szCs w:val="1"/>
                <w:color w:val="auto"/>
              </w:rPr>
            </w:pPr>
          </w:p>
        </w:tc>
      </w:tr>
      <w:tr>
        <w:trPr>
          <w:trHeight w:val="233"/>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5"/>
              </w:rPr>
              <w:t>10.1</w:t>
            </w:r>
          </w:p>
        </w:tc>
        <w:tc>
          <w:tcPr>
            <w:tcW w:w="2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7/24/13</w:t>
            </w:r>
          </w:p>
        </w:tc>
        <w:tc>
          <w:tcPr>
            <w:tcW w:w="0" w:type="dxa"/>
            <w:vAlign w:val="bottom"/>
          </w:tcPr>
          <w:p>
            <w:pPr>
              <w:spacing w:after="0"/>
              <w:rPr>
                <w:sz w:val="1"/>
                <w:szCs w:val="1"/>
                <w:color w:val="auto"/>
              </w:rPr>
            </w:pPr>
          </w:p>
        </w:tc>
      </w:tr>
      <w:tr>
        <w:trPr>
          <w:trHeight w:val="199"/>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10.2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7/24/13</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01-35362</w:t>
            </w:r>
          </w:p>
        </w:tc>
        <w:tc>
          <w:tcPr>
            <w:tcW w:w="200" w:type="dxa"/>
            <w:vAlign w:val="bottom"/>
          </w:tcPr>
          <w:p>
            <w:pPr>
              <w:spacing w:after="0"/>
              <w:rPr>
                <w:sz w:val="24"/>
                <w:szCs w:val="24"/>
                <w:color w:val="auto"/>
              </w:rPr>
            </w:pPr>
          </w:p>
        </w:tc>
        <w:tc>
          <w:tcPr>
            <w:tcW w:w="6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80" w:space="80"/>
            <w:col w:w="4960"/>
          </w:cols>
          <w:pgMar w:left="240" w:top="333" w:right="33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320"/>
          </w:cols>
          <w:pgMar w:left="240" w:top="333" w:right="339" w:bottom="1440" w:gutter="0" w:footer="0" w:header="0"/>
          <w:type w:val="continuous"/>
        </w:sectPr>
      </w:pPr>
    </w:p>
    <w:bookmarkStart w:id="105" w:name="page106"/>
    <w:bookmarkEnd w:id="10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0" w:type="dxa"/>
            <w:vAlign w:val="bottom"/>
          </w:tcPr>
          <w:p>
            <w:pPr>
              <w:spacing w:after="0"/>
              <w:rPr>
                <w:sz w:val="13"/>
                <w:szCs w:val="13"/>
                <w:color w:val="auto"/>
              </w:rPr>
            </w:pPr>
          </w:p>
        </w:tc>
        <w:tc>
          <w:tcPr>
            <w:tcW w:w="55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4"/>
                <w:szCs w:val="14"/>
                <w:color w:val="auto"/>
              </w:rPr>
            </w:pPr>
          </w:p>
        </w:tc>
        <w:tc>
          <w:tcPr>
            <w:tcW w:w="5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Employment Agreement between TripAdvisor LLC and Julie Bradley,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as of March 31,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TripAdvisor LLC and Seth Kalvert,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as of March 31,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TripAdvisor LLC and Stephen Kaufer,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as of February 11,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Viator, Inc. 2010 Stock Incentive 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Letter of Ernst &amp; Young, LLP dated February 11,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Consent of Ernst &amp; Young, LLP, Independent Registered Public Accounting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Firm</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in signature page)</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Section 302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Section 906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bl>
    <w:p>
      <w:pPr>
        <w:ind w:left="780" w:right="120" w:hanging="772"/>
        <w:spacing w:after="0" w:line="252"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year ended December 31, 2014, formatted in XBRL: (i) Consolidated Statements of Operations, (ii) Consolidated Statements of Comprehensive Income, (iii) Consolidated Balance Sheets, (iv) Consolidated Statements of Changes in Stockholders’ Equity, (v) Consolidated Statements of Cash Flows, and (vi) Notes to Consolidated Financial Statements.</w:t>
      </w:r>
    </w:p>
    <w:p>
      <w:pPr>
        <w:spacing w:after="0" w:line="187"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a management contract or a compensatory plan, contract or arrangement.</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18" w:lineRule="exact"/>
        <w:rPr>
          <w:rFonts w:ascii="Times New Roman" w:cs="Times New Roman" w:eastAsia="Times New Roman" w:hAnsi="Times New Roman"/>
          <w:sz w:val="18"/>
          <w:szCs w:val="18"/>
          <w:i w:val="1"/>
          <w:iCs w:val="1"/>
          <w:color w:val="auto"/>
        </w:rPr>
      </w:pPr>
    </w:p>
    <w:p>
      <w:pPr>
        <w:ind w:left="5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Filed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Filing</w:t>
            </w: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Form</w:t>
            </w:r>
          </w:p>
        </w:tc>
        <w:tc>
          <w:tcPr>
            <w:tcW w:w="166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Exhibit</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Herewith</w:t>
            </w:r>
          </w:p>
        </w:tc>
        <w:tc>
          <w:tcPr>
            <w:tcW w:w="82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w:t>
            </w: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28"/>
        </w:trPr>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80" w:type="dxa"/>
            <w:vAlign w:val="bottom"/>
          </w:tcPr>
          <w:p>
            <w:pPr>
              <w:spacing w:after="0"/>
              <w:rPr>
                <w:sz w:val="19"/>
                <w:szCs w:val="19"/>
                <w:color w:val="auto"/>
              </w:rPr>
            </w:pPr>
          </w:p>
        </w:tc>
        <w:tc>
          <w:tcPr>
            <w:tcW w:w="1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001-35362</w:t>
            </w:r>
          </w:p>
        </w:tc>
        <w:tc>
          <w:tcPr>
            <w:tcW w:w="200" w:type="dxa"/>
            <w:vAlign w:val="bottom"/>
          </w:tcPr>
          <w:p>
            <w:pPr>
              <w:spacing w:after="0"/>
              <w:rPr>
                <w:sz w:val="19"/>
                <w:szCs w:val="19"/>
                <w:color w:val="auto"/>
              </w:rPr>
            </w:pP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001-35362</w:t>
            </w:r>
          </w:p>
        </w:tc>
        <w:tc>
          <w:tcPr>
            <w:tcW w:w="2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001-35362</w:t>
            </w:r>
          </w:p>
        </w:tc>
        <w:tc>
          <w:tcPr>
            <w:tcW w:w="2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333-198726</w:t>
            </w:r>
          </w:p>
        </w:tc>
        <w:tc>
          <w:tcPr>
            <w:tcW w:w="2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9/12/14</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001-35362</w:t>
            </w:r>
          </w:p>
        </w:tc>
        <w:tc>
          <w:tcPr>
            <w:tcW w:w="20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2/11/14</w:t>
            </w:r>
          </w:p>
        </w:tc>
        <w:tc>
          <w:tcPr>
            <w:tcW w:w="0" w:type="dxa"/>
            <w:vAlign w:val="bottom"/>
          </w:tcPr>
          <w:p>
            <w:pPr>
              <w:spacing w:after="0"/>
              <w:rPr>
                <w:sz w:val="1"/>
                <w:szCs w:val="1"/>
                <w:color w:val="auto"/>
              </w:rPr>
            </w:pPr>
          </w:p>
        </w:tc>
      </w:tr>
    </w:tbl>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280" w:space="80"/>
            <w:col w:w="4960"/>
          </w:cols>
          <w:pgMar w:left="240" w:top="33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OPTION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(Domestic)</w:t>
      </w:r>
    </w:p>
    <w:p>
      <w:pPr>
        <w:spacing w:after="0" w:line="207" w:lineRule="exact"/>
        <w:rPr>
          <w:sz w:val="20"/>
          <w:szCs w:val="20"/>
          <w:color w:val="auto"/>
        </w:rPr>
      </w:pPr>
    </w:p>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(the “Eligible Individual”), describes the terms of an award of Option to the Eligible Individual by the Company.</w:t>
      </w:r>
    </w:p>
    <w:p>
      <w:pPr>
        <w:spacing w:after="0" w:line="15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of Option</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Plan and the Grant Details (as defined below), the Company hereby grants the Option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 forth the number of Shares underlying the Option, the grant price which is the per Share exercise price of the Option, the Grant Date of the Option, and the vesting schedule of the Option (among other information), is hereby incorporated by reference into, and shall be read as part and parcel of, this Agreement.</w:t>
      </w:r>
    </w:p>
    <w:p>
      <w:pPr>
        <w:spacing w:after="0" w:line="187" w:lineRule="exact"/>
        <w:rPr>
          <w:rFonts w:ascii="Times New Roman" w:cs="Times New Roman" w:eastAsia="Times New Roman" w:hAnsi="Times New Roman"/>
          <w:sz w:val="18"/>
          <w:szCs w:val="18"/>
          <w:color w:val="auto"/>
        </w:rPr>
      </w:pPr>
    </w:p>
    <w:p>
      <w:pPr>
        <w:ind w:right="420" w:firstLine="526"/>
        <w:spacing w:after="0" w:line="282"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 a Nonqualified Option. Unless earlier terminated pursuant to the terms of this Agreement or the Plan, the Option shall expire on the ten-year anniversary of the Grant Date.</w:t>
      </w:r>
    </w:p>
    <w:p>
      <w:pPr>
        <w:spacing w:after="0" w:line="2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p>
    <w:p>
      <w:pPr>
        <w:spacing w:after="0" w:line="119" w:lineRule="exact"/>
        <w:rPr>
          <w:rFonts w:ascii="Times New Roman" w:cs="Times New Roman" w:eastAsia="Times New Roman" w:hAnsi="Times New Roman"/>
          <w:sz w:val="18"/>
          <w:szCs w:val="18"/>
          <w:b w:val="1"/>
          <w:bCs w:val="1"/>
          <w:color w:val="auto"/>
        </w:rPr>
      </w:pPr>
    </w:p>
    <w:p>
      <w:pPr>
        <w:ind w:right="80" w:firstLine="526"/>
        <w:spacing w:after="0" w:line="267" w:lineRule="auto"/>
        <w:tabs>
          <w:tab w:leader="none" w:pos="10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 the terms and conditions of this Agreement, the Grant Details and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(ii) the Eligible Individual’s continuous employment by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75" w:lineRule="exact"/>
        <w:rPr>
          <w:rFonts w:ascii="Times New Roman" w:cs="Times New Roman" w:eastAsia="Times New Roman" w:hAnsi="Times New Roman"/>
          <w:sz w:val="18"/>
          <w:szCs w:val="18"/>
          <w:color w:val="auto"/>
        </w:rPr>
      </w:pPr>
    </w:p>
    <w:p>
      <w:pPr>
        <w:ind w:right="20" w:firstLine="526"/>
        <w:spacing w:after="0" w:line="256" w:lineRule="auto"/>
        <w:tabs>
          <w:tab w:leader="none" w:pos="104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vest in the Award after Termination of Employment, if any, will be measured to the date of the Termination of Employment and will not be extended by any notice period mandated under local law.</w:t>
      </w:r>
    </w:p>
    <w:p>
      <w:pPr>
        <w:spacing w:after="0" w:line="187" w:lineRule="exact"/>
        <w:rPr>
          <w:rFonts w:ascii="Times New Roman" w:cs="Times New Roman" w:eastAsia="Times New Roman" w:hAnsi="Times New Roman"/>
          <w:sz w:val="18"/>
          <w:szCs w:val="18"/>
          <w:color w:val="auto"/>
        </w:rPr>
      </w:pPr>
    </w:p>
    <w:p>
      <w:pPr>
        <w:ind w:right="340" w:firstLine="526"/>
        <w:spacing w:after="0" w:line="266" w:lineRule="auto"/>
        <w:tabs>
          <w:tab w:leader="none" w:pos="10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temporary absence from employment because of illness, vacation or leaves of absences shall not be considered a Termination of Employment. In the event of a leave of absence exceeding ninety (90) days, the Company shall have authority to suspend the Vesting Period for such period of time and on such terms as management of the Company, in its sole discretion, shall deem appropriate.</w:t>
      </w:r>
    </w:p>
    <w:p>
      <w:pPr>
        <w:spacing w:after="0" w:line="28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Option</w:t>
      </w:r>
    </w:p>
    <w:p>
      <w:pPr>
        <w:spacing w:after="0" w:line="121" w:lineRule="exact"/>
        <w:rPr>
          <w:rFonts w:ascii="Times New Roman" w:cs="Times New Roman" w:eastAsia="Times New Roman" w:hAnsi="Times New Roman"/>
          <w:sz w:val="18"/>
          <w:szCs w:val="18"/>
          <w:b w:val="1"/>
          <w:bCs w:val="1"/>
          <w:color w:val="auto"/>
        </w:rPr>
      </w:pPr>
    </w:p>
    <w:p>
      <w:pPr>
        <w:ind w:right="160" w:firstLine="526"/>
        <w:spacing w:after="0" w:line="266" w:lineRule="auto"/>
        <w:tabs>
          <w:tab w:leader="none" w:pos="103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6" w:lineRule="exact"/>
        <w:rPr>
          <w:rFonts w:ascii="Times New Roman" w:cs="Times New Roman" w:eastAsia="Times New Roman" w:hAnsi="Times New Roman"/>
          <w:sz w:val="18"/>
          <w:szCs w:val="18"/>
          <w:color w:val="auto"/>
        </w:rPr>
      </w:pPr>
    </w:p>
    <w:p>
      <w:pPr>
        <w:jc w:val="both"/>
        <w:ind w:right="200" w:firstLine="526"/>
        <w:spacing w:after="0" w:line="266" w:lineRule="auto"/>
        <w:tabs>
          <w:tab w:leader="none" w:pos="1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other method authorized by the Company and/or the Plan Administrator.</w:t>
      </w:r>
    </w:p>
    <w:p>
      <w:pPr>
        <w:spacing w:after="0" w:line="176" w:lineRule="exact"/>
        <w:rPr>
          <w:rFonts w:ascii="Times New Roman" w:cs="Times New Roman" w:eastAsia="Times New Roman" w:hAnsi="Times New Roman"/>
          <w:sz w:val="18"/>
          <w:szCs w:val="18"/>
          <w:color w:val="auto"/>
        </w:rPr>
      </w:pPr>
    </w:p>
    <w:p>
      <w:pPr>
        <w:ind w:right="120" w:firstLine="526"/>
        <w:spacing w:after="0" w:line="282" w:lineRule="auto"/>
        <w:tabs>
          <w:tab w:leader="none" w:pos="10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ectPr>
          <w:pgSz w:w="11900" w:h="16838" w:orient="portrait"/>
          <w:cols w:equalWidth="0" w:num="1">
            <w:col w:w="11420"/>
          </w:cols>
          <w:pgMar w:left="240" w:top="333" w:right="239" w:bottom="1440" w:gutter="0" w:footer="0" w:header="0"/>
        </w:sectPr>
      </w:pPr>
    </w:p>
    <w:bookmarkStart w:id="107" w:name="page108"/>
    <w:bookmarkEnd w:id="107"/>
    <w:p>
      <w:pPr>
        <w:ind w:left="540" w:hanging="532"/>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by the Company for Cause</w:t>
      </w:r>
    </w:p>
    <w:p>
      <w:pPr>
        <w:spacing w:after="0" w:line="121" w:lineRule="exact"/>
        <w:rPr>
          <w:rFonts w:ascii="Times New Roman" w:cs="Times New Roman" w:eastAsia="Times New Roman" w:hAnsi="Times New Roman"/>
          <w:sz w:val="18"/>
          <w:szCs w:val="18"/>
          <w:b w:val="1"/>
          <w:bCs w:val="1"/>
          <w:color w:val="auto"/>
        </w:rPr>
      </w:pPr>
    </w:p>
    <w:p>
      <w:pPr>
        <w:ind w:right="40" w:firstLine="526"/>
        <w:spacing w:after="0" w:line="254" w:lineRule="auto"/>
        <w:tabs>
          <w:tab w:leader="none" w:pos="103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above, in the event the Eligible Individual incurs a Termination of Employment for Cause or the Eligible Individual voluntarily incurs a Termination of Employment within two years after any event or circumstance that would have been grounds for a Termination of Employment for Cause, the Eligible Individual agrees that the Option (whether or not vested) shall be forfeited and cancelled in their entirety upon such Termination of Employment. In such event, the Company may cause the Eligible Individual, immediately upon notice from the Company, to either (i) return the Option and/or Shares issued upon exercise of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the Option during the two-year period after the events or circumstances giving rise to or constituting grounds for such Termination of Employment for Cause (i.e. the value of the Shares issued upon exercise of the Option and sold), in each case including any dividend equivalents or other distributions received in respect of any such Shares.</w:t>
      </w:r>
    </w:p>
    <w:p>
      <w:pPr>
        <w:spacing w:after="0" w:line="189" w:lineRule="exact"/>
        <w:rPr>
          <w:rFonts w:ascii="Times New Roman" w:cs="Times New Roman" w:eastAsia="Times New Roman" w:hAnsi="Times New Roman"/>
          <w:sz w:val="18"/>
          <w:szCs w:val="18"/>
          <w:color w:val="auto"/>
        </w:rPr>
      </w:pPr>
    </w:p>
    <w:p>
      <w:pPr>
        <w:ind w:right="160" w:firstLine="526"/>
        <w:spacing w:after="0" w:line="282" w:lineRule="auto"/>
        <w:tabs>
          <w:tab w:leader="none" w:pos="104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Agreement, employment with the Company shall include employment with the Company’s Subsidiaries or Affiliates. The Committee shall have the exclusive discretion to determine whether there has been any Termination of Employment and whether there existed Cause.</w:t>
      </w:r>
    </w:p>
    <w:p>
      <w:pPr>
        <w:spacing w:after="0" w:line="2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Option</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During the Vesting Period and until such time as the Option is ultimately exercised as provided herein or on the website of the Plan Administrator, the Option shall not be transferable by the Eligible Individual by means of sale, assignment, exchange, encumbrance, pledge, hedge or otherwise.</w:t>
      </w:r>
    </w:p>
    <w:p>
      <w:pPr>
        <w:spacing w:after="0" w:line="266" w:lineRule="exact"/>
        <w:rPr>
          <w:sz w:val="20"/>
          <w:szCs w:val="20"/>
          <w:color w:val="auto"/>
        </w:rPr>
      </w:pPr>
    </w:p>
    <w:p>
      <w:pPr>
        <w:ind w:left="540" w:hanging="532"/>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until such time as the Option is exercised, the Eligible Individual shall not be entitled to any rights of a stockholder with respect to the Option.</w:t>
      </w:r>
    </w:p>
    <w:p>
      <w:pPr>
        <w:spacing w:after="0" w:line="266" w:lineRule="exact"/>
        <w:rPr>
          <w:sz w:val="20"/>
          <w:szCs w:val="20"/>
          <w:color w:val="auto"/>
        </w:rPr>
      </w:pPr>
    </w:p>
    <w:p>
      <w:pPr>
        <w:ind w:left="540" w:hanging="532"/>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58" w:lineRule="auto"/>
        <w:tabs>
          <w:tab w:leader="none" w:pos="103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83" w:lineRule="exact"/>
        <w:rPr>
          <w:rFonts w:ascii="Times New Roman" w:cs="Times New Roman" w:eastAsia="Times New Roman" w:hAnsi="Times New Roman"/>
          <w:sz w:val="18"/>
          <w:szCs w:val="18"/>
          <w:color w:val="auto"/>
        </w:rPr>
      </w:pPr>
    </w:p>
    <w:p>
      <w:pPr>
        <w:ind w:right="120" w:firstLine="526"/>
        <w:spacing w:after="0" w:line="255" w:lineRule="auto"/>
        <w:tabs>
          <w:tab w:leader="none" w:pos="10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Participants.</w:t>
      </w:r>
    </w:p>
    <w:p>
      <w:pPr>
        <w:spacing w:after="0" w:line="225"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00" w:firstLine="526"/>
        <w:spacing w:after="0" w:line="266" w:lineRule="auto"/>
        <w:tabs>
          <w:tab w:leader="none" w:pos="10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49" w:right="259" w:bottom="1440" w:gutter="0" w:footer="0" w:header="0"/>
        </w:sectPr>
      </w:pPr>
    </w:p>
    <w:bookmarkStart w:id="108" w:name="page109"/>
    <w:bookmarkEnd w:id="108"/>
    <w:p>
      <w:pPr>
        <w:ind w:left="-8" w:right="440" w:firstLine="526"/>
        <w:spacing w:after="0" w:line="272" w:lineRule="auto"/>
        <w:tabs>
          <w:tab w:leader="none" w:pos="103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w:t>
      </w:r>
    </w:p>
    <w:p>
      <w:pPr>
        <w:spacing w:after="0" w:line="1" w:lineRule="exact"/>
        <w:rPr>
          <w:rFonts w:ascii="Times New Roman" w:cs="Times New Roman" w:eastAsia="Times New Roman" w:hAnsi="Times New Roman"/>
          <w:sz w:val="17"/>
          <w:szCs w:val="17"/>
          <w:color w:val="auto"/>
        </w:rPr>
      </w:pPr>
    </w:p>
    <w:p>
      <w:pPr>
        <w:ind w:left="-8" w:right="40" w:firstLine="8"/>
        <w:spacing w:after="0" w:line="255"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86" w:lineRule="exact"/>
        <w:rPr>
          <w:rFonts w:ascii="Times New Roman" w:cs="Times New Roman" w:eastAsia="Times New Roman" w:hAnsi="Times New Roman"/>
          <w:sz w:val="18"/>
          <w:szCs w:val="18"/>
          <w:color w:val="auto"/>
        </w:rPr>
      </w:pPr>
    </w:p>
    <w:p>
      <w:pPr>
        <w:ind w:left="-8" w:right="40" w:firstLine="526"/>
        <w:spacing w:after="0" w:line="253" w:lineRule="auto"/>
        <w:tabs>
          <w:tab w:leader="none" w:pos="102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192" w:lineRule="exact"/>
        <w:rPr>
          <w:rFonts w:ascii="Times New Roman" w:cs="Times New Roman" w:eastAsia="Times New Roman" w:hAnsi="Times New Roman"/>
          <w:sz w:val="18"/>
          <w:szCs w:val="18"/>
          <w:color w:val="auto"/>
        </w:rPr>
      </w:pPr>
    </w:p>
    <w:p>
      <w:pPr>
        <w:ind w:left="-8" w:firstLine="526"/>
        <w:spacing w:after="0" w:line="255" w:lineRule="auto"/>
        <w:tabs>
          <w:tab w:leader="none" w:pos="103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289" w:lineRule="exact"/>
        <w:rPr>
          <w:sz w:val="20"/>
          <w:szCs w:val="20"/>
          <w:color w:val="auto"/>
        </w:rPr>
      </w:pPr>
    </w:p>
    <w:p>
      <w:pPr>
        <w:ind w:left="532" w:hanging="532"/>
        <w:spacing w:after="0"/>
        <w:tabs>
          <w:tab w:leader="none" w:pos="53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left="-8" w:right="60" w:firstLine="526"/>
        <w:spacing w:after="0" w:line="261" w:lineRule="auto"/>
        <w:tabs>
          <w:tab w:leader="none" w:pos="102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left="-8" w:right="200" w:firstLine="526"/>
        <w:spacing w:after="0" w:line="255" w:lineRule="auto"/>
        <w:tabs>
          <w:tab w:leader="none" w:pos="10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9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225" w:lineRule="exact"/>
        <w:rPr>
          <w:rFonts w:ascii="Times New Roman" w:cs="Times New Roman" w:eastAsia="Times New Roman" w:hAnsi="Times New Roman"/>
          <w:sz w:val="18"/>
          <w:szCs w:val="18"/>
          <w:b w:val="1"/>
          <w:bCs w:val="1"/>
          <w:color w:val="auto"/>
        </w:rPr>
      </w:pPr>
    </w:p>
    <w:p>
      <w:pPr>
        <w:ind w:left="-8" w:right="180" w:firstLine="526"/>
        <w:spacing w:after="0" w:line="282" w:lineRule="auto"/>
        <w:tabs>
          <w:tab w:leader="none" w:pos="102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left="-8" w:right="60" w:firstLine="526"/>
        <w:spacing w:after="0" w:line="282" w:lineRule="auto"/>
        <w:tabs>
          <w:tab w:leader="none" w:pos="103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granted repeatedly in the past;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553" w:right="239" w:bottom="1440" w:gutter="0" w:footer="0" w:header="0"/>
        </w:sectPr>
      </w:pPr>
    </w:p>
    <w:bookmarkStart w:id="109" w:name="page110"/>
    <w:bookmarkEnd w:id="109"/>
    <w:p>
      <w:pPr>
        <w:ind w:left="1040" w:hanging="514"/>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firstLine="526"/>
        <w:spacing w:after="0" w:line="282" w:lineRule="auto"/>
        <w:tabs>
          <w:tab w:leader="none" w:pos="10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580" w:firstLine="526"/>
        <w:spacing w:after="0" w:line="282" w:lineRule="auto"/>
        <w:tabs>
          <w:tab w:leader="none" w:pos="10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right="240" w:firstLine="526"/>
        <w:spacing w:after="0" w:line="282" w:lineRule="auto"/>
        <w:tabs>
          <w:tab w:leader="none" w:pos="10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61" w:lineRule="exact"/>
        <w:rPr>
          <w:rFonts w:ascii="Times New Roman" w:cs="Times New Roman" w:eastAsia="Times New Roman" w:hAnsi="Times New Roman"/>
          <w:sz w:val="18"/>
          <w:szCs w:val="18"/>
          <w:color w:val="auto"/>
        </w:rPr>
      </w:pPr>
    </w:p>
    <w:p>
      <w:pPr>
        <w:ind w:right="20" w:firstLine="526"/>
        <w:spacing w:after="0" w:line="258" w:lineRule="auto"/>
        <w:tabs>
          <w:tab w:leader="none" w:pos="104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240" w:lineRule="exact"/>
        <w:rPr>
          <w:sz w:val="20"/>
          <w:szCs w:val="20"/>
          <w:color w:val="auto"/>
        </w:rPr>
      </w:pPr>
    </w:p>
    <w:p>
      <w:pPr>
        <w:ind w:left="540" w:hanging="532"/>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53" w:right="259" w:bottom="1440" w:gutter="0" w:footer="0" w:header="0"/>
        </w:sectPr>
      </w:pPr>
    </w:p>
    <w:bookmarkStart w:id="110" w:name="page111"/>
    <w:bookmarkEnd w:id="110"/>
    <w:p>
      <w:pPr>
        <w:ind w:left="532" w:hanging="532"/>
        <w:spacing w:after="0"/>
        <w:tabs>
          <w:tab w:leader="none" w:pos="53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left="-8" w:right="440" w:firstLine="526"/>
        <w:spacing w:after="0" w:line="266" w:lineRule="auto"/>
        <w:tabs>
          <w:tab w:leader="none" w:pos="10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left="-8" w:firstLine="526"/>
        <w:spacing w:after="0" w:line="256" w:lineRule="auto"/>
        <w:tabs>
          <w:tab w:leader="none" w:pos="10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left="-8" w:right="140" w:firstLine="526"/>
        <w:spacing w:after="0" w:line="255" w:lineRule="auto"/>
        <w:tabs>
          <w:tab w:leader="none" w:pos="102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80" w:firstLine="526"/>
        <w:spacing w:after="0" w:line="255" w:lineRule="auto"/>
        <w:tabs>
          <w:tab w:leader="none" w:pos="10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60" w:firstLine="526"/>
        <w:spacing w:after="0" w:line="258" w:lineRule="auto"/>
        <w:tabs>
          <w:tab w:leader="none" w:pos="102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rFonts w:ascii="Times New Roman" w:cs="Times New Roman" w:eastAsia="Times New Roman" w:hAnsi="Times New Roman"/>
          <w:sz w:val="18"/>
          <w:szCs w:val="18"/>
          <w:b w:val="1"/>
          <w:bCs w:val="1"/>
          <w:color w:val="auto"/>
        </w:rPr>
      </w:pPr>
    </w:p>
    <w:p>
      <w:pPr>
        <w:ind w:left="-8" w:right="120" w:firstLine="526"/>
        <w:spacing w:after="0" w:line="261" w:lineRule="auto"/>
        <w:tabs>
          <w:tab w:leader="none" w:pos="102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rFonts w:ascii="Times New Roman" w:cs="Times New Roman" w:eastAsia="Times New Roman" w:hAnsi="Times New Roman"/>
          <w:sz w:val="18"/>
          <w:szCs w:val="18"/>
          <w:color w:val="auto"/>
        </w:rPr>
      </w:pPr>
    </w:p>
    <w:p>
      <w:pPr>
        <w:ind w:left="-8" w:right="40" w:firstLine="526"/>
        <w:spacing w:after="0" w:line="256" w:lineRule="auto"/>
        <w:tabs>
          <w:tab w:leader="none" w:pos="10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12"/>
          </w:cols>
          <w:pgMar w:left="248" w:top="657" w:right="239" w:bottom="1440" w:gutter="0" w:footer="0" w:header="0"/>
        </w:sectPr>
      </w:pPr>
    </w:p>
    <w:bookmarkStart w:id="111" w:name="page112"/>
    <w:bookmarkEnd w:id="111"/>
    <w:p>
      <w:pPr>
        <w:ind w:left="540" w:hanging="532"/>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657" w:right="2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OPTION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207" w:lineRule="exact"/>
        <w:rPr>
          <w:sz w:val="20"/>
          <w:szCs w:val="20"/>
          <w:color w:val="auto"/>
        </w:rPr>
      </w:pPr>
    </w:p>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(the “Eligible Individual”), describes the terms of an award of Option to the Eligible Individual by the Company.</w:t>
      </w:r>
    </w:p>
    <w:p>
      <w:pPr>
        <w:spacing w:after="0" w:line="15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of Option</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56" w:lineRule="auto"/>
        <w:tabs>
          <w:tab w:leader="none" w:pos="103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Plan and the Grant Details (as defined below) and the Plan, the Company hereby grants the Option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 forth the number of Shares underling the Option, the grant price which is the per Share exercise price of the Option, the Grant Date of the Option, and the vesting schedule of the Option (among other information), is hereby incorporated by reference into, and shall be read as part and parcel of, this Agreement.</w:t>
      </w:r>
    </w:p>
    <w:p>
      <w:pPr>
        <w:spacing w:after="0" w:line="187" w:lineRule="exact"/>
        <w:rPr>
          <w:rFonts w:ascii="Times New Roman" w:cs="Times New Roman" w:eastAsia="Times New Roman" w:hAnsi="Times New Roman"/>
          <w:sz w:val="18"/>
          <w:szCs w:val="18"/>
          <w:color w:val="auto"/>
        </w:rPr>
      </w:pPr>
    </w:p>
    <w:p>
      <w:pPr>
        <w:ind w:right="360" w:firstLine="526"/>
        <w:spacing w:after="0" w:line="282"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 a Nonqualified Option. Unless earlier terminated pursuant to the terms of this Agreement or the Plan, the Option shall expire on the ten-year anniversary of the Grant Date.</w:t>
      </w:r>
    </w:p>
    <w:p>
      <w:pPr>
        <w:spacing w:after="0" w:line="2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p>
    <w:p>
      <w:pPr>
        <w:spacing w:after="0" w:line="121" w:lineRule="exact"/>
        <w:rPr>
          <w:rFonts w:ascii="Times New Roman" w:cs="Times New Roman" w:eastAsia="Times New Roman" w:hAnsi="Times New Roman"/>
          <w:sz w:val="18"/>
          <w:szCs w:val="18"/>
          <w:b w:val="1"/>
          <w:bCs w:val="1"/>
          <w:color w:val="auto"/>
        </w:rPr>
      </w:pPr>
    </w:p>
    <w:p>
      <w:pPr>
        <w:ind w:right="80" w:firstLine="526"/>
        <w:spacing w:after="0" w:line="266" w:lineRule="auto"/>
        <w:tabs>
          <w:tab w:leader="none" w:pos="103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 the terms and conditions of this Agreement, the Grant Details and the Plan, and (ii) the Eligible Individual’s continuous employment by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76" w:lineRule="exact"/>
        <w:rPr>
          <w:rFonts w:ascii="Times New Roman" w:cs="Times New Roman" w:eastAsia="Times New Roman" w:hAnsi="Times New Roman"/>
          <w:sz w:val="18"/>
          <w:szCs w:val="18"/>
          <w:color w:val="auto"/>
        </w:rPr>
      </w:pPr>
    </w:p>
    <w:p>
      <w:pPr>
        <w:ind w:right="20" w:firstLine="526"/>
        <w:spacing w:after="0" w:line="256" w:lineRule="auto"/>
        <w:tabs>
          <w:tab w:leader="none" w:pos="104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vest in the Award after Termination of Employment, if any, will be measured to the date of the Termination of Employment and will not be extended by any notice period mandated under local law.</w:t>
      </w:r>
    </w:p>
    <w:p>
      <w:pPr>
        <w:spacing w:after="0" w:line="187" w:lineRule="exact"/>
        <w:rPr>
          <w:rFonts w:ascii="Times New Roman" w:cs="Times New Roman" w:eastAsia="Times New Roman" w:hAnsi="Times New Roman"/>
          <w:sz w:val="18"/>
          <w:szCs w:val="18"/>
          <w:color w:val="auto"/>
        </w:rPr>
      </w:pPr>
    </w:p>
    <w:p>
      <w:pPr>
        <w:ind w:right="300" w:firstLine="526"/>
        <w:spacing w:after="0" w:line="266" w:lineRule="auto"/>
        <w:tabs>
          <w:tab w:leader="none" w:pos="103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temporary absence from employment because of illness, vacation or leaves of absences shall not be considered a Termination of Employment. In the event of a leave of absence exceeding ninety (90) days, the Company shall have authority to suspend the Vesting Period for such period of time and on such terms as management of the Company, in its sole discretion, shall deem appropriate.</w:t>
      </w:r>
    </w:p>
    <w:p>
      <w:pPr>
        <w:spacing w:after="0" w:line="28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Option</w:t>
      </w:r>
    </w:p>
    <w:p>
      <w:pPr>
        <w:spacing w:after="0" w:line="121" w:lineRule="exact"/>
        <w:rPr>
          <w:rFonts w:ascii="Times New Roman" w:cs="Times New Roman" w:eastAsia="Times New Roman" w:hAnsi="Times New Roman"/>
          <w:sz w:val="18"/>
          <w:szCs w:val="18"/>
          <w:b w:val="1"/>
          <w:bCs w:val="1"/>
          <w:color w:val="auto"/>
        </w:rPr>
      </w:pPr>
    </w:p>
    <w:p>
      <w:pPr>
        <w:ind w:right="160" w:firstLine="526"/>
        <w:spacing w:after="0" w:line="266" w:lineRule="auto"/>
        <w:tabs>
          <w:tab w:leader="none" w:pos="103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6" w:lineRule="exact"/>
        <w:rPr>
          <w:rFonts w:ascii="Times New Roman" w:cs="Times New Roman" w:eastAsia="Times New Roman" w:hAnsi="Times New Roman"/>
          <w:sz w:val="18"/>
          <w:szCs w:val="18"/>
          <w:color w:val="auto"/>
        </w:rPr>
      </w:pPr>
    </w:p>
    <w:p>
      <w:pPr>
        <w:ind w:right="140" w:firstLine="526"/>
        <w:spacing w:after="0" w:line="266"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other method authorized by the Company and/or the Plan Administrator.</w:t>
      </w:r>
    </w:p>
    <w:p>
      <w:pPr>
        <w:spacing w:after="0" w:line="176" w:lineRule="exact"/>
        <w:rPr>
          <w:rFonts w:ascii="Times New Roman" w:cs="Times New Roman" w:eastAsia="Times New Roman" w:hAnsi="Times New Roman"/>
          <w:sz w:val="18"/>
          <w:szCs w:val="18"/>
          <w:color w:val="auto"/>
        </w:rPr>
      </w:pPr>
    </w:p>
    <w:p>
      <w:pPr>
        <w:ind w:right="120" w:firstLine="526"/>
        <w:spacing w:after="0" w:line="282" w:lineRule="auto"/>
        <w:tabs>
          <w:tab w:leader="none" w:pos="103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ectPr>
          <w:pgSz w:w="11900" w:h="16838" w:orient="portrait"/>
          <w:cols w:equalWidth="0" w:num="1">
            <w:col w:w="11420"/>
          </w:cols>
          <w:pgMar w:left="240" w:top="333" w:right="239" w:bottom="1440" w:gutter="0" w:footer="0" w:header="0"/>
        </w:sectPr>
      </w:pPr>
    </w:p>
    <w:bookmarkStart w:id="113" w:name="page114"/>
    <w:bookmarkEnd w:id="113"/>
    <w:p>
      <w:pPr>
        <w:ind w:left="540" w:hanging="532"/>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by the Company for Cause</w:t>
      </w:r>
    </w:p>
    <w:p>
      <w:pPr>
        <w:spacing w:after="0" w:line="121" w:lineRule="exact"/>
        <w:rPr>
          <w:rFonts w:ascii="Times New Roman" w:cs="Times New Roman" w:eastAsia="Times New Roman" w:hAnsi="Times New Roman"/>
          <w:sz w:val="18"/>
          <w:szCs w:val="18"/>
          <w:b w:val="1"/>
          <w:bCs w:val="1"/>
          <w:color w:val="auto"/>
        </w:rPr>
      </w:pPr>
    </w:p>
    <w:p>
      <w:pPr>
        <w:ind w:right="40" w:firstLine="526"/>
        <w:spacing w:after="0" w:line="254" w:lineRule="auto"/>
        <w:tabs>
          <w:tab w:leader="none" w:pos="103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above, in the event the Eligible Individual incurs a Termination of Employment for Cause or the Eligible Individual voluntarily incurs a Termination of Employment within two years after any event or circumstance that would have been grounds for a Termination of Employment for Cause, the Eligible Individual agrees that the Option (whether or not vested) shall be forfeited and cancelled in their entirety upon such Termination of Employment. In such event, the Company may cause the Eligible Individual, immediately upon notice from the Company, to either (i) return the Option and/or Shares issued upon exercise of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the Option during the two-year period after the events or circumstances giving rise to or constituting grounds for such Termination of Employment for Cause (i.e. the value of the Shares issued upon exercise of the Option and sold), in each case including any dividend equivalents or other distributions received in respect of any such Shares.</w:t>
      </w:r>
    </w:p>
    <w:p>
      <w:pPr>
        <w:spacing w:after="0" w:line="189" w:lineRule="exact"/>
        <w:rPr>
          <w:rFonts w:ascii="Times New Roman" w:cs="Times New Roman" w:eastAsia="Times New Roman" w:hAnsi="Times New Roman"/>
          <w:sz w:val="18"/>
          <w:szCs w:val="18"/>
          <w:color w:val="auto"/>
        </w:rPr>
      </w:pPr>
    </w:p>
    <w:p>
      <w:pPr>
        <w:ind w:right="120" w:firstLine="526"/>
        <w:spacing w:after="0" w:line="261" w:lineRule="auto"/>
        <w:tabs>
          <w:tab w:leader="none" w:pos="104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Agreement, employment with the Company shall include employment with the Company’s Subsidiaries or Affiliates. The Committee shall have the exclusive discretion to determine whether there has been any Termination of Employment and whether there existed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w:t>
      </w:r>
    </w:p>
    <w:p>
      <w:pPr>
        <w:spacing w:after="0" w:line="31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Option</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During the Vesting Period and until such time as the Option is ultimately exercised as provided herein or on the website of the Plan Administrator, the Option shall not be transferable by the Eligible Individual by means of sale, assignment, exchange, encumbrance, pledge, hedge or otherwise.</w:t>
      </w:r>
    </w:p>
    <w:p>
      <w:pPr>
        <w:spacing w:after="0" w:line="266"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until such time as the Option is exercised, the Eligible Individual shall not be entitled to any rights of a stockholder with respect to the Option.</w:t>
      </w:r>
    </w:p>
    <w:p>
      <w:pPr>
        <w:spacing w:after="0" w:line="266"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58" w:lineRule="auto"/>
        <w:tabs>
          <w:tab w:leader="none" w:pos="103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83" w:lineRule="exact"/>
        <w:rPr>
          <w:rFonts w:ascii="Times New Roman" w:cs="Times New Roman" w:eastAsia="Times New Roman" w:hAnsi="Times New Roman"/>
          <w:sz w:val="18"/>
          <w:szCs w:val="18"/>
          <w:color w:val="auto"/>
        </w:rPr>
      </w:pPr>
    </w:p>
    <w:p>
      <w:pPr>
        <w:ind w:right="120" w:firstLine="526"/>
        <w:spacing w:after="0" w:line="255" w:lineRule="auto"/>
        <w:tabs>
          <w:tab w:leader="none" w:pos="104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Participants.</w:t>
      </w:r>
    </w:p>
    <w:p>
      <w:pPr>
        <w:spacing w:after="0" w:line="225"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00" w:firstLine="526"/>
        <w:spacing w:after="0" w:line="266" w:lineRule="auto"/>
        <w:tabs>
          <w:tab w:leader="none" w:pos="103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657" w:right="259" w:bottom="1440" w:gutter="0" w:footer="0" w:header="0"/>
        </w:sectPr>
      </w:pPr>
    </w:p>
    <w:bookmarkStart w:id="114" w:name="page115"/>
    <w:bookmarkEnd w:id="114"/>
    <w:p>
      <w:pPr>
        <w:ind w:left="-8" w:right="60" w:firstLine="526"/>
        <w:spacing w:after="0" w:line="256" w:lineRule="auto"/>
        <w:tabs>
          <w:tab w:leader="none" w:pos="10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87" w:lineRule="exact"/>
        <w:rPr>
          <w:rFonts w:ascii="Times New Roman" w:cs="Times New Roman" w:eastAsia="Times New Roman" w:hAnsi="Times New Roman"/>
          <w:sz w:val="18"/>
          <w:szCs w:val="18"/>
          <w:color w:val="auto"/>
        </w:rPr>
      </w:pPr>
    </w:p>
    <w:p>
      <w:pPr>
        <w:ind w:left="-8" w:firstLine="526"/>
        <w:spacing w:after="0" w:line="252" w:lineRule="auto"/>
        <w:tabs>
          <w:tab w:leader="none" w:pos="10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196" w:lineRule="exact"/>
        <w:rPr>
          <w:rFonts w:ascii="Times New Roman" w:cs="Times New Roman" w:eastAsia="Times New Roman" w:hAnsi="Times New Roman"/>
          <w:sz w:val="18"/>
          <w:szCs w:val="18"/>
          <w:color w:val="auto"/>
        </w:rPr>
      </w:pPr>
    </w:p>
    <w:p>
      <w:pPr>
        <w:ind w:left="-8" w:firstLine="526"/>
        <w:spacing w:after="0" w:line="255" w:lineRule="auto"/>
        <w:tabs>
          <w:tab w:leader="none" w:pos="10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289"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left="-8" w:right="60" w:firstLine="526"/>
        <w:spacing w:after="0" w:line="261" w:lineRule="auto"/>
        <w:tabs>
          <w:tab w:leader="none" w:pos="10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left="-8" w:right="200" w:firstLine="526"/>
        <w:spacing w:after="0" w:line="255" w:lineRule="auto"/>
        <w:tabs>
          <w:tab w:leader="none" w:pos="103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553" w:right="239" w:bottom="1440" w:gutter="0" w:footer="0" w:header="0"/>
        </w:sectPr>
      </w:pPr>
    </w:p>
    <w:bookmarkStart w:id="115" w:name="page116"/>
    <w:bookmarkEnd w:id="115"/>
    <w:p>
      <w:pPr>
        <w:ind w:left="540" w:hanging="532"/>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225" w:lineRule="exact"/>
        <w:rPr>
          <w:rFonts w:ascii="Times New Roman" w:cs="Times New Roman" w:eastAsia="Times New Roman" w:hAnsi="Times New Roman"/>
          <w:sz w:val="18"/>
          <w:szCs w:val="18"/>
          <w:b w:val="1"/>
          <w:bCs w:val="1"/>
          <w:color w:val="auto"/>
        </w:rPr>
      </w:pPr>
    </w:p>
    <w:p>
      <w:pPr>
        <w:ind w:right="160" w:firstLine="526"/>
        <w:spacing w:after="0" w:line="282" w:lineRule="auto"/>
        <w:tabs>
          <w:tab w:leader="none" w:pos="103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40" w:firstLine="526"/>
        <w:spacing w:after="0" w:line="282" w:lineRule="auto"/>
        <w:tabs>
          <w:tab w:leader="none" w:pos="104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firstLine="526"/>
        <w:spacing w:after="0" w:line="282" w:lineRule="auto"/>
        <w:tabs>
          <w:tab w:leader="none" w:pos="104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620" w:firstLine="526"/>
        <w:spacing w:after="0" w:line="282" w:lineRule="auto"/>
        <w:tabs>
          <w:tab w:leader="none" w:pos="101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right="240" w:firstLine="526"/>
        <w:spacing w:after="0" w:line="282" w:lineRule="auto"/>
        <w:tabs>
          <w:tab w:leader="none" w:pos="104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61" w:lineRule="exact"/>
        <w:rPr>
          <w:rFonts w:ascii="Times New Roman" w:cs="Times New Roman" w:eastAsia="Times New Roman" w:hAnsi="Times New Roman"/>
          <w:sz w:val="18"/>
          <w:szCs w:val="18"/>
          <w:color w:val="auto"/>
        </w:rPr>
      </w:pPr>
    </w:p>
    <w:p>
      <w:pPr>
        <w:ind w:right="20" w:firstLine="526"/>
        <w:spacing w:after="0" w:line="258" w:lineRule="auto"/>
        <w:tabs>
          <w:tab w:leader="none" w:pos="100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280" w:lineRule="exact"/>
        <w:rPr>
          <w:sz w:val="20"/>
          <w:szCs w:val="20"/>
          <w:color w:val="auto"/>
        </w:rPr>
      </w:pPr>
    </w:p>
    <w:p>
      <w:pPr>
        <w:ind w:left="540" w:hanging="532"/>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657" w:right="259" w:bottom="1440" w:gutter="0" w:footer="0" w:header="0"/>
        </w:sectPr>
      </w:pPr>
    </w:p>
    <w:bookmarkStart w:id="116" w:name="page117"/>
    <w:bookmarkEnd w:id="116"/>
    <w:p>
      <w:pPr>
        <w:ind w:left="540" w:hanging="532"/>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8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right="420" w:firstLine="526"/>
        <w:spacing w:after="0" w:line="266" w:lineRule="auto"/>
        <w:tabs>
          <w:tab w:leader="none" w:pos="103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right="80" w:firstLine="526"/>
        <w:spacing w:after="0" w:line="256" w:lineRule="auto"/>
        <w:tabs>
          <w:tab w:leader="none" w:pos="10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Currency Exchange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Eligible Individual agrees and acknowledges that that Eligible Individual shall bear any and all risks associated with the exchange or fluctuation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currency associated with the Award, including without limitation the settlement of the Award and/or sale of the Shares (the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Eligible Individual waives and releases the Company, its Subsidiaries and Affiliates and the Plan Administrator from any potential claims arising out</w:t>
      </w:r>
    </w:p>
    <w:p>
      <w:pPr>
        <w:spacing w:after="0" w:line="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of the Currency Exchange Risk.</w:t>
      </w:r>
      <w:r>
        <w:rPr>
          <w:sz w:val="20"/>
          <w:szCs w:val="20"/>
          <w:color w:val="auto"/>
        </w:rPr>
        <w:tab/>
      </w:r>
      <w:r>
        <w:rPr>
          <w:rFonts w:ascii="Times New Roman" w:cs="Times New Roman" w:eastAsia="Times New Roman" w:hAnsi="Times New Roman"/>
          <w:sz w:val="17"/>
          <w:szCs w:val="17"/>
          <w:color w:val="auto"/>
        </w:rPr>
        <w:t>Eligible Individual acknowledges and agrees that Eligible Individual shall with any and all exchange control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the Award and the sale of the Shares and any resulting funds including, without limitation, reporting or repatriation requirements.</w:t>
      </w:r>
    </w:p>
    <w:p>
      <w:pPr>
        <w:spacing w:after="0" w:line="311" w:lineRule="exact"/>
        <w:rPr>
          <w:sz w:val="20"/>
          <w:szCs w:val="20"/>
          <w:color w:val="auto"/>
        </w:rPr>
      </w:pPr>
    </w:p>
    <w:p>
      <w:pPr>
        <w:ind w:left="540" w:hanging="532"/>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Appendix</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Notwithstanding any provisions in this Agreement to the contrary, the Option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The Appendix constitutes a party of this Agreement.</w:t>
      </w:r>
    </w:p>
    <w:p>
      <w:pPr>
        <w:spacing w:after="0" w:line="288" w:lineRule="exact"/>
        <w:rPr>
          <w:sz w:val="20"/>
          <w:szCs w:val="20"/>
          <w:color w:val="auto"/>
        </w:rPr>
      </w:pPr>
    </w:p>
    <w:p>
      <w:pPr>
        <w:ind w:left="540" w:hanging="532"/>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right="80" w:firstLine="526"/>
        <w:spacing w:after="0" w:line="255" w:lineRule="auto"/>
        <w:tabs>
          <w:tab w:leader="none" w:pos="10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right="60" w:firstLine="526"/>
        <w:spacing w:after="0" w:line="261" w:lineRule="auto"/>
        <w:tabs>
          <w:tab w:leader="none" w:pos="1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57" w:right="259" w:bottom="1440" w:gutter="0" w:footer="0" w:header="0"/>
        </w:sectPr>
      </w:pPr>
    </w:p>
    <w:bookmarkStart w:id="117" w:name="page118"/>
    <w:bookmarkEnd w:id="117"/>
    <w:p>
      <w:pPr>
        <w:ind w:right="120"/>
        <w:spacing w:after="0" w:line="261" w:lineRule="auto"/>
        <w:rPr>
          <w:sz w:val="20"/>
          <w:szCs w:val="20"/>
          <w:color w:val="auto"/>
        </w:rPr>
      </w:pPr>
      <w:r>
        <w:rPr>
          <w:rFonts w:ascii="Times New Roman" w:cs="Times New Roman" w:eastAsia="Times New Roman" w:hAnsi="Times New Roman"/>
          <w:sz w:val="18"/>
          <w:szCs w:val="18"/>
          <w:color w:val="auto"/>
        </w:rPr>
        <w:t>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0" w:lineRule="exact"/>
        <w:rPr>
          <w:sz w:val="20"/>
          <w:szCs w:val="20"/>
          <w:color w:val="auto"/>
        </w:rPr>
      </w:pPr>
    </w:p>
    <w:p>
      <w:pPr>
        <w:ind w:right="40" w:firstLine="526"/>
        <w:spacing w:after="0" w:line="258" w:lineRule="auto"/>
        <w:tabs>
          <w:tab w:leader="none" w:pos="103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modify, amend or waive the terms of the Award, prospectively or retroactively, but no such modification, amendment or waiver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90" w:lineRule="exact"/>
        <w:rPr>
          <w:sz w:val="20"/>
          <w:szCs w:val="20"/>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553" w:right="2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(Domestic)</w:t>
      </w:r>
    </w:p>
    <w:p>
      <w:pPr>
        <w:spacing w:after="0" w:line="20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Vesting of Restricted Stock Units</w:t>
      </w:r>
    </w:p>
    <w:p>
      <w:pPr>
        <w:spacing w:after="0" w:line="121" w:lineRule="exact"/>
        <w:rPr>
          <w:rFonts w:ascii="Times New Roman" w:cs="Times New Roman" w:eastAsia="Times New Roman" w:hAnsi="Times New Roman"/>
          <w:sz w:val="18"/>
          <w:szCs w:val="18"/>
          <w:b w:val="1"/>
          <w:bCs w:val="1"/>
          <w:color w:val="auto"/>
        </w:rPr>
      </w:pPr>
    </w:p>
    <w:p>
      <w:pPr>
        <w:ind w:right="60" w:firstLine="526"/>
        <w:spacing w:after="0" w:line="256" w:lineRule="auto"/>
        <w:tabs>
          <w:tab w:leader="none" w:pos="103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the Plan and the Grant Details,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85" w:lineRule="exact"/>
        <w:rPr>
          <w:rFonts w:ascii="Times New Roman" w:cs="Times New Roman" w:eastAsia="Times New Roman" w:hAnsi="Times New Roman"/>
          <w:sz w:val="18"/>
          <w:szCs w:val="18"/>
          <w:color w:val="auto"/>
        </w:rPr>
      </w:pPr>
    </w:p>
    <w:p>
      <w:pPr>
        <w:ind w:right="160" w:firstLine="526"/>
        <w:spacing w:after="0" w:line="267" w:lineRule="auto"/>
        <w:tabs>
          <w:tab w:leader="none" w:pos="104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Grant Details and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Restricted Stock Units shall vest and no longer be subject to any restriction (such period during which restrictions apply shall be referred to as the “RSU Restriction Period”) on the dates detailed in the Grant Details.</w:t>
      </w:r>
    </w:p>
    <w:p>
      <w:pPr>
        <w:spacing w:after="0" w:line="175" w:lineRule="exact"/>
        <w:rPr>
          <w:rFonts w:ascii="Times New Roman" w:cs="Times New Roman" w:eastAsia="Times New Roman" w:hAnsi="Times New Roman"/>
          <w:sz w:val="18"/>
          <w:szCs w:val="18"/>
          <w:color w:val="auto"/>
        </w:rPr>
      </w:pPr>
    </w:p>
    <w:p>
      <w:pPr>
        <w:ind w:right="200" w:firstLine="526"/>
        <w:spacing w:after="0" w:line="266" w:lineRule="auto"/>
        <w:tabs>
          <w:tab w:leader="none" w:pos="103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176" w:lineRule="exact"/>
        <w:rPr>
          <w:rFonts w:ascii="Times New Roman" w:cs="Times New Roman" w:eastAsia="Times New Roman" w:hAnsi="Times New Roman"/>
          <w:sz w:val="18"/>
          <w:szCs w:val="18"/>
          <w:color w:val="auto"/>
        </w:rPr>
      </w:pPr>
    </w:p>
    <w:p>
      <w:pPr>
        <w:ind w:firstLine="526"/>
        <w:spacing w:after="0" w:line="254" w:lineRule="auto"/>
        <w:tabs>
          <w:tab w:leader="none" w:pos="104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6" w:lineRule="exact"/>
        <w:rPr>
          <w:rFonts w:ascii="Times New Roman" w:cs="Times New Roman" w:eastAsia="Times New Roman" w:hAnsi="Times New Roman"/>
          <w:sz w:val="18"/>
          <w:szCs w:val="18"/>
          <w:color w:val="auto"/>
        </w:rPr>
      </w:pPr>
    </w:p>
    <w:p>
      <w:pPr>
        <w:ind w:right="120" w:firstLine="526"/>
        <w:spacing w:after="0" w:line="313" w:lineRule="auto"/>
        <w:tabs>
          <w:tab w:leader="none" w:pos="1033"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42" w:lineRule="exact"/>
        <w:rPr>
          <w:rFonts w:ascii="Times New Roman" w:cs="Times New Roman" w:eastAsia="Times New Roman" w:hAnsi="Times New Roman"/>
          <w:sz w:val="17"/>
          <w:szCs w:val="17"/>
          <w:color w:val="auto"/>
        </w:rPr>
      </w:pPr>
    </w:p>
    <w:p>
      <w:pPr>
        <w:ind w:left="540" w:hanging="532"/>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121" w:lineRule="exact"/>
        <w:rPr>
          <w:sz w:val="20"/>
          <w:szCs w:val="20"/>
          <w:color w:val="auto"/>
        </w:rPr>
      </w:pPr>
    </w:p>
    <w:p>
      <w:pPr>
        <w:ind w:right="300" w:firstLine="518"/>
        <w:spacing w:after="0" w:line="255" w:lineRule="auto"/>
        <w:rPr>
          <w:sz w:val="20"/>
          <w:szCs w:val="20"/>
          <w:color w:val="auto"/>
        </w:rPr>
      </w:pPr>
      <w:r>
        <w:rPr>
          <w:rFonts w:ascii="Times New Roman" w:cs="Times New Roman" w:eastAsia="Times New Roman" w:hAnsi="Times New Roman"/>
          <w:sz w:val="18"/>
          <w:szCs w:val="18"/>
          <w:color w:val="auto"/>
        </w:rPr>
        <w:t>As soon as practicable after any Restricted Stock Units have vested and are no longer subject to the RSU Restriction Period,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Plan Administrator shall have received from the Eligible Individual a duly executed Form W-9 or Form W-8, as applicable, as well as such other documents as may be legally required.</w:t>
      </w:r>
    </w:p>
    <w:p>
      <w:pPr>
        <w:sectPr>
          <w:pgSz w:w="11900" w:h="16838" w:orient="portrait"/>
          <w:cols w:equalWidth="0" w:num="1">
            <w:col w:w="11420"/>
          </w:cols>
          <w:pgMar w:left="240" w:top="333" w:right="239" w:bottom="1440" w:gutter="0" w:footer="0" w:header="0"/>
        </w:sectPr>
      </w:pPr>
    </w:p>
    <w:bookmarkStart w:id="119" w:name="page120"/>
    <w:bookmarkEnd w:id="119"/>
    <w:p>
      <w:pPr>
        <w:ind w:left="540" w:hanging="532"/>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Restricted Stock Units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280" w:lineRule="exact"/>
        <w:rPr>
          <w:sz w:val="20"/>
          <w:szCs w:val="20"/>
          <w:color w:val="auto"/>
        </w:rPr>
      </w:pPr>
    </w:p>
    <w:p>
      <w:pPr>
        <w:ind w:left="540" w:hanging="532"/>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289" w:lineRule="exact"/>
        <w:rPr>
          <w:sz w:val="20"/>
          <w:szCs w:val="20"/>
          <w:color w:val="auto"/>
        </w:rPr>
      </w:pPr>
    </w:p>
    <w:p>
      <w:pPr>
        <w:ind w:left="540" w:hanging="532"/>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87" w:lineRule="exact"/>
        <w:rPr>
          <w:rFonts w:ascii="Times New Roman" w:cs="Times New Roman" w:eastAsia="Times New Roman" w:hAnsi="Times New Roman"/>
          <w:sz w:val="18"/>
          <w:szCs w:val="18"/>
          <w:color w:val="auto"/>
        </w:rPr>
      </w:pPr>
    </w:p>
    <w:p>
      <w:pPr>
        <w:ind w:right="80" w:firstLine="526"/>
        <w:spacing w:after="0" w:line="255" w:lineRule="auto"/>
        <w:tabs>
          <w:tab w:leader="none" w:pos="104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Eligible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w:t>
      </w:r>
    </w:p>
    <w:p>
      <w:pPr>
        <w:spacing w:after="0" w:line="206"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6" w:lineRule="auto"/>
        <w:tabs>
          <w:tab w:leader="none" w:pos="103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76" w:lineRule="exact"/>
        <w:rPr>
          <w:rFonts w:ascii="Times New Roman" w:cs="Times New Roman" w:eastAsia="Times New Roman" w:hAnsi="Times New Roman"/>
          <w:sz w:val="18"/>
          <w:szCs w:val="18"/>
          <w:color w:val="auto"/>
        </w:rPr>
      </w:pPr>
    </w:p>
    <w:p>
      <w:pPr>
        <w:ind w:firstLine="526"/>
        <w:spacing w:after="0" w:line="256" w:lineRule="auto"/>
        <w:tabs>
          <w:tab w:leader="none" w:pos="104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Restricted Stock Units, the receipt of cash or any dividends or dividend equivalents; and (ii) do not commit to structure the terms of the Award or any aspect of the Restricted Stock Units to reduce or eliminate the Eligible Individual’s liability for Tax-Related Items.</w:t>
      </w:r>
    </w:p>
    <w:p>
      <w:pPr>
        <w:spacing w:after="0" w:line="187" w:lineRule="exact"/>
        <w:rPr>
          <w:rFonts w:ascii="Times New Roman" w:cs="Times New Roman" w:eastAsia="Times New Roman" w:hAnsi="Times New Roman"/>
          <w:sz w:val="18"/>
          <w:szCs w:val="18"/>
          <w:color w:val="auto"/>
        </w:rPr>
      </w:pPr>
    </w:p>
    <w:p>
      <w:pPr>
        <w:ind w:right="220" w:firstLine="526"/>
        <w:spacing w:after="0" w:line="282" w:lineRule="auto"/>
        <w:tabs>
          <w:tab w:leader="none" w:pos="103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57" w:right="239" w:bottom="1440" w:gutter="0" w:footer="0" w:header="0"/>
        </w:sectPr>
      </w:pPr>
    </w:p>
    <w:bookmarkStart w:id="120" w:name="page121"/>
    <w:bookmarkEnd w:id="120"/>
    <w:p>
      <w:pPr>
        <w:ind w:right="40"/>
        <w:spacing w:after="0" w:line="252" w:lineRule="auto"/>
        <w:rPr>
          <w:sz w:val="20"/>
          <w:szCs w:val="20"/>
          <w:color w:val="auto"/>
        </w:rPr>
      </w:pPr>
      <w:r>
        <w:rPr>
          <w:rFonts w:ascii="Times New Roman" w:cs="Times New Roman" w:eastAsia="Times New Roman" w:hAnsi="Times New Roman"/>
          <w:sz w:val="18"/>
          <w:szCs w:val="18"/>
          <w:color w:val="auto"/>
        </w:rPr>
        <w:t>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if the Eligible Individual fails to comply with his or her obligations in connection with the Tax-Related Items as described in this Section.</w:t>
      </w:r>
    </w:p>
    <w:p>
      <w:pPr>
        <w:spacing w:after="0" w:line="199" w:lineRule="exact"/>
        <w:rPr>
          <w:sz w:val="20"/>
          <w:szCs w:val="20"/>
          <w:color w:val="auto"/>
        </w:rPr>
      </w:pPr>
    </w:p>
    <w:p>
      <w:pPr>
        <w:ind w:firstLine="526"/>
        <w:spacing w:after="0" w:line="255" w:lineRule="auto"/>
        <w:tabs>
          <w:tab w:leader="none" w:pos="104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28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right="60" w:firstLine="526"/>
        <w:spacing w:after="0" w:line="261" w:lineRule="auto"/>
        <w:tabs>
          <w:tab w:leader="none" w:pos="103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right="100" w:firstLine="526"/>
        <w:spacing w:after="0" w:line="255" w:lineRule="auto"/>
        <w:tabs>
          <w:tab w:leader="none" w:pos="10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9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225" w:lineRule="exact"/>
        <w:rPr>
          <w:rFonts w:ascii="Times New Roman" w:cs="Times New Roman" w:eastAsia="Times New Roman" w:hAnsi="Times New Roman"/>
          <w:sz w:val="18"/>
          <w:szCs w:val="18"/>
          <w:b w:val="1"/>
          <w:bCs w:val="1"/>
          <w:color w:val="auto"/>
        </w:rPr>
      </w:pPr>
    </w:p>
    <w:p>
      <w:pPr>
        <w:ind w:right="180" w:firstLine="526"/>
        <w:spacing w:after="0" w:line="282" w:lineRule="auto"/>
        <w:tabs>
          <w:tab w:leader="none" w:pos="103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60" w:firstLine="526"/>
        <w:spacing w:after="0" w:line="282" w:lineRule="auto"/>
        <w:tabs>
          <w:tab w:leader="none" w:pos="104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53" w:right="239" w:bottom="1440" w:gutter="0" w:footer="0" w:header="0"/>
        </w:sectPr>
      </w:pPr>
    </w:p>
    <w:bookmarkStart w:id="121" w:name="page122"/>
    <w:bookmarkEnd w:id="121"/>
    <w:p>
      <w:pPr>
        <w:ind w:firstLine="526"/>
        <w:spacing w:after="0" w:line="282" w:lineRule="auto"/>
        <w:tabs>
          <w:tab w:leader="none" w:pos="104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600" w:firstLine="526"/>
        <w:spacing w:after="0" w:line="282" w:lineRule="auto"/>
        <w:tabs>
          <w:tab w:leader="none" w:pos="102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right="240" w:firstLine="526"/>
        <w:spacing w:after="0" w:line="282" w:lineRule="auto"/>
        <w:tabs>
          <w:tab w:leader="none" w:pos="104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61" w:lineRule="exact"/>
        <w:rPr>
          <w:rFonts w:ascii="Times New Roman" w:cs="Times New Roman" w:eastAsia="Times New Roman" w:hAnsi="Times New Roman"/>
          <w:sz w:val="18"/>
          <w:szCs w:val="18"/>
          <w:color w:val="auto"/>
        </w:rPr>
      </w:pPr>
    </w:p>
    <w:p>
      <w:pPr>
        <w:ind w:right="20" w:firstLine="526"/>
        <w:spacing w:after="0" w:line="258" w:lineRule="auto"/>
        <w:tabs>
          <w:tab w:leader="none" w:pos="104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280" w:lineRule="exact"/>
        <w:rPr>
          <w:sz w:val="20"/>
          <w:szCs w:val="20"/>
          <w:color w:val="auto"/>
        </w:rPr>
      </w:pPr>
    </w:p>
    <w:p>
      <w:pPr>
        <w:ind w:left="540" w:hanging="532"/>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53" w:right="259" w:bottom="1440" w:gutter="0" w:footer="0" w:header="0"/>
        </w:sectPr>
      </w:pPr>
    </w:p>
    <w:bookmarkStart w:id="122" w:name="page123"/>
    <w:bookmarkEnd w:id="122"/>
    <w:p>
      <w:pPr>
        <w:ind w:left="532" w:hanging="532"/>
        <w:spacing w:after="0"/>
        <w:tabs>
          <w:tab w:leader="none" w:pos="53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left="-8" w:right="420" w:firstLine="526"/>
        <w:spacing w:after="0" w:line="266" w:lineRule="auto"/>
        <w:tabs>
          <w:tab w:leader="none" w:pos="10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left="-8" w:firstLine="526"/>
        <w:spacing w:after="0" w:line="255" w:lineRule="auto"/>
        <w:tabs>
          <w:tab w:leader="none" w:pos="103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left="-8" w:right="40" w:firstLine="526"/>
        <w:spacing w:after="0" w:line="255" w:lineRule="auto"/>
        <w:tabs>
          <w:tab w:leader="none" w:pos="102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60" w:firstLine="526"/>
        <w:spacing w:after="0" w:line="255" w:lineRule="auto"/>
        <w:tabs>
          <w:tab w:leader="none" w:pos="103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40" w:firstLine="526"/>
        <w:spacing w:after="0" w:line="258" w:lineRule="auto"/>
        <w:tabs>
          <w:tab w:leader="none" w:pos="102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rFonts w:ascii="Times New Roman" w:cs="Times New Roman" w:eastAsia="Times New Roman" w:hAnsi="Times New Roman"/>
          <w:sz w:val="18"/>
          <w:szCs w:val="18"/>
          <w:b w:val="1"/>
          <w:bCs w:val="1"/>
          <w:color w:val="auto"/>
        </w:rPr>
      </w:pPr>
    </w:p>
    <w:p>
      <w:pPr>
        <w:ind w:left="-8" w:right="300" w:firstLine="526"/>
        <w:spacing w:after="0" w:line="261" w:lineRule="auto"/>
        <w:tabs>
          <w:tab w:leader="none" w:pos="102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rFonts w:ascii="Times New Roman" w:cs="Times New Roman" w:eastAsia="Times New Roman" w:hAnsi="Times New Roman"/>
          <w:sz w:val="18"/>
          <w:szCs w:val="18"/>
          <w:color w:val="auto"/>
        </w:rPr>
      </w:pPr>
    </w:p>
    <w:p>
      <w:pPr>
        <w:ind w:left="-8" w:right="20" w:firstLine="526"/>
        <w:spacing w:after="0" w:line="256" w:lineRule="auto"/>
        <w:tabs>
          <w:tab w:leader="none" w:pos="103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92"/>
          </w:cols>
          <w:pgMar w:left="248" w:top="657" w:right="259" w:bottom="1440" w:gutter="0" w:footer="0" w:header="0"/>
        </w:sectPr>
      </w:pPr>
    </w:p>
    <w:bookmarkStart w:id="123" w:name="page124"/>
    <w:bookmarkEnd w:id="123"/>
    <w:p>
      <w:pPr>
        <w:ind w:left="540" w:hanging="532"/>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Award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657" w:right="2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2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(this “Agreement”), dated as of the award date designated on the Grant Details referenced below (the “Award Date”), between TripAdvisor, Inc., a U.S. Delaware corporation (the “Company”), and the employee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Vesting of Restricted Stock Units</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56" w:lineRule="auto"/>
        <w:tabs>
          <w:tab w:leader="none" w:pos="103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the Plan and the Grant Details (as defined below),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Your Grant Details, which sets forth the number of Restricted Stock Units granted to you by the Company, the Award Date and the vesting schedule of the Restricted Stock Units (among other information), is hereby incorporated by reference into, and shall be read as part and parcel of, this Agreement.</w:t>
      </w:r>
    </w:p>
    <w:p>
      <w:pPr>
        <w:spacing w:after="0" w:line="187" w:lineRule="exact"/>
        <w:rPr>
          <w:rFonts w:ascii="Times New Roman" w:cs="Times New Roman" w:eastAsia="Times New Roman" w:hAnsi="Times New Roman"/>
          <w:sz w:val="18"/>
          <w:szCs w:val="18"/>
          <w:color w:val="auto"/>
        </w:rPr>
      </w:pPr>
    </w:p>
    <w:p>
      <w:pPr>
        <w:ind w:right="360" w:firstLine="526"/>
        <w:spacing w:after="0" w:line="282" w:lineRule="auto"/>
        <w:tabs>
          <w:tab w:leader="none" w:pos="104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the provisions of the Plan, the Restricted Stock Units shall vest and no longer be subject to any restriction (such period during which restrictions apply is the “Restriction Period”) on the dates detailed in the Grant Details.</w:t>
      </w:r>
    </w:p>
    <w:p>
      <w:pPr>
        <w:spacing w:after="0" w:line="161" w:lineRule="exact"/>
        <w:rPr>
          <w:rFonts w:ascii="Times New Roman" w:cs="Times New Roman" w:eastAsia="Times New Roman" w:hAnsi="Times New Roman"/>
          <w:sz w:val="18"/>
          <w:szCs w:val="18"/>
          <w:color w:val="auto"/>
        </w:rPr>
      </w:pPr>
    </w:p>
    <w:p>
      <w:pPr>
        <w:ind w:right="80" w:firstLine="526"/>
        <w:spacing w:after="0" w:line="255" w:lineRule="auto"/>
        <w:tabs>
          <w:tab w:leader="none" w:pos="103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terms or conditions of the Plan to the contrary, in the event of Termination of Employment of the Eligible Individual (whether or not in breach of local labor laws), the Eligible Individual’s right to receive the Restricted Stock Unit award and any vesting in the Restricted Stock Units under the Plan, if any, will terminate effective as of the date of the Termination of Employment of the Eligible Individual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furthermore, in the event of Termination of Employment (whether or not in breach of local labor laws), the Eligible Individual’s right to vest in Restricted Stock Units after Termination of Employment, if any, will be measured by the date of the Termination of Employment and will not be extended by any notice period mandated under local law. The Committee shall have the exclusive discretion to determine the date of the Termination of Employment of the Eligible Individual for purposes of this Agreement.</w:t>
      </w:r>
    </w:p>
    <w:p>
      <w:pPr>
        <w:spacing w:after="0" w:line="185" w:lineRule="exact"/>
        <w:rPr>
          <w:rFonts w:ascii="Times New Roman" w:cs="Times New Roman" w:eastAsia="Times New Roman" w:hAnsi="Times New Roman"/>
          <w:sz w:val="18"/>
          <w:szCs w:val="18"/>
          <w:color w:val="auto"/>
        </w:rPr>
      </w:pPr>
    </w:p>
    <w:p>
      <w:pPr>
        <w:ind w:right="20" w:firstLine="526"/>
        <w:spacing w:after="0" w:line="254" w:lineRule="auto"/>
        <w:tabs>
          <w:tab w:leader="none" w:pos="104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either to return the shares issued upon settlement of Restricted Stock Units that vested during the two-year period after the events or circumstances giving rise to or constituting grounds for such Termination of Employment for Cause or to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6" w:lineRule="exact"/>
        <w:rPr>
          <w:rFonts w:ascii="Times New Roman" w:cs="Times New Roman" w:eastAsia="Times New Roman" w:hAnsi="Times New Roman"/>
          <w:sz w:val="18"/>
          <w:szCs w:val="18"/>
          <w:color w:val="auto"/>
        </w:rPr>
      </w:pPr>
    </w:p>
    <w:p>
      <w:pPr>
        <w:ind w:right="120" w:firstLine="526"/>
        <w:spacing w:after="0" w:line="256" w:lineRule="auto"/>
        <w:tabs>
          <w:tab w:leader="none" w:pos="103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employment with the Company shall include employment with the Company’s Subsidiaries, Affiliates and successors. Nothing in this Agreement or the Plan shall confer upon the Eligible Individual any right to continue in the employ of the Company or any of its Subsidiaries or Affiliates or interfere in any way with the right of the Company or any such Subsidiaries or Affiliates to terminate the Eligible Individual’s employment pursuant to relevant employment contract between the Company or any Subsidiaries or Affiliates located in China and the Eligible Individual. For the avoidance of doubt, the employment relationship between the Eligible Individual and the Company, or any Subsidiaries or Affiliates located in China shall be</w:t>
      </w:r>
    </w:p>
    <w:p>
      <w:pPr>
        <w:sectPr>
          <w:pgSz w:w="11900" w:h="16838" w:orient="portrait"/>
          <w:cols w:equalWidth="0" w:num="1">
            <w:col w:w="11420"/>
          </w:cols>
          <w:pgMar w:left="240" w:top="333" w:right="239" w:bottom="1440" w:gutter="0" w:footer="0" w:header="0"/>
        </w:sectPr>
      </w:pPr>
    </w:p>
    <w:bookmarkStart w:id="125" w:name="page126"/>
    <w:bookmarkEnd w:id="125"/>
    <w:p>
      <w:pPr>
        <w:ind w:right="520"/>
        <w:spacing w:after="0" w:line="282" w:lineRule="auto"/>
        <w:rPr>
          <w:sz w:val="20"/>
          <w:szCs w:val="20"/>
          <w:color w:val="auto"/>
        </w:rPr>
      </w:pPr>
      <w:r>
        <w:rPr>
          <w:rFonts w:ascii="Times New Roman" w:cs="Times New Roman" w:eastAsia="Times New Roman" w:hAnsi="Times New Roman"/>
          <w:sz w:val="18"/>
          <w:szCs w:val="18"/>
          <w:color w:val="auto"/>
        </w:rPr>
        <w:t>governed by relevant employment contracts between them. The Committee shall have the exclusive discretion to determine whether there has been any interruption or Termination of Employment.</w:t>
      </w:r>
    </w:p>
    <w:p>
      <w:pPr>
        <w:spacing w:after="0" w:line="266" w:lineRule="exact"/>
        <w:rPr>
          <w:sz w:val="20"/>
          <w:szCs w:val="20"/>
          <w:color w:val="auto"/>
        </w:rPr>
      </w:pPr>
    </w:p>
    <w:p>
      <w:pPr>
        <w:ind w:left="540" w:hanging="532"/>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soon as practicable after any Restricted Stock Units have vested and are no longer subject to the Restriction Period, such Restricted Stock Units shall be settled. Subject to Section 8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pacing w:after="0" w:line="292" w:lineRule="exact"/>
        <w:rPr>
          <w:sz w:val="20"/>
          <w:szCs w:val="20"/>
          <w:color w:val="auto"/>
        </w:rPr>
      </w:pPr>
    </w:p>
    <w:p>
      <w:pPr>
        <w:ind w:left="540" w:hanging="53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Restricted Stock Units</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During the Restriction Period and until such time as the Restricted Stock Units are ultimately settled as provided in Section 2 above, the Restricted Stock Units shall not be transferable by the Eligible Individual by means of sale, assignment, exchange, encumbrance, pledge, hedge or otherwise.</w:t>
      </w:r>
    </w:p>
    <w:p>
      <w:pPr>
        <w:spacing w:after="0" w:line="266" w:lineRule="exact"/>
        <w:rPr>
          <w:sz w:val="20"/>
          <w:szCs w:val="20"/>
          <w:color w:val="auto"/>
        </w:rPr>
      </w:pPr>
    </w:p>
    <w:p>
      <w:pPr>
        <w:ind w:left="540" w:hanging="532"/>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during the Restriction Period, the Eligible Individual shall not be entitled to any rights of a stockholder with respect to the Restricted Stock Units. Regardless of whether the Company declares and pays dividends on the Common Stock during the Restriction Period, the Eligible Individual will not be credited with any additional amounts or additional Restricted Stock Units, including additional Restricted Stock Unit equal to the dividend that would have been paid with respect to such Restricted Stock Unit if it had been an actual share of Common Stock. Notwithstanding the foregoing, dividends and distributions other than regular cash dividends, if any, may result in an adjustment pursuant to Section 5, rather than under this Section 4.</w:t>
      </w:r>
    </w:p>
    <w:p>
      <w:pPr>
        <w:spacing w:after="0" w:line="292" w:lineRule="exact"/>
        <w:rPr>
          <w:sz w:val="20"/>
          <w:szCs w:val="20"/>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87" w:lineRule="exact"/>
        <w:rPr>
          <w:rFonts w:ascii="Times New Roman" w:cs="Times New Roman" w:eastAsia="Times New Roman" w:hAnsi="Times New Roman"/>
          <w:sz w:val="18"/>
          <w:szCs w:val="18"/>
          <w:color w:val="auto"/>
        </w:rPr>
      </w:pPr>
    </w:p>
    <w:p>
      <w:pPr>
        <w:ind w:right="80" w:firstLine="526"/>
        <w:spacing w:after="0" w:line="255" w:lineRule="auto"/>
        <w:tabs>
          <w:tab w:leader="none" w:pos="104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Affiliate, or by the entity that controls such Subsidiary or Affiliate, following such Disaffiliation (as well as any corresponding adjustments to any Restricted Stock Units that remain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Participants.</w:t>
      </w:r>
    </w:p>
    <w:p>
      <w:pPr>
        <w:spacing w:after="0" w:line="225"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Transfer Taxes, Fees and Other Expenses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53" w:right="239" w:bottom="1440" w:gutter="0" w:footer="0" w:header="0"/>
        </w:sectPr>
      </w:pPr>
    </w:p>
    <w:bookmarkStart w:id="126" w:name="page127"/>
    <w:bookmarkEnd w:id="126"/>
    <w:p>
      <w:pPr>
        <w:ind w:left="540" w:hanging="532"/>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ind w:right="60" w:firstLine="526"/>
        <w:spacing w:after="0" w:line="258" w:lineRule="auto"/>
        <w:tabs>
          <w:tab w:leader="none" w:pos="103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(including, without limitation, the registration of the Plan with the PRC State Administration of Foreign Exchange (SAFE) or its local offices), then in any such event, the award of Restricted Stock Units shall not be effective unless such listing, registration, qualification, consent or approval shall have been effected or obtained free of any conditions not acceptable to the Committee.</w:t>
      </w:r>
    </w:p>
    <w:p>
      <w:pPr>
        <w:spacing w:after="0" w:line="183" w:lineRule="exact"/>
        <w:rPr>
          <w:rFonts w:ascii="Times New Roman" w:cs="Times New Roman" w:eastAsia="Times New Roman" w:hAnsi="Times New Roman"/>
          <w:sz w:val="18"/>
          <w:szCs w:val="18"/>
          <w:color w:val="auto"/>
        </w:rPr>
      </w:pPr>
    </w:p>
    <w:p>
      <w:pPr>
        <w:ind w:right="20" w:firstLine="526"/>
        <w:spacing w:after="0" w:line="255" w:lineRule="auto"/>
        <w:tabs>
          <w:tab w:leader="none" w:pos="1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Securities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9" w:lineRule="exact"/>
        <w:rPr>
          <w:rFonts w:ascii="Times New Roman" w:cs="Times New Roman" w:eastAsia="Times New Roman" w:hAnsi="Times New Roman"/>
          <w:sz w:val="18"/>
          <w:szCs w:val="18"/>
          <w:color w:val="auto"/>
        </w:rPr>
      </w:pPr>
    </w:p>
    <w:p>
      <w:pPr>
        <w:ind w:right="80" w:firstLine="526"/>
        <w:spacing w:after="0" w:line="258" w:lineRule="auto"/>
        <w:tabs>
          <w:tab w:leader="none" w:pos="103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agrees that he or she shall keep the shares of Common Stock released upon vesting of Restricted Stock Units in special accounts at the brokerage firm(s) designated by the Company and shall not transfer such shares to any other brokerage firm(s). The Eligible Individual shall have the right to hold or sell shares released to their accounts upon vesting at any time but agrees that all cash proceeds from such sale (as well as any dividend after deduction of relevant individual income tax pursuant to law) shall be distributed to the Eligible Individual through an authorized bank account established in China upon the approval of the SAFE (the “Authorized China Bank Account”).</w:t>
      </w:r>
    </w:p>
    <w:p>
      <w:pPr>
        <w:spacing w:after="0" w:line="183" w:lineRule="exact"/>
        <w:rPr>
          <w:rFonts w:ascii="Times New Roman" w:cs="Times New Roman" w:eastAsia="Times New Roman" w:hAnsi="Times New Roman"/>
          <w:sz w:val="18"/>
          <w:szCs w:val="18"/>
          <w:color w:val="auto"/>
        </w:rPr>
      </w:pPr>
    </w:p>
    <w:p>
      <w:pPr>
        <w:ind w:right="20" w:firstLine="526"/>
        <w:spacing w:after="0" w:line="266" w:lineRule="auto"/>
        <w:tabs>
          <w:tab w:leader="none" w:pos="104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Eligible Individual’s Termination of Employment, any remaining equity will be sold by the brokerage firm(s) as designated by the Company as soon as practicable, in no event later than ninety (90) days after the date of such Termination of Employment, and cash proceeds (after deduction of relevant individual income tax pursuant to law) shall be distributed to the Eligible Individual through the Authorized China Bank Account.</w:t>
      </w:r>
    </w:p>
    <w:p>
      <w:pPr>
        <w:spacing w:after="0" w:line="28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Responsibility for Taxes and Withholding</w:t>
      </w:r>
    </w:p>
    <w:p>
      <w:pPr>
        <w:spacing w:after="0" w:line="121" w:lineRule="exact"/>
        <w:rPr>
          <w:rFonts w:ascii="Times New Roman" w:cs="Times New Roman" w:eastAsia="Times New Roman" w:hAnsi="Times New Roman"/>
          <w:sz w:val="18"/>
          <w:szCs w:val="18"/>
          <w:b w:val="1"/>
          <w:bCs w:val="1"/>
          <w:color w:val="auto"/>
        </w:rPr>
      </w:pPr>
    </w:p>
    <w:p>
      <w:pPr>
        <w:ind w:right="80" w:firstLine="526"/>
        <w:spacing w:after="0" w:line="272" w:lineRule="auto"/>
        <w:tabs>
          <w:tab w:leader="none" w:pos="1033"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any action the Company or the Eligible Individual’s employer (“Employer”)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the Employer</w:t>
      </w:r>
    </w:p>
    <w:p>
      <w:pPr>
        <w:spacing w:after="0" w:line="1"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make no representations or undertakings regarding the treatment of any Tax-Related Items in connection with any aspect of the Restricted Stock Unit award, including the grant and vesting of the Restricted Stock Units; and (2) do not commit to structure the terms of the award or any aspect of the Restricted Stock Units to reduce or eliminate the Eligible Individual’s liability for Tax-Related Items.</w:t>
      </w:r>
    </w:p>
    <w:p>
      <w:pPr>
        <w:spacing w:after="0" w:line="186" w:lineRule="exact"/>
        <w:rPr>
          <w:rFonts w:ascii="Times New Roman" w:cs="Times New Roman" w:eastAsia="Times New Roman" w:hAnsi="Times New Roman"/>
          <w:sz w:val="17"/>
          <w:szCs w:val="17"/>
          <w:color w:val="auto"/>
        </w:rPr>
      </w:pPr>
    </w:p>
    <w:p>
      <w:pPr>
        <w:ind w:firstLine="526"/>
        <w:spacing w:after="0" w:line="252" w:lineRule="auto"/>
        <w:tabs>
          <w:tab w:leader="none" w:pos="104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or vesting of the Restricted Stock Units,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the Employer to withhold all applicable Tax-Related Items legally payable by the Eligible Individual from his or her wages or other cash compensation paid to the Eligible Individual by the Company and/or the Employer.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Employer any amount of Tax-Related Items that the Company or the Employer may be required to withhold as a result of the Eligible Individual’s participation in the Plan or the Eligible Individual’s award that cannot be satisfied by the means previously described. The Company may refuse to deliver the stock underlying the Restricted Stock Unit award under the Plan if the Eligible Individual fails to comply with his or her obligations in connection with the Tax-Related Items as described in this Section.</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657" w:right="259" w:bottom="1440" w:gutter="0" w:footer="0" w:header="0"/>
        </w:sectPr>
      </w:pPr>
    </w:p>
    <w:bookmarkStart w:id="127" w:name="page128"/>
    <w:bookmarkEnd w:id="127"/>
    <w:p>
      <w:pPr>
        <w:ind w:firstLine="526"/>
        <w:spacing w:after="0" w:line="255" w:lineRule="auto"/>
        <w:tabs>
          <w:tab w:leader="none" w:pos="103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awards made under this Agreement.</w:t>
      </w:r>
    </w:p>
    <w:p>
      <w:pPr>
        <w:spacing w:after="0" w:line="28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225" w:lineRule="exact"/>
        <w:rPr>
          <w:rFonts w:ascii="Times New Roman" w:cs="Times New Roman" w:eastAsia="Times New Roman" w:hAnsi="Times New Roman"/>
          <w:sz w:val="18"/>
          <w:szCs w:val="18"/>
          <w:b w:val="1"/>
          <w:bCs w:val="1"/>
          <w:color w:val="auto"/>
        </w:rPr>
      </w:pPr>
    </w:p>
    <w:p>
      <w:pPr>
        <w:ind w:right="180" w:firstLine="526"/>
        <w:spacing w:after="0" w:line="282" w:lineRule="auto"/>
        <w:tabs>
          <w:tab w:leader="none" w:pos="103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60" w:firstLine="526"/>
        <w:spacing w:after="0" w:line="282" w:lineRule="auto"/>
        <w:tabs>
          <w:tab w:leader="none" w:pos="10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10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Employer and shall not interfere with the ability of the Employer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640" w:firstLine="526"/>
        <w:spacing w:after="0" w:line="282" w:lineRule="auto"/>
        <w:tabs>
          <w:tab w:leader="none" w:pos="101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Affiliate, or the Employer,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80" w:firstLine="526"/>
        <w:spacing w:after="0" w:line="266" w:lineRule="auto"/>
        <w:tabs>
          <w:tab w:leader="none" w:pos="10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Affiliate or the Employer;</w:t>
      </w:r>
    </w:p>
    <w:p>
      <w:pPr>
        <w:spacing w:after="0" w:line="176" w:lineRule="exact"/>
        <w:rPr>
          <w:rFonts w:ascii="Times New Roman" w:cs="Times New Roman" w:eastAsia="Times New Roman" w:hAnsi="Times New Roman"/>
          <w:sz w:val="18"/>
          <w:szCs w:val="18"/>
          <w:color w:val="auto"/>
        </w:rPr>
      </w:pPr>
    </w:p>
    <w:p>
      <w:pPr>
        <w:ind w:right="200" w:firstLine="526"/>
        <w:spacing w:after="0" w:line="282" w:lineRule="auto"/>
        <w:tabs>
          <w:tab w:leader="none" w:pos="10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Subsidiary or Affiliate, the Award will not be interpreted to form an employment contract or relationship with the Company, Subsidiary or Affiliate; and</w:t>
      </w:r>
    </w:p>
    <w:p>
      <w:pPr>
        <w:spacing w:after="0" w:line="161" w:lineRule="exact"/>
        <w:rPr>
          <w:rFonts w:ascii="Times New Roman" w:cs="Times New Roman" w:eastAsia="Times New Roman" w:hAnsi="Times New Roman"/>
          <w:sz w:val="18"/>
          <w:szCs w:val="18"/>
          <w:color w:val="auto"/>
        </w:rPr>
      </w:pPr>
    </w:p>
    <w:p>
      <w:pPr>
        <w:ind w:right="100" w:firstLine="526"/>
        <w:spacing w:after="0" w:line="258" w:lineRule="auto"/>
        <w:tabs>
          <w:tab w:leader="none" w:pos="100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Affiliate, or Employer (for any reason whatsoever and whether or not in breach of local labor laws) and the Eligible Individual irrevocably releases the Company, Subsidiary or Affiliate and the Employer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53" w:right="239" w:bottom="1440" w:gutter="0" w:footer="0" w:header="0"/>
        </w:sectPr>
      </w:pPr>
    </w:p>
    <w:bookmarkStart w:id="128" w:name="page129"/>
    <w:bookmarkEnd w:id="128"/>
    <w:p>
      <w:pPr>
        <w:ind w:left="540" w:hanging="532"/>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under this Agreement shall be in writing and shall be given by hand delivery to the other party or by facsimile, overnight courier or registered or certified mail, return receipt requested, postage prepaid, addressed as follows: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to the Eligible Individual: at the last known address on record at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141 Needham Street</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Newton, MA 02464</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Facsimile: (617) 670-6301</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or to such other address or facsimile number as any party shall have furnished to the other in writing in accordance with this Section 10. Notice and communications shall be effective when actually received by the addressee. Notwithstanding the foregoing, the Eligible Individual consents to electronic delivery of documents required to be delivered by the Company under the securities laws.</w:t>
      </w:r>
    </w:p>
    <w:p>
      <w:pPr>
        <w:spacing w:after="0" w:line="280"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340" w:firstLine="519"/>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8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1" w:lineRule="auto"/>
        <w:tabs>
          <w:tab w:leader="none" w:pos="103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80" w:lineRule="exact"/>
        <w:rPr>
          <w:rFonts w:ascii="Times New Roman" w:cs="Times New Roman" w:eastAsia="Times New Roman" w:hAnsi="Times New Roman"/>
          <w:sz w:val="18"/>
          <w:szCs w:val="18"/>
          <w:color w:val="auto"/>
        </w:rPr>
      </w:pPr>
    </w:p>
    <w:p>
      <w:pPr>
        <w:ind w:right="20" w:firstLine="526"/>
        <w:spacing w:after="0" w:line="266" w:lineRule="auto"/>
        <w:tabs>
          <w:tab w:leader="none" w:pos="104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(or any other information posted on the Plan Administrator website or successor website) and this Agreement, the Plan and/or the books and records of the Company or (ii) ambiguity in the Grant Details (or any other information posted on the Plan Administrator website), this Agreement, the Plan and/or the books and records of the Company, as applicable, shall control.</w:t>
      </w:r>
    </w:p>
    <w:p>
      <w:pPr>
        <w:spacing w:after="0" w:line="28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57" w:right="259" w:bottom="1440" w:gutter="0" w:footer="0" w:header="0"/>
        </w:sectPr>
      </w:pPr>
    </w:p>
    <w:bookmarkStart w:id="129" w:name="page130"/>
    <w:bookmarkEnd w:id="129"/>
    <w:p>
      <w:pPr>
        <w:ind w:left="540" w:hanging="532"/>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58" w:lineRule="auto"/>
        <w:tabs>
          <w:tab w:leader="none" w:pos="103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 the Employer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Employee’s favor, for the purpose of implementing, administering and managing the Plan (“Data”).</w:t>
      </w:r>
    </w:p>
    <w:p>
      <w:pPr>
        <w:spacing w:after="0" w:line="183" w:lineRule="exact"/>
        <w:rPr>
          <w:rFonts w:ascii="Times New Roman" w:cs="Times New Roman" w:eastAsia="Times New Roman" w:hAnsi="Times New Roman"/>
          <w:sz w:val="18"/>
          <w:szCs w:val="18"/>
          <w:color w:val="auto"/>
        </w:rPr>
      </w:pPr>
    </w:p>
    <w:p>
      <w:pPr>
        <w:ind w:firstLine="526"/>
        <w:spacing w:after="0" w:line="266" w:lineRule="auto"/>
        <w:tabs>
          <w:tab w:leader="none" w:pos="99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hereby explicitly and unambiguously consents to the collection, use and transfer, in electronic or other form, of the Data as described in this document by and among, as applicable, the Employer, the Company and its Subsidiaries or Affiliates for the exclusive purpose of implementing, administering and managing the Eligible Individual’s participation in the Plan.</w:t>
      </w:r>
    </w:p>
    <w:p>
      <w:pPr>
        <w:spacing w:after="0" w:line="176" w:lineRule="exact"/>
        <w:rPr>
          <w:rFonts w:ascii="Times New Roman" w:cs="Times New Roman" w:eastAsia="Times New Roman" w:hAnsi="Times New Roman"/>
          <w:sz w:val="18"/>
          <w:szCs w:val="18"/>
          <w:color w:val="auto"/>
        </w:rPr>
      </w:pPr>
    </w:p>
    <w:p>
      <w:pPr>
        <w:ind w:firstLine="526"/>
        <w:spacing w:after="0" w:line="252" w:lineRule="auto"/>
        <w:tabs>
          <w:tab w:leader="none" w:pos="103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(e.g., the United States) may have different data privacy laws and protections than the Eligible Individual’s country. The Eligible Individual understands that he or she may request a list with the names and addresses of any potential recipients of the Data by contacting the Eligible Individual’s local human resources representative. The Eligible Individual authorizes the Company, its Subsidiary,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The Eligible Individual understands that Data will be held only as long as is necessary to implement, administer and manage his or her participation in the Plan.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30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Grantee has received this Agreement and any other related communications and consents to having received these documents solely in English. If, however, the Grantee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Restricted Stock Units awarded under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657" w:right="279" w:bottom="1440" w:gutter="0" w:footer="0" w:header="0"/>
        </w:sectPr>
      </w:pPr>
    </w:p>
    <w:bookmarkStart w:id="130" w:name="page131"/>
    <w:bookmarkEnd w:id="130"/>
    <w:p>
      <w:pPr>
        <w:ind w:firstLine="518"/>
        <w:spacing w:after="0" w:line="266" w:lineRule="auto"/>
        <w:rPr>
          <w:sz w:val="20"/>
          <w:szCs w:val="20"/>
          <w:color w:val="auto"/>
        </w:rPr>
      </w:pPr>
      <w:r>
        <w:rPr>
          <w:rFonts w:ascii="Times New Roman" w:cs="Times New Roman" w:eastAsia="Times New Roman" w:hAnsi="Times New Roman"/>
          <w:sz w:val="18"/>
          <w:szCs w:val="18"/>
          <w:color w:val="auto"/>
        </w:rPr>
        <w:t>IN WITNESS WHEREOF, as of the date first above written, the Company has caused this Agreement to be executed on its behalf by a duly authorized officer and the Eligible Individual has hereunto set the Eligible Individual’s hand. Electronic acceptance of this Agreement pursuant to the Company’s instructions to Eligible Individual (including through an online acceptance process managed by the Agent) is acceptable.</w:t>
      </w: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31470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Seth Kalvert</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7"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207"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Vesting of Restricted Stock Units</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Plan and the Grant Details (as defined below),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87"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Grant Details and the Plan, the Restricted Stock Units shall vest and no longer be subject to any restriction (such period during which restrictions apply shall be referred to as the “RSU Restriction Period”) on the dates detailed in the Grant Details.</w:t>
      </w:r>
    </w:p>
    <w:p>
      <w:pPr>
        <w:spacing w:after="0" w:line="176" w:lineRule="exact"/>
        <w:rPr>
          <w:rFonts w:ascii="Times New Roman" w:cs="Times New Roman" w:eastAsia="Times New Roman" w:hAnsi="Times New Roman"/>
          <w:sz w:val="18"/>
          <w:szCs w:val="18"/>
          <w:color w:val="auto"/>
        </w:rPr>
      </w:pPr>
    </w:p>
    <w:p>
      <w:pPr>
        <w:ind w:right="80" w:firstLine="526"/>
        <w:spacing w:after="0" w:line="256" w:lineRule="auto"/>
        <w:tabs>
          <w:tab w:leader="none" w:pos="103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RSU Restriction Period for any reason (whether or not in breach of local labor laws), the Eligible Individual’s right to receive the Award and any vesting in the Restricted Stock Units under the Plan, if any, will terminate effective as of the date of the Termination of Employment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vest in the Award after Termination of Employment, if any, will be measured to the date of the Termination of Employment and will not be extended by any notice period mandated under local law.</w:t>
      </w:r>
    </w:p>
    <w:p>
      <w:pPr>
        <w:spacing w:after="0" w:line="187" w:lineRule="exact"/>
        <w:rPr>
          <w:rFonts w:ascii="Times New Roman" w:cs="Times New Roman" w:eastAsia="Times New Roman" w:hAnsi="Times New Roman"/>
          <w:sz w:val="18"/>
          <w:szCs w:val="18"/>
          <w:color w:val="auto"/>
        </w:rPr>
      </w:pPr>
    </w:p>
    <w:p>
      <w:pPr>
        <w:ind w:right="20" w:firstLine="526"/>
        <w:spacing w:after="0" w:line="254" w:lineRule="auto"/>
        <w:tabs>
          <w:tab w:leader="none" w:pos="104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6" w:lineRule="exact"/>
        <w:rPr>
          <w:rFonts w:ascii="Times New Roman" w:cs="Times New Roman" w:eastAsia="Times New Roman" w:hAnsi="Times New Roman"/>
          <w:sz w:val="18"/>
          <w:szCs w:val="18"/>
          <w:color w:val="auto"/>
        </w:rPr>
      </w:pPr>
    </w:p>
    <w:p>
      <w:pPr>
        <w:ind w:right="80" w:firstLine="526"/>
        <w:spacing w:after="0" w:line="282" w:lineRule="auto"/>
        <w:tabs>
          <w:tab w:leader="none" w:pos="103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121"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As soon as practicable after any Restricted Stock Units have vested and are no longer subject to the RSU Restriction Period,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w:t>
      </w:r>
    </w:p>
    <w:p>
      <w:pPr>
        <w:sectPr>
          <w:pgSz w:w="11900" w:h="16838" w:orient="portrait"/>
          <w:cols w:equalWidth="0" w:num="1">
            <w:col w:w="11420"/>
          </w:cols>
          <w:pgMar w:left="240" w:top="333" w:right="239" w:bottom="1440" w:gutter="0" w:footer="0" w:header="0"/>
        </w:sectPr>
      </w:pPr>
    </w:p>
    <w:bookmarkStart w:id="132" w:name="page133"/>
    <w:bookmarkEnd w:id="132"/>
    <w:p>
      <w:pPr>
        <w:ind w:right="360"/>
        <w:spacing w:after="0" w:line="282" w:lineRule="auto"/>
        <w:rPr>
          <w:sz w:val="20"/>
          <w:szCs w:val="20"/>
          <w:color w:val="auto"/>
        </w:rPr>
      </w:pPr>
      <w:r>
        <w:rPr>
          <w:rFonts w:ascii="Times New Roman" w:cs="Times New Roman" w:eastAsia="Times New Roman" w:hAnsi="Times New Roman"/>
          <w:sz w:val="18"/>
          <w:szCs w:val="18"/>
          <w:color w:val="auto"/>
        </w:rPr>
        <w:t>Shares issuable upon settlement of Restricted Stock Units that have vested until the Company or Plan Administrator shall have received from the Eligible Individual a duly executed Form W-9 or Form W-8, as applicable, as well as such other documents as may be legally required.</w:t>
      </w:r>
    </w:p>
    <w:p>
      <w:pPr>
        <w:spacing w:after="0" w:line="266"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Restricted Stock Units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280" w:lineRule="exact"/>
        <w:rPr>
          <w:sz w:val="20"/>
          <w:szCs w:val="20"/>
          <w:color w:val="auto"/>
        </w:rPr>
      </w:pPr>
    </w:p>
    <w:p>
      <w:pPr>
        <w:ind w:left="540" w:hanging="532"/>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289"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87" w:lineRule="exact"/>
        <w:rPr>
          <w:rFonts w:ascii="Times New Roman" w:cs="Times New Roman" w:eastAsia="Times New Roman" w:hAnsi="Times New Roman"/>
          <w:sz w:val="18"/>
          <w:szCs w:val="18"/>
          <w:color w:val="auto"/>
        </w:rPr>
      </w:pPr>
    </w:p>
    <w:p>
      <w:pPr>
        <w:ind w:right="80" w:firstLine="526"/>
        <w:spacing w:after="0" w:line="255" w:lineRule="auto"/>
        <w:tabs>
          <w:tab w:leader="none" w:pos="104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 ).</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Eligible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w:t>
      </w:r>
    </w:p>
    <w:p>
      <w:pPr>
        <w:spacing w:after="0" w:line="206"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6" w:lineRule="auto"/>
        <w:tabs>
          <w:tab w:leader="none" w:pos="103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76" w:lineRule="exact"/>
        <w:rPr>
          <w:rFonts w:ascii="Times New Roman" w:cs="Times New Roman" w:eastAsia="Times New Roman" w:hAnsi="Times New Roman"/>
          <w:sz w:val="18"/>
          <w:szCs w:val="18"/>
          <w:color w:val="auto"/>
        </w:rPr>
      </w:pPr>
    </w:p>
    <w:p>
      <w:pPr>
        <w:ind w:firstLine="526"/>
        <w:spacing w:after="0" w:line="256" w:lineRule="auto"/>
        <w:tabs>
          <w:tab w:leader="none" w:pos="104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Restricted Stock Units, the receipt of cash or any dividends or dividend equivalents; and (ii) do not commit to structure the terms of the Award or any aspect of the Restricted Stock Units to reduce or eliminate the Eligible Individual’s liability for Tax-Related Items.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45" w:right="239" w:bottom="1440" w:gutter="0" w:footer="0" w:header="0"/>
        </w:sectPr>
      </w:pPr>
    </w:p>
    <w:bookmarkStart w:id="133" w:name="page134"/>
    <w:bookmarkEnd w:id="133"/>
    <w:p>
      <w:pPr>
        <w:ind w:firstLine="526"/>
        <w:spacing w:after="0" w:line="252" w:lineRule="auto"/>
        <w:tabs>
          <w:tab w:leader="none" w:pos="103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Vesting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if the Eligible Individual fails to comply with his or her obligations in connection with the Tax-Related Items as described in this Section.</w:t>
      </w:r>
    </w:p>
    <w:p>
      <w:pPr>
        <w:spacing w:after="0" w:line="196" w:lineRule="exact"/>
        <w:rPr>
          <w:rFonts w:ascii="Times New Roman" w:cs="Times New Roman" w:eastAsia="Times New Roman" w:hAnsi="Times New Roman"/>
          <w:sz w:val="18"/>
          <w:szCs w:val="18"/>
          <w:color w:val="auto"/>
        </w:rPr>
      </w:pPr>
    </w:p>
    <w:p>
      <w:pPr>
        <w:ind w:firstLine="526"/>
        <w:spacing w:after="0" w:line="255" w:lineRule="auto"/>
        <w:tabs>
          <w:tab w:leader="none" w:pos="104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28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right="20" w:firstLine="526"/>
        <w:spacing w:after="0" w:line="261" w:lineRule="auto"/>
        <w:tabs>
          <w:tab w:leader="none" w:pos="103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right="60" w:firstLine="526"/>
        <w:spacing w:after="0" w:line="255" w:lineRule="auto"/>
        <w:tabs>
          <w:tab w:leader="none" w:pos="10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9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225" w:lineRule="exact"/>
        <w:rPr>
          <w:rFonts w:ascii="Times New Roman" w:cs="Times New Roman" w:eastAsia="Times New Roman" w:hAnsi="Times New Roman"/>
          <w:sz w:val="18"/>
          <w:szCs w:val="18"/>
          <w:b w:val="1"/>
          <w:bCs w:val="1"/>
          <w:color w:val="auto"/>
        </w:rPr>
      </w:pPr>
    </w:p>
    <w:p>
      <w:pPr>
        <w:ind w:right="120" w:firstLine="526"/>
        <w:spacing w:after="0" w:line="282" w:lineRule="auto"/>
        <w:tabs>
          <w:tab w:leader="none" w:pos="103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60" w:firstLine="526"/>
        <w:spacing w:after="0" w:line="282" w:lineRule="auto"/>
        <w:tabs>
          <w:tab w:leader="none" w:pos="104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53" w:right="239" w:bottom="1440" w:gutter="0" w:footer="0" w:header="0"/>
        </w:sectPr>
      </w:pPr>
    </w:p>
    <w:bookmarkStart w:id="134" w:name="page135"/>
    <w:bookmarkEnd w:id="134"/>
    <w:p>
      <w:pPr>
        <w:ind w:firstLine="526"/>
        <w:spacing w:after="0" w:line="282" w:lineRule="auto"/>
        <w:tabs>
          <w:tab w:leader="none" w:pos="104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620" w:firstLine="526"/>
        <w:spacing w:after="0" w:line="282" w:lineRule="auto"/>
        <w:tabs>
          <w:tab w:leader="none" w:pos="101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right="180" w:firstLine="526"/>
        <w:spacing w:after="0" w:line="282" w:lineRule="auto"/>
        <w:tabs>
          <w:tab w:leader="none" w:pos="104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Subsidiary or Affiliate, the Award will not be interpreted to form an employment contract or relationship with the Company; and</w:t>
      </w:r>
    </w:p>
    <w:p>
      <w:pPr>
        <w:spacing w:after="0" w:line="161" w:lineRule="exact"/>
        <w:rPr>
          <w:rFonts w:ascii="Times New Roman" w:cs="Times New Roman" w:eastAsia="Times New Roman" w:hAnsi="Times New Roman"/>
          <w:sz w:val="18"/>
          <w:szCs w:val="18"/>
          <w:color w:val="auto"/>
        </w:rPr>
      </w:pPr>
    </w:p>
    <w:p>
      <w:pPr>
        <w:ind w:right="20" w:firstLine="526"/>
        <w:spacing w:after="0" w:line="258" w:lineRule="auto"/>
        <w:tabs>
          <w:tab w:leader="none" w:pos="100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266" w:lineRule="exact"/>
        <w:rPr>
          <w:sz w:val="20"/>
          <w:szCs w:val="20"/>
          <w:color w:val="auto"/>
        </w:rPr>
      </w:pPr>
    </w:p>
    <w:p>
      <w:pPr>
        <w:ind w:left="540" w:hanging="532"/>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53" w:right="259" w:bottom="1440" w:gutter="0" w:footer="0" w:header="0"/>
        </w:sectPr>
      </w:pPr>
    </w:p>
    <w:bookmarkStart w:id="135" w:name="page136"/>
    <w:bookmarkEnd w:id="135"/>
    <w:p>
      <w:pPr>
        <w:ind w:left="540" w:hanging="53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right="420" w:firstLine="526"/>
        <w:spacing w:after="0" w:line="266" w:lineRule="auto"/>
        <w:tabs>
          <w:tab w:leader="none" w:pos="103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right="100" w:firstLine="526"/>
        <w:spacing w:after="0" w:line="255" w:lineRule="auto"/>
        <w:tabs>
          <w:tab w:leader="none" w:pos="1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Currency Exchange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Eligible Individual agrees and acknowledges that that Eligible Individual shall bear any and all risks associated with the exchange or fluctuation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currency associated with the Award, including without limitation the settlement of the Award and/or sale of the Shares (the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Eligible Individual waives and releases the Company, its Subsidiaries and Affiliates and the Plan Administrator from any potential claims arising out</w:t>
      </w:r>
    </w:p>
    <w:p>
      <w:pPr>
        <w:spacing w:after="0" w:line="9"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of the Currency Exchange Risk.</w:t>
      </w:r>
      <w:r>
        <w:rPr>
          <w:sz w:val="20"/>
          <w:szCs w:val="20"/>
          <w:color w:val="auto"/>
        </w:rPr>
        <w:tab/>
      </w:r>
      <w:r>
        <w:rPr>
          <w:rFonts w:ascii="Times New Roman" w:cs="Times New Roman" w:eastAsia="Times New Roman" w:hAnsi="Times New Roman"/>
          <w:sz w:val="17"/>
          <w:szCs w:val="17"/>
          <w:color w:val="auto"/>
        </w:rPr>
        <w:t>Eligible Individual acknowledges and agrees that Eligible Individual shall with any and all exchange control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the Award and the sale of the Shares and any resulting funds including, without limitation, reporting or repatriation requirements.</w:t>
      </w:r>
    </w:p>
    <w:p>
      <w:pPr>
        <w:spacing w:after="0" w:line="311" w:lineRule="exact"/>
        <w:rPr>
          <w:sz w:val="20"/>
          <w:szCs w:val="20"/>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Appendix</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Notwithstanding any provisions in this Agreement to the contrary, the Restricted Stock Units shall be subject to any special terms and conditions set forth in the Appendix to the Agreement for Eligible Individual’s country.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The Appendix constitutes a party of this Agreement.</w:t>
      </w:r>
    </w:p>
    <w:p>
      <w:pPr>
        <w:spacing w:after="0" w:line="288" w:lineRule="exact"/>
        <w:rPr>
          <w:sz w:val="20"/>
          <w:szCs w:val="20"/>
          <w:color w:val="auto"/>
        </w:rPr>
      </w:pPr>
    </w:p>
    <w:p>
      <w:pPr>
        <w:ind w:left="540" w:hanging="532"/>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84" w:lineRule="exact"/>
        <w:rPr>
          <w:sz w:val="20"/>
          <w:szCs w:val="20"/>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right="180" w:firstLine="526"/>
        <w:spacing w:after="0" w:line="255" w:lineRule="auto"/>
        <w:tabs>
          <w:tab w:leader="none" w:pos="103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right="60" w:firstLine="526"/>
        <w:spacing w:after="0" w:line="282" w:lineRule="auto"/>
        <w:tabs>
          <w:tab w:leader="none" w:pos="10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57" w:right="259" w:bottom="1440" w:gutter="0" w:footer="0" w:header="0"/>
        </w:sectPr>
      </w:pPr>
    </w:p>
    <w:bookmarkStart w:id="136" w:name="page137"/>
    <w:bookmarkEnd w:id="136"/>
    <w:p>
      <w:pPr>
        <w:ind w:right="340"/>
        <w:spacing w:after="0" w:line="258" w:lineRule="auto"/>
        <w:rPr>
          <w:sz w:val="20"/>
          <w:szCs w:val="20"/>
          <w:color w:val="auto"/>
        </w:rPr>
      </w:pPr>
      <w:r>
        <w:rPr>
          <w:rFonts w:ascii="Times New Roman" w:cs="Times New Roman" w:eastAsia="Times New Roman" w:hAnsi="Times New Roman"/>
          <w:sz w:val="18"/>
          <w:szCs w:val="18"/>
          <w:color w:val="auto"/>
        </w:rPr>
        <w:t>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4" w:lineRule="exact"/>
        <w:rPr>
          <w:sz w:val="20"/>
          <w:szCs w:val="20"/>
          <w:color w:val="auto"/>
        </w:rPr>
      </w:pPr>
    </w:p>
    <w:p>
      <w:pPr>
        <w:ind w:firstLine="526"/>
        <w:spacing w:after="0" w:line="258" w:lineRule="auto"/>
        <w:tabs>
          <w:tab w:leader="none" w:pos="103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may, in its sole discretion, decide to deliver any documents related to the Award and participation in the Plan or future Awards that may</w:t>
      </w:r>
    </w:p>
    <w:p>
      <w:pPr>
        <w:spacing w:after="0" w:line="3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553" w:right="2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0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Vesting of Restricted Stock Units</w:t>
      </w:r>
    </w:p>
    <w:p>
      <w:pPr>
        <w:spacing w:after="0" w:line="121" w:lineRule="exact"/>
        <w:rPr>
          <w:rFonts w:ascii="Times New Roman" w:cs="Times New Roman" w:eastAsia="Times New Roman" w:hAnsi="Times New Roman"/>
          <w:sz w:val="18"/>
          <w:szCs w:val="18"/>
          <w:b w:val="1"/>
          <w:bCs w:val="1"/>
          <w:color w:val="auto"/>
        </w:rPr>
      </w:pPr>
    </w:p>
    <w:p>
      <w:pPr>
        <w:ind w:right="140" w:firstLine="526"/>
        <w:spacing w:after="0" w:line="256" w:lineRule="auto"/>
        <w:tabs>
          <w:tab w:leader="none" w:pos="103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the Plan and the Grant Details (as defined below),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85" w:lineRule="exact"/>
        <w:rPr>
          <w:rFonts w:ascii="Times New Roman" w:cs="Times New Roman" w:eastAsia="Times New Roman" w:hAnsi="Times New Roman"/>
          <w:sz w:val="18"/>
          <w:szCs w:val="18"/>
          <w:color w:val="auto"/>
        </w:rPr>
      </w:pPr>
    </w:p>
    <w:p>
      <w:pPr>
        <w:ind w:right="160" w:firstLine="526"/>
        <w:spacing w:after="0" w:line="267" w:lineRule="auto"/>
        <w:tabs>
          <w:tab w:leader="none" w:pos="104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Grant Details and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Restricted Stock Units shall vest and no longer be subject to any restriction (such period during which restrictions apply shall be referred to as the “RSU Restriction Period”) on the dates detailed in the Grant Details.</w:t>
      </w:r>
    </w:p>
    <w:p>
      <w:pPr>
        <w:spacing w:after="0" w:line="175" w:lineRule="exact"/>
        <w:rPr>
          <w:rFonts w:ascii="Times New Roman" w:cs="Times New Roman" w:eastAsia="Times New Roman" w:hAnsi="Times New Roman"/>
          <w:sz w:val="18"/>
          <w:szCs w:val="18"/>
          <w:color w:val="auto"/>
        </w:rPr>
      </w:pPr>
    </w:p>
    <w:p>
      <w:pPr>
        <w:ind w:right="200" w:firstLine="526"/>
        <w:spacing w:after="0" w:line="266" w:lineRule="auto"/>
        <w:tabs>
          <w:tab w:leader="none" w:pos="103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28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121" w:lineRule="exact"/>
        <w:rPr>
          <w:sz w:val="20"/>
          <w:szCs w:val="20"/>
          <w:color w:val="auto"/>
        </w:rPr>
      </w:pPr>
    </w:p>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As soon as practicable after any Restricted Stock Units have vested and are no longer subject to the RSU Restriction Period,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pacing w:after="0" w:line="278" w:lineRule="exact"/>
        <w:rPr>
          <w:sz w:val="20"/>
          <w:szCs w:val="20"/>
          <w:color w:val="auto"/>
        </w:rPr>
      </w:pPr>
    </w:p>
    <w:p>
      <w:pPr>
        <w:ind w:left="540" w:hanging="532"/>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Restricted Stock Units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280" w:lineRule="exact"/>
        <w:rPr>
          <w:sz w:val="20"/>
          <w:szCs w:val="20"/>
          <w:color w:val="auto"/>
        </w:rPr>
      </w:pPr>
    </w:p>
    <w:p>
      <w:pPr>
        <w:ind w:left="540" w:hanging="532"/>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ectPr>
          <w:pgSz w:w="11900" w:h="16838" w:orient="portrait"/>
          <w:cols w:equalWidth="0" w:num="1">
            <w:col w:w="11420"/>
          </w:cols>
          <w:pgMar w:left="240" w:top="333" w:right="239" w:bottom="1440" w:gutter="0" w:footer="0" w:header="0"/>
        </w:sectPr>
      </w:pPr>
    </w:p>
    <w:bookmarkStart w:id="138" w:name="page139"/>
    <w:bookmarkEnd w:id="138"/>
    <w:p>
      <w:pPr>
        <w:ind w:left="540" w:hanging="532"/>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87" w:lineRule="exact"/>
        <w:rPr>
          <w:rFonts w:ascii="Times New Roman" w:cs="Times New Roman" w:eastAsia="Times New Roman" w:hAnsi="Times New Roman"/>
          <w:sz w:val="18"/>
          <w:szCs w:val="18"/>
          <w:color w:val="auto"/>
        </w:rPr>
      </w:pPr>
    </w:p>
    <w:p>
      <w:pPr>
        <w:ind w:right="80" w:firstLine="526"/>
        <w:spacing w:after="0" w:line="255" w:lineRule="auto"/>
        <w:tabs>
          <w:tab w:leader="none" w:pos="104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Eligible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w:t>
      </w:r>
    </w:p>
    <w:p>
      <w:pPr>
        <w:spacing w:after="0" w:line="206"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6" w:lineRule="auto"/>
        <w:tabs>
          <w:tab w:leader="none" w:pos="103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76" w:lineRule="exact"/>
        <w:rPr>
          <w:rFonts w:ascii="Times New Roman" w:cs="Times New Roman" w:eastAsia="Times New Roman" w:hAnsi="Times New Roman"/>
          <w:sz w:val="18"/>
          <w:szCs w:val="18"/>
          <w:color w:val="auto"/>
        </w:rPr>
      </w:pPr>
    </w:p>
    <w:p>
      <w:pPr>
        <w:ind w:firstLine="526"/>
        <w:spacing w:after="0" w:line="256" w:lineRule="auto"/>
        <w:tabs>
          <w:tab w:leader="none" w:pos="104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Restricted Stock Units, the receipt of cash or any dividends or dividend equivalents; and (ii) do not commit to structure the terms of the Award or any aspect of the Restricted Stock Units to reduce or eliminate the Eligible Individual’s liability for Tax-Related Items.</w:t>
      </w:r>
    </w:p>
    <w:p>
      <w:pPr>
        <w:spacing w:after="0" w:line="187" w:lineRule="exact"/>
        <w:rPr>
          <w:rFonts w:ascii="Times New Roman" w:cs="Times New Roman" w:eastAsia="Times New Roman" w:hAnsi="Times New Roman"/>
          <w:sz w:val="18"/>
          <w:szCs w:val="18"/>
          <w:color w:val="auto"/>
        </w:rPr>
      </w:pPr>
    </w:p>
    <w:p>
      <w:pPr>
        <w:ind w:firstLine="526"/>
        <w:spacing w:after="0" w:line="252" w:lineRule="auto"/>
        <w:tabs>
          <w:tab w:leader="none" w:pos="103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if the Eligible Individual fails to comply with his or her obligations in connection with the Tax-Related Items as described in this Section.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57" w:right="239" w:bottom="1440" w:gutter="0" w:footer="0" w:header="0"/>
        </w:sectPr>
      </w:pPr>
    </w:p>
    <w:bookmarkStart w:id="139" w:name="page140"/>
    <w:bookmarkEnd w:id="139"/>
    <w:p>
      <w:pPr>
        <w:ind w:left="-8" w:firstLine="526"/>
        <w:spacing w:after="0" w:line="255" w:lineRule="auto"/>
        <w:tabs>
          <w:tab w:leader="none" w:pos="103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289"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left="-8" w:right="60" w:firstLine="526"/>
        <w:spacing w:after="0" w:line="261" w:lineRule="auto"/>
        <w:tabs>
          <w:tab w:leader="none" w:pos="102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left="-8" w:right="100" w:firstLine="526"/>
        <w:spacing w:after="0" w:line="255" w:lineRule="auto"/>
        <w:tabs>
          <w:tab w:leader="none" w:pos="103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9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117" w:lineRule="exact"/>
        <w:rPr>
          <w:rFonts w:ascii="Times New Roman" w:cs="Times New Roman" w:eastAsia="Times New Roman" w:hAnsi="Times New Roman"/>
          <w:sz w:val="18"/>
          <w:szCs w:val="18"/>
          <w:b w:val="1"/>
          <w:bCs w:val="1"/>
          <w:color w:val="auto"/>
        </w:rPr>
      </w:pPr>
    </w:p>
    <w:p>
      <w:pPr>
        <w:ind w:left="-8" w:right="180" w:firstLine="526"/>
        <w:spacing w:after="0" w:line="282" w:lineRule="auto"/>
        <w:tabs>
          <w:tab w:leader="none" w:pos="102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left="-8" w:right="60" w:firstLine="526"/>
        <w:spacing w:after="0" w:line="282" w:lineRule="auto"/>
        <w:tabs>
          <w:tab w:leader="none" w:pos="10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61" w:lineRule="exact"/>
        <w:rPr>
          <w:rFonts w:ascii="Times New Roman" w:cs="Times New Roman" w:eastAsia="Times New Roman" w:hAnsi="Times New Roman"/>
          <w:sz w:val="18"/>
          <w:szCs w:val="18"/>
          <w:color w:val="auto"/>
        </w:rPr>
      </w:pPr>
    </w:p>
    <w:p>
      <w:pPr>
        <w:ind w:left="1032" w:hanging="514"/>
        <w:spacing w:after="0"/>
        <w:tabs>
          <w:tab w:leader="none" w:pos="103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8" w:right="20" w:firstLine="526"/>
        <w:spacing w:after="0" w:line="282" w:lineRule="auto"/>
        <w:tabs>
          <w:tab w:leader="none" w:pos="10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32" w:hanging="514"/>
        <w:spacing w:after="0"/>
        <w:tabs>
          <w:tab w:leader="none" w:pos="103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left="-8" w:right="600" w:firstLine="526"/>
        <w:spacing w:after="0" w:line="282" w:lineRule="auto"/>
        <w:tabs>
          <w:tab w:leader="none" w:pos="10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left="-8" w:right="180" w:firstLine="526"/>
        <w:spacing w:after="0" w:line="266" w:lineRule="auto"/>
        <w:tabs>
          <w:tab w:leader="none" w:pos="10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left="-8" w:right="260" w:firstLine="526"/>
        <w:spacing w:after="0" w:line="282" w:lineRule="auto"/>
        <w:tabs>
          <w:tab w:leader="none" w:pos="103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61" w:lineRule="exact"/>
        <w:rPr>
          <w:rFonts w:ascii="Times New Roman" w:cs="Times New Roman" w:eastAsia="Times New Roman" w:hAnsi="Times New Roman"/>
          <w:sz w:val="18"/>
          <w:szCs w:val="18"/>
          <w:color w:val="auto"/>
        </w:rPr>
      </w:pPr>
    </w:p>
    <w:p>
      <w:pPr>
        <w:jc w:val="both"/>
        <w:ind w:left="-8" w:right="140" w:firstLine="526"/>
        <w:spacing w:after="0" w:line="266" w:lineRule="auto"/>
        <w:tabs>
          <w:tab w:leader="none" w:pos="1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553" w:right="239" w:bottom="1440" w:gutter="0" w:footer="0" w:header="0"/>
        </w:sectPr>
      </w:pPr>
    </w:p>
    <w:bookmarkStart w:id="140" w:name="page141"/>
    <w:bookmarkEnd w:id="140"/>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0" w:lineRule="exact"/>
        <w:rPr>
          <w:sz w:val="20"/>
          <w:szCs w:val="20"/>
          <w:color w:val="auto"/>
        </w:rPr>
      </w:pPr>
    </w:p>
    <w:p>
      <w:pPr>
        <w:ind w:left="540" w:hanging="532"/>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280" w:lineRule="exact"/>
        <w:rPr>
          <w:sz w:val="20"/>
          <w:szCs w:val="20"/>
          <w:color w:val="auto"/>
        </w:rPr>
      </w:pPr>
    </w:p>
    <w:p>
      <w:pPr>
        <w:ind w:left="540" w:hanging="532"/>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8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right="420" w:firstLine="526"/>
        <w:spacing w:after="0" w:line="266" w:lineRule="auto"/>
        <w:tabs>
          <w:tab w:leader="none" w:pos="10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firstLine="526"/>
        <w:spacing w:after="0" w:line="255" w:lineRule="auto"/>
        <w:tabs>
          <w:tab w:leader="none" w:pos="10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1" w:lineRule="auto"/>
        <w:tabs>
          <w:tab w:leader="none" w:pos="103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53" w:right="259" w:bottom="1440" w:gutter="0" w:footer="0" w:header="0"/>
        </w:sectPr>
      </w:pPr>
    </w:p>
    <w:bookmarkStart w:id="141" w:name="page142"/>
    <w:bookmarkEnd w:id="141"/>
    <w:p>
      <w:pPr>
        <w:ind w:right="100"/>
        <w:spacing w:after="0" w:line="261" w:lineRule="auto"/>
        <w:rPr>
          <w:sz w:val="20"/>
          <w:szCs w:val="20"/>
          <w:color w:val="auto"/>
        </w:rPr>
      </w:pPr>
      <w:r>
        <w:rPr>
          <w:rFonts w:ascii="Times New Roman" w:cs="Times New Roman" w:eastAsia="Times New Roman" w:hAnsi="Times New Roman"/>
          <w:sz w:val="18"/>
          <w:szCs w:val="18"/>
          <w:color w:val="auto"/>
        </w:rPr>
        <w:t>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0" w:lineRule="exact"/>
        <w:rPr>
          <w:sz w:val="20"/>
          <w:szCs w:val="20"/>
          <w:color w:val="auto"/>
        </w:rPr>
      </w:pPr>
    </w:p>
    <w:p>
      <w:pPr>
        <w:ind w:right="40" w:firstLine="526"/>
        <w:spacing w:after="0" w:line="255" w:lineRule="auto"/>
        <w:tabs>
          <w:tab w:leader="none" w:pos="10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right="20" w:firstLine="526"/>
        <w:spacing w:after="0" w:line="258" w:lineRule="auto"/>
        <w:tabs>
          <w:tab w:leader="none" w:pos="103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rFonts w:ascii="Times New Roman" w:cs="Times New Roman" w:eastAsia="Times New Roman" w:hAnsi="Times New Roman"/>
          <w:sz w:val="18"/>
          <w:szCs w:val="18"/>
          <w:b w:val="1"/>
          <w:bCs w:val="1"/>
          <w:color w:val="auto"/>
        </w:rPr>
      </w:pPr>
    </w:p>
    <w:p>
      <w:pPr>
        <w:ind w:right="280" w:firstLine="526"/>
        <w:spacing w:after="0" w:line="261" w:lineRule="auto"/>
        <w:tabs>
          <w:tab w:leader="none" w:pos="103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rFonts w:ascii="Times New Roman" w:cs="Times New Roman" w:eastAsia="Times New Roman" w:hAnsi="Times New Roman"/>
          <w:sz w:val="18"/>
          <w:szCs w:val="18"/>
          <w:color w:val="auto"/>
        </w:rPr>
      </w:pPr>
    </w:p>
    <w:p>
      <w:pPr>
        <w:ind w:firstLine="526"/>
        <w:spacing w:after="0" w:line="256" w:lineRule="auto"/>
        <w:tabs>
          <w:tab w:leader="none" w:pos="10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29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Award and participation in the Plan or future options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45" w:right="2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 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Based - Domestic)</w:t>
      </w:r>
    </w:p>
    <w:p>
      <w:pPr>
        <w:spacing w:after="0" w:line="20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(the “Eligible Individual”), describes the terms of an award of restricted stock units (“Restricted Stock Units”) to the Eligible Individual by the Company.</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to the extent not defined, shall have the meanings set forth in the Company’s 2011 Stock and Annual Incentive Plan (as amended from time to time, the “Plan”).</w:t>
      </w:r>
    </w:p>
    <w:p>
      <w:pPr>
        <w:spacing w:after="0" w:line="266" w:lineRule="exact"/>
        <w:rPr>
          <w:sz w:val="20"/>
          <w:szCs w:val="20"/>
          <w:color w:val="auto"/>
        </w:rPr>
      </w:pPr>
    </w:p>
    <w:p>
      <w:pPr>
        <w:ind w:left="540" w:hanging="532"/>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Vesting of Restricted Stock Units</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56" w:lineRule="auto"/>
        <w:tabs>
          <w:tab w:leader="none" w:pos="103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the Plan and the Grant Details (as defined below), the Company hereby grants Restricted Stock Units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18"/>
          <w:szCs w:val="18"/>
          <w:u w:val="single" w:color="auto"/>
          <w:color w:val="auto"/>
        </w:rPr>
        <w:t>www.netbenefits.fidelity.com</w:t>
      </w:r>
      <w:r>
        <w:rPr>
          <w:rFonts w:ascii="Times New Roman" w:cs="Times New Roman" w:eastAsia="Times New Roman" w:hAnsi="Times New Roman"/>
          <w:sz w:val="18"/>
          <w:szCs w:val="18"/>
          <w:color w:val="auto"/>
        </w:rPr>
        <w:t xml:space="preserve"> (or any successor equity administration system selected by the Company to manage the Plan from time to time). Your Grant Details, which sets forth the number of Restricted Stock Units granted to you by the Company, the Grant Date and the vesting schedule of the Restricted Stock Units (among other information), is hereby incorporated by reference into, and shall be read as part and parcel of, this Agreement.</w:t>
      </w:r>
    </w:p>
    <w:p>
      <w:pPr>
        <w:spacing w:after="0" w:line="185" w:lineRule="exact"/>
        <w:rPr>
          <w:rFonts w:ascii="Times New Roman" w:cs="Times New Roman" w:eastAsia="Times New Roman" w:hAnsi="Times New Roman"/>
          <w:sz w:val="18"/>
          <w:szCs w:val="18"/>
          <w:color w:val="auto"/>
        </w:rPr>
      </w:pPr>
    </w:p>
    <w:p>
      <w:pPr>
        <w:ind w:right="300" w:firstLine="526"/>
        <w:spacing w:after="0" w:line="267" w:lineRule="auto"/>
        <w:tabs>
          <w:tab w:leader="none" w:pos="104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Grant Details and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Restricted Stock Units shall vest and no longer be subject to any restriction (such period during which restrictions apply shall be referred to as the “RSU Restriction Period”) if and to the extent that the performance goals specified in Appendix A hereto are satisfied.</w:t>
      </w:r>
    </w:p>
    <w:p>
      <w:pPr>
        <w:spacing w:after="0" w:line="175" w:lineRule="exact"/>
        <w:rPr>
          <w:rFonts w:ascii="Times New Roman" w:cs="Times New Roman" w:eastAsia="Times New Roman" w:hAnsi="Times New Roman"/>
          <w:sz w:val="18"/>
          <w:szCs w:val="18"/>
          <w:color w:val="auto"/>
        </w:rPr>
      </w:pPr>
    </w:p>
    <w:p>
      <w:pPr>
        <w:ind w:right="200" w:firstLine="526"/>
        <w:spacing w:after="0" w:line="266" w:lineRule="auto"/>
        <w:tabs>
          <w:tab w:leader="none" w:pos="103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Termination of Employment of the Eligible Individual occurs during the RSU Restriction Period for any reason (or for no reason), all remaining unvested Restricted Stock Units shall be forfeited by the Eligible Individual and canceled in their entirety effective immediately as of the date of such Termination of Employment.</w:t>
      </w:r>
    </w:p>
    <w:p>
      <w:pPr>
        <w:spacing w:after="0" w:line="176" w:lineRule="exact"/>
        <w:rPr>
          <w:rFonts w:ascii="Times New Roman" w:cs="Times New Roman" w:eastAsia="Times New Roman" w:hAnsi="Times New Roman"/>
          <w:sz w:val="18"/>
          <w:szCs w:val="18"/>
          <w:color w:val="auto"/>
        </w:rPr>
      </w:pPr>
    </w:p>
    <w:p>
      <w:pPr>
        <w:ind w:right="20" w:firstLine="526"/>
        <w:spacing w:after="0" w:line="254" w:lineRule="auto"/>
        <w:tabs>
          <w:tab w:leader="none" w:pos="104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1(b) and 1(c)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6" w:lineRule="exact"/>
        <w:rPr>
          <w:rFonts w:ascii="Times New Roman" w:cs="Times New Roman" w:eastAsia="Times New Roman" w:hAnsi="Times New Roman"/>
          <w:sz w:val="18"/>
          <w:szCs w:val="18"/>
          <w:color w:val="auto"/>
        </w:rPr>
      </w:pPr>
    </w:p>
    <w:p>
      <w:pPr>
        <w:ind w:right="80" w:firstLine="526"/>
        <w:spacing w:after="0" w:line="282" w:lineRule="auto"/>
        <w:tabs>
          <w:tab w:leader="none" w:pos="103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Units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soon as practicable after any Restricted Stock Units have vested and are no longer subject to the RSU Restriction Period, such Restricted Stock Units shall be settled. Subject to Section 8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the Plan Administrator shall have received from the Eligible Individual a duly executed Form W-9 or Form W-8, as applicable, as well as such other documents as may be legally required.</w:t>
      </w:r>
    </w:p>
    <w:p>
      <w:pPr>
        <w:sectPr>
          <w:pgSz w:w="11900" w:h="16838" w:orient="portrait"/>
          <w:cols w:equalWidth="0" w:num="1">
            <w:col w:w="11420"/>
          </w:cols>
          <w:pgMar w:left="240" w:top="333" w:right="239" w:bottom="1440" w:gutter="0" w:footer="0" w:header="0"/>
        </w:sectPr>
      </w:pPr>
    </w:p>
    <w:bookmarkStart w:id="143" w:name="page144"/>
    <w:bookmarkEnd w:id="143"/>
    <w:p>
      <w:pPr>
        <w:ind w:left="540" w:hanging="532"/>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of the Restricted Stock Units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280" w:lineRule="exact"/>
        <w:rPr>
          <w:sz w:val="20"/>
          <w:szCs w:val="20"/>
          <w:color w:val="auto"/>
        </w:rPr>
      </w:pPr>
    </w:p>
    <w:p>
      <w:pPr>
        <w:ind w:left="540" w:hanging="532"/>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289" w:lineRule="exact"/>
        <w:rPr>
          <w:sz w:val="20"/>
          <w:szCs w:val="20"/>
          <w:color w:val="auto"/>
        </w:rPr>
      </w:pPr>
    </w:p>
    <w:p>
      <w:pPr>
        <w:ind w:left="540" w:hanging="532"/>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in the Event of Change in Stock; Change in Control</w:t>
      </w:r>
    </w:p>
    <w:p>
      <w:pPr>
        <w:spacing w:after="0" w:line="121" w:lineRule="exact"/>
        <w:rPr>
          <w:rFonts w:ascii="Times New Roman" w:cs="Times New Roman" w:eastAsia="Times New Roman" w:hAnsi="Times New Roman"/>
          <w:sz w:val="18"/>
          <w:szCs w:val="18"/>
          <w:b w:val="1"/>
          <w:bCs w:val="1"/>
          <w:color w:val="auto"/>
        </w:rPr>
      </w:pPr>
    </w:p>
    <w:p>
      <w:pPr>
        <w:ind w:right="20" w:firstLine="526"/>
        <w:spacing w:after="0" w:line="256" w:lineRule="auto"/>
        <w:tabs>
          <w:tab w:leader="none" w:pos="103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87" w:lineRule="exact"/>
        <w:rPr>
          <w:rFonts w:ascii="Times New Roman" w:cs="Times New Roman" w:eastAsia="Times New Roman" w:hAnsi="Times New Roman"/>
          <w:sz w:val="18"/>
          <w:szCs w:val="18"/>
          <w:color w:val="auto"/>
        </w:rPr>
      </w:pPr>
    </w:p>
    <w:p>
      <w:pPr>
        <w:ind w:right="80" w:firstLine="526"/>
        <w:spacing w:after="0" w:line="255" w:lineRule="auto"/>
        <w:tabs>
          <w:tab w:leader="none" w:pos="104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85"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regarding any such adjustment will be final and conclusive and need not be the same for all Eligible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w:t>
      </w:r>
    </w:p>
    <w:p>
      <w:pPr>
        <w:spacing w:after="0" w:line="206" w:lineRule="exact"/>
        <w:rPr>
          <w:rFonts w:ascii="Times New Roman" w:cs="Times New Roman" w:eastAsia="Times New Roman" w:hAnsi="Times New Roman"/>
          <w:sz w:val="18"/>
          <w:szCs w:val="18"/>
          <w:color w:val="auto"/>
        </w:rPr>
      </w:pPr>
    </w:p>
    <w:p>
      <w:pPr>
        <w:ind w:left="1060" w:hanging="534"/>
        <w:spacing w:after="0"/>
        <w:tabs>
          <w:tab w:leader="none" w:pos="10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Change in Control, the provisions of Section 10 of the Plan shall apply.</w:t>
      </w:r>
    </w:p>
    <w:p>
      <w:pPr>
        <w:spacing w:after="0" w:line="32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Fees and Withholding</w:t>
      </w:r>
    </w:p>
    <w:p>
      <w:pPr>
        <w:spacing w:after="0" w:line="121" w:lineRule="exact"/>
        <w:rPr>
          <w:rFonts w:ascii="Times New Roman" w:cs="Times New Roman" w:eastAsia="Times New Roman" w:hAnsi="Times New Roman"/>
          <w:sz w:val="18"/>
          <w:szCs w:val="18"/>
          <w:b w:val="1"/>
          <w:bCs w:val="1"/>
          <w:color w:val="auto"/>
        </w:rPr>
      </w:pPr>
    </w:p>
    <w:p>
      <w:pPr>
        <w:ind w:right="120" w:firstLine="526"/>
        <w:spacing w:after="0" w:line="266" w:lineRule="auto"/>
        <w:tabs>
          <w:tab w:leader="none" w:pos="103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76" w:lineRule="exact"/>
        <w:rPr>
          <w:rFonts w:ascii="Times New Roman" w:cs="Times New Roman" w:eastAsia="Times New Roman" w:hAnsi="Times New Roman"/>
          <w:sz w:val="18"/>
          <w:szCs w:val="18"/>
          <w:color w:val="auto"/>
        </w:rPr>
      </w:pPr>
    </w:p>
    <w:p>
      <w:pPr>
        <w:ind w:firstLine="526"/>
        <w:spacing w:after="0" w:line="256" w:lineRule="auto"/>
        <w:tabs>
          <w:tab w:leader="none" w:pos="104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Restricted Stock Units, the receipt of cash or any dividends or dividend equivalents; and (ii) do not commit to structure the terms of the Award or any aspect of the Restricted Stock Units to reduce or eliminate the Eligible Individual’s liability for Tax-Related Items.</w:t>
      </w:r>
    </w:p>
    <w:p>
      <w:pPr>
        <w:spacing w:after="0" w:line="187" w:lineRule="exact"/>
        <w:rPr>
          <w:rFonts w:ascii="Times New Roman" w:cs="Times New Roman" w:eastAsia="Times New Roman" w:hAnsi="Times New Roman"/>
          <w:sz w:val="18"/>
          <w:szCs w:val="18"/>
          <w:color w:val="auto"/>
        </w:rPr>
      </w:pPr>
    </w:p>
    <w:p>
      <w:pPr>
        <w:ind w:right="220" w:firstLine="526"/>
        <w:spacing w:after="0" w:line="282" w:lineRule="auto"/>
        <w:tabs>
          <w:tab w:leader="none" w:pos="103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Subsidiary or Affiliate is required to withhold any Tax-Related Items as a result of the award or vesting of the Restricted Stock Units, or the receipt of cash or any dividends or dividend equivalents, the Eligible Individual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57" w:right="239" w:bottom="1440" w:gutter="0" w:footer="0" w:header="0"/>
        </w:sectPr>
      </w:pPr>
    </w:p>
    <w:bookmarkStart w:id="144" w:name="page145"/>
    <w:bookmarkEnd w:id="144"/>
    <w:p>
      <w:pPr>
        <w:ind w:right="40"/>
        <w:spacing w:after="0" w:line="252" w:lineRule="auto"/>
        <w:rPr>
          <w:sz w:val="20"/>
          <w:szCs w:val="20"/>
          <w:color w:val="auto"/>
        </w:rPr>
      </w:pPr>
      <w:r>
        <w:rPr>
          <w:rFonts w:ascii="Times New Roman" w:cs="Times New Roman" w:eastAsia="Times New Roman" w:hAnsi="Times New Roman"/>
          <w:sz w:val="18"/>
          <w:szCs w:val="18"/>
          <w:color w:val="auto"/>
        </w:rPr>
        <w:t>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Award if the Eligible Individual fails to comply with his or her obligations in connection with the Tax-Related Items as described in this Section.</w:t>
      </w:r>
    </w:p>
    <w:p>
      <w:pPr>
        <w:spacing w:after="0" w:line="199" w:lineRule="exact"/>
        <w:rPr>
          <w:sz w:val="20"/>
          <w:szCs w:val="20"/>
          <w:color w:val="auto"/>
        </w:rPr>
      </w:pPr>
    </w:p>
    <w:p>
      <w:pPr>
        <w:ind w:firstLine="526"/>
        <w:spacing w:after="0" w:line="255" w:lineRule="auto"/>
        <w:tabs>
          <w:tab w:leader="none" w:pos="104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28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Restrictions</w:t>
      </w:r>
    </w:p>
    <w:p>
      <w:pPr>
        <w:spacing w:after="0" w:line="121" w:lineRule="exact"/>
        <w:rPr>
          <w:rFonts w:ascii="Times New Roman" w:cs="Times New Roman" w:eastAsia="Times New Roman" w:hAnsi="Times New Roman"/>
          <w:sz w:val="18"/>
          <w:szCs w:val="18"/>
          <w:b w:val="1"/>
          <w:bCs w:val="1"/>
          <w:color w:val="auto"/>
        </w:rPr>
      </w:pPr>
    </w:p>
    <w:p>
      <w:pPr>
        <w:jc w:val="both"/>
        <w:ind w:right="60" w:firstLine="526"/>
        <w:spacing w:after="0" w:line="261" w:lineRule="auto"/>
        <w:tabs>
          <w:tab w:leader="none" w:pos="103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18"/>
          <w:szCs w:val="18"/>
          <w:color w:val="auto"/>
        </w:rPr>
      </w:pPr>
    </w:p>
    <w:p>
      <w:pPr>
        <w:ind w:right="100" w:firstLine="526"/>
        <w:spacing w:after="0" w:line="255" w:lineRule="auto"/>
        <w:tabs>
          <w:tab w:leader="none" w:pos="10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29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Award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accepting the Award, the Eligible Individual acknowledges that:</w:t>
      </w:r>
    </w:p>
    <w:p>
      <w:pPr>
        <w:spacing w:after="0" w:line="117" w:lineRule="exact"/>
        <w:rPr>
          <w:rFonts w:ascii="Times New Roman" w:cs="Times New Roman" w:eastAsia="Times New Roman" w:hAnsi="Times New Roman"/>
          <w:sz w:val="18"/>
          <w:szCs w:val="18"/>
          <w:b w:val="1"/>
          <w:bCs w:val="1"/>
          <w:color w:val="auto"/>
        </w:rPr>
      </w:pPr>
    </w:p>
    <w:p>
      <w:pPr>
        <w:ind w:right="180" w:firstLine="526"/>
        <w:spacing w:after="0" w:line="282" w:lineRule="auto"/>
        <w:tabs>
          <w:tab w:leader="none" w:pos="103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60" w:firstLine="526"/>
        <w:spacing w:after="0" w:line="282" w:lineRule="auto"/>
        <w:tabs>
          <w:tab w:leader="none" w:pos="104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voluntary and occasional and does not create any contractual or other right to receive future Awards, or benefits in lieu of Awards, even if Awards have been granted repeatedly in the past;</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53" w:right="239" w:bottom="1440" w:gutter="0" w:footer="0" w:header="0"/>
        </w:sectPr>
      </w:pPr>
    </w:p>
    <w:bookmarkStart w:id="145" w:name="page146"/>
    <w:bookmarkEnd w:id="145"/>
    <w:p>
      <w:pPr>
        <w:ind w:firstLine="526"/>
        <w:spacing w:after="0" w:line="282" w:lineRule="auto"/>
        <w:tabs>
          <w:tab w:leader="none" w:pos="104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61" w:lineRule="exact"/>
        <w:rPr>
          <w:rFonts w:ascii="Times New Roman" w:cs="Times New Roman" w:eastAsia="Times New Roman" w:hAnsi="Times New Roman"/>
          <w:sz w:val="18"/>
          <w:szCs w:val="18"/>
          <w:color w:val="auto"/>
        </w:rPr>
      </w:pPr>
    </w:p>
    <w:p>
      <w:pPr>
        <w:ind w:left="1040" w:hanging="514"/>
        <w:spacing w:after="0"/>
        <w:tabs>
          <w:tab w:leader="none" w:pos="10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is voluntarily participating in the Plan;</w:t>
      </w:r>
    </w:p>
    <w:p>
      <w:pPr>
        <w:spacing w:after="0" w:line="225" w:lineRule="exact"/>
        <w:rPr>
          <w:rFonts w:ascii="Times New Roman" w:cs="Times New Roman" w:eastAsia="Times New Roman" w:hAnsi="Times New Roman"/>
          <w:sz w:val="18"/>
          <w:szCs w:val="18"/>
          <w:color w:val="auto"/>
        </w:rPr>
      </w:pPr>
    </w:p>
    <w:p>
      <w:pPr>
        <w:ind w:right="580" w:firstLine="526"/>
        <w:spacing w:after="0" w:line="282" w:lineRule="auto"/>
        <w:tabs>
          <w:tab w:leader="none" w:pos="104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1" w:lineRule="exact"/>
        <w:rPr>
          <w:rFonts w:ascii="Times New Roman" w:cs="Times New Roman" w:eastAsia="Times New Roman" w:hAnsi="Times New Roman"/>
          <w:sz w:val="18"/>
          <w:szCs w:val="18"/>
          <w:color w:val="auto"/>
        </w:rPr>
      </w:pPr>
    </w:p>
    <w:p>
      <w:pPr>
        <w:ind w:right="160" w:firstLine="526"/>
        <w:spacing w:after="0" w:line="266" w:lineRule="auto"/>
        <w:tabs>
          <w:tab w:leader="none" w:pos="104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6" w:lineRule="exact"/>
        <w:rPr>
          <w:rFonts w:ascii="Times New Roman" w:cs="Times New Roman" w:eastAsia="Times New Roman" w:hAnsi="Times New Roman"/>
          <w:sz w:val="18"/>
          <w:szCs w:val="18"/>
          <w:color w:val="auto"/>
        </w:rPr>
      </w:pPr>
    </w:p>
    <w:p>
      <w:pPr>
        <w:ind w:right="240" w:firstLine="526"/>
        <w:spacing w:after="0" w:line="282" w:lineRule="auto"/>
        <w:tabs>
          <w:tab w:leader="none" w:pos="104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61" w:lineRule="exact"/>
        <w:rPr>
          <w:rFonts w:ascii="Times New Roman" w:cs="Times New Roman" w:eastAsia="Times New Roman" w:hAnsi="Times New Roman"/>
          <w:sz w:val="18"/>
          <w:szCs w:val="18"/>
          <w:color w:val="auto"/>
        </w:rPr>
      </w:pPr>
    </w:p>
    <w:p>
      <w:pPr>
        <w:ind w:right="20" w:firstLine="526"/>
        <w:spacing w:after="0" w:line="258" w:lineRule="auto"/>
        <w:tabs>
          <w:tab w:leader="none" w:pos="104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84" w:lineRule="exact"/>
        <w:rPr>
          <w:sz w:val="20"/>
          <w:szCs w:val="20"/>
          <w:color w:val="auto"/>
        </w:rPr>
      </w:pPr>
    </w:p>
    <w:p>
      <w:pPr>
        <w:ind w:left="540" w:hanging="532"/>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280" w:lineRule="exact"/>
        <w:rPr>
          <w:sz w:val="20"/>
          <w:szCs w:val="20"/>
          <w:color w:val="auto"/>
        </w:rPr>
      </w:pPr>
    </w:p>
    <w:p>
      <w:pPr>
        <w:ind w:left="540" w:hanging="532"/>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 Severability</w:t>
      </w:r>
    </w:p>
    <w:p>
      <w:pPr>
        <w:spacing w:after="0" w:line="121" w:lineRule="exact"/>
        <w:rPr>
          <w:sz w:val="20"/>
          <w:szCs w:val="20"/>
          <w:color w:val="auto"/>
        </w:rPr>
      </w:pPr>
    </w:p>
    <w:p>
      <w:pPr>
        <w:jc w:val="both"/>
        <w:ind w:right="400" w:firstLine="518"/>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80" w:lineRule="exact"/>
        <w:rPr>
          <w:sz w:val="20"/>
          <w:szCs w:val="20"/>
          <w:color w:val="auto"/>
        </w:rPr>
      </w:pPr>
    </w:p>
    <w:p>
      <w:pPr>
        <w:ind w:left="540" w:hanging="532"/>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Applicable to Construction; Consent to Jurisdiction</w:t>
      </w:r>
    </w:p>
    <w:p>
      <w:pPr>
        <w:spacing w:after="0" w:line="121" w:lineRule="exact"/>
        <w:rPr>
          <w:rFonts w:ascii="Times New Roman" w:cs="Times New Roman" w:eastAsia="Times New Roman" w:hAnsi="Times New Roman"/>
          <w:sz w:val="18"/>
          <w:szCs w:val="18"/>
          <w:b w:val="1"/>
          <w:bCs w:val="1"/>
          <w:color w:val="auto"/>
        </w:rPr>
      </w:pPr>
    </w:p>
    <w:p>
      <w:pPr>
        <w:ind w:firstLine="526"/>
        <w:spacing w:after="0" w:line="266" w:lineRule="auto"/>
        <w:tabs>
          <w:tab w:leader="none" w:pos="103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76" w:lineRule="exact"/>
        <w:rPr>
          <w:rFonts w:ascii="Times New Roman" w:cs="Times New Roman" w:eastAsia="Times New Roman" w:hAnsi="Times New Roman"/>
          <w:sz w:val="18"/>
          <w:szCs w:val="18"/>
          <w:color w:val="auto"/>
        </w:rPr>
      </w:pPr>
    </w:p>
    <w:p>
      <w:pPr>
        <w:ind w:right="40" w:firstLine="526"/>
        <w:spacing w:after="0" w:line="261" w:lineRule="auto"/>
        <w:tabs>
          <w:tab w:leader="none" w:pos="103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53" w:right="259" w:bottom="1440" w:gutter="0" w:footer="0" w:header="0"/>
        </w:sectPr>
      </w:pPr>
    </w:p>
    <w:bookmarkStart w:id="146" w:name="page147"/>
    <w:bookmarkEnd w:id="146"/>
    <w:p>
      <w:pPr>
        <w:ind w:left="532" w:hanging="532"/>
        <w:spacing w:after="0"/>
        <w:tabs>
          <w:tab w:leader="none" w:pos="53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and Interpretation</w:t>
      </w:r>
    </w:p>
    <w:p>
      <w:pPr>
        <w:spacing w:after="0" w:line="121" w:lineRule="exact"/>
        <w:rPr>
          <w:rFonts w:ascii="Times New Roman" w:cs="Times New Roman" w:eastAsia="Times New Roman" w:hAnsi="Times New Roman"/>
          <w:sz w:val="18"/>
          <w:szCs w:val="18"/>
          <w:b w:val="1"/>
          <w:bCs w:val="1"/>
          <w:color w:val="auto"/>
        </w:rPr>
      </w:pPr>
    </w:p>
    <w:p>
      <w:pPr>
        <w:ind w:left="-8" w:right="400" w:firstLine="526"/>
        <w:spacing w:after="0" w:line="266" w:lineRule="auto"/>
        <w:tabs>
          <w:tab w:leader="none" w:pos="102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6" w:lineRule="exact"/>
        <w:rPr>
          <w:rFonts w:ascii="Times New Roman" w:cs="Times New Roman" w:eastAsia="Times New Roman" w:hAnsi="Times New Roman"/>
          <w:sz w:val="18"/>
          <w:szCs w:val="18"/>
          <w:color w:val="auto"/>
        </w:rPr>
      </w:pPr>
    </w:p>
    <w:p>
      <w:pPr>
        <w:ind w:left="-8" w:right="80" w:firstLine="526"/>
        <w:spacing w:after="0" w:line="255" w:lineRule="auto"/>
        <w:tabs>
          <w:tab w:leader="none" w:pos="103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29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p>
    <w:p>
      <w:pPr>
        <w:spacing w:after="0" w:line="121" w:lineRule="exact"/>
        <w:rPr>
          <w:rFonts w:ascii="Times New Roman" w:cs="Times New Roman" w:eastAsia="Times New Roman" w:hAnsi="Times New Roman"/>
          <w:sz w:val="18"/>
          <w:szCs w:val="18"/>
          <w:b w:val="1"/>
          <w:bCs w:val="1"/>
          <w:color w:val="auto"/>
        </w:rPr>
      </w:pPr>
    </w:p>
    <w:p>
      <w:pPr>
        <w:ind w:left="-8" w:right="60" w:firstLine="526"/>
        <w:spacing w:after="0" w:line="255" w:lineRule="auto"/>
        <w:tabs>
          <w:tab w:leader="none" w:pos="102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40" w:firstLine="526"/>
        <w:spacing w:after="0" w:line="255" w:lineRule="auto"/>
        <w:tabs>
          <w:tab w:leader="none" w:pos="103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9" w:lineRule="exact"/>
        <w:rPr>
          <w:rFonts w:ascii="Times New Roman" w:cs="Times New Roman" w:eastAsia="Times New Roman" w:hAnsi="Times New Roman"/>
          <w:sz w:val="18"/>
          <w:szCs w:val="18"/>
          <w:color w:val="auto"/>
        </w:rPr>
      </w:pPr>
    </w:p>
    <w:p>
      <w:pPr>
        <w:ind w:left="-8" w:right="20" w:firstLine="526"/>
        <w:spacing w:after="0" w:line="258" w:lineRule="auto"/>
        <w:tabs>
          <w:tab w:leader="none" w:pos="102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288"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rFonts w:ascii="Times New Roman" w:cs="Times New Roman" w:eastAsia="Times New Roman" w:hAnsi="Times New Roman"/>
          <w:sz w:val="18"/>
          <w:szCs w:val="18"/>
          <w:b w:val="1"/>
          <w:bCs w:val="1"/>
          <w:color w:val="auto"/>
        </w:rPr>
      </w:pPr>
    </w:p>
    <w:p>
      <w:pPr>
        <w:ind w:left="-8" w:right="180" w:firstLine="526"/>
        <w:spacing w:after="0" w:line="282" w:lineRule="auto"/>
        <w:tabs>
          <w:tab w:leader="none" w:pos="102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Appendix A, constitutes the entire agreement between the parties with respect to the Restricted Stock Unit award, and supersedes all prior agreements, understandings, and communications between the parties, whether oral or written, relating to the same subject matter.</w:t>
      </w:r>
    </w:p>
    <w:p>
      <w:pPr>
        <w:spacing w:after="0" w:line="161" w:lineRule="exact"/>
        <w:rPr>
          <w:rFonts w:ascii="Times New Roman" w:cs="Times New Roman" w:eastAsia="Times New Roman" w:hAnsi="Times New Roman"/>
          <w:sz w:val="18"/>
          <w:szCs w:val="18"/>
          <w:color w:val="auto"/>
        </w:rPr>
      </w:pPr>
    </w:p>
    <w:p>
      <w:pPr>
        <w:ind w:left="-8" w:right="240" w:firstLine="526"/>
        <w:spacing w:after="0" w:line="261" w:lineRule="auto"/>
        <w:tabs>
          <w:tab w:leader="none" w:pos="103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modify, amend or waive the terms of the Restricted Stock Unit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rFonts w:ascii="Times New Roman" w:cs="Times New Roman" w:eastAsia="Times New Roman" w:hAnsi="Times New Roman"/>
          <w:sz w:val="18"/>
          <w:szCs w:val="18"/>
          <w:color w:val="auto"/>
        </w:rPr>
      </w:pPr>
    </w:p>
    <w:p>
      <w:pPr>
        <w:ind w:left="-8" w:firstLine="526"/>
        <w:spacing w:after="0" w:line="258" w:lineRule="auto"/>
        <w:tabs>
          <w:tab w:leader="none" w:pos="102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w:t>
      </w:r>
    </w:p>
    <w:p>
      <w:pPr>
        <w:spacing w:after="0" w:line="200" w:lineRule="exact"/>
        <w:rPr>
          <w:sz w:val="20"/>
          <w:szCs w:val="20"/>
          <w:color w:val="auto"/>
        </w:rPr>
      </w:pPr>
    </w:p>
    <w:p>
      <w:pPr>
        <w:spacing w:after="0" w:line="2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72"/>
          </w:cols>
          <w:pgMar w:left="248" w:top="657" w:right="279" w:bottom="1440" w:gutter="0" w:footer="0" w:header="0"/>
        </w:sectPr>
      </w:pPr>
    </w:p>
    <w:bookmarkStart w:id="147" w:name="page148"/>
    <w:bookmarkEnd w:id="147"/>
    <w:p>
      <w:pPr>
        <w:ind w:right="40"/>
        <w:spacing w:after="0" w:line="282" w:lineRule="auto"/>
        <w:rPr>
          <w:sz w:val="20"/>
          <w:szCs w:val="20"/>
          <w:color w:val="auto"/>
        </w:rPr>
      </w:pPr>
      <w:r>
        <w:rPr>
          <w:rFonts w:ascii="Times New Roman" w:cs="Times New Roman" w:eastAsia="Times New Roman" w:hAnsi="Times New Roman"/>
          <w:sz w:val="18"/>
          <w:szCs w:val="18"/>
          <w:color w:val="auto"/>
        </w:rPr>
        <w:t>(other than any diminution of such benefit that may be attributable to the time value of money resulting from a delay in the timing of payments hereunder for a period of approximately six months or such longer period as may be required).</w:t>
      </w:r>
    </w:p>
    <w:p>
      <w:pPr>
        <w:spacing w:after="0" w:line="266" w:lineRule="exact"/>
        <w:rPr>
          <w:sz w:val="20"/>
          <w:szCs w:val="20"/>
          <w:color w:val="auto"/>
        </w:rPr>
      </w:pPr>
    </w:p>
    <w:p>
      <w:pPr>
        <w:ind w:left="540" w:hanging="532"/>
        <w:spacing w:after="0"/>
        <w:tabs>
          <w:tab w:leader="none" w:pos="5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Language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280" w:lineRule="exact"/>
        <w:rPr>
          <w:sz w:val="20"/>
          <w:szCs w:val="20"/>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553" w:right="29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1013"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20" w:type="dxa"/>
            <w:vAlign w:val="bottom"/>
          </w:tcPr>
          <w:p>
            <w:pPr>
              <w:spacing w:after="0"/>
              <w:rPr>
                <w:sz w:val="24"/>
                <w:szCs w:val="24"/>
                <w:color w:val="auto"/>
              </w:rPr>
            </w:pPr>
          </w:p>
        </w:tc>
        <w:tc>
          <w:tcPr>
            <w:tcW w:w="9120" w:type="dxa"/>
            <w:vAlign w:val="bottom"/>
            <w:gridSpan w:val="3"/>
          </w:tcPr>
          <w:p>
            <w:pPr>
              <w:ind w:left="45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 w:type="dxa"/>
            <w:vAlign w:val="bottom"/>
          </w:tcPr>
          <w:p>
            <w:pPr>
              <w:spacing w:after="0"/>
              <w:rPr>
                <w:sz w:val="20"/>
                <w:szCs w:val="20"/>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90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TripAdvisor Holdings, LLC</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MA</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Beeem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FlipKey,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Vacation Home Rentals,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GateGuru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Global Motion Media,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Oyster Travel Corporation</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Smarter Travel Media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NV</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Jetsetter,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Viator,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Looktours.com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NV</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Independent Traveler, Inc.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NJ</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APAC Holdings Corp.</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TripAdvisor Charitable Foundation</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GP1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GP2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Finance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LP2 LLC</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Securities Corporation</w:t>
            </w:r>
          </w:p>
        </w:tc>
        <w:tc>
          <w:tcPr>
            <w:tcW w:w="2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MA</w:t>
            </w:r>
          </w:p>
        </w:tc>
      </w:tr>
      <w:tr>
        <w:trPr>
          <w:trHeight w:val="234"/>
        </w:trPr>
        <w:tc>
          <w:tcPr>
            <w:tcW w:w="20" w:type="dxa"/>
            <w:vAlign w:val="bottom"/>
          </w:tcPr>
          <w:p>
            <w:pPr>
              <w:spacing w:after="0"/>
              <w:rPr>
                <w:sz w:val="20"/>
                <w:szCs w:val="20"/>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Wanderfly, Inc.</w:t>
            </w:r>
          </w:p>
        </w:tc>
        <w:tc>
          <w:tcPr>
            <w:tcW w:w="20" w:type="dxa"/>
            <w:vAlign w:val="bottom"/>
          </w:tcPr>
          <w:p>
            <w:pPr>
              <w:spacing w:after="0"/>
              <w:rPr>
                <w:sz w:val="20"/>
                <w:szCs w:val="20"/>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w:t>
            </w:r>
          </w:p>
        </w:tc>
      </w:tr>
      <w:tr>
        <w:trPr>
          <w:trHeight w:val="540"/>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 w:type="dxa"/>
            <w:vAlign w:val="bottom"/>
          </w:tcPr>
          <w:p>
            <w:pPr>
              <w:spacing w:after="0"/>
              <w:rPr>
                <w:sz w:val="20"/>
                <w:szCs w:val="20"/>
                <w:color w:val="auto"/>
              </w:rPr>
            </w:pP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8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TripAdvisor UK1 LP</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6"/>
                <w:szCs w:val="16"/>
                <w:color w:val="auto"/>
              </w:rPr>
            </w:pP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UK2 LP</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Canada Corp.</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Travel India Private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UK Holdco,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Holiday Lettings Holdings UK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Holiday Lettings UK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Australia Pty.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GmbH</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France SAS</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Italy Srl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Spain S.L.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Guia de Apartamentos Niumba, S.L.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V.I. Holdco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Cayman Holdings II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Argentina SRL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Consultoria En Publicidade de Viagens e Turismo Ltda.</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Ireland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Jetsetter Holdings UK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Jetsetter UK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Jetsetter HK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LF Holdings (France) SAS</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La Fourchette SAS</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La Fourchette Belgium SA</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La Fourchette Espana SLU</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4"/>
        </w:trPr>
        <w:tc>
          <w:tcPr>
            <w:tcW w:w="20" w:type="dxa"/>
            <w:vAlign w:val="bottom"/>
          </w:tcPr>
          <w:p>
            <w:pPr>
              <w:spacing w:after="0"/>
              <w:rPr>
                <w:sz w:val="20"/>
                <w:szCs w:val="20"/>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La Fourchette Netherlands B.V.</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bl>
    <w:p>
      <w:pPr>
        <w:sectPr>
          <w:pgSz w:w="11900" w:h="16838" w:orient="portrait"/>
          <w:cols w:equalWidth="0" w:num="1">
            <w:col w:w="11420"/>
          </w:cols>
          <w:pgMar w:left="240" w:top="117"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8900" w:type="dxa"/>
            <w:vAlign w:val="bottom"/>
            <w:tcBorders>
              <w:top w:val="single" w:sz="8" w:color="auto"/>
            </w:tcBorders>
          </w:tcPr>
          <w:p>
            <w:pPr>
              <w:ind w:left="640"/>
              <w:spacing w:after="0" w:line="191" w:lineRule="exact"/>
              <w:rPr>
                <w:sz w:val="20"/>
                <w:szCs w:val="20"/>
                <w:color w:val="auto"/>
              </w:rPr>
            </w:pPr>
            <w:r>
              <w:rPr>
                <w:rFonts w:ascii="Times New Roman" w:cs="Times New Roman" w:eastAsia="Times New Roman" w:hAnsi="Times New Roman"/>
                <w:sz w:val="18"/>
                <w:szCs w:val="18"/>
                <w:color w:val="auto"/>
              </w:rPr>
              <w:t>IENS-SeatMe B.V.</w:t>
            </w:r>
          </w:p>
        </w:tc>
        <w:tc>
          <w:tcPr>
            <w:tcW w:w="24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IENS Independent Index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SeatMe Holding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SeatMe Amsterdam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SeatMe Nederland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LaFourchette Italy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MyTable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Restopolis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LaFourchette Sweden AB</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 Fourchette Swiss SA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 Fourchette UK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TripAdvisor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Bookingbuddy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Smartertravel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TripAdvisor Singapore Private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Korea Co.,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Korea</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Hong Kong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China Cayman Holdings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Kooxoo, Inc.</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Beijing Kuxun Interactive Technology Co., Ltd. (beneficial ownership)</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0" w:type="dxa"/>
            <w:vAlign w:val="bottom"/>
          </w:tcPr>
          <w:p>
            <w:pPr>
              <w:spacing w:after="0"/>
              <w:rPr>
                <w:sz w:val="18"/>
                <w:szCs w:val="18"/>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Beijing Kuxun Technology Co.,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WFOE China</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TripAdvisor Consulting Services (Beijing) Co.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Tuqu Net Information Technology (Beijing) Co., Ltd. (beneficial ownership)</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420"/>
          </w:cols>
          <w:pgMar w:left="240" w:top="117"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178" w:lineRule="exact"/>
        <w:rPr>
          <w:sz w:val="20"/>
          <w:szCs w:val="20"/>
          <w:color w:val="auto"/>
        </w:rPr>
      </w:pPr>
    </w:p>
    <w:p>
      <w:pPr>
        <w:ind w:right="120"/>
        <w:spacing w:after="0" w:line="230"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178637, 333-190384, and 333-198726) on Form S-8 of TripAdvisor, Inc. of our reports dated February 17, 2015, with respect to the consolidated balance sheet of TripAdvisor, Inc. (the Company) as of December 31, 2014, and the related consolidated statements of operations, comprehensive income, changes in stockholders’ equity, and cash flows for the year then ended, and the effectiveness of internal control over financial reporting as of December 31, 2014, which reports appear in the December 31, 2014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TripAdvisor, Inc.</w:t>
      </w:r>
    </w:p>
    <w:p>
      <w:pPr>
        <w:spacing w:after="0" w:line="1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report dated February 17, 2015 on the effectiveness of internal control over financial reporting as of December 31, 2014, contains an explanatory paragraph that states that management excluded from its assessment of the effectiveness of TripAdvisor, Inc.’s internal control over financial reporting as of December 31, 2014, Lafourchette SAS and subsidiaries (Lafourchette) and Viator, Inc. and subsidiaries (Viator)’s internal control over financial reporting associated with total assets of 2% and total revenues of 3% included in the consolidated financial statements of the Company as of and for the year ended December 31, 2014. Our audit of internal control over financial reporting of TripAdvisor, Inc. also excluded an evaluation of the internal control over financial reporting of Lafourchette and Viator.</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/s/ KPMG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17, 2015</w:t>
      </w:r>
    </w:p>
    <w:p>
      <w:pPr>
        <w:sectPr>
          <w:pgSz w:w="11900" w:h="16838" w:orient="portrait"/>
          <w:cols w:equalWidth="0" w:num="1">
            <w:col w:w="11420"/>
          </w:cols>
          <w:pgMar w:left="240" w:top="117"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494"/>
        <w:spacing w:after="0"/>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333-190384) pertaining to the TripAdvisor, Inc. 2011 Stock and Annual Incentive Plan, as amended and</w:t>
      </w:r>
    </w:p>
    <w:p>
      <w:pPr>
        <w:spacing w:after="0" w:line="225" w:lineRule="exact"/>
        <w:rPr>
          <w:rFonts w:ascii="Times New Roman" w:cs="Times New Roman" w:eastAsia="Times New Roman" w:hAnsi="Times New Roman"/>
          <w:sz w:val="18"/>
          <w:szCs w:val="18"/>
          <w:color w:val="auto"/>
        </w:rPr>
      </w:pPr>
    </w:p>
    <w:p>
      <w:pPr>
        <w:ind w:left="1020" w:right="20" w:hanging="494"/>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333-178637) pertaining to the TripAdvisor, Inc. 2011 Stock and Annual Incentive Plan and TripAdvisor, Inc. Deferred Compensation Plan for Non-Employee Directors;</w:t>
      </w:r>
    </w:p>
    <w:p>
      <w:pPr>
        <w:spacing w:after="0" w:line="161"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No.333-198726) pertaining to the Viator, Inc. 2010 Stock Incentive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11, 2014, except for Note 2 and Note 16, as to which the date is February 17, 2015 with respect to the consolidated financial statements of TripAdvisor, Inc., as of December 31, 2013 and for each of the two years in the period ended December 31, 2013, included in this Annual Report (Form 10-K)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ectPr>
          <w:pgSz w:w="11900" w:h="16838" w:orient="portrait"/>
          <w:cols w:equalWidth="0" w:num="1">
            <w:col w:w="11420"/>
          </w:cols>
          <w:pgMar w:left="240" w:top="117"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Stephen Kaufer, Chief Executive Officer and President of TripAdvisor, Inc., certify that:</w:t>
      </w:r>
    </w:p>
    <w:p>
      <w:pPr>
        <w:spacing w:after="0" w:line="225" w:lineRule="exact"/>
        <w:rPr>
          <w:sz w:val="20"/>
          <w:szCs w:val="20"/>
          <w:color w:val="auto"/>
        </w:rPr>
      </w:pPr>
    </w:p>
    <w:p>
      <w:pPr>
        <w:ind w:left="540" w:hanging="532"/>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40" w:right="400" w:hanging="532"/>
        <w:spacing w:after="0" w:line="266"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500" w:hanging="494"/>
        <w:spacing w:after="0" w:line="266"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20" w:right="660" w:hanging="494"/>
        <w:spacing w:after="0" w:line="282"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20" w:hanging="494"/>
        <w:spacing w:after="0" w:line="266"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0" w:hanging="494"/>
        <w:spacing w:after="0" w:line="282" w:lineRule="auto"/>
        <w:tabs>
          <w:tab w:leader="none" w:pos="1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3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80" w:type="dxa"/>
            <w:vAlign w:val="bottom"/>
            <w:tcBorders>
              <w:top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3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bl>
    <w:p>
      <w:pPr>
        <w:sectPr>
          <w:pgSz w:w="11900" w:h="16838" w:orient="portrait"/>
          <w:cols w:equalWidth="0" w:num="1">
            <w:col w:w="11420"/>
          </w:cols>
          <w:pgMar w:left="240" w:top="118" w:right="2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Julie M.B. Bradley, Chief Financial Officer of TripAdvisor, Inc. certify that:</w:t>
      </w:r>
    </w:p>
    <w:p>
      <w:pPr>
        <w:spacing w:after="0" w:line="225" w:lineRule="exact"/>
        <w:rPr>
          <w:sz w:val="20"/>
          <w:szCs w:val="20"/>
          <w:color w:val="auto"/>
        </w:rPr>
      </w:pPr>
    </w:p>
    <w:p>
      <w:pPr>
        <w:ind w:left="540" w:hanging="532"/>
        <w:spacing w:after="0"/>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40" w:right="400" w:hanging="532"/>
        <w:spacing w:after="0" w:line="266"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500" w:hanging="494"/>
        <w:spacing w:after="0" w:line="266"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20" w:right="660" w:hanging="494"/>
        <w:spacing w:after="0" w:line="282"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20" w:hanging="494"/>
        <w:spacing w:after="0" w:line="266"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0" w:hanging="494"/>
        <w:spacing w:after="0" w:line="282" w:lineRule="auto"/>
        <w:tabs>
          <w:tab w:leader="none" w:pos="1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5620" w:type="dxa"/>
            <w:vAlign w:val="bottom"/>
          </w:tcPr>
          <w:p>
            <w:pPr>
              <w:spacing w:after="0"/>
              <w:rPr>
                <w:sz w:val="16"/>
                <w:szCs w:val="16"/>
                <w:color w:val="auto"/>
              </w:rPr>
            </w:pPr>
          </w:p>
        </w:tc>
        <w:tc>
          <w:tcPr>
            <w:tcW w:w="58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56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117"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2014,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76" w:lineRule="exact"/>
        <w:rPr>
          <w:sz w:val="20"/>
          <w:szCs w:val="20"/>
          <w:color w:val="auto"/>
        </w:rPr>
      </w:pPr>
    </w:p>
    <w:p>
      <w:pPr>
        <w:ind w:left="540" w:right="180" w:hanging="532"/>
        <w:spacing w:after="0" w:line="282"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58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bl>
    <w:p>
      <w:pPr>
        <w:sectPr>
          <w:pgSz w:w="11900" w:h="16838" w:orient="portrait"/>
          <w:cols w:equalWidth="0" w:num="1">
            <w:col w:w="11420"/>
          </w:cols>
          <w:pgMar w:left="240" w:top="117"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2014, as filed with the Securities and Exchange Commission on the date hereof (the “Report”), I, Julie M.B. Bradley, Chief Financial Officer of the Company, certify, pursuant to Section 906 of the Sarbanes-Oxley Act of 2002, 18 U.S.C. Section 1350, that:</w:t>
      </w:r>
    </w:p>
    <w:p>
      <w:pPr>
        <w:spacing w:after="0" w:line="176" w:lineRule="exact"/>
        <w:rPr>
          <w:sz w:val="20"/>
          <w:szCs w:val="20"/>
          <w:color w:val="auto"/>
        </w:rPr>
      </w:pPr>
    </w:p>
    <w:p>
      <w:pPr>
        <w:ind w:left="540" w:right="180" w:hanging="532"/>
        <w:spacing w:after="0" w:line="282"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58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1)"/>
      <w:numFmt w:val="decimal"/>
      <w:start w:val="1"/>
    </w:lvl>
  </w:abstractNum>
  <w:abstractNum w:abstractNumId="20">
    <w:nsid w:val="43F18422"/>
    <w:multiLevelType w:val="hybridMultilevel"/>
    <w:lvl w:ilvl="0">
      <w:lvlJc w:val="left"/>
      <w:lvlText w:val="(%1)"/>
      <w:numFmt w:val="decimal"/>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o"/>
      <w:numFmt w:val="bullet"/>
      <w:start w:val="1"/>
    </w:lvl>
  </w:abstractNum>
  <w:abstractNum w:abstractNumId="24">
    <w:nsid w:val="49DA307D"/>
    <w:multiLevelType w:val="hybridMultilevel"/>
    <w:lvl w:ilvl="0">
      <w:lvlJc w:val="left"/>
      <w:lvlText w:val="(%1)"/>
      <w:numFmt w:val="decimal"/>
      <w:start w:val="3"/>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1)"/>
      <w:numFmt w:val="decimal"/>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1)"/>
      <w:numFmt w:val="decimal"/>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1)"/>
      <w:numFmt w:val="lowerLetter"/>
      <w:start w:val="3"/>
    </w:lvl>
  </w:abstractNum>
  <w:abstractNum w:abstractNumId="34">
    <w:nsid w:val="7D5E18F8"/>
    <w:multiLevelType w:val="hybridMultilevel"/>
    <w:lvl w:ilvl="0">
      <w:lvlJc w:val="left"/>
      <w:lvlText w:val="(%1)"/>
      <w:numFmt w:val="lowerLetter"/>
      <w:start w:val="2"/>
    </w:lvl>
  </w:abstractNum>
  <w:abstractNum w:abstractNumId="35">
    <w:nsid w:val="5F3534A4"/>
    <w:multiLevelType w:val="hybridMultilevel"/>
    <w:lvl w:ilvl="0">
      <w:lvlJc w:val="left"/>
      <w:lvlText w:val="(%1)"/>
      <w:numFmt w:val="decimal"/>
      <w:start w:val="1"/>
    </w:lvl>
  </w:abstractNum>
  <w:abstractNum w:abstractNumId="36">
    <w:nsid w:val="73A1821B"/>
    <w:multiLevelType w:val="hybridMultilevel"/>
    <w:lvl w:ilvl="0">
      <w:lvlJc w:val="left"/>
      <w:lvlText w:val="(%1)"/>
      <w:numFmt w:val="lowerLetter"/>
      <w:start w:val="3"/>
    </w:lvl>
  </w:abstractNum>
  <w:abstractNum w:abstractNumId="37">
    <w:nsid w:val="7DE67713"/>
    <w:multiLevelType w:val="hybridMultilevel"/>
    <w:lvl w:ilvl="0">
      <w:lvlJc w:val="left"/>
      <w:lvlText w:val="(%1)"/>
      <w:numFmt w:val="lowerLetter"/>
      <w:start w:val="2"/>
    </w:lvl>
  </w:abstractNum>
  <w:abstractNum w:abstractNumId="38">
    <w:nsid w:val="555C55B5"/>
    <w:multiLevelType w:val="hybridMultilevel"/>
    <w:lvl w:ilvl="0">
      <w:lvlJc w:val="left"/>
      <w:lvlText w:val="(%1)"/>
      <w:numFmt w:val="lowerLetter"/>
      <w:start w:val="7"/>
    </w:lvl>
  </w:abstractNum>
  <w:abstractNum w:abstractNumId="39">
    <w:nsid w:val="3FA62ACA"/>
    <w:multiLevelType w:val="hybridMultilevel"/>
    <w:lvl w:ilvl="0">
      <w:lvlJc w:val="left"/>
      <w:lvlText w:val="(%1)"/>
      <w:numFmt w:val="decimal"/>
      <w:start w:val="1"/>
    </w:lvl>
  </w:abstractNum>
  <w:abstractNum w:abstractNumId="40">
    <w:nsid w:val="14FCE74E"/>
    <w:multiLevelType w:val="hybridMultilevel"/>
    <w:lvl w:ilvl="0">
      <w:lvlJc w:val="left"/>
      <w:lvlText w:val="(%1)"/>
      <w:numFmt w:val="decimal"/>
      <w:start w:val="1"/>
    </w:lvl>
  </w:abstractNum>
  <w:abstractNum w:abstractNumId="41">
    <w:nsid w:val="6A3DD3E8"/>
    <w:multiLevelType w:val="hybridMultilevel"/>
    <w:lvl w:ilvl="0">
      <w:lvlJc w:val="left"/>
      <w:lvlText w:val="(%1)"/>
      <w:numFmt w:val="decimal"/>
      <w:start w:val="1"/>
    </w:lvl>
  </w:abstractNum>
  <w:abstractNum w:abstractNumId="42">
    <w:nsid w:val="71C91298"/>
    <w:multiLevelType w:val="hybridMultilevel"/>
    <w:lvl w:ilvl="0">
      <w:lvlJc w:val="left"/>
      <w:lvlText w:val="(%1)"/>
      <w:numFmt w:val="decimal"/>
      <w:start w:val="1"/>
    </w:lvl>
  </w:abstractNum>
  <w:abstractNum w:abstractNumId="43">
    <w:nsid w:val="9DAF632"/>
    <w:multiLevelType w:val="hybridMultilevel"/>
    <w:lvl w:ilvl="0">
      <w:lvlJc w:val="left"/>
      <w:lvlText w:val="(%1)"/>
      <w:numFmt w:val="decimal"/>
      <w:start w:val="1"/>
    </w:lvl>
  </w:abstractNum>
  <w:abstractNum w:abstractNumId="44">
    <w:nsid w:val="53299938"/>
    <w:multiLevelType w:val="hybridMultilevel"/>
    <w:lvl w:ilvl="0">
      <w:lvlJc w:val="left"/>
      <w:lvlText w:val="(%1)"/>
      <w:numFmt w:val="decimal"/>
      <w:start w:val="1"/>
    </w:lvl>
  </w:abstractNum>
  <w:abstractNum w:abstractNumId="45">
    <w:nsid w:val="1FBFE8E0"/>
    <w:multiLevelType w:val="hybridMultilevel"/>
    <w:lvl w:ilvl="0">
      <w:lvlJc w:val="left"/>
      <w:lvlText w:val="(%1)"/>
      <w:numFmt w:val="decimal"/>
      <w:start w:val="1"/>
    </w:lvl>
  </w:abstractNum>
  <w:abstractNum w:abstractNumId="46">
    <w:nsid w:val="5092CA79"/>
    <w:multiLevelType w:val="hybridMultilevel"/>
    <w:lvl w:ilvl="0">
      <w:lvlJc w:val="left"/>
      <w:lvlText w:val="(%1)"/>
      <w:numFmt w:val="decimal"/>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1)"/>
      <w:numFmt w:val="decimal"/>
      <w:start w:val="1"/>
    </w:lvl>
  </w:abstractNum>
  <w:abstractNum w:abstractNumId="49">
    <w:nsid w:val="288F1A34"/>
    <w:multiLevelType w:val="hybridMultilevel"/>
    <w:lvl w:ilvl="0">
      <w:lvlJc w:val="left"/>
      <w:lvlText w:val="(%1)"/>
      <w:numFmt w:val="decimal"/>
      <w:start w:val="1"/>
    </w:lvl>
  </w:abstractNum>
  <w:abstractNum w:abstractNumId="50">
    <w:nsid w:val="2A155DBC"/>
    <w:multiLevelType w:val="hybridMultilevel"/>
    <w:lvl w:ilvl="0">
      <w:lvlJc w:val="left"/>
      <w:lvlText w:val="(%1)"/>
      <w:numFmt w:val="decimal"/>
      <w:start w:val="1"/>
    </w:lvl>
  </w:abstractNum>
  <w:abstractNum w:abstractNumId="51">
    <w:nsid w:val="1D9F6E5F"/>
    <w:multiLevelType w:val="hybridMultilevel"/>
    <w:lvl w:ilvl="0">
      <w:lvlJc w:val="left"/>
      <w:lvlText w:val="(%1)"/>
      <w:numFmt w:val="decimal"/>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1)"/>
      <w:numFmt w:val="decimal"/>
      <w:start w:val="1"/>
    </w:lvl>
  </w:abstractNum>
  <w:abstractNum w:abstractNumId="54">
    <w:nsid w:val="1CA0C5FA"/>
    <w:multiLevelType w:val="hybridMultilevel"/>
    <w:lvl w:ilvl="0">
      <w:lvlJc w:val="left"/>
      <w:lvlText w:val="%1."/>
      <w:numFmt w:val="decimal"/>
      <w:start w:val="1"/>
    </w:lvl>
  </w:abstractNum>
  <w:abstractNum w:abstractNumId="55">
    <w:nsid w:val="53584BCB"/>
    <w:multiLevelType w:val="hybridMultilevel"/>
    <w:lvl w:ilvl="0">
      <w:lvlJc w:val="left"/>
      <w:lvlText w:val="(%1)"/>
      <w:numFmt w:val="lowerLetter"/>
      <w:start w:val="2"/>
    </w:lvl>
  </w:abstractNum>
  <w:abstractNum w:abstractNumId="56">
    <w:nsid w:val="415E286C"/>
    <w:multiLevelType w:val="hybridMultilevel"/>
    <w:lvl w:ilvl="0">
      <w:lvlJc w:val="left"/>
      <w:lvlText w:val="%1"/>
      <w:numFmt w:val="decimal"/>
      <w:start w:val="10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1."/>
      <w:numFmt w:val="decimal"/>
      <w:start w:val="1"/>
    </w:lvl>
    <w:lvl w:ilvl="1">
      <w:lvlJc w:val="left"/>
      <w:lvlText w:val="(%2)"/>
      <w:numFmt w:val="lowerLetter"/>
      <w:start w:val="1"/>
    </w:lvl>
  </w:abstractNum>
  <w:abstractNum w:abstractNumId="59">
    <w:nsid w:val="45E6D486"/>
    <w:multiLevelType w:val="hybridMultilevel"/>
    <w:lvl w:ilvl="0">
      <w:lvlJc w:val="left"/>
      <w:lvlText w:val="%1."/>
      <w:numFmt w:val="decimal"/>
      <w:start w:val="4"/>
    </w:lvl>
    <w:lvl w:ilvl="1">
      <w:lvlJc w:val="left"/>
      <w:lvlText w:val="(%2)"/>
      <w:numFmt w:val="lowerLetter"/>
      <w:start w:val="1"/>
    </w:lvl>
  </w:abstractNum>
  <w:abstractNum w:abstractNumId="60">
    <w:nsid w:val="5C10FE21"/>
    <w:multiLevelType w:val="hybridMultilevel"/>
    <w:lvl w:ilvl="0">
      <w:lvlJc w:val="left"/>
      <w:lvlText w:val="%1."/>
      <w:numFmt w:val="decimal"/>
      <w:start w:val="6"/>
    </w:lvl>
  </w:abstractNum>
  <w:abstractNum w:abstractNumId="61">
    <w:nsid w:val="E7FFA2B"/>
    <w:multiLevelType w:val="hybridMultilevel"/>
    <w:lvl w:ilvl="0">
      <w:lvlJc w:val="left"/>
      <w:lvlText w:val="%1."/>
      <w:numFmt w:val="decimal"/>
      <w:start w:val="7"/>
    </w:lvl>
    <w:lvl w:ilvl="1">
      <w:lvlJc w:val="left"/>
      <w:lvlText w:val="(%2)"/>
      <w:numFmt w:val="lowerLetter"/>
      <w:start w:val="1"/>
    </w:lvl>
  </w:abstractNum>
  <w:abstractNum w:abstractNumId="62">
    <w:nsid w:val="3C5991AA"/>
    <w:multiLevelType w:val="hybridMultilevel"/>
    <w:lvl w:ilvl="0">
      <w:lvlJc w:val="left"/>
      <w:lvlText w:val="%1"/>
      <w:numFmt w:val="decimal"/>
      <w:start w:val="1"/>
    </w:lvl>
    <w:lvl w:ilvl="1">
      <w:lvlJc w:val="left"/>
      <w:lvlText w:val="(%2)"/>
      <w:numFmt w:val="lowerLetter"/>
      <w:start w:val="2"/>
    </w:lvl>
  </w:abstractNum>
  <w:abstractNum w:abstractNumId="63">
    <w:nsid w:val="4BD8591A"/>
    <w:multiLevelType w:val="hybridMultilevel"/>
    <w:lvl w:ilvl="0">
      <w:lvlJc w:val="left"/>
      <w:lvlText w:val="(%1)"/>
      <w:numFmt w:val="decimal"/>
      <w:start w:val="1"/>
    </w:lvl>
    <w:lvl w:ilvl="1">
      <w:lvlJc w:val="left"/>
      <w:lvlText w:val="(%2)"/>
      <w:numFmt w:val="lowerLetter"/>
      <w:start w:val="3"/>
    </w:lvl>
  </w:abstractNum>
  <w:abstractNum w:abstractNumId="64">
    <w:nsid w:val="78DF6A55"/>
    <w:multiLevelType w:val="hybridMultilevel"/>
    <w:lvl w:ilvl="0">
      <w:lvlJc w:val="left"/>
      <w:lvlText w:val="%1."/>
      <w:numFmt w:val="decimal"/>
      <w:start w:val="9"/>
    </w:lvl>
    <w:lvl w:ilvl="1">
      <w:lvlJc w:val="left"/>
      <w:lvlText w:val="(%2)"/>
      <w:numFmt w:val="lowerLetter"/>
      <w:start w:val="1"/>
    </w:lvl>
  </w:abstractNum>
  <w:abstractNum w:abstractNumId="65">
    <w:nsid w:val="39B7AAA2"/>
    <w:multiLevelType w:val="hybridMultilevel"/>
    <w:lvl w:ilvl="0">
      <w:lvlJc w:val="left"/>
      <w:lvlText w:val="%1"/>
      <w:numFmt w:val="decimal"/>
      <w:start w:val="1"/>
    </w:lvl>
    <w:lvl w:ilvl="1">
      <w:lvlJc w:val="left"/>
      <w:lvlText w:val="(%2)"/>
      <w:numFmt w:val="lowerLetter"/>
      <w:start w:val="3"/>
    </w:lvl>
  </w:abstractNum>
  <w:abstractNum w:abstractNumId="66">
    <w:nsid w:val="2B0D8DBE"/>
    <w:multiLevelType w:val="hybridMultilevel"/>
    <w:lvl w:ilvl="0">
      <w:lvlJc w:val="left"/>
      <w:lvlText w:val="%1."/>
      <w:numFmt w:val="decimal"/>
      <w:start w:val="11"/>
    </w:lvl>
    <w:lvl w:ilvl="1">
      <w:lvlJc w:val="left"/>
      <w:lvlText w:val="%2"/>
      <w:numFmt w:val="lowerLetter"/>
      <w:start w:val="1"/>
    </w:lvl>
  </w:abstractNum>
  <w:abstractNum w:abstractNumId="67">
    <w:nsid w:val="6C80EC70"/>
    <w:multiLevelType w:val="hybridMultilevel"/>
    <w:lvl w:ilvl="0">
      <w:lvlJc w:val="left"/>
      <w:lvlText w:val="%1."/>
      <w:numFmt w:val="decimal"/>
      <w:start w:val="12"/>
    </w:lvl>
  </w:abstractNum>
  <w:abstractNum w:abstractNumId="68">
    <w:nsid w:val="379E21B5"/>
    <w:multiLevelType w:val="hybridMultilevel"/>
    <w:lvl w:ilvl="0">
      <w:lvlJc w:val="left"/>
      <w:lvlText w:val="%1."/>
      <w:numFmt w:val="decimal"/>
      <w:start w:val="13"/>
    </w:lvl>
  </w:abstractNum>
  <w:abstractNum w:abstractNumId="69">
    <w:nsid w:val="69E373"/>
    <w:multiLevelType w:val="hybridMultilevel"/>
    <w:lvl w:ilvl="0">
      <w:lvlJc w:val="left"/>
      <w:lvlText w:val="%1."/>
      <w:numFmt w:val="decimal"/>
      <w:start w:val="14"/>
    </w:lvl>
    <w:lvl w:ilvl="1">
      <w:lvlJc w:val="left"/>
      <w:lvlText w:val="(%2)"/>
      <w:numFmt w:val="lowerLetter"/>
      <w:start w:val="1"/>
    </w:lvl>
  </w:abstractNum>
  <w:abstractNum w:abstractNumId="70">
    <w:nsid w:val="2C27173B"/>
    <w:multiLevelType w:val="hybridMultilevel"/>
    <w:lvl w:ilvl="0">
      <w:lvlJc w:val="left"/>
      <w:lvlText w:val="%1."/>
      <w:numFmt w:val="decimal"/>
      <w:start w:val="15"/>
    </w:lvl>
    <w:lvl w:ilvl="1">
      <w:lvlJc w:val="left"/>
      <w:lvlText w:val="(%2)"/>
      <w:numFmt w:val="lowerLetter"/>
      <w:start w:val="1"/>
    </w:lvl>
  </w:abstractNum>
  <w:abstractNum w:abstractNumId="71">
    <w:nsid w:val="4C9B0904"/>
    <w:multiLevelType w:val="hybridMultilevel"/>
    <w:lvl w:ilvl="0">
      <w:lvlJc w:val="left"/>
      <w:lvlText w:val="%1."/>
      <w:numFmt w:val="decimal"/>
      <w:start w:val="18"/>
    </w:lvl>
  </w:abstractNum>
  <w:abstractNum w:abstractNumId="72">
    <w:nsid w:val="6AA7B75C"/>
    <w:multiLevelType w:val="hybridMultilevel"/>
    <w:lvl w:ilvl="0">
      <w:lvlJc w:val="left"/>
      <w:lvlText w:val="%1."/>
      <w:numFmt w:val="decimal"/>
      <w:start w:val="19"/>
    </w:lvl>
  </w:abstractNum>
  <w:abstractNum w:abstractNumId="73">
    <w:nsid w:val="1DF029D3"/>
    <w:multiLevelType w:val="hybridMultilevel"/>
    <w:lvl w:ilvl="0">
      <w:lvlJc w:val="left"/>
      <w:lvlText w:val="%1."/>
      <w:numFmt w:val="decimal"/>
      <w:start w:val="1"/>
    </w:lvl>
    <w:lvl w:ilvl="1">
      <w:lvlJc w:val="left"/>
      <w:lvlText w:val="(%2)"/>
      <w:numFmt w:val="lowerLetter"/>
      <w:start w:val="1"/>
    </w:lvl>
  </w:abstractNum>
  <w:abstractNum w:abstractNumId="74">
    <w:nsid w:val="5675FF36"/>
    <w:multiLevelType w:val="hybridMultilevel"/>
    <w:lvl w:ilvl="0">
      <w:lvlJc w:val="left"/>
      <w:lvlText w:val="%1."/>
      <w:numFmt w:val="decimal"/>
      <w:start w:val="4"/>
    </w:lvl>
    <w:lvl w:ilvl="1">
      <w:lvlJc w:val="left"/>
      <w:lvlText w:val="(%2)"/>
      <w:numFmt w:val="lowerLetter"/>
      <w:start w:val="1"/>
    </w:lvl>
  </w:abstractNum>
  <w:abstractNum w:abstractNumId="75">
    <w:nsid w:val="3DD15094"/>
    <w:multiLevelType w:val="hybridMultilevel"/>
    <w:lvl w:ilvl="0">
      <w:lvlJc w:val="left"/>
      <w:lvlText w:val="%1."/>
      <w:numFmt w:val="decimal"/>
      <w:start w:val="6"/>
    </w:lvl>
  </w:abstractNum>
  <w:abstractNum w:abstractNumId="76">
    <w:nsid w:val="3DB012B3"/>
    <w:multiLevelType w:val="hybridMultilevel"/>
    <w:lvl w:ilvl="0">
      <w:lvlJc w:val="left"/>
      <w:lvlText w:val="%1."/>
      <w:numFmt w:val="decimal"/>
      <w:start w:val="7"/>
    </w:lvl>
    <w:lvl w:ilvl="1">
      <w:lvlJc w:val="left"/>
      <w:lvlText w:val="(%2)"/>
      <w:numFmt w:val="lowerLetter"/>
      <w:start w:val="1"/>
    </w:lvl>
  </w:abstractNum>
  <w:abstractNum w:abstractNumId="77">
    <w:nsid w:val="2708C9AF"/>
    <w:multiLevelType w:val="hybridMultilevel"/>
    <w:lvl w:ilvl="0">
      <w:lvlJc w:val="left"/>
      <w:lvlText w:val="%1"/>
      <w:numFmt w:val="decimal"/>
      <w:start w:val="1"/>
    </w:lvl>
    <w:lvl w:ilvl="1">
      <w:lvlJc w:val="left"/>
      <w:lvlText w:val="(%2)"/>
      <w:numFmt w:val="lowerLetter"/>
      <w:start w:val="2"/>
    </w:lvl>
  </w:abstractNum>
  <w:abstractNum w:abstractNumId="78">
    <w:nsid w:val="5B25ACE2"/>
    <w:multiLevelType w:val="hybridMultilevel"/>
    <w:lvl w:ilvl="0">
      <w:lvlJc w:val="left"/>
      <w:lvlText w:val="%1."/>
      <w:numFmt w:val="decimal"/>
      <w:start w:val="9"/>
    </w:lvl>
    <w:lvl w:ilvl="1">
      <w:lvlJc w:val="left"/>
      <w:lvlText w:val="(%2)"/>
      <w:numFmt w:val="lowerLetter"/>
      <w:start w:val="1"/>
    </w:lvl>
  </w:abstractNum>
  <w:abstractNum w:abstractNumId="79">
    <w:nsid w:val="175DFCF0"/>
    <w:multiLevelType w:val="hybridMultilevel"/>
    <w:lvl w:ilvl="0">
      <w:lvlJc w:val="left"/>
      <w:lvlText w:val="%1."/>
      <w:numFmt w:val="decimal"/>
      <w:start w:val="10"/>
    </w:lvl>
    <w:lvl w:ilvl="1">
      <w:lvlJc w:val="left"/>
      <w:lvlText w:val="(%2)"/>
      <w:numFmt w:val="lowerLetter"/>
      <w:start w:val="1"/>
    </w:lvl>
  </w:abstractNum>
  <w:abstractNum w:abstractNumId="80">
    <w:nsid w:val="4F97E3E4"/>
    <w:multiLevelType w:val="hybridMultilevel"/>
    <w:lvl w:ilvl="0">
      <w:lvlJc w:val="left"/>
      <w:lvlText w:val="%1."/>
      <w:numFmt w:val="decimal"/>
      <w:start w:val="12"/>
    </w:lvl>
  </w:abstractNum>
  <w:abstractNum w:abstractNumId="81">
    <w:nsid w:val="53B0A9E"/>
    <w:multiLevelType w:val="hybridMultilevel"/>
    <w:lvl w:ilvl="0">
      <w:lvlJc w:val="left"/>
      <w:lvlText w:val="%1."/>
      <w:numFmt w:val="decimal"/>
      <w:start w:val="13"/>
    </w:lvl>
  </w:abstractNum>
  <w:abstractNum w:abstractNumId="82">
    <w:nsid w:val="34FD6B4F"/>
    <w:multiLevelType w:val="hybridMultilevel"/>
    <w:lvl w:ilvl="0">
      <w:lvlJc w:val="left"/>
      <w:lvlText w:val="%1."/>
      <w:numFmt w:val="decimal"/>
      <w:start w:val="14"/>
    </w:lvl>
    <w:lvl w:ilvl="1">
      <w:lvlJc w:val="left"/>
      <w:lvlText w:val="(%2)"/>
      <w:numFmt w:val="lowerLetter"/>
      <w:start w:val="1"/>
    </w:lvl>
  </w:abstractNum>
  <w:abstractNum w:abstractNumId="83">
    <w:nsid w:val="5915FF32"/>
    <w:multiLevelType w:val="hybridMultilevel"/>
    <w:lvl w:ilvl="0">
      <w:lvlJc w:val="left"/>
      <w:lvlText w:val="%1."/>
      <w:numFmt w:val="decimal"/>
      <w:start w:val="17"/>
    </w:lvl>
  </w:abstractNum>
  <w:abstractNum w:abstractNumId="84">
    <w:nsid w:val="56438D15"/>
    <w:multiLevelType w:val="hybridMultilevel"/>
    <w:lvl w:ilvl="0">
      <w:lvlJc w:val="left"/>
      <w:lvlText w:val="%1."/>
      <w:numFmt w:val="decimal"/>
      <w:start w:val="18"/>
    </w:lvl>
    <w:lvl w:ilvl="1">
      <w:lvlJc w:val="left"/>
      <w:lvlText w:val="(%2)"/>
      <w:numFmt w:val="lowerLetter"/>
      <w:start w:val="1"/>
    </w:lvl>
  </w:abstractNum>
  <w:abstractNum w:abstractNumId="85">
    <w:nsid w:val="519E3149"/>
    <w:multiLevelType w:val="hybridMultilevel"/>
    <w:lvl w:ilvl="0">
      <w:lvlJc w:val="left"/>
      <w:lvlText w:val="%1"/>
      <w:numFmt w:val="decimal"/>
      <w:start w:val="1"/>
    </w:lvl>
    <w:lvl w:ilvl="1">
      <w:lvlJc w:val="left"/>
      <w:lvlText w:val="(%2)"/>
      <w:numFmt w:val="lowerLetter"/>
      <w:start w:val="3"/>
    </w:lvl>
  </w:abstractNum>
  <w:abstractNum w:abstractNumId="86">
    <w:nsid w:val="2C6E4AFD"/>
    <w:multiLevelType w:val="hybridMultilevel"/>
    <w:lvl w:ilvl="0">
      <w:lvlJc w:val="left"/>
      <w:lvlText w:val="%1."/>
      <w:numFmt w:val="decimal"/>
      <w:start w:val="19"/>
    </w:lvl>
    <w:lvl w:ilvl="1">
      <w:lvlJc w:val="left"/>
      <w:lvlText w:val="%2"/>
      <w:numFmt w:val="lowerLetter"/>
      <w:start w:val="1"/>
    </w:lvl>
  </w:abstractNum>
  <w:abstractNum w:abstractNumId="87">
    <w:nsid w:val="17A1B582"/>
    <w:multiLevelType w:val="hybridMultilevel"/>
    <w:lvl w:ilvl="0">
      <w:lvlJc w:val="left"/>
      <w:lvlText w:val="%1."/>
      <w:numFmt w:val="decimal"/>
      <w:start w:val="20"/>
    </w:lvl>
  </w:abstractNum>
  <w:abstractNum w:abstractNumId="88">
    <w:nsid w:val="4DF72E4E"/>
    <w:multiLevelType w:val="hybridMultilevel"/>
    <w:lvl w:ilvl="0">
      <w:lvlJc w:val="left"/>
      <w:lvlText w:val="%1."/>
      <w:numFmt w:val="decimal"/>
      <w:start w:val="21"/>
    </w:lvl>
  </w:abstractNum>
  <w:abstractNum w:abstractNumId="89">
    <w:nsid w:val="5046B5A9"/>
    <w:multiLevelType w:val="hybridMultilevel"/>
    <w:lvl w:ilvl="0">
      <w:lvlJc w:val="left"/>
      <w:lvlText w:val="%1."/>
      <w:numFmt w:val="decimal"/>
      <w:start w:val="1"/>
    </w:lvl>
    <w:lvl w:ilvl="1">
      <w:lvlJc w:val="left"/>
      <w:lvlText w:val="(%2)"/>
      <w:numFmt w:val="lowerLetter"/>
      <w:start w:val="1"/>
    </w:lvl>
  </w:abstractNum>
  <w:abstractNum w:abstractNumId="90">
    <w:nsid w:val="5D888A08"/>
    <w:multiLevelType w:val="hybridMultilevel"/>
    <w:lvl w:ilvl="0">
      <w:lvlJc w:val="left"/>
      <w:lvlText w:val="%1."/>
      <w:numFmt w:val="decimal"/>
      <w:start w:val="3"/>
    </w:lvl>
  </w:abstractNum>
  <w:abstractNum w:abstractNumId="91">
    <w:nsid w:val="2A082C70"/>
    <w:multiLevelType w:val="hybridMultilevel"/>
    <w:lvl w:ilvl="0">
      <w:lvlJc w:val="left"/>
      <w:lvlText w:val="%1."/>
      <w:numFmt w:val="decimal"/>
      <w:start w:val="4"/>
    </w:lvl>
  </w:abstractNum>
  <w:abstractNum w:abstractNumId="92">
    <w:nsid w:val="5EC6AFD4"/>
    <w:multiLevelType w:val="hybridMultilevel"/>
    <w:lvl w:ilvl="0">
      <w:lvlJc w:val="left"/>
      <w:lvlText w:val="%1."/>
      <w:numFmt w:val="decimal"/>
      <w:start w:val="5"/>
    </w:lvl>
    <w:lvl w:ilvl="1">
      <w:lvlJc w:val="left"/>
      <w:lvlText w:val="(%2)"/>
      <w:numFmt w:val="lowerLetter"/>
      <w:start w:val="1"/>
    </w:lvl>
  </w:abstractNum>
  <w:abstractNum w:abstractNumId="93">
    <w:nsid w:val="19E21BB2"/>
    <w:multiLevelType w:val="hybridMultilevel"/>
    <w:lvl w:ilvl="0">
      <w:lvlJc w:val="left"/>
      <w:lvlText w:val="%1"/>
      <w:numFmt w:val="decimal"/>
      <w:start w:val="1"/>
    </w:lvl>
    <w:lvl w:ilvl="1">
      <w:lvlJc w:val="left"/>
      <w:lvlText w:val="(%2)"/>
      <w:numFmt w:val="lowerLetter"/>
      <w:start w:val="4"/>
    </w:lvl>
  </w:abstractNum>
  <w:abstractNum w:abstractNumId="94">
    <w:nsid w:val="75E0858A"/>
    <w:multiLevelType w:val="hybridMultilevel"/>
    <w:lvl w:ilvl="0">
      <w:lvlJc w:val="left"/>
      <w:lvlText w:val="%1."/>
      <w:numFmt w:val="decimal"/>
      <w:start w:val="7"/>
    </w:lvl>
    <w:lvl w:ilvl="1">
      <w:lvlJc w:val="left"/>
      <w:lvlText w:val="(%2)"/>
      <w:numFmt w:val="lowerLetter"/>
      <w:start w:val="1"/>
    </w:lvl>
  </w:abstractNum>
  <w:abstractNum w:abstractNumId="95">
    <w:nsid w:val="57A61A29"/>
    <w:multiLevelType w:val="hybridMultilevel"/>
    <w:lvl w:ilvl="0">
      <w:lvlJc w:val="left"/>
      <w:lvlText w:val="%1"/>
      <w:numFmt w:val="decimal"/>
      <w:start w:val="1"/>
    </w:lvl>
    <w:lvl w:ilvl="1">
      <w:lvlJc w:val="left"/>
      <w:lvlText w:val="(%2)"/>
      <w:numFmt w:val="lowerLetter"/>
      <w:start w:val="4"/>
    </w:lvl>
  </w:abstractNum>
  <w:abstractNum w:abstractNumId="96">
    <w:nsid w:val="5399C654"/>
    <w:multiLevelType w:val="hybridMultilevel"/>
    <w:lvl w:ilvl="0">
      <w:lvlJc w:val="left"/>
      <w:lvlText w:val="%1."/>
      <w:numFmt w:val="decimal"/>
      <w:start w:val="9"/>
    </w:lvl>
    <w:lvl w:ilvl="1">
      <w:lvlJc w:val="left"/>
      <w:lvlText w:val="%2"/>
      <w:numFmt w:val="lowerLetter"/>
      <w:start w:val="1"/>
    </w:lvl>
  </w:abstractNum>
  <w:abstractNum w:abstractNumId="97">
    <w:nsid w:val="20EE1348"/>
    <w:multiLevelType w:val="hybridMultilevel"/>
    <w:lvl w:ilvl="0">
      <w:lvlJc w:val="left"/>
      <w:lvlText w:val="%1."/>
      <w:numFmt w:val="decimal"/>
      <w:start w:val="10"/>
    </w:lvl>
  </w:abstractNum>
  <w:abstractNum w:abstractNumId="98">
    <w:nsid w:val="4427069A"/>
    <w:multiLevelType w:val="hybridMultilevel"/>
    <w:lvl w:ilvl="0">
      <w:lvlJc w:val="left"/>
      <w:lvlText w:val="%1."/>
      <w:numFmt w:val="decimal"/>
      <w:start w:val="11"/>
    </w:lvl>
  </w:abstractNum>
  <w:abstractNum w:abstractNumId="99">
    <w:nsid w:val="B37E80A"/>
    <w:multiLevelType w:val="hybridMultilevel"/>
    <w:lvl w:ilvl="0">
      <w:lvlJc w:val="left"/>
      <w:lvlText w:val="%1."/>
      <w:numFmt w:val="decimal"/>
      <w:start w:val="12"/>
    </w:lvl>
    <w:lvl w:ilvl="1">
      <w:lvlJc w:val="left"/>
      <w:lvlText w:val="(%2)"/>
      <w:numFmt w:val="lowerLetter"/>
      <w:start w:val="1"/>
    </w:lvl>
  </w:abstractNum>
  <w:abstractNum w:abstractNumId="100">
    <w:nsid w:val="2157F6BC"/>
    <w:multiLevelType w:val="hybridMultilevel"/>
    <w:lvl w:ilvl="0">
      <w:lvlJc w:val="left"/>
      <w:lvlText w:val="%1."/>
      <w:numFmt w:val="decimal"/>
      <w:start w:val="13"/>
    </w:lvl>
    <w:lvl w:ilvl="1">
      <w:lvlJc w:val="left"/>
      <w:lvlText w:val="(%2)"/>
      <w:numFmt w:val="lowerLetter"/>
      <w:start w:val="1"/>
    </w:lvl>
  </w:abstractNum>
  <w:abstractNum w:abstractNumId="101">
    <w:nsid w:val="704E1DD5"/>
    <w:multiLevelType w:val="hybridMultilevel"/>
    <w:lvl w:ilvl="0">
      <w:lvlJc w:val="left"/>
      <w:lvlText w:val="%1."/>
      <w:numFmt w:val="decimal"/>
      <w:start w:val="16"/>
    </w:lvl>
  </w:abstractNum>
  <w:abstractNum w:abstractNumId="102">
    <w:nsid w:val="57D2F10E"/>
    <w:multiLevelType w:val="hybridMultilevel"/>
    <w:lvl w:ilvl="0">
      <w:lvlJc w:val="left"/>
      <w:lvlText w:val="%1."/>
      <w:numFmt w:val="decimal"/>
      <w:start w:val="17"/>
    </w:lvl>
  </w:abstractNum>
  <w:abstractNum w:abstractNumId="103">
    <w:nsid w:val="BFFAE18"/>
    <w:multiLevelType w:val="hybridMultilevel"/>
    <w:lvl w:ilvl="0">
      <w:lvlJc w:val="left"/>
      <w:lvlText w:val="%1."/>
      <w:numFmt w:val="decimal"/>
      <w:start w:val="1"/>
    </w:lvl>
    <w:lvl w:ilvl="1">
      <w:lvlJc w:val="left"/>
      <w:lvlText w:val="(%2)"/>
      <w:numFmt w:val="lowerLetter"/>
      <w:start w:val="1"/>
    </w:lvl>
  </w:abstractNum>
  <w:abstractNum w:abstractNumId="104">
    <w:nsid w:val="E3E47A8"/>
    <w:multiLevelType w:val="hybridMultilevel"/>
    <w:lvl w:ilvl="0">
      <w:lvlJc w:val="left"/>
      <w:lvlText w:val="%1."/>
      <w:numFmt w:val="decimal"/>
      <w:start w:val="2"/>
    </w:lvl>
  </w:abstractNum>
  <w:abstractNum w:abstractNumId="105">
    <w:nsid w:val="2E48F044"/>
    <w:multiLevelType w:val="hybridMultilevel"/>
    <w:lvl w:ilvl="0">
      <w:lvlJc w:val="left"/>
      <w:lvlText w:val="%1."/>
      <w:numFmt w:val="decimal"/>
      <w:start w:val="3"/>
    </w:lvl>
  </w:abstractNum>
  <w:abstractNum w:abstractNumId="106">
    <w:nsid w:val="49D0FEAC"/>
    <w:multiLevelType w:val="hybridMultilevel"/>
    <w:lvl w:ilvl="0">
      <w:lvlJc w:val="left"/>
      <w:lvlText w:val="%1."/>
      <w:numFmt w:val="decimal"/>
      <w:start w:val="4"/>
    </w:lvl>
  </w:abstractNum>
  <w:abstractNum w:abstractNumId="107">
    <w:nsid w:val="4BEE5A5B"/>
    <w:multiLevelType w:val="hybridMultilevel"/>
    <w:lvl w:ilvl="0">
      <w:lvlJc w:val="left"/>
      <w:lvlText w:val="%1."/>
      <w:numFmt w:val="decimal"/>
      <w:start w:val="5"/>
    </w:lvl>
    <w:lvl w:ilvl="1">
      <w:lvlJc w:val="left"/>
      <w:lvlText w:val="(%2)"/>
      <w:numFmt w:val="lowerLetter"/>
      <w:start w:val="1"/>
    </w:lvl>
  </w:abstractNum>
  <w:abstractNum w:abstractNumId="108">
    <w:nsid w:val="5551B9F3"/>
    <w:multiLevelType w:val="hybridMultilevel"/>
    <w:lvl w:ilvl="0">
      <w:lvlJc w:val="left"/>
      <w:lvlText w:val="%1."/>
      <w:numFmt w:val="decimal"/>
      <w:start w:val="7"/>
    </w:lvl>
    <w:lvl w:ilvl="1">
      <w:lvlJc w:val="left"/>
      <w:lvlText w:val="(%2)"/>
      <w:numFmt w:val="lowerLetter"/>
      <w:start w:val="1"/>
    </w:lvl>
  </w:abstractNum>
  <w:abstractNum w:abstractNumId="109">
    <w:nsid w:val="24F6AB8E"/>
    <w:multiLevelType w:val="hybridMultilevel"/>
    <w:lvl w:ilvl="0">
      <w:lvlJc w:val="left"/>
      <w:lvlText w:val="%1"/>
      <w:numFmt w:val="decimal"/>
      <w:start w:val="1"/>
    </w:lvl>
    <w:lvl w:ilvl="1">
      <w:lvlJc w:val="left"/>
      <w:lvlText w:val="(%2)"/>
      <w:numFmt w:val="lowerLetter"/>
      <w:start w:val="3"/>
    </w:lvl>
  </w:abstractNum>
  <w:abstractNum w:abstractNumId="110">
    <w:nsid w:val="634C574C"/>
    <w:multiLevelType w:val="hybridMultilevel"/>
    <w:lvl w:ilvl="0">
      <w:lvlJc w:val="left"/>
      <w:lvlText w:val="%1."/>
      <w:numFmt w:val="decimal"/>
      <w:start w:val="9"/>
    </w:lvl>
    <w:lvl w:ilvl="1">
      <w:lvlJc w:val="left"/>
      <w:lvlText w:val="(%2)"/>
      <w:numFmt w:val="lowerLetter"/>
      <w:start w:val="1"/>
    </w:lvl>
  </w:abstractNum>
  <w:abstractNum w:abstractNumId="111">
    <w:nsid w:val="24E99DD7"/>
    <w:multiLevelType w:val="hybridMultilevel"/>
    <w:lvl w:ilvl="0">
      <w:lvlJc w:val="left"/>
      <w:lvlText w:val="%1."/>
      <w:numFmt w:val="decimal"/>
      <w:start w:val="11"/>
    </w:lvl>
  </w:abstractNum>
  <w:abstractNum w:abstractNumId="112">
    <w:nsid w:val="2A31B62D"/>
    <w:multiLevelType w:val="hybridMultilevel"/>
    <w:lvl w:ilvl="0">
      <w:lvlJc w:val="left"/>
      <w:lvlText w:val="%1."/>
      <w:numFmt w:val="decimal"/>
      <w:start w:val="12"/>
    </w:lvl>
  </w:abstractNum>
  <w:abstractNum w:abstractNumId="113">
    <w:nsid w:val="1849C29B"/>
    <w:multiLevelType w:val="hybridMultilevel"/>
    <w:lvl w:ilvl="0">
      <w:lvlJc w:val="left"/>
      <w:lvlText w:val="%1."/>
      <w:numFmt w:val="decimal"/>
      <w:start w:val="13"/>
    </w:lvl>
    <w:lvl w:ilvl="1">
      <w:lvlJc w:val="left"/>
      <w:lvlText w:val="(%2)"/>
      <w:numFmt w:val="lowerLetter"/>
      <w:start w:val="1"/>
    </w:lvl>
  </w:abstractNum>
  <w:abstractNum w:abstractNumId="114">
    <w:nsid w:val="7DFF9D09"/>
    <w:multiLevelType w:val="hybridMultilevel"/>
    <w:lvl w:ilvl="0">
      <w:lvlJc w:val="left"/>
      <w:lvlText w:val="%1."/>
      <w:numFmt w:val="decimal"/>
      <w:start w:val="16"/>
    </w:lvl>
    <w:lvl w:ilvl="1">
      <w:lvlJc w:val="left"/>
      <w:lvlText w:val="(%2)"/>
      <w:numFmt w:val="lowerLetter"/>
      <w:start w:val="1"/>
    </w:lvl>
  </w:abstractNum>
  <w:abstractNum w:abstractNumId="115">
    <w:nsid w:val="754342"/>
    <w:multiLevelType w:val="hybridMultilevel"/>
    <w:lvl w:ilvl="0">
      <w:lvlJc w:val="left"/>
      <w:lvlText w:val="%1."/>
      <w:numFmt w:val="decimal"/>
      <w:start w:val="18"/>
    </w:lvl>
  </w:abstractNum>
  <w:abstractNum w:abstractNumId="116">
    <w:nsid w:val="69E7F3E5"/>
    <w:multiLevelType w:val="hybridMultilevel"/>
    <w:lvl w:ilvl="0">
      <w:lvlJc w:val="left"/>
      <w:lvlText w:val="%1."/>
      <w:numFmt w:val="decimal"/>
      <w:start w:val="1"/>
    </w:lvl>
    <w:lvl w:ilvl="1">
      <w:lvlJc w:val="left"/>
      <w:lvlText w:val="(%2)"/>
      <w:numFmt w:val="lowerLetter"/>
      <w:start w:val="1"/>
    </w:lvl>
  </w:abstractNum>
  <w:abstractNum w:abstractNumId="117">
    <w:nsid w:val="2A6DE806"/>
    <w:multiLevelType w:val="hybridMultilevel"/>
    <w:lvl w:ilvl="0">
      <w:lvlJc w:val="left"/>
      <w:lvlText w:val="%1."/>
      <w:numFmt w:val="decimal"/>
      <w:start w:val="3"/>
    </w:lvl>
  </w:abstractNum>
  <w:abstractNum w:abstractNumId="118">
    <w:nsid w:val="1816F8C4"/>
    <w:multiLevelType w:val="hybridMultilevel"/>
    <w:lvl w:ilvl="0">
      <w:lvlJc w:val="left"/>
      <w:lvlText w:val="%1."/>
      <w:numFmt w:val="decimal"/>
      <w:start w:val="4"/>
    </w:lvl>
  </w:abstractNum>
  <w:abstractNum w:abstractNumId="119">
    <w:nsid w:val="37DF2233"/>
    <w:multiLevelType w:val="hybridMultilevel"/>
    <w:lvl w:ilvl="0">
      <w:lvlJc w:val="left"/>
      <w:lvlText w:val="%1."/>
      <w:numFmt w:val="decimal"/>
      <w:start w:val="5"/>
    </w:lvl>
    <w:lvl w:ilvl="1">
      <w:lvlJc w:val="left"/>
      <w:lvlText w:val="(%2)"/>
      <w:numFmt w:val="lowerLetter"/>
      <w:start w:val="1"/>
    </w:lvl>
  </w:abstractNum>
  <w:abstractNum w:abstractNumId="120">
    <w:nsid w:val="7AB49DAF"/>
    <w:multiLevelType w:val="hybridMultilevel"/>
    <w:lvl w:ilvl="0">
      <w:lvlJc w:val="left"/>
      <w:lvlText w:val="%1"/>
      <w:numFmt w:val="decimal"/>
      <w:start w:val="1"/>
    </w:lvl>
    <w:lvl w:ilvl="1">
      <w:lvlJc w:val="left"/>
      <w:lvlText w:val="(%2)"/>
      <w:numFmt w:val="lowerLetter"/>
      <w:start w:val="3"/>
    </w:lvl>
  </w:abstractNum>
  <w:abstractNum w:abstractNumId="121">
    <w:nsid w:val="759F82CD"/>
    <w:multiLevelType w:val="hybridMultilevel"/>
    <w:lvl w:ilvl="0">
      <w:lvlJc w:val="left"/>
      <w:lvlText w:val="%1."/>
      <w:numFmt w:val="decimal"/>
      <w:start w:val="7"/>
    </w:lvl>
    <w:lvl w:ilvl="1">
      <w:lvlJc w:val="left"/>
      <w:lvlText w:val="(%2)"/>
      <w:numFmt w:val="lowerLetter"/>
      <w:start w:val="1"/>
    </w:lvl>
  </w:abstractNum>
  <w:abstractNum w:abstractNumId="122">
    <w:nsid w:val="61E74EA3"/>
    <w:multiLevelType w:val="hybridMultilevel"/>
    <w:lvl w:ilvl="0">
      <w:lvlJc w:val="left"/>
      <w:lvlText w:val="%1"/>
      <w:numFmt w:val="decimal"/>
      <w:start w:val="1"/>
    </w:lvl>
    <w:lvl w:ilvl="1">
      <w:lvlJc w:val="left"/>
      <w:lvlText w:val="(%2)"/>
      <w:numFmt w:val="lowerLetter"/>
      <w:start w:val="4"/>
    </w:lvl>
  </w:abstractNum>
  <w:abstractNum w:abstractNumId="123">
    <w:nsid w:val="597B4D84"/>
    <w:multiLevelType w:val="hybridMultilevel"/>
    <w:lvl w:ilvl="0">
      <w:lvlJc w:val="left"/>
      <w:lvlText w:val="%1."/>
      <w:numFmt w:val="decimal"/>
      <w:start w:val="9"/>
    </w:lvl>
    <w:lvl w:ilvl="1">
      <w:lvlJc w:val="left"/>
      <w:lvlText w:val="%2"/>
      <w:numFmt w:val="lowerLetter"/>
      <w:start w:val="1"/>
    </w:lvl>
  </w:abstractNum>
  <w:abstractNum w:abstractNumId="124">
    <w:nsid w:val="F819E7F"/>
    <w:multiLevelType w:val="hybridMultilevel"/>
    <w:lvl w:ilvl="0">
      <w:lvlJc w:val="left"/>
      <w:lvlText w:val="%1."/>
      <w:numFmt w:val="decimal"/>
      <w:start w:val="10"/>
    </w:lvl>
  </w:abstractNum>
  <w:abstractNum w:abstractNumId="125">
    <w:nsid w:val="57C7D42D"/>
    <w:multiLevelType w:val="hybridMultilevel"/>
    <w:lvl w:ilvl="0">
      <w:lvlJc w:val="left"/>
      <w:lvlText w:val="%1."/>
      <w:numFmt w:val="decimal"/>
      <w:start w:val="11"/>
    </w:lvl>
  </w:abstractNum>
  <w:abstractNum w:abstractNumId="126">
    <w:nsid w:val="312167AD"/>
    <w:multiLevelType w:val="hybridMultilevel"/>
    <w:lvl w:ilvl="0">
      <w:lvlJc w:val="left"/>
      <w:lvlText w:val="%1."/>
      <w:numFmt w:val="decimal"/>
      <w:start w:val="12"/>
    </w:lvl>
    <w:lvl w:ilvl="1">
      <w:lvlJc w:val="left"/>
      <w:lvlText w:val="(%2)"/>
      <w:numFmt w:val="lowerLetter"/>
      <w:start w:val="1"/>
    </w:lvl>
  </w:abstractNum>
  <w:abstractNum w:abstractNumId="127">
    <w:nsid w:val="631B64D4"/>
    <w:multiLevelType w:val="hybridMultilevel"/>
    <w:lvl w:ilvl="0">
      <w:lvlJc w:val="left"/>
      <w:lvlText w:val="%1."/>
      <w:numFmt w:val="decimal"/>
      <w:start w:val="13"/>
    </w:lvl>
    <w:lvl w:ilvl="1">
      <w:lvlJc w:val="left"/>
      <w:lvlText w:val="(%2)"/>
      <w:numFmt w:val="lowerLetter"/>
      <w:start w:val="1"/>
    </w:lvl>
  </w:abstractNum>
  <w:abstractNum w:abstractNumId="128">
    <w:nsid w:val="78B5E776"/>
    <w:multiLevelType w:val="hybridMultilevel"/>
    <w:lvl w:ilvl="0">
      <w:lvlJc w:val="left"/>
      <w:lvlText w:val="%1."/>
      <w:numFmt w:val="decimal"/>
      <w:start w:val="15"/>
    </w:lvl>
  </w:abstractNum>
  <w:abstractNum w:abstractNumId="129">
    <w:nsid w:val="75486E47"/>
    <w:multiLevelType w:val="hybridMultilevel"/>
    <w:lvl w:ilvl="0">
      <w:lvlJc w:val="left"/>
      <w:lvlText w:val="%1."/>
      <w:numFmt w:val="decimal"/>
      <w:start w:val="16"/>
    </w:lvl>
  </w:abstractNum>
  <w:abstractNum w:abstractNumId="130">
    <w:nsid w:val="6E534CDE"/>
    <w:multiLevelType w:val="hybridMultilevel"/>
    <w:lvl w:ilvl="0">
      <w:lvlJc w:val="left"/>
      <w:lvlText w:val="%1."/>
      <w:numFmt w:val="decimal"/>
      <w:start w:val="17"/>
    </w:lvl>
  </w:abstractNum>
  <w:abstractNum w:abstractNumId="131">
    <w:nsid w:val="1A0DDE32"/>
    <w:multiLevelType w:val="hybridMultilevel"/>
    <w:lvl w:ilvl="0">
      <w:lvlJc w:val="left"/>
      <w:lvlText w:val="%1."/>
      <w:numFmt w:val="decimal"/>
      <w:start w:val="18"/>
    </w:lvl>
    <w:lvl w:ilvl="1">
      <w:lvlJc w:val="left"/>
      <w:lvlText w:val="(%2)"/>
      <w:numFmt w:val="lowerLetter"/>
      <w:start w:val="1"/>
    </w:lvl>
  </w:abstractNum>
  <w:abstractNum w:abstractNumId="132">
    <w:nsid w:val="65968C1C"/>
    <w:multiLevelType w:val="hybridMultilevel"/>
    <w:lvl w:ilvl="0">
      <w:lvlJc w:val="left"/>
      <w:lvlText w:val="%1"/>
      <w:numFmt w:val="decimal"/>
      <w:start w:val="1"/>
    </w:lvl>
    <w:lvl w:ilvl="1">
      <w:lvlJc w:val="left"/>
      <w:lvlText w:val="(%2)"/>
      <w:numFmt w:val="lowerLetter"/>
      <w:start w:val="3"/>
    </w:lvl>
  </w:abstractNum>
  <w:abstractNum w:abstractNumId="133">
    <w:nsid w:val="46263DEC"/>
    <w:multiLevelType w:val="hybridMultilevel"/>
    <w:lvl w:ilvl="0">
      <w:lvlJc w:val="left"/>
      <w:lvlText w:val="%1."/>
      <w:numFmt w:val="decimal"/>
      <w:start w:val="19"/>
    </w:lvl>
    <w:lvl w:ilvl="1">
      <w:lvlJc w:val="left"/>
      <w:lvlText w:val="%2"/>
      <w:numFmt w:val="lowerLetter"/>
      <w:start w:val="1"/>
    </w:lvl>
  </w:abstractNum>
  <w:abstractNum w:abstractNumId="134">
    <w:nsid w:val="260D8C4A"/>
    <w:multiLevelType w:val="hybridMultilevel"/>
    <w:lvl w:ilvl="0">
      <w:lvlJc w:val="left"/>
      <w:lvlText w:val="%1."/>
      <w:numFmt w:val="decimal"/>
      <w:start w:val="1"/>
    </w:lvl>
    <w:lvl w:ilvl="1">
      <w:lvlJc w:val="left"/>
      <w:lvlText w:val="(%2)"/>
      <w:numFmt w:val="lowerLetter"/>
      <w:start w:val="1"/>
    </w:lvl>
  </w:abstractNum>
  <w:abstractNum w:abstractNumId="135">
    <w:nsid w:val="73D4D3C4"/>
    <w:multiLevelType w:val="hybridMultilevel"/>
    <w:lvl w:ilvl="0">
      <w:lvlJc w:val="left"/>
      <w:lvlText w:val="%1."/>
      <w:numFmt w:val="decimal"/>
      <w:start w:val="3"/>
    </w:lvl>
  </w:abstractNum>
  <w:abstractNum w:abstractNumId="136">
    <w:nsid w:val="746F2E30"/>
    <w:multiLevelType w:val="hybridMultilevel"/>
    <w:lvl w:ilvl="0">
      <w:lvlJc w:val="left"/>
      <w:lvlText w:val="%1."/>
      <w:numFmt w:val="decimal"/>
      <w:start w:val="4"/>
    </w:lvl>
  </w:abstractNum>
  <w:abstractNum w:abstractNumId="137">
    <w:nsid w:val="6FDE8AF6"/>
    <w:multiLevelType w:val="hybridMultilevel"/>
    <w:lvl w:ilvl="0">
      <w:lvlJc w:val="left"/>
      <w:lvlText w:val="%1."/>
      <w:numFmt w:val="decimal"/>
      <w:start w:val="5"/>
    </w:lvl>
    <w:lvl w:ilvl="1">
      <w:lvlJc w:val="left"/>
      <w:lvlText w:val="(%2)"/>
      <w:numFmt w:val="lowerLetter"/>
      <w:start w:val="1"/>
    </w:lvl>
  </w:abstractNum>
  <w:abstractNum w:abstractNumId="138">
    <w:nsid w:val="3FC32E20"/>
    <w:multiLevelType w:val="hybridMultilevel"/>
    <w:lvl w:ilvl="0">
      <w:lvlJc w:val="left"/>
      <w:lvlText w:val="%1"/>
      <w:numFmt w:val="decimal"/>
      <w:start w:val="1"/>
    </w:lvl>
    <w:lvl w:ilvl="1">
      <w:lvlJc w:val="left"/>
      <w:lvlText w:val="(%2)"/>
      <w:numFmt w:val="lowerLetter"/>
      <w:start w:val="4"/>
    </w:lvl>
  </w:abstractNum>
  <w:abstractNum w:abstractNumId="139">
    <w:nsid w:val="49C0E823"/>
    <w:multiLevelType w:val="hybridMultilevel"/>
    <w:lvl w:ilvl="0">
      <w:lvlJc w:val="left"/>
      <w:lvlText w:val="%1."/>
      <w:numFmt w:val="decimal"/>
      <w:start w:val="7"/>
    </w:lvl>
    <w:lvl w:ilvl="1">
      <w:lvlJc w:val="left"/>
      <w:lvlText w:val="(%2)"/>
      <w:numFmt w:val="lowerLetter"/>
      <w:start w:val="1"/>
    </w:lvl>
  </w:abstractNum>
  <w:abstractNum w:abstractNumId="140">
    <w:nsid w:val="14D53685"/>
    <w:multiLevelType w:val="hybridMultilevel"/>
    <w:lvl w:ilvl="0">
      <w:lvlJc w:val="left"/>
      <w:lvlText w:val="%1."/>
      <w:numFmt w:val="decimal"/>
      <w:start w:val="9"/>
    </w:lvl>
  </w:abstractNum>
  <w:abstractNum w:abstractNumId="141">
    <w:nsid w:val="230F856C"/>
    <w:multiLevelType w:val="hybridMultilevel"/>
    <w:lvl w:ilvl="0">
      <w:lvlJc w:val="left"/>
      <w:lvlText w:val="%1."/>
      <w:numFmt w:val="decimal"/>
      <w:start w:val="10"/>
    </w:lvl>
  </w:abstractNum>
  <w:abstractNum w:abstractNumId="142">
    <w:nsid w:val="6EAA85FB"/>
    <w:multiLevelType w:val="hybridMultilevel"/>
    <w:lvl w:ilvl="0">
      <w:lvlJc w:val="left"/>
      <w:lvlText w:val="%1."/>
      <w:numFmt w:val="decimal"/>
      <w:start w:val="11"/>
    </w:lvl>
  </w:abstractNum>
  <w:abstractNum w:abstractNumId="143">
    <w:nsid w:val="3F06ECB2"/>
    <w:multiLevelType w:val="hybridMultilevel"/>
    <w:lvl w:ilvl="0">
      <w:lvlJc w:val="left"/>
      <w:lvlText w:val="%1."/>
      <w:numFmt w:val="decimal"/>
      <w:start w:val="12"/>
    </w:lvl>
    <w:lvl w:ilvl="1">
      <w:lvlJc w:val="left"/>
      <w:lvlText w:val="(%2)"/>
      <w:numFmt w:val="lowerLetter"/>
      <w:start w:val="1"/>
    </w:lvl>
  </w:abstractNum>
  <w:abstractNum w:abstractNumId="144">
    <w:nsid w:val="3B594807"/>
    <w:multiLevelType w:val="hybridMultilevel"/>
    <w:lvl w:ilvl="0">
      <w:lvlJc w:val="left"/>
      <w:lvlText w:val="%1"/>
      <w:numFmt w:val="decimal"/>
      <w:start w:val="1"/>
    </w:lvl>
    <w:lvl w:ilvl="1">
      <w:lvlJc w:val="left"/>
      <w:lvlText w:val="(%2)"/>
      <w:numFmt w:val="lowerLetter"/>
      <w:start w:val="2"/>
    </w:lvl>
  </w:abstractNum>
  <w:abstractNum w:abstractNumId="145">
    <w:nsid w:val="6CAA2304"/>
    <w:multiLevelType w:val="hybridMultilevel"/>
    <w:lvl w:ilvl="0">
      <w:lvlJc w:val="left"/>
      <w:lvlText w:val="%1."/>
      <w:numFmt w:val="decimal"/>
      <w:start w:val="15"/>
    </w:lvl>
    <w:lvl w:ilvl="1">
      <w:lvlJc w:val="left"/>
      <w:lvlText w:val="(%2)"/>
      <w:numFmt w:val="lowerLetter"/>
      <w:start w:val="1"/>
    </w:lvl>
  </w:abstractNum>
  <w:abstractNum w:abstractNumId="146">
    <w:nsid w:val="3F7C2FF4"/>
    <w:multiLevelType w:val="hybridMultilevel"/>
    <w:lvl w:ilvl="0">
      <w:lvlJc w:val="left"/>
      <w:lvlText w:val="%1."/>
      <w:numFmt w:val="decimal"/>
      <w:start w:val="17"/>
    </w:lvl>
  </w:abstractNum>
  <w:abstractNum w:abstractNumId="147">
    <w:nsid w:val="25413BEC"/>
    <w:multiLevelType w:val="hybridMultilevel"/>
    <w:lvl w:ilvl="0">
      <w:lvlJc w:val="left"/>
      <w:lvlText w:val="%1."/>
      <w:numFmt w:val="decimal"/>
      <w:start w:val="1"/>
    </w:lvl>
    <w:lvl w:ilvl="1">
      <w:lvlJc w:val="left"/>
      <w:lvlText w:val="(%2)"/>
      <w:numFmt w:val="lowerLetter"/>
      <w:start w:val="1"/>
    </w:lvl>
  </w:abstractNum>
  <w:abstractNum w:abstractNumId="148">
    <w:nsid w:val="17180B0B"/>
    <w:multiLevelType w:val="hybridMultilevel"/>
    <w:lvl w:ilvl="0">
      <w:lvlJc w:val="left"/>
      <w:lvlText w:val="%1."/>
      <w:numFmt w:val="decimal"/>
      <w:start w:val="3"/>
    </w:lvl>
  </w:abstractNum>
  <w:abstractNum w:abstractNumId="149">
    <w:nsid w:val="579328B9"/>
    <w:multiLevelType w:val="hybridMultilevel"/>
    <w:lvl w:ilvl="0">
      <w:lvlJc w:val="left"/>
      <w:lvlText w:val="%1."/>
      <w:numFmt w:val="decimal"/>
      <w:start w:val="4"/>
    </w:lvl>
  </w:abstractNum>
  <w:abstractNum w:abstractNumId="150">
    <w:nsid w:val="5D205E20"/>
    <w:multiLevelType w:val="hybridMultilevel"/>
    <w:lvl w:ilvl="0">
      <w:lvlJc w:val="left"/>
      <w:lvlText w:val="%1."/>
      <w:numFmt w:val="decimal"/>
      <w:start w:val="5"/>
    </w:lvl>
    <w:lvl w:ilvl="1">
      <w:lvlJc w:val="left"/>
      <w:lvlText w:val="(%2)"/>
      <w:numFmt w:val="lowerLetter"/>
      <w:start w:val="1"/>
    </w:lvl>
  </w:abstractNum>
  <w:abstractNum w:abstractNumId="151">
    <w:nsid w:val="11CCA8BA"/>
    <w:multiLevelType w:val="hybridMultilevel"/>
    <w:lvl w:ilvl="0">
      <w:lvlJc w:val="left"/>
      <w:lvlText w:val="%1"/>
      <w:numFmt w:val="decimal"/>
      <w:start w:val="1"/>
    </w:lvl>
    <w:lvl w:ilvl="1">
      <w:lvlJc w:val="left"/>
      <w:lvlText w:val="(%2)"/>
      <w:numFmt w:val="lowerLetter"/>
      <w:start w:val="4"/>
    </w:lvl>
  </w:abstractNum>
  <w:abstractNum w:abstractNumId="152">
    <w:nsid w:val="4D32AB86"/>
    <w:multiLevelType w:val="hybridMultilevel"/>
    <w:lvl w:ilvl="0">
      <w:lvlJc w:val="left"/>
      <w:lvlText w:val="%1."/>
      <w:numFmt w:val="decimal"/>
      <w:start w:val="7"/>
    </w:lvl>
    <w:lvl w:ilvl="1">
      <w:lvlJc w:val="left"/>
      <w:lvlText w:val="(%2)"/>
      <w:numFmt w:val="lowerLetter"/>
      <w:start w:val="1"/>
    </w:lvl>
  </w:abstractNum>
  <w:abstractNum w:abstractNumId="153">
    <w:nsid w:val="3F07ACC3"/>
    <w:multiLevelType w:val="hybridMultilevel"/>
    <w:lvl w:ilvl="0">
      <w:lvlJc w:val="left"/>
      <w:lvlText w:val="%1"/>
      <w:numFmt w:val="decimal"/>
      <w:start w:val="1"/>
    </w:lvl>
    <w:lvl w:ilvl="1">
      <w:lvlJc w:val="left"/>
      <w:lvlText w:val="(%2)"/>
      <w:numFmt w:val="lowerLetter"/>
      <w:start w:val="4"/>
    </w:lvl>
  </w:abstractNum>
  <w:abstractNum w:abstractNumId="154">
    <w:nsid w:val="6B47F63E"/>
    <w:multiLevelType w:val="hybridMultilevel"/>
    <w:lvl w:ilvl="0">
      <w:lvlJc w:val="left"/>
      <w:lvlText w:val="%1."/>
      <w:numFmt w:val="decimal"/>
      <w:start w:val="9"/>
    </w:lvl>
    <w:lvl w:ilvl="1">
      <w:lvlJc w:val="left"/>
      <w:lvlText w:val="%2"/>
      <w:numFmt w:val="lowerLetter"/>
      <w:start w:val="1"/>
    </w:lvl>
  </w:abstractNum>
  <w:abstractNum w:abstractNumId="155">
    <w:nsid w:val="5CB44A05"/>
    <w:multiLevelType w:val="hybridMultilevel"/>
    <w:lvl w:ilvl="0">
      <w:lvlJc w:val="left"/>
      <w:lvlText w:val="%1."/>
      <w:numFmt w:val="decimal"/>
      <w:start w:val="10"/>
    </w:lvl>
  </w:abstractNum>
  <w:abstractNum w:abstractNumId="156">
    <w:nsid w:val="16CF80F1"/>
    <w:multiLevelType w:val="hybridMultilevel"/>
    <w:lvl w:ilvl="0">
      <w:lvlJc w:val="left"/>
      <w:lvlText w:val="%1."/>
      <w:numFmt w:val="decimal"/>
      <w:start w:val="11"/>
    </w:lvl>
  </w:abstractNum>
  <w:abstractNum w:abstractNumId="157">
    <w:nsid w:val="1C695DEC"/>
    <w:multiLevelType w:val="hybridMultilevel"/>
    <w:lvl w:ilvl="0">
      <w:lvlJc w:val="left"/>
      <w:lvlText w:val="%1."/>
      <w:numFmt w:val="decimal"/>
      <w:start w:val="12"/>
    </w:lvl>
    <w:lvl w:ilvl="1">
      <w:lvlJc w:val="left"/>
      <w:lvlText w:val="(%2)"/>
      <w:numFmt w:val="lowerLetter"/>
      <w:start w:val="1"/>
    </w:lvl>
  </w:abstractNum>
  <w:abstractNum w:abstractNumId="158">
    <w:nsid w:val="3FCFAED9"/>
    <w:multiLevelType w:val="hybridMultilevel"/>
    <w:lvl w:ilvl="0">
      <w:lvlJc w:val="left"/>
      <w:lvlText w:val="%1."/>
      <w:numFmt w:val="decimal"/>
      <w:start w:val="13"/>
    </w:lvl>
    <w:lvl w:ilvl="1">
      <w:lvlJc w:val="left"/>
      <w:lvlText w:val="(%2)"/>
      <w:numFmt w:val="lowerLetter"/>
      <w:start w:val="1"/>
    </w:lvl>
  </w:abstractNum>
  <w:abstractNum w:abstractNumId="159">
    <w:nsid w:val="F856867"/>
    <w:multiLevelType w:val="hybridMultilevel"/>
    <w:lvl w:ilvl="0">
      <w:lvlJc w:val="left"/>
      <w:lvlText w:val="%1."/>
      <w:numFmt w:val="decimal"/>
      <w:start w:val="16"/>
    </w:lvl>
  </w:abstractNum>
  <w:abstractNum w:abstractNumId="160">
    <w:nsid w:val="11B1CC33"/>
    <w:multiLevelType w:val="hybridMultilevel"/>
    <w:lvl w:ilvl="0">
      <w:lvlJc w:val="left"/>
      <w:lvlText w:val="%1."/>
      <w:numFmt w:val="decimal"/>
      <w:start w:val="17"/>
    </w:lvl>
  </w:abstractNum>
  <w:abstractNum w:abstractNumId="161">
    <w:nsid w:val="2E22FBB7"/>
    <w:multiLevelType w:val="hybridMultilevel"/>
    <w:lvl w:ilvl="0">
      <w:lvlJc w:val="left"/>
      <w:lvlText w:val="(%1)"/>
      <w:numFmt w:val="decimal"/>
      <w:start w:val="1"/>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2019-12-29T18:28:36Z</dcterms:created>
  <dcterms:modified xsi:type="dcterms:W3CDTF">2019-12-29T18:28:36Z</dcterms:modified>
</cp:coreProperties>
</file>