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p>
      <w:pPr>
        <w:spacing w:after="0" w:line="286"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00" w:space="720"/>
            <w:col w:w="2620"/>
          </w:cols>
          <w:pgMar w:left="240" w:top="341" w:right="219" w:bottom="1440" w:gutter="0" w:footer="0" w:header="0"/>
          <w:type w:val="continuous"/>
        </w:sectPr>
      </w:pPr>
    </w:p>
    <w:p>
      <w:pPr>
        <w:spacing w:after="0" w:line="12" w:lineRule="exact"/>
        <w:rPr>
          <w:sz w:val="24"/>
          <w:szCs w:val="24"/>
          <w:color w:val="auto"/>
        </w:rPr>
      </w:pPr>
    </w:p>
    <w:p>
      <w:pPr>
        <w:ind w:left="2640"/>
        <w:spacing w:after="0"/>
        <w:rPr>
          <w:sz w:val="20"/>
          <w:szCs w:val="20"/>
          <w:color w:val="auto"/>
        </w:rPr>
      </w:pPr>
      <w:r>
        <w:rPr>
          <w:rFonts w:ascii="Arial" w:cs="Arial" w:eastAsia="Arial" w:hAnsi="Arial"/>
          <w:sz w:val="13"/>
          <w:szCs w:val="13"/>
          <w:b w:val="1"/>
          <w:bCs w:val="1"/>
          <w:color w:val="auto"/>
        </w:rPr>
        <w:t>(State or other jurisdiction of</w:t>
      </w:r>
    </w:p>
    <w:p>
      <w:pPr>
        <w:ind w:left="26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3" w:lineRule="exact"/>
        <w:rPr>
          <w:sz w:val="24"/>
          <w:szCs w:val="24"/>
          <w:color w:val="auto"/>
        </w:rPr>
      </w:pPr>
    </w:p>
    <w:p>
      <w:pPr>
        <w:sectPr>
          <w:pgSz w:w="11900" w:h="16838" w:orient="portrait"/>
          <w:cols w:equalWidth="0" w:num="2">
            <w:col w:w="7960" w:space="720"/>
            <w:col w:w="2760"/>
          </w:cols>
          <w:pgMar w:left="240" w:top="341" w:right="2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p>
      <w:pPr>
        <w:spacing w:after="0" w:line="391" w:lineRule="exact"/>
        <w:rPr>
          <w:sz w:val="24"/>
          <w:szCs w:val="24"/>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4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20" w:type="dxa"/>
            <w:vAlign w:val="bottom"/>
          </w:tcPr>
          <w:p>
            <w:pPr>
              <w:ind w:left="168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00" w:lineRule="exact"/>
        <w:rPr>
          <w:sz w:val="24"/>
          <w:szCs w:val="24"/>
          <w:color w:val="auto"/>
        </w:rPr>
      </w:pPr>
    </w:p>
    <w:p>
      <w:pPr>
        <w:ind w:right="1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4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46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1120" w:type="dxa"/>
            <w:vAlign w:val="bottom"/>
            <w:gridSpan w:val="2"/>
          </w:tcPr>
          <w:p>
            <w:pPr>
              <w:spacing w:after="0"/>
              <w:rPr>
                <w:sz w:val="22"/>
                <w:szCs w:val="22"/>
                <w:color w:val="auto"/>
              </w:rPr>
            </w:pPr>
          </w:p>
        </w:tc>
        <w:tc>
          <w:tcPr>
            <w:tcW w:w="3460" w:type="dxa"/>
            <w:vAlign w:val="bottom"/>
          </w:tcPr>
          <w:p>
            <w:pPr>
              <w:jc w:val="center"/>
              <w:ind w:right="917"/>
              <w:spacing w:after="0"/>
              <w:rPr>
                <w:sz w:val="20"/>
                <w:szCs w:val="20"/>
                <w:color w:val="auto"/>
              </w:rPr>
            </w:pPr>
            <w:r>
              <w:rPr>
                <w:rFonts w:ascii="Arial" w:cs="Arial" w:eastAsia="Arial" w:hAnsi="Arial"/>
                <w:sz w:val="14"/>
                <w:szCs w:val="14"/>
                <w:color w:val="auto"/>
                <w:w w:val="92"/>
              </w:rPr>
              <w:t>Outstanding Shares at November 1, 2017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Common Stock, $0.001 par value per share</w:t>
            </w:r>
          </w:p>
        </w:tc>
        <w:tc>
          <w:tcPr>
            <w:tcW w:w="10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4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3460" w:type="dxa"/>
            <w:vAlign w:val="bottom"/>
          </w:tcPr>
          <w:p>
            <w:pPr>
              <w:jc w:val="center"/>
              <w:ind w:right="917"/>
              <w:spacing w:after="0" w:line="182" w:lineRule="exact"/>
              <w:rPr>
                <w:sz w:val="20"/>
                <w:szCs w:val="20"/>
                <w:color w:val="auto"/>
              </w:rPr>
            </w:pPr>
            <w:r>
              <w:rPr>
                <w:rFonts w:ascii="Arial" w:cs="Arial" w:eastAsia="Arial" w:hAnsi="Arial"/>
                <w:sz w:val="18"/>
                <w:szCs w:val="18"/>
                <w:color w:val="auto"/>
                <w:w w:val="86"/>
              </w:rPr>
              <w:t>126,079,380 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gridSpan w:val="3"/>
          </w:tcPr>
          <w:p>
            <w:pPr>
              <w:jc w:val="center"/>
              <w:ind w:right="1100"/>
              <w:spacing w:after="0"/>
              <w:rPr>
                <w:sz w:val="20"/>
                <w:szCs w:val="20"/>
                <w:color w:val="auto"/>
              </w:rPr>
            </w:pPr>
            <w:r>
              <w:rPr>
                <w:rFonts w:ascii="Arial" w:cs="Arial" w:eastAsia="Arial" w:hAnsi="Arial"/>
                <w:sz w:val="18"/>
                <w:szCs w:val="18"/>
                <w:color w:val="auto"/>
                <w:w w:val="89"/>
              </w:rPr>
              <w:t>Class B common stock, $0.001 par value per share</w:t>
            </w:r>
          </w:p>
        </w:tc>
        <w:tc>
          <w:tcPr>
            <w:tcW w:w="3460" w:type="dxa"/>
            <w:vAlign w:val="bottom"/>
          </w:tcPr>
          <w:p>
            <w:pPr>
              <w:jc w:val="center"/>
              <w:ind w:right="91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6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8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1080" w:type="dxa"/>
            <w:vAlign w:val="bottom"/>
            <w:gridSpan w:val="18"/>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80" w:type="dxa"/>
            <w:vAlign w:val="bottom"/>
            <w:gridSpan w:val="18"/>
          </w:tcPr>
          <w:p>
            <w:pPr>
              <w:spacing w:after="0"/>
              <w:rPr>
                <w:sz w:val="20"/>
                <w:szCs w:val="20"/>
                <w:color w:val="auto"/>
              </w:rPr>
            </w:pPr>
            <w:r>
              <w:rPr>
                <w:rFonts w:ascii="Arial" w:cs="Arial" w:eastAsia="Arial" w:hAnsi="Arial"/>
                <w:sz w:val="18"/>
                <w:szCs w:val="18"/>
                <w:color w:val="auto"/>
              </w:rPr>
              <w:t>Item 1. Unaudited Condensed Consolidated Financial Statements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6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Operations for the Three and Nine Months Ended September 30, 2017 and 2016</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Comprehensive Income for the Three and Nine Months Ended September 30, 2017 and 2016</w:t>
              </w:r>
            </w:hyperlink>
          </w:p>
        </w:tc>
        <w:tc>
          <w:tcPr>
            <w:tcW w:w="2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September 30, 2017 and December 31, 201</w:t>
              </w:r>
            </w:hyperlink>
            <w:r>
              <w:rPr>
                <w:rFonts w:ascii="Arial" w:cs="Arial" w:eastAsia="Arial" w:hAnsi="Arial"/>
                <w:sz w:val="18"/>
                <w:szCs w:val="18"/>
                <w:color w:val="000000"/>
              </w:rPr>
              <w:t>6</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 of Changes in Stockholders’ Equity for the Nine Months Ended September 30, 201</w:t>
              </w:r>
            </w:hyperlink>
            <w:r>
              <w:rPr>
                <w:rFonts w:ascii="Arial" w:cs="Arial" w:eastAsia="Arial" w:hAnsi="Arial"/>
                <w:sz w:val="18"/>
                <w:szCs w:val="18"/>
                <w:color w:val="000000"/>
              </w:rPr>
              <w:t>7</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Nine Months Ended September 30, 2017 and 2016</w:t>
              </w:r>
            </w:hyperlink>
          </w:p>
        </w:tc>
        <w:tc>
          <w:tcPr>
            <w:tcW w:w="700" w:type="dxa"/>
            <w:vAlign w:val="bottom"/>
            <w:tcBorders>
              <w:top w:val="single" w:sz="8" w:color="0000EE"/>
            </w:tcBorders>
          </w:tcPr>
          <w:p>
            <w:pPr>
              <w:spacing w:after="0"/>
              <w:rPr>
                <w:sz w:val="17"/>
                <w:szCs w:val="17"/>
                <w:color w:val="auto"/>
              </w:rPr>
            </w:pPr>
          </w:p>
        </w:tc>
        <w:tc>
          <w:tcPr>
            <w:tcW w:w="12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584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8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4. Controls and Procedures</w:t>
              </w:r>
            </w:hyperlink>
          </w:p>
        </w:tc>
        <w:tc>
          <w:tcPr>
            <w:tcW w:w="874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Part II—Other Information</w:t>
              </w:r>
            </w:hyperlink>
          </w:p>
        </w:tc>
        <w:tc>
          <w:tcPr>
            <w:tcW w:w="892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1. Legal Proceedings</w:t>
              </w:r>
            </w:hyperlink>
          </w:p>
        </w:tc>
        <w:tc>
          <w:tcPr>
            <w:tcW w:w="918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1A. Risk Factors</w:t>
              </w:r>
            </w:hyperlink>
          </w:p>
        </w:tc>
        <w:tc>
          <w:tcPr>
            <w:tcW w:w="948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Item 2. Unregistered Sales of Equity Securities and Use of Proceeds</w:t>
              </w:r>
            </w:hyperlink>
          </w:p>
        </w:tc>
        <w:tc>
          <w:tcPr>
            <w:tcW w:w="616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3. Defaults Upon Senior Securities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20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5. Other Information</w:t>
              </w:r>
            </w:hyperlink>
          </w:p>
        </w:tc>
        <w:tc>
          <w:tcPr>
            <w:tcW w:w="920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6. Exhibits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992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8"/>
              </w:rPr>
              <w:t>Three months ended September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Cost of revenue (1)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 (Note 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FF0FC"/>
          </w:tcPr>
          <w:p>
            <w:pPr>
              <w:jc w:val="right"/>
              <w:ind w:right="57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57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w w:val="94"/>
              </w:rPr>
              <w:t>Amortization of acquired technology included in amortization of intangible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assets</w:t>
            </w:r>
          </w:p>
        </w:tc>
        <w:tc>
          <w:tcPr>
            <w:tcW w:w="860" w:type="dxa"/>
            <w:vAlign w:val="bottom"/>
            <w:gridSpan w:val="2"/>
          </w:tcPr>
          <w:p>
            <w:pPr>
              <w:jc w:val="right"/>
              <w:ind w:right="57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860" w:type="dxa"/>
            <w:vAlign w:val="bottom"/>
            <w:gridSpan w:val="2"/>
            <w:shd w:val="clear" w:color="auto" w:fill="CFF0FC"/>
          </w:tcPr>
          <w:p>
            <w:pPr>
              <w:jc w:val="right"/>
              <w:ind w:right="57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860" w:type="dxa"/>
            <w:vAlign w:val="bottom"/>
            <w:gridSpan w:val="2"/>
          </w:tcPr>
          <w:p>
            <w:pPr>
              <w:jc w:val="right"/>
              <w:ind w:right="57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FF0FC"/>
          </w:tcPr>
          <w:p>
            <w:pPr>
              <w:jc w:val="right"/>
              <w:ind w:right="57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9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6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right="5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practice and intention to indefinitely reinvest the earnings of our foreign subsidiaries in those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Short-term marketable securities (Note 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for doubtful accounts of $15 and $9, respectively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Long-term marketable securities (Note 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net of accumulated depreciation of $166 and $111, respectively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$107 and $80, respectively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2,348</w:t>
            </w:r>
          </w:p>
        </w:tc>
        <w:tc>
          <w:tcPr>
            <w:tcW w:w="180" w:type="dxa"/>
            <w:vAlign w:val="bottom"/>
          </w:tcPr>
          <w:p>
            <w:pPr>
              <w:spacing w:after="0"/>
              <w:rPr>
                <w:sz w:val="21"/>
                <w:szCs w:val="21"/>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debt (Note 6)</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Long-term debt (Note 6)</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gridSpan w:val="2"/>
          </w:tcPr>
          <w:p>
            <w:pPr>
              <w:spacing w:after="0"/>
              <w:rPr>
                <w:sz w:val="20"/>
                <w:szCs w:val="20"/>
                <w:color w:val="auto"/>
              </w:rPr>
            </w:pPr>
            <w:r>
              <w:rPr>
                <w:rFonts w:ascii="Arial" w:cs="Arial" w:eastAsia="Arial" w:hAnsi="Arial"/>
                <w:sz w:val="16"/>
                <w:szCs w:val="16"/>
                <w:color w:val="auto"/>
              </w:rPr>
              <w:t>Commitments and contingencies (Note 8)</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Preferred stock, $0.001 par value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100,000,000</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$0.001 par value</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Authorized shares: 1,600,000,000</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135,510,995 and 134,706,467, respectively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Shares outstanding: 126,036,505 and 131,310,980, respectively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B common stock, $0.001 par value</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Authorized shares: 400,000,000</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stock-common stock, at cost, 9,474,490 and 3,395,487 shares, respectively</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2,348</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40"/>
              <w:spacing w:after="0"/>
              <w:rPr>
                <w:sz w:val="20"/>
                <w:szCs w:val="20"/>
                <w:color w:val="auto"/>
              </w:rPr>
            </w:pPr>
            <w:r>
              <w:rPr>
                <w:rFonts w:ascii="Arial" w:cs="Arial" w:eastAsia="Arial" w:hAnsi="Arial"/>
                <w:sz w:val="14"/>
                <w:szCs w:val="14"/>
                <w:b w:val="1"/>
                <w:bCs w:val="1"/>
                <w:color w:val="auto"/>
                <w:w w:val="89"/>
              </w:rPr>
              <w:t>Class B</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paid-in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comprehensive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134,706,467</w:t>
            </w:r>
          </w:p>
        </w:tc>
        <w:tc>
          <w:tcPr>
            <w:tcW w:w="7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831</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945</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(77)</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(3,395,487)</w:t>
            </w: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(197)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income</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w w:val="94"/>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w w:val="98"/>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804,528</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w w:val="99"/>
              </w:rPr>
              <w:t>Repurchase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(6,079,003)</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(250)</w:t>
            </w: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Withholding taxes on net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share settlements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equity 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30, 2017</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135,510,995</w:t>
            </w:r>
          </w:p>
        </w:tc>
        <w:tc>
          <w:tcPr>
            <w:tcW w:w="7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901</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1,010</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(47)</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(9,474,490)</w:t>
            </w: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(447)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102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(benefit) expense</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Deferred merchant payables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receivables/payables, net</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w:t>
            </w:r>
          </w:p>
        </w:tc>
        <w:tc>
          <w:tcPr>
            <w:tcW w:w="1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net of cash acquired</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of marketable securities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Maturities of marketable securities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investing activities, net</w:t>
            </w:r>
          </w:p>
        </w:tc>
        <w:tc>
          <w:tcPr>
            <w:tcW w:w="12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0"/>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2015 credit facility, net of financing costs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Payments to 2015 credit facility</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2016 credit facility, net of financing costs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Payments to 2016 credit facility</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(163)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(133)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jc w:val="center"/>
        <w:ind w:left="360" w:right="140"/>
        <w:spacing w:after="0" w:line="527" w:lineRule="auto"/>
        <w:rPr>
          <w:sz w:val="20"/>
          <w:szCs w:val="20"/>
          <w:color w:val="auto"/>
        </w:rPr>
      </w:pPr>
      <w:r>
        <w:rPr>
          <w:rFonts w:ascii="Arial" w:cs="Arial" w:eastAsia="Arial" w:hAnsi="Arial"/>
          <w:sz w:val="18"/>
          <w:szCs w:val="18"/>
          <w:color w:val="auto"/>
        </w:rPr>
        <w:t>Stock-based compensation capitalized with internal-use software and website development costs              $           10   $            9 The accompanying notes are an integral part of these unaudited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TripAdvisor is an online travel company, empowering users to plan and book the perfect trip. TripAdvisor’s travel platform aggregates reviews and opinions of members about destinations, accommodations, activities and attractions, and restaurants throughout the world so that our users have access to trusted advice wherever their trips take them. Our platform helps users plan their trips with our unique user-generated content and enables users to compare real-time pricing and availability so that they can book hotels, flights, cruises, vacation rentals, activities and attractions, and restaurant reservations.</w:t>
      </w:r>
    </w:p>
    <w:p>
      <w:pPr>
        <w:spacing w:after="0" w:line="154"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Our flagship brand is TripAdvisor. TripAdvisor-branded websites include tripadvisor.com in the United States and localized versions of the website in 48 markets and 28 languages worldwide. In addition to the flagship TripAdvisor brand, we manage and operate the following 20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www.jetsetter.com, www.niumba.com, www.onetime.com, www.oyster.com, www.seatguru.com, www.smartertravel.com, www.tingo.com, www.vacationhomerentals.com, and www.viator.com.</w:t>
      </w:r>
    </w:p>
    <w:p>
      <w:pPr>
        <w:spacing w:after="0" w:line="178" w:lineRule="exact"/>
        <w:rPr>
          <w:sz w:val="20"/>
          <w:szCs w:val="20"/>
          <w:color w:val="auto"/>
        </w:rPr>
      </w:pPr>
    </w:p>
    <w:p>
      <w:pPr>
        <w:ind w:right="40" w:firstLine="548"/>
        <w:spacing w:after="0" w:line="255" w:lineRule="auto"/>
        <w:rPr>
          <w:sz w:val="20"/>
          <w:szCs w:val="20"/>
          <w:color w:val="auto"/>
        </w:rPr>
      </w:pPr>
      <w:r>
        <w:rPr>
          <w:rFonts w:ascii="Arial" w:cs="Arial" w:eastAsia="Arial" w:hAnsi="Arial"/>
          <w:sz w:val="18"/>
          <w:szCs w:val="18"/>
          <w:color w:val="auto"/>
        </w:rPr>
        <w:t>We have two reportable segments: Hotel and Non-Hotel. We derive a majority of our revenue from our Hotel segment, through the sale of advertising, primarily through click-based advertising, as well as from commission-based transactions via our instant booking feature, display-based advertising, subscription-based hotel advertising, hotel room reservations sold through our websites, and from content licensing. Our Non-Hotel segment consists of our Attractions, Restaurants, and Vacation Rentals businesses. We derive revenue from our Non-Hotel segment from subscription and commission-based transaction offerings from our Vacation Rentals business; destination activities primarily sold through Viator; and online restaurant reservations booked primarily through thefork.com. For further information on our segments see “Note 11: Segment Information,” in these notes to our unaudited condensed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One of our subsidiaries that operates in China has a variable interest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activity of this affiliate. Our variable interest entity is not material for all periods presented.</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accounting principles generally accepted in the United States (“GAAP”). In the opinion of management, all adjustments necessary for a fair presentation of the results of the interim period have been included. These adjustments consist of normal recurring items. Additionally, certain prior period amounts have been reclassified for comparability with the current period presentation. We prepared the unaudited condensed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2016, previously filed with the SEC. The unaudited condensed consolidated balance sheet as of December 31, 2016 included herein was derived from the audited consolidated financial statements as of that date, but does not include all disclosures including notes required by GAAP.</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intangible and other long-lived assets; (ii) accounting for income taxes; and (iii) stock-based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advertisers to market to potential travelers and, therefore, our financial performance, or revenue and profits, tend to be seasonal as well. As a result, our financial performance tends to be seasonally highest in the second and third quarters of a year, as it is a key period for leisure travel research and trip-taking, which includes the seasonal peak in traveler hotel and vacation rental stays, and tours and attractions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May 2017, the Financial Accounting Standard Board (“FASB”) issued new accounting guidance that clarifies when changes to the terms or conditions of a share-based payment award must be accounted for as modifications which will reduce diversity in practice. Under the new guidance, an entity will not apply modification accounting to a share-based payment award if the award’s fair value (or calculated value or intrinsic value, if those measurement methods are used), the award’s vesting conditions, and the award’s classification as an equity or liability instrument are the same immediately before and after the change. The guidance also states that an entity is not required to estimate the value of the award immediately before and after the change if the change does not affect any of the inputs to the model used to value the award. The guidance is effective for fiscal years, and interim periods within those fiscal years, beginning after December 15, 2017, and will be applied prospectively to awards modified on or after the adoption date. Early adoption is permitted, including adoption in any interim period for which financial statements have not yet been issued or made available for issuance. We anticipate adopting this new guidance on January 1, 2018. Upon adoption, we believe the new guidance will likely result in fewer changes to the terms of an award being accounted for as modifications.</w:t>
      </w:r>
    </w:p>
    <w:p>
      <w:pPr>
        <w:spacing w:after="0" w:line="195"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March 2017, the FASB issued new accounting guidance which shortens the amortization period for the premium paid on certain purchased callable debt securities to the earliest call date instead of the bond’s maturity. The amendments do not require an accounting change for securities held at a discount; instead, the discount continues to be amortized to maturity. The guidance is effective for fiscal years, and interim periods within those fiscal years, beginning after December 15, 2018, and will be applied on a modified retrospective basis through a cumulative-effect adjustment directly to retained earnings as of the beginning of the period of adoption. Early adoption is permitted, including adoption in an interim period. If an entity early adopts the amendments in an interim period, any adjustments should be reflected as of the beginning of the fiscal year that includes that interim period. We anticipate adopting this new guidance on January 1, 2019 and based on the composition of our current investment portfolio we do not expect the new guidance will have a material impact on our consolidated financial statements and related disclosures.</w:t>
      </w:r>
    </w:p>
    <w:p>
      <w:pPr>
        <w:spacing w:after="0" w:line="179"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This new guidance is effective for fiscal years beginning after December 15, 2017 and interim periods within those years. Early adoption is permitted including adoption in any interim or annual periods in which the financial statements have not been issued or made available for issuance. The new guidance will be applied prospectively to any transactions occurring within the period of adoption. We anticipate adopting this new guidance on January 1, 2018. Upon adoption, the new guidance will impact how we assess acquisitions (or disposals) of assets or businesses.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ind w:right="20" w:firstLine="518"/>
        <w:spacing w:after="0" w:line="270" w:lineRule="auto"/>
        <w:rPr>
          <w:sz w:val="20"/>
          <w:szCs w:val="20"/>
          <w:color w:val="auto"/>
        </w:rPr>
      </w:pPr>
      <w:r>
        <w:rPr>
          <w:rFonts w:ascii="Arial" w:cs="Arial" w:eastAsia="Arial" w:hAnsi="Arial"/>
          <w:sz w:val="17"/>
          <w:szCs w:val="17"/>
          <w:color w:val="auto"/>
        </w:rPr>
        <w:t>In January 2017, the FASB issued new accounting guidance to simplify the accounting for goodwill impairment. The new guidance removes Step two of the goodwill impairment test, which measures a goodwill impairment loss by comparing the implied fair value of a reporting unit’s goodwill, which requires a hypothetical purchase price allocation, with the carrying amount of that reporting unit’s goodwill. Under this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All other goodwill impairment guidance will remain largely unchanged. Entities will continue to have the option to perform a qualitative assessment to determine if a quantitative impairment test is necessary. The new guidance is effective for annual and interim periods in fiscal years beginning after December 15, 2019. Early adoption is permitted for interim or annual goodwill impairment tests occurring after January 1, 2017. The new guidance will be applied prospectively. We are currently evaluating this guidance, including the date we will adopt this guidance and what the impact upon adoption will be, if any.</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November 2016, the FASB issued new accounting guidance on the classification and presentation of 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The guidance is effective for fiscal years, and interim periods within those fiscal years, beginning after December 15, 2017, with early adoption permitted, including adoption in an interim period, but any adjustments must be reflected as of the beginning of the fiscal year that includes that interim period. Upon adoption, an entity may apply the new guidance only retrospectively to all prior periods presented in the financial statements. We anticipate adopting this new guidance on January 1, 2018 and currently do not expect this new guidance will have a material impact on our consolidated financial statements and related disclosures.</w:t>
      </w:r>
    </w:p>
    <w:p>
      <w:pPr>
        <w:spacing w:after="0" w:line="18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The guidance is effective for fiscal years, and interim periods within those fiscal years, beginning after December 15, 2017. Early adoption is permitted as of the beginning of an annual reporting period for which interim or annual financial statements have not been issued. Upon adoption, an entity may apply the new guidance only on a modified retrospective basis through a cumulative-effect adjustment directly to retained earnings as of the beginning of the period of adoption. We anticipate adopting this new guidance on January 1, 2018 and do not expect this new guidance will have a material impact on our consolidated financial statements and related disclosures.</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In August 2016, the FASB issued new accounting guidance which clarifies how companies present and classify certain cash receipts and cash</w:t>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payments in the statement of cash flows. The new guidance specifically addresses the following cash flow topics in an effort to reduce diversity in practice:</w:t>
      </w:r>
    </w:p>
    <w:p>
      <w:pPr>
        <w:spacing w:after="0" w:line="32" w:lineRule="exact"/>
        <w:rPr>
          <w:sz w:val="20"/>
          <w:szCs w:val="20"/>
          <w:color w:val="auto"/>
        </w:rPr>
      </w:pPr>
    </w:p>
    <w:p>
      <w:pPr>
        <w:ind w:right="60" w:firstLine="8"/>
        <w:spacing w:after="0" w:line="269"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Upon adoption, an entity may apply the new guidance only retrospectively to all prior periods presented in the financial statements. We anticipate adopting this new guidance on January 1, 2018 and we do not expect this new guidance will have a material impact on our consolidated financial statements and related disclosures.</w:t>
      </w:r>
    </w:p>
    <w:p>
      <w:pPr>
        <w:spacing w:after="0" w:line="181" w:lineRule="exact"/>
        <w:rPr>
          <w:sz w:val="20"/>
          <w:szCs w:val="20"/>
          <w:color w:val="auto"/>
        </w:rPr>
      </w:pPr>
    </w:p>
    <w:p>
      <w:pPr>
        <w:jc w:val="both"/>
        <w:ind w:right="200" w:firstLine="518"/>
        <w:spacing w:after="0" w:line="291" w:lineRule="auto"/>
        <w:rPr>
          <w:sz w:val="20"/>
          <w:szCs w:val="20"/>
          <w:color w:val="auto"/>
        </w:rPr>
      </w:pPr>
      <w:r>
        <w:rPr>
          <w:rFonts w:ascii="Arial" w:cs="Arial" w:eastAsia="Arial" w:hAnsi="Arial"/>
          <w:sz w:val="16"/>
          <w:szCs w:val="16"/>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w:t>
      </w:r>
    </w:p>
    <w:p>
      <w:pPr>
        <w:ind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w:t>
      </w:r>
    </w:p>
    <w:p>
      <w:pPr>
        <w:spacing w:after="0" w:line="4" w:lineRule="exact"/>
        <w:rPr>
          <w:rFonts w:ascii="Arial" w:cs="Arial" w:eastAsia="Arial" w:hAnsi="Arial"/>
          <w:sz w:val="16"/>
          <w:szCs w:val="16"/>
          <w:color w:val="auto"/>
        </w:rPr>
      </w:pPr>
    </w:p>
    <w:p>
      <w:pPr>
        <w:jc w:val="both"/>
        <w:ind w:firstLine="8"/>
        <w:spacing w:after="0" w:line="273"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 w:name="page11"/>
    <w:bookmarkEnd w:id="10"/>
    <w:p>
      <w:pPr>
        <w:ind w:firstLine="518"/>
        <w:spacing w:after="0" w:line="288" w:lineRule="auto"/>
        <w:rPr>
          <w:sz w:val="20"/>
          <w:szCs w:val="20"/>
          <w:color w:val="auto"/>
        </w:rPr>
      </w:pPr>
      <w:r>
        <w:rPr>
          <w:rFonts w:ascii="Arial" w:cs="Arial" w:eastAsia="Arial" w:hAnsi="Arial"/>
          <w:sz w:val="16"/>
          <w:szCs w:val="16"/>
          <w:color w:val="auto"/>
        </w:rPr>
        <w:t>In February 2016, the FASB issued new guidance related to accounting for leases. The new standard requires the recognition of assets (right-of-use-assets) and liabilities arising from lease transactions on the balance sheet and the disclosure of key information about leasing arrangements. Accordingly, a lessee will recognize a lease asset for its right to use the underlying asset and a lease liability for the corresponding lease obligation. Both the asset and liability will initially be measured at the present value of the future minimum lease payments over the lease term. The new guidance will classify leases as either finance or operating leases, with classification determining the presentation of expenses and cash flows on our consolidated financial statements. Initial costs directly attributable to negotiating and arranging the lease will be included in the asset. For leases with a term of 12 months or less, a lessee can make an accounting policy election by class of underlying asset to not recognize an asset and corresponding liability. The transition guidance also provides specific guidance for sale and leaseback transactions, build-to-suit leases and amounts previously recognized in accordance with the business combinations guidance for leases. We will also be required to provide additional qualitative and quantitative disclosures regarding the amount, timing and uncertainty of cash flows arising from leases which include, among other things, the computation and disclosure of our weighted average remaining lease term and discount rate, cash paid for amounts included in the measurement of lease liabilities, and supplemental non-cash information on lease liabilities arising from obtaining the right-of-use assets. These disclosures are intended to provide supplemental information to the amounts recorded in the financial statements so that users can better understand the nature of an entity’s leasing activities. This guidance is effective for fiscal years, and interim periods within those fiscal years, beginning after December 15, 2018, with early adoption permitted, which will require the recognition and measurement of leases at the beginning of the earliest comparative period presented in the financial statements using a modified retrospective approach. We anticipate adopting this new guidance on January 1, 2019.</w:t>
      </w:r>
    </w:p>
    <w:p>
      <w:pPr>
        <w:spacing w:after="0" w:line="173"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To date, we have made measurable progress toward evaluating the new lease guidance and have begun updating accounting policies, accounting position memos, and evaluating our existing population of contracts to ensure all contracts that meet the definition of a lease contract under the new standard upon adoption are identified. We are also in the process of implementing additional lease software to support our accounting and reporting process under the new lease accounting guidance, including the new quantitative and qualitative financial disclosure requirements. In addition, we are evaluating the impact of the system implementation on our internal controls. We will continue to provide updates of our assessment of the effect, that this new lease guidance will have on our consolidated financial statements, disclosures, systems and related controls, and will disclose any material effects, if any, when known.</w:t>
      </w:r>
    </w:p>
    <w:p>
      <w:pPr>
        <w:spacing w:after="0" w:line="165"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In January 2016, the FASB issued a new accounting update which amends the guidance on the classification and measurement of financial instruments. Although the accounting update retains many current requirements, it significantly revises accounting related to (1) the classification and measurement of investments in equity securities and (2) the presentation of certain fair value changes for financial liabilities measured at fair value. The accounting update also amends certain fair value disclosures of financial instruments and clarifies that an entity should evaluate the need for a valuation allowance on a deferred tax asset related to available-for-sale debt securities in combination with the entity’s evaluation of their other deferred tax assets. The update requires entities to carry all investments in equity securities, including other ownership interests such as partnerships, unincorporated joint ventures and limited liability companies at fair value, with fair value changes recognized through net income. This requirement does not apply to investments that qualify for equity method accounting, investments that result in consolidation of the investee or investments in which the entity has elected the practicability exception to fair value measurement. Under current GAAP, available-for-sale investments in equity securities, with a readily determinable fair value, are re-measured to fair value each reporting period with changes in fair value recognized in accumulated other comprehensive income (loss). However, under the new guidance, fair value adjustments will be recognized through net income. For equity securities currently accounted for under the cost method (as they do not have a readily determinable fair value), the new guidance requires those equity investments to be carried at fair value with changes in net income, unless an entity elects to measure those investments, at cost less impairment, if any, plus or minus changes resulting from observable price changes in orderly transactions for the identical or a similar investment of the same issuer. The Company intends to elect this measurement alternative for equity securities without a readily determinable fair value. Additionally, this accounting update will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In addition, this accounting update eliminates the requirement for public business entities to disclose the methods and significant assumptions used to estimate the fair value that is currently required to be disclosed for financial instruments measured at amortized cost in the balance sheet. This guidance is effective for fiscal years, and interim periods within those fiscal years, beginning after December 15, 2017, with early adoption permitted for the provision to record fair value changes for financial liabilities under the fair value option resulting from instrument-specific credit risk in other comprehensive income. Upon adoption, an entity will apply the new guidance on a modified retrospective basis, which is to record a cumulative-effect adjustment to beginning retained earnings as of the beginning of the first reporting period in which the guidance is adopted, with two exceptions. The amendments related to equity investments without readily determinable fair values (including disclosure requirements) will be effective prospectively. The requirement to use the exit price notion to measure the fair value of financial instruments for disclosure purposes will also be applied prospectively. We anticipate adopting this new guidance on January 1, 2018 and based on the composition of our current investments, we do not expect the adoption of this guidance will have a material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ind w:firstLine="518"/>
        <w:spacing w:after="0" w:line="287" w:lineRule="auto"/>
        <w:rPr>
          <w:sz w:val="20"/>
          <w:szCs w:val="20"/>
          <w:color w:val="auto"/>
        </w:rPr>
      </w:pPr>
      <w:r>
        <w:rPr>
          <w:rFonts w:ascii="Arial" w:cs="Arial" w:eastAsia="Arial" w:hAnsi="Arial"/>
          <w:sz w:val="16"/>
          <w:szCs w:val="16"/>
          <w:color w:val="auto"/>
        </w:rPr>
        <w:t>In May 2014, the FASB issued new accounting guidance on revenue from contracts with customers which will replace numerous requirements in GAAP, and provide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two permitted transition methods under this new accounting guidance are the full retrospective method, in which case the guidance would be applied to each prior reporting period presented and the cumulative effect of applying the guidance would be recognized at the earliest period shown, or the modified retrospective method, in which case the cumulative effect of applying the guidance would be recognized at the date of initial application. We will adopt this new guidance on January 1, 2018 under the modified retrospective method, which means that revenues for 2016 and 2017 will be reported on a historical basis and revenues for 2018 will be reported on the new basis and also disclosed on the historical basis.</w:t>
      </w:r>
    </w:p>
    <w:p>
      <w:pPr>
        <w:spacing w:after="0" w:line="169" w:lineRule="exact"/>
        <w:rPr>
          <w:sz w:val="20"/>
          <w:szCs w:val="20"/>
          <w:color w:val="auto"/>
        </w:rPr>
      </w:pPr>
    </w:p>
    <w:p>
      <w:pPr>
        <w:ind w:firstLine="476"/>
        <w:spacing w:after="0" w:line="268" w:lineRule="auto"/>
        <w:rPr>
          <w:sz w:val="20"/>
          <w:szCs w:val="20"/>
          <w:color w:val="auto"/>
        </w:rPr>
      </w:pPr>
      <w:r>
        <w:rPr>
          <w:rFonts w:ascii="Arial" w:cs="Arial" w:eastAsia="Arial" w:hAnsi="Arial"/>
          <w:sz w:val="17"/>
          <w:szCs w:val="17"/>
          <w:color w:val="auto"/>
        </w:rPr>
        <w:t>To date, we have made significant progress toward completing our evaluation of the potential changes from adopting the new standard on our future financial reporting and disclosures. We have established a cross-functional implementation team from across our organization and have made significant progress in the review of our contracts portfolio and our current accounting policies and practices to identify potential differences that could result from applying the requirements of the new standard to our revenue contracts. To date, we have evaluated the significant majority of our revenue streams and based on the Company's preliminary analysis; we expect the revenue standard will change the timing of revenue recognition for our instant booking revenue recorded under the consumption model. Upon adoption, this revenue will be recognized at the transaction booking date for a hotel accommodation rather than upon completion of the stay by the traveler, which is how it is currently recorded. The Company does not currently expect this timing change to have a material impact to its financial statements, either on an annual or quarterly basis. In addition to the changes in our instant booking revenue under the consumption model, the new guidance will result in other immaterial changes in the timing of certain other revenue streams. We currently do not expect any major reengineering required to our accounting systems or to our internal controls related to the above accounting changes or related to the additional disclosure requirements required by the standard. However, while we have made significant progress, and are in our implementation phase of this project, we are still evaluating less material portions of our revenue, and, in addition, our costs incurred to obtain or fulfill a contract. We will continue to update our assessment of the effect that the new revenue guidance will have on our consolidated financial statements, disclosures and related controls, and will disclose any material effects, if any, when known.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October 2016, the FASB issued new accounting guidance which amends the consolidation guidance on how a reporting entity that is the single decision maker of a variable interest entity should treat indirect interests in the entity held through related parties that are under common control within the reporting entity when determining whether it is the primary beneficiary of that variable interest entity. We adopted this new guidance on January 1, 2017, on a retrospective basis, with no impact on our consolidated financial statements and related disclosures.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since December 31, 2016. For additional information about our accounting policies and estimates, refer to “Note 2: Significant Accounting Policies”, in the notes to our consolidated financial statements in Item 8 of our Annual Report on Form 10-K for the year ended December 31, 2016.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2" w:name="page13"/>
    <w:bookmarkEnd w:id="12"/>
    <w:p>
      <w:pPr>
        <w:ind w:right="5340"/>
        <w:spacing w:after="0" w:line="378" w:lineRule="auto"/>
        <w:rPr>
          <w:sz w:val="20"/>
          <w:szCs w:val="20"/>
          <w:color w:val="auto"/>
        </w:rPr>
      </w:pPr>
      <w:r>
        <w:rPr>
          <w:rFonts w:ascii="Arial" w:cs="Arial" w:eastAsia="Arial" w:hAnsi="Arial"/>
          <w:sz w:val="18"/>
          <w:szCs w:val="18"/>
          <w:b w:val="1"/>
          <w:bCs w:val="1"/>
          <w:color w:val="auto"/>
        </w:rPr>
        <w:t>NOTE 3: STOCK BASED AWARDS AND OTHER EQUITY INSTRUMENTS Stock-Based Compensation Expense</w:t>
      </w:r>
    </w:p>
    <w:p>
      <w:pPr>
        <w:ind w:right="280" w:firstLine="518"/>
        <w:spacing w:after="0" w:line="308" w:lineRule="auto"/>
        <w:rPr>
          <w:sz w:val="20"/>
          <w:szCs w:val="20"/>
          <w:color w:val="auto"/>
        </w:rPr>
      </w:pPr>
      <w:r>
        <w:rPr>
          <w:rFonts w:ascii="Arial" w:cs="Arial" w:eastAsia="Arial" w:hAnsi="Arial"/>
          <w:sz w:val="17"/>
          <w:szCs w:val="17"/>
          <w:color w:val="auto"/>
        </w:rPr>
        <w:t>The following table presents the amount of stock-based compensation expense related to stock-based awards, primarily stock options and restricted stock units (“RSUs”), on our unaudited condensed consolidated statements of operations during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Nine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5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center"/>
              <w:ind w:left="43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center"/>
              <w:ind w:left="45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Technology and content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Pr>
          <w:p>
            <w:pPr>
              <w:ind w:left="260"/>
              <w:spacing w:after="0"/>
              <w:rPr>
                <w:sz w:val="20"/>
                <w:szCs w:val="20"/>
                <w:color w:val="auto"/>
              </w:rPr>
            </w:pPr>
            <w:r>
              <w:rPr>
                <w:rFonts w:ascii="Arial" w:cs="Arial" w:eastAsia="Arial" w:hAnsi="Arial"/>
                <w:sz w:val="18"/>
                <w:szCs w:val="18"/>
                <w:color w:val="auto"/>
              </w:rPr>
              <w:t>Total 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During the three and nine months ended September 30, 2017, we capitalized $3 million and $10 million, respectively, of stock-based compensation expense as internal-use software and website development costs. During the three and nine months ended September 30, 2016, we capitalized $3 million and $9 million, respectively, of stock-based compensation expense as internal-use software and website development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Option Activity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the nine months ended September 30, 2017, we have issued 1,529,127 service-based non-qualified stock options under the Company’s Amended and Restated 2011 Stock and Annual Incentive Plan (the “2011 Incentive Plan”). Generally our stock options have a term of ten years from the date of grant and generally vest equally over a four-year requisite service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our stock option activity during the nine months ended September 30,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5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left="340"/>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center"/>
              <w:ind w:left="340"/>
              <w:spacing w:after="0"/>
              <w:rPr>
                <w:sz w:val="20"/>
                <w:szCs w:val="20"/>
                <w:color w:val="auto"/>
              </w:rPr>
            </w:pPr>
            <w:r>
              <w:rPr>
                <w:rFonts w:ascii="Arial" w:cs="Arial" w:eastAsia="Arial" w:hAnsi="Arial"/>
                <w:sz w:val="14"/>
                <w:szCs w:val="14"/>
                <w:b w:val="1"/>
                <w:bCs w:val="1"/>
                <w:color w:val="auto"/>
                <w:w w:val="86"/>
              </w:rPr>
              <w:t>Exercise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080" w:type="dxa"/>
            <w:vAlign w:val="bottom"/>
          </w:tcPr>
          <w:p>
            <w:pPr>
              <w:spacing w:after="0"/>
              <w:rPr>
                <w:sz w:val="14"/>
                <w:szCs w:val="14"/>
                <w:color w:val="auto"/>
              </w:rPr>
            </w:pPr>
          </w:p>
        </w:tc>
        <w:tc>
          <w:tcPr>
            <w:tcW w:w="92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Price Per</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5080" w:type="dxa"/>
            <w:vAlign w:val="bottom"/>
          </w:tcPr>
          <w:p>
            <w:pPr>
              <w:spacing w:after="0"/>
              <w:rPr>
                <w:sz w:val="14"/>
                <w:szCs w:val="14"/>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920" w:type="dxa"/>
            <w:vAlign w:val="bottom"/>
          </w:tcPr>
          <w:p>
            <w:pPr>
              <w:jc w:val="center"/>
              <w:ind w:left="340"/>
              <w:spacing w:after="0"/>
              <w:rPr>
                <w:sz w:val="20"/>
                <w:szCs w:val="20"/>
                <w:color w:val="auto"/>
              </w:rPr>
            </w:pPr>
            <w:r>
              <w:rPr>
                <w:rFonts w:ascii="Arial" w:cs="Arial" w:eastAsia="Arial" w:hAnsi="Arial"/>
                <w:sz w:val="14"/>
                <w:szCs w:val="14"/>
                <w:b w:val="1"/>
                <w:bCs w:val="1"/>
                <w:color w:val="auto"/>
                <w:w w:val="87"/>
              </w:rPr>
              <w:t>Share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5080" w:type="dxa"/>
            <w:vAlign w:val="bottom"/>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30"/>
        </w:trPr>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outstanding at December 31, 2016</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5,818</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57.60</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1,529</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42.81</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 (1)</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(488)</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29.49</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Cancelled or expired</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68.82</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September 30, 2017</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6,287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55.16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Exercisable as of September 30, 2017</w:t>
            </w:r>
          </w:p>
        </w:tc>
        <w:tc>
          <w:tcPr>
            <w:tcW w:w="9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3,337</w:t>
            </w:r>
          </w:p>
        </w:tc>
        <w:tc>
          <w:tcPr>
            <w:tcW w:w="300" w:type="dxa"/>
            <w:vAlign w:val="bottom"/>
            <w:tcBorders>
              <w:bottom w:val="single" w:sz="8" w:color="CFF0FC"/>
            </w:tcBorders>
          </w:tcPr>
          <w:p>
            <w:pPr>
              <w:spacing w:after="0"/>
              <w:rPr>
                <w:sz w:val="21"/>
                <w:szCs w:val="21"/>
                <w:color w:val="auto"/>
              </w:rPr>
            </w:pPr>
          </w:p>
        </w:tc>
        <w:tc>
          <w:tcPr>
            <w:tcW w:w="920" w:type="dxa"/>
            <w:vAlign w:val="bottom"/>
            <w:tcBorders>
              <w:bottom w:val="single" w:sz="8" w:color="CFF0FC"/>
            </w:tcBorders>
          </w:tcPr>
          <w:p>
            <w:pPr>
              <w:jc w:val="right"/>
              <w:ind w:right="74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8"/>
              </w:rPr>
              <w:t>52.51</w:t>
            </w:r>
          </w:p>
        </w:tc>
        <w:tc>
          <w:tcPr>
            <w:tcW w:w="28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1"/>
                <w:szCs w:val="21"/>
                <w:color w:val="auto"/>
              </w:rPr>
            </w:pPr>
          </w:p>
        </w:tc>
      </w:tr>
      <w:tr>
        <w:trPr>
          <w:trHeight w:val="210"/>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September 30, 2017 (2)</w:t>
            </w: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6,287</w:t>
            </w:r>
          </w:p>
        </w:tc>
        <w:tc>
          <w:tcPr>
            <w:tcW w:w="3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55.16</w:t>
            </w:r>
          </w:p>
        </w:tc>
        <w:tc>
          <w:tcPr>
            <w:tcW w:w="2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40" w:hanging="386"/>
        <w:spacing w:after="0" w:line="291"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Inclusive of 288,751 of options which were not converted into shares due to net share settlement in order to cover the aggregate exercise price and the required amount of employee withholding taxes. Potential shares that had been convertible under stock options that were withheld under net</w:t>
      </w:r>
    </w:p>
    <w:p>
      <w:pPr>
        <w:jc w:val="both"/>
        <w:ind w:left="840" w:right="240"/>
        <w:spacing w:after="0" w:line="250" w:lineRule="auto"/>
        <w:rPr>
          <w:sz w:val="20"/>
          <w:szCs w:val="20"/>
          <w:color w:val="auto"/>
        </w:rPr>
      </w:pPr>
      <w:r>
        <w:rPr>
          <w:rFonts w:ascii="Arial" w:cs="Arial" w:eastAsia="Arial" w:hAnsi="Arial"/>
          <w:sz w:val="18"/>
          <w:szCs w:val="18"/>
          <w:color w:val="auto"/>
        </w:rPr>
        <w:t>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40" w:right="48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62"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The NASDAQ Global Select Market as of September 30, 2017 was $40.53. The total intrinsic value of stock options exercised was $8 million and $23 million, for the nine months ended September 30, 2017 and 2016,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ind w:right="400" w:firstLine="518"/>
        <w:spacing w:after="0" w:line="277"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center"/>
              <w:ind w:left="738"/>
              <w:spacing w:after="0"/>
              <w:rPr>
                <w:sz w:val="20"/>
                <w:szCs w:val="20"/>
                <w:color w:val="auto"/>
              </w:rPr>
            </w:pPr>
            <w:r>
              <w:rPr>
                <w:rFonts w:ascii="Arial" w:cs="Arial" w:eastAsia="Arial" w:hAnsi="Arial"/>
                <w:sz w:val="14"/>
                <w:szCs w:val="14"/>
                <w:b w:val="1"/>
                <w:bCs w:val="1"/>
                <w:color w:val="auto"/>
                <w:w w:val="90"/>
              </w:rPr>
              <w:t>Nine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1.90%</w:t>
            </w:r>
          </w:p>
        </w:tc>
        <w:tc>
          <w:tcPr>
            <w:tcW w:w="4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41.31%</w:t>
            </w: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42.68%</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41.52%</w:t>
            </w:r>
          </w:p>
        </w:tc>
        <w:tc>
          <w:tcPr>
            <w:tcW w:w="4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41.83%</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3"/>
          </w:tcPr>
          <w:p>
            <w:pPr>
              <w:jc w:val="right"/>
              <w:ind w:right="84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 %</w:t>
            </w:r>
          </w:p>
        </w:tc>
        <w:tc>
          <w:tcPr>
            <w:tcW w:w="2120" w:type="dxa"/>
            <w:vAlign w:val="bottom"/>
            <w:gridSpan w:val="3"/>
          </w:tcPr>
          <w:p>
            <w:pPr>
              <w:jc w:val="right"/>
              <w:ind w:right="84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r>
    </w:tbl>
    <w:p>
      <w:pPr>
        <w:spacing w:after="0" w:line="106"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weighted-average grant date fair value of options granted was $15.49 and $17.16 for the three and nine months ended September 30, 2017, respectively. The weighted-average grant date fair value of options granted was $24.97 and $22.95 for the three and nine months ended September 30, 2016, respectively. The total fair value of stock options vested was $39 million and $27 million for the nine months ended September 30, 2017 and 2016, respectively. Cash received from stock option exercises was $3 million and $6 million for the nine months ended September 30, 2017 and 2016, respectively.</w:t>
      </w:r>
    </w:p>
    <w:p>
      <w:pPr>
        <w:spacing w:after="0" w:line="15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June 5, 2017, the Section 16 Committee of our Board of Directors approved an amendment to the nonqualified stock option award (the “Option”) granted on August 28, 2013 to Stephen Kaufer, the Company’s President and Chief Executive Officer. The amendment provides that the Option will expire on the tenth anniversary, instead of the seventh anniversary, of the grant date. Vesting conditions under the Option were not affected by this amendment. As a result of the modification, incremental fair value of $5 million will be recognized to stock-based compensation expense on a straight-line basis over the remaining vesting term, which is through August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RSU Activity</w:t>
      </w:r>
    </w:p>
    <w:p>
      <w:pPr>
        <w:spacing w:after="0" w:line="11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During the nine months ended September 30, 2017, we issued 4,241,561 RSUs under the 2011 Incentive Plan for which the fair value was measured based on the quoted price of our common stock on the date of grant. These RSUs generally vest over a four-year requisite service period.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our RSU activity during the nine months ended September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Grant-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RSUs</w:t>
            </w: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Date Fair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Value Per Share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8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2016</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4,241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Cancelled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September 30, 2017</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58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Expected to vest after September 30, 2017 (2)</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50.84</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40" w:right="40" w:hanging="386"/>
        <w:spacing w:after="0" w:line="291"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Inclusive of 251,082 RSUs withheld due to net share settlement to satisfy required employee tax withholding requirements. Potential shares which had been convertible under RSUs that were withheld under net share settlement remain in the authorized but unissued pool under the 2011</w:t>
      </w:r>
    </w:p>
    <w:p>
      <w:pPr>
        <w:ind w:left="840" w:right="260"/>
        <w:spacing w:after="0" w:line="265" w:lineRule="auto"/>
        <w:rPr>
          <w:sz w:val="20"/>
          <w:szCs w:val="20"/>
          <w:color w:val="auto"/>
        </w:rPr>
      </w:pPr>
      <w:r>
        <w:rPr>
          <w:rFonts w:ascii="Arial" w:cs="Arial" w:eastAsia="Arial" w:hAnsi="Arial"/>
          <w:sz w:val="17"/>
          <w:szCs w:val="17"/>
          <w:color w:val="auto"/>
        </w:rPr>
        <w:t>Incentive Plan and can be reissued by the Company. Total payments for the employees’ tax obligations to the taxing authorities due to net share settlements are reflected as a financing activity within the unaudited condensed consolidated statements of cash flows.</w:t>
      </w:r>
    </w:p>
    <w:p>
      <w:pPr>
        <w:ind w:left="840" w:right="48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expected to vest calculation unless necessary for a performance condition award, respectively.</w:t>
      </w:r>
    </w:p>
    <w:p>
      <w:pPr>
        <w:spacing w:after="0" w:line="53" w:lineRule="exact"/>
        <w:rPr>
          <w:sz w:val="20"/>
          <w:szCs w:val="20"/>
          <w:color w:val="auto"/>
        </w:rPr>
      </w:pPr>
    </w:p>
    <w:p>
      <w:pPr>
        <w:ind w:right="20" w:firstLine="552"/>
        <w:spacing w:after="0" w:line="259"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were $1 million and $17 million for the three and nine months ended September 30, 2017, respectively. Total current income tax benefits associated with the exercise or settlement of TripAdvisor stock-based awards held by our employees was $2 million and $18 million for the three and nine months ended September 30,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 summary of our remaining unrecognized stock-based compensation expense and the weighted average remaining amortization period at September 30, 2017 related to our non-vested stock options and RSU awards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40" w:type="dxa"/>
            <w:vAlign w:val="bottom"/>
          </w:tcPr>
          <w:p>
            <w:pPr>
              <w:jc w:val="center"/>
              <w:ind w:left="382"/>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20" w:type="dxa"/>
            <w:vAlign w:val="bottom"/>
            <w:vMerge w:val="restart"/>
          </w:tcPr>
          <w:p>
            <w:pPr>
              <w:spacing w:after="0"/>
              <w:rPr>
                <w:sz w:val="20"/>
                <w:szCs w:val="20"/>
                <w:color w:val="auto"/>
              </w:rPr>
            </w:pPr>
            <w:r>
              <w:rPr>
                <w:rFonts w:ascii="Arial" w:cs="Arial" w:eastAsia="Arial" w:hAnsi="Arial"/>
                <w:sz w:val="18"/>
                <w:szCs w:val="18"/>
                <w:color w:val="auto"/>
              </w:rPr>
              <w:t>Unrecognized compensation expense</w:t>
            </w:r>
          </w:p>
        </w:tc>
        <w:tc>
          <w:tcPr>
            <w:tcW w:w="1900" w:type="dxa"/>
            <w:vAlign w:val="bottom"/>
          </w:tcPr>
          <w:p>
            <w:pPr>
              <w:spacing w:after="0"/>
              <w:rPr>
                <w:sz w:val="16"/>
                <w:szCs w:val="16"/>
                <w:color w:val="auto"/>
              </w:rPr>
            </w:pPr>
          </w:p>
        </w:tc>
        <w:tc>
          <w:tcPr>
            <w:tcW w:w="1440" w:type="dxa"/>
            <w:vAlign w:val="bottom"/>
          </w:tcPr>
          <w:p>
            <w:pPr>
              <w:jc w:val="center"/>
              <w:ind w:left="402"/>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1440" w:type="dxa"/>
            <w:vAlign w:val="bottom"/>
            <w:tcBorders>
              <w:top w:val="single" w:sz="8" w:color="auto"/>
            </w:tcBorders>
          </w:tcPr>
          <w:p>
            <w:pPr>
              <w:jc w:val="right"/>
              <w:ind w:right="126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period remaining (in years)</w:t>
            </w:r>
          </w:p>
        </w:tc>
        <w:tc>
          <w:tcPr>
            <w:tcW w:w="1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40" w:firstLine="552"/>
        <w:spacing w:after="0" w:line="279" w:lineRule="auto"/>
        <w:rPr>
          <w:sz w:val="20"/>
          <w:szCs w:val="20"/>
          <w:color w:val="auto"/>
        </w:rPr>
      </w:pPr>
      <w:r>
        <w:rPr>
          <w:rFonts w:ascii="Arial" w:cs="Arial" w:eastAsia="Arial" w:hAnsi="Arial"/>
          <w:sz w:val="17"/>
          <w:szCs w:val="17"/>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Diluted earnings per share (“Diluted EPS”) include the potential dilution of common equivalent shares outstanding that could occur from stock-based awards and other stock-based commitments using the treasury stock method. We compute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79" w:lineRule="exact"/>
        <w:rPr>
          <w:sz w:val="20"/>
          <w:szCs w:val="20"/>
          <w:color w:val="auto"/>
        </w:rPr>
      </w:pPr>
    </w:p>
    <w:p>
      <w:pPr>
        <w:jc w:val="both"/>
        <w:ind w:right="280" w:firstLine="518"/>
        <w:spacing w:after="0" w:line="312"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Three months ended 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183"/>
        </w:trPr>
        <w:tc>
          <w:tcPr>
            <w:tcW w:w="580" w:type="dxa"/>
            <w:vAlign w:val="bottom"/>
          </w:tcPr>
          <w:p>
            <w:pPr>
              <w:spacing w:after="0"/>
              <w:rPr>
                <w:sz w:val="15"/>
                <w:szCs w:val="15"/>
                <w:color w:val="auto"/>
              </w:rPr>
            </w:pPr>
          </w:p>
        </w:tc>
        <w:tc>
          <w:tcPr>
            <w:tcW w:w="454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45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gridSpan w:val="3"/>
          </w:tcPr>
          <w:p>
            <w:pPr>
              <w:ind w:left="240"/>
              <w:spacing w:after="0"/>
              <w:rPr>
                <w:sz w:val="20"/>
                <w:szCs w:val="20"/>
                <w:color w:val="auto"/>
              </w:rPr>
            </w:pPr>
            <w:r>
              <w:rPr>
                <w:rFonts w:ascii="Arial" w:cs="Arial" w:eastAsia="Arial" w:hAnsi="Arial"/>
                <w:sz w:val="18"/>
                <w:szCs w:val="18"/>
                <w:color w:val="auto"/>
                <w:w w:val="98"/>
              </w:rPr>
              <w:t>Weighted average shares used to compute Basic EPS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140,961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4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54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w w:val="96"/>
              </w:rPr>
              <w:t>Weighted average shares used to compute Diluted EPS</w:t>
            </w:r>
          </w:p>
        </w:tc>
        <w:tc>
          <w:tcPr>
            <w:tcW w:w="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139,388</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147,217</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141,681</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147,161</w:t>
            </w:r>
          </w:p>
        </w:tc>
        <w:tc>
          <w:tcPr>
            <w:tcW w:w="1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4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0.18</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0.46</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2" w:right="219" w:bottom="1440" w:gutter="0" w:footer="0" w:header="0"/>
        </w:sectPr>
      </w:pPr>
    </w:p>
    <w:bookmarkStart w:id="15" w:name="page16"/>
    <w:bookmarkEnd w:id="15"/>
    <w:p>
      <w:pPr>
        <w:ind w:firstLine="51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(in thousands) because their effect would have been anti-dilutive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80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7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2017(1)</w:t>
            </w:r>
          </w:p>
        </w:tc>
        <w:tc>
          <w:tcPr>
            <w:tcW w:w="240" w:type="dxa"/>
            <w:vAlign w:val="bottom"/>
            <w:tcBorders>
              <w:top w:val="single" w:sz="8" w:color="auto"/>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2016(2)</w:t>
            </w:r>
          </w:p>
        </w:tc>
        <w:tc>
          <w:tcPr>
            <w:tcW w:w="24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2017(1)</w:t>
            </w:r>
          </w:p>
        </w:tc>
        <w:tc>
          <w:tcPr>
            <w:tcW w:w="260" w:type="dxa"/>
            <w:vAlign w:val="bottom"/>
            <w:tcBorders>
              <w:top w:val="single" w:sz="8" w:color="auto"/>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2016(2)</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2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900" w:right="20" w:hanging="379"/>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totals do not include 125,000 performance based options representing the right to acquire the equivalent number of shares of potential common stock for which all targets required to trigger vesting had not been achieved; therefore such awards were excluded from the calculation of weighted average shares used to compute Diluted EPS for those reporting periods.</w:t>
      </w:r>
    </w:p>
    <w:p>
      <w:pPr>
        <w:spacing w:after="0" w:line="140" w:lineRule="exact"/>
        <w:rPr>
          <w:rFonts w:ascii="Arial" w:cs="Arial" w:eastAsia="Arial" w:hAnsi="Arial"/>
          <w:sz w:val="18"/>
          <w:szCs w:val="18"/>
          <w:color w:val="auto"/>
        </w:rPr>
      </w:pPr>
    </w:p>
    <w:p>
      <w:pPr>
        <w:ind w:left="900" w:right="20" w:hanging="379"/>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totals do not include 125,000 performance based options and 12,799 performance based RSUs representing 137,799 shares of potential common stock for which all targets required to trigger vesting had not been achieved; therefore such awards were excluded from the calculation of weighted average shares used to compute Diluted EPS for those reporting periods.</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FINANCIAL INSTRUMENTS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fair value hierarchy and significant investment category recorded as cash and cash equivalents or short and long-term marketable securities as of the dates presented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September 30,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ind w:left="26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Level 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ind w:left="7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8"/>
              </w:rPr>
              <w:t>December 31, 2016</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27"/>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27"/>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38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4"/>
                <w:szCs w:val="14"/>
                <w:color w:val="auto"/>
              </w:rPr>
            </w:pPr>
          </w:p>
        </w:tc>
        <w:tc>
          <w:tcPr>
            <w:tcW w:w="700" w:type="dxa"/>
            <w:vAlign w:val="bottom"/>
          </w:tcPr>
          <w:p>
            <w:pPr>
              <w:jc w:val="center"/>
              <w:ind w:left="22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27"/>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2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380" w:type="dxa"/>
            <w:vAlign w:val="bottom"/>
            <w:vMerge w:val="continue"/>
          </w:tcPr>
          <w:p>
            <w:pPr>
              <w:spacing w:after="0"/>
              <w:rPr>
                <w:sz w:val="19"/>
                <w:szCs w:val="19"/>
                <w:color w:val="auto"/>
              </w:rPr>
            </w:pPr>
          </w:p>
        </w:tc>
        <w:tc>
          <w:tcPr>
            <w:tcW w:w="720" w:type="dxa"/>
            <w:vAlign w:val="bottom"/>
            <w:tcBorders>
              <w:top w:val="single" w:sz="8" w:color="auto"/>
            </w:tcBorders>
            <w:gridSpan w:val="2"/>
          </w:tcPr>
          <w:p>
            <w:pPr>
              <w:jc w:val="right"/>
              <w:ind w:right="54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747"/>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76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ind w:left="74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54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746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747"/>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767"/>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September 30, 2017 and December 31, 2016, respectively.</w:t>
      </w:r>
    </w:p>
    <w:p>
      <w:pPr>
        <w:spacing w:after="0" w:line="18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right="300" w:firstLine="518"/>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and nine months ended September 30, 2017 and 2016. Realized gains and losses on the sale of securities were determined by specific identification of each security’s cost basis. We consider any individual investments in an unrealized loss position to be temporary in nature and do not consider any of our investments other-than-temporarily impaired as of September 30,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80" w:firstLine="552"/>
        <w:spacing w:after="0" w:line="308" w:lineRule="auto"/>
        <w:rPr>
          <w:sz w:val="20"/>
          <w:szCs w:val="20"/>
          <w:color w:val="auto"/>
        </w:rPr>
      </w:pPr>
      <w:r>
        <w:rPr>
          <w:rFonts w:ascii="Arial" w:cs="Arial" w:eastAsia="Arial" w:hAnsi="Arial"/>
          <w:sz w:val="17"/>
          <w:szCs w:val="17"/>
          <w:color w:val="auto"/>
        </w:rPr>
        <w:t>In certain circumstances, we enter into foreign currency forward exchange contracts, or forward contracts, to reduce the effects of fluctuating foreign currency exchange rates on our cash flows denominated in foreign currencies. We do not use derivatives for trading or speculative purposes.</w:t>
      </w:r>
    </w:p>
    <w:p>
      <w:pPr>
        <w:spacing w:after="0" w:line="38"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Our forward contracts, which have been entered into during both the three and nine months ended September 30, 2017 have not been designated as hedges and had current maturities of less than 90 days. Consequently, any gain or loss resulting from the change in fair value has been recognized in our unaudited condensed consolidated statement of operations, which were not material for both the three and nine months ended September 30, 2017. The net gain or loss related to our forward contracts for the three months ended September 30, 2016 was not material and we recorded a net gain of $1 million for the nine months ended September 30, 2016 related to our settled and outstanding forward contracts in “Interest income and other, net” on our unaudited condensed consolidated statements of operations.</w:t>
      </w:r>
    </w:p>
    <w:p>
      <w:pPr>
        <w:spacing w:after="0" w:line="19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 shows the notional principal amounts of our outstanding derivative instruments that are not designated as hedging instruments as of the dates presented:</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September 30, 2017</w:t>
            </w:r>
          </w:p>
        </w:tc>
        <w:tc>
          <w:tcPr>
            <w:tcW w:w="860" w:type="dxa"/>
            <w:vAlign w:val="bottom"/>
          </w:tcPr>
          <w:p>
            <w:pPr>
              <w:spacing w:after="0"/>
              <w:rPr>
                <w:sz w:val="14"/>
                <w:szCs w:val="14"/>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4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exchange-forward contracts </w:t>
            </w:r>
            <w:r>
              <w:rPr>
                <w:rFonts w:ascii="Arial" w:cs="Arial" w:eastAsia="Arial" w:hAnsi="Arial"/>
                <w:sz w:val="14"/>
                <w:szCs w:val="14"/>
                <w:color w:val="auto"/>
              </w:rPr>
              <w:t>(1), (2)</w:t>
            </w:r>
          </w:p>
        </w:tc>
        <w:tc>
          <w:tcPr>
            <w:tcW w:w="3120" w:type="dxa"/>
            <w:vAlign w:val="bottom"/>
            <w:gridSpan w:val="2"/>
            <w:shd w:val="clear" w:color="auto" w:fill="CFF0FC"/>
          </w:tcPr>
          <w:p>
            <w:pPr>
              <w:jc w:val="right"/>
              <w:ind w:right="150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840" w:right="540" w:hanging="319"/>
        <w:spacing w:after="0" w:line="274"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Derivative contracts address foreign currency exchange fluctuations for the Euro versus the U.S. Dollar. The Company had no outstanding derivative contracts as of September 30, 2017 and two outstanding derivative contracts as of December 31, 2016.</w:t>
      </w:r>
    </w:p>
    <w:p>
      <w:pPr>
        <w:jc w:val="both"/>
        <w:ind w:left="840" w:right="60" w:hanging="319"/>
        <w:spacing w:after="0" w:line="255"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our derivatives was not material as of December 31, 2016. We measure the fair value of our outstanding or unsettled derivatives using Level 2 fair value inputs, as we use a pricing model that takes into account the contract terms as well as current foreign currency exchange rates in active markets.</w:t>
      </w:r>
    </w:p>
    <w:p>
      <w:pPr>
        <w:spacing w:after="0" w:line="19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 does not have any recurring assets or liabilities measured at fair value that would be considered Level 3 at September 30, 2017 and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accounts receivable, accounts payable, deferred merchant payables, short-term debt, accrued and other current liabilities and long-term debt. With the exception of long-term debt, the carrying amount approximates fair value because of the short maturity of these instruments as reported on our unaudited condensed consolidated balance sheets as of September 30, 2017 and December 31, 2016, respectively. The carrying value of the long-term debt from our 2015 Credit Facility bears interest at a variable rate and therefore is also considered to approximate fair value.</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also hold investments in equity securities of privately-held companies with carrying values of $12 million and $14 million at September 30, 2017 and December 31, 2016, respectively. These investments are accounted for under the cost method and included in "Other long-term assets" in the Company's unaudited condensed consolidated balance sheet. Under the cost method, investments are carried at cost and are adjusted only for other-than-temporary declines in fair value, certain distributions, and additional investments. The Company evaluates its investments on a quarterly basis to determine if any indicators of other-than-temporary impairment exist. The Company recognized a loss of $2 million related to an investment in one of these privately-held companies during the three months ended September 30, 2017 in “Interest income and other, net” on our unaudited condensed consolidated statements of operations.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as of the dates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900" w:type="dxa"/>
            <w:vAlign w:val="bottom"/>
          </w:tcPr>
          <w:p>
            <w:pPr>
              <w:jc w:val="right"/>
              <w:ind w:right="16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9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101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40" w:type="dxa"/>
            <w:vAlign w:val="bottom"/>
            <w:gridSpan w:val="4"/>
          </w:tcPr>
          <w:p>
            <w:pPr>
              <w:jc w:val="right"/>
              <w:ind w:right="210"/>
              <w:spacing w:after="0" w:line="155" w:lineRule="exact"/>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1900" w:type="dxa"/>
            <w:vAlign w:val="bottom"/>
          </w:tcPr>
          <w:p>
            <w:pPr>
              <w:jc w:val="right"/>
              <w:ind w:right="174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2016 Credit Facility</w:t>
            </w:r>
          </w:p>
        </w:tc>
        <w:tc>
          <w:tcPr>
            <w:tcW w:w="1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gridSpan w:val="2"/>
          </w:tcPr>
          <w:p>
            <w:pPr>
              <w:spacing w:after="0"/>
              <w:rPr>
                <w:sz w:val="20"/>
                <w:szCs w:val="20"/>
                <w:color w:val="auto"/>
              </w:rPr>
            </w:pPr>
            <w:r>
              <w:rPr>
                <w:rFonts w:ascii="Arial" w:cs="Arial" w:eastAsia="Arial" w:hAnsi="Arial"/>
                <w:sz w:val="18"/>
                <w:szCs w:val="18"/>
                <w:color w:val="auto"/>
              </w:rPr>
              <w:t>Total Short-Term Debt</w:t>
            </w:r>
          </w:p>
        </w:tc>
        <w:tc>
          <w:tcPr>
            <w:tcW w:w="1900" w:type="dxa"/>
            <w:vAlign w:val="bottom"/>
            <w:tcBorders>
              <w:bottom w:val="single" w:sz="8" w:color="auto"/>
            </w:tcBorders>
          </w:tcPr>
          <w:p>
            <w:pPr>
              <w:jc w:val="right"/>
              <w:ind w:right="174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Debt:</w:t>
            </w:r>
          </w:p>
        </w:tc>
        <w:tc>
          <w:tcPr>
            <w:tcW w:w="1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2015 Credit Facility</w:t>
            </w:r>
          </w:p>
        </w:tc>
        <w:tc>
          <w:tcPr>
            <w:tcW w:w="1900" w:type="dxa"/>
            <w:vAlign w:val="bottom"/>
            <w:shd w:val="clear" w:color="auto" w:fill="CFF0FC"/>
          </w:tcPr>
          <w:p>
            <w:pPr>
              <w:jc w:val="right"/>
              <w:ind w:right="174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30"/>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900" w:type="dxa"/>
            <w:vAlign w:val="bottom"/>
            <w:tcBorders>
              <w:top w:val="single" w:sz="8" w:color="auto"/>
              <w:bottom w:val="single" w:sz="8" w:color="auto"/>
            </w:tcBorders>
          </w:tcPr>
          <w:p>
            <w:pPr>
              <w:jc w:val="right"/>
              <w:ind w:right="174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firstLine="548"/>
        <w:spacing w:after="0" w:line="270" w:lineRule="auto"/>
        <w:rPr>
          <w:sz w:val="20"/>
          <w:szCs w:val="20"/>
          <w:color w:val="auto"/>
        </w:rPr>
      </w:pPr>
      <w:r>
        <w:rPr>
          <w:rFonts w:ascii="Arial" w:cs="Arial" w:eastAsia="Arial" w:hAnsi="Arial"/>
          <w:sz w:val="17"/>
          <w:szCs w:val="17"/>
          <w:color w:val="auto"/>
        </w:rPr>
        <w:t>In June 2015, we entered into a five year credit agreement with a group of lenders which, among other things, provided for a $1 billion unsecured revolving credit facility (the “2015 Credit Facility”). On May 12,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revolving credit facility in U.S dollars, Euros and British pound sterling.</w:t>
      </w:r>
    </w:p>
    <w:p>
      <w:pPr>
        <w:spacing w:after="0" w:line="70" w:lineRule="exact"/>
        <w:rPr>
          <w:sz w:val="20"/>
          <w:szCs w:val="20"/>
          <w:color w:val="auto"/>
        </w:rPr>
      </w:pPr>
    </w:p>
    <w:p>
      <w:pPr>
        <w:ind w:right="40" w:firstLine="548"/>
        <w:spacing w:after="0" w:line="286" w:lineRule="auto"/>
        <w:rPr>
          <w:sz w:val="20"/>
          <w:szCs w:val="20"/>
          <w:color w:val="auto"/>
        </w:rPr>
      </w:pPr>
      <w:r>
        <w:rPr>
          <w:rFonts w:ascii="Arial" w:cs="Arial" w:eastAsia="Arial" w:hAnsi="Arial"/>
          <w:sz w:val="16"/>
          <w:szCs w:val="16"/>
          <w:color w:val="auto"/>
        </w:rPr>
        <w:t>During the nine months ended September 30, 2017, the Company borrowed an additional $415 million and repaid $241 million of our outstanding borrowings under the 2015 Credit Facility. These net borrowings during the year were primarily used to repurchase shares of our outstanding common stock under the Company’s repurchase program, which is described in “Note 9: Stockholders Equity”. As of September 30, 2017, based on the Company’s leverage ratio, our borrowings bear interest at LIBO rate; plus an applicable margin of 1.25%, or the Eurocurrency Spread. The Company is currently borrowing under a one-month interest rate period or a weighted average rate of 2.50% per annum as of September 30, 2017, using a one-month interest period Eurocurrency Spread, which will reset periodically. Interest will be payable on a monthly basis while the Company is borrowing under the one-month interest rate period. We are also required to pay a quarterly commitment fee, at an applicable rate ranging from 0.15% to 0.30%, on the daily unused portion of the revolving credit facility for each fiscal quarter and additional fees in connection with the issuance of letters of credit. As of September 30, 2017, our unused revolver capacity is subject to a commitment fee of 0.15%, given the Company’s leverage ratio. The 2015 Credit Facility includes $15 million of borrowing capacity available for letters of credit and $40 million for Swing Line borrowings on same-day notice. As of September 30, 2017, we had issued $3 million of outstanding letters of credit under the 2015 Credit Facility. We recorded total interest expense and commitment fees on our 2015 Credit Facility of $2 million and $4 million for the three and nine months ended September 30, 2017, respectively, and $1 million and $3 million for the three and nine months ended September 30, 2016, respectively, to “Interest expense” on our unaudited condensed consolidated statements of operations. All unpaid interest and commitment fee amounts as of September 30, 2017 and December 31, 2016, respectively, were not material.</w:t>
      </w:r>
    </w:p>
    <w:p>
      <w:pPr>
        <w:spacing w:after="0" w:line="172"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connection with the First Amendment, we incurred additional lender fees and debt financing costs totaling $2 million, which were capitalized as deferred financing costs and recorded to “Other long-term assets” on the unaudited condensed consolidated balance sheet. As of September 30, 2017, the Company has $3 million remaining in deferred financing costs in connection with the 2015 Credit Facility. These costs will be amortized over the remaining term using the effective interest rate method and recorded to “Interest expense” on our unaudited condensed consolidated statements of operations. The resulting write down of previous deferred financing costs as a result of the First Amendment was not material.</w:t>
      </w:r>
    </w:p>
    <w:p>
      <w:pPr>
        <w:spacing w:after="0" w:line="173"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There is no specific repayment date prior to the maturity date for borrowings under this credit agreement. 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 The 2015 Credit Facility contains a number of covenants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ind w:right="80"/>
        <w:spacing w:after="0" w:line="270" w:lineRule="auto"/>
        <w:rPr>
          <w:sz w:val="20"/>
          <w:szCs w:val="20"/>
          <w:color w:val="auto"/>
        </w:rPr>
      </w:pPr>
      <w:r>
        <w:rPr>
          <w:rFonts w:ascii="Arial" w:cs="Arial" w:eastAsia="Arial" w:hAnsi="Arial"/>
          <w:sz w:val="17"/>
          <w:szCs w:val="17"/>
          <w:color w:val="auto"/>
        </w:rPr>
        <w:t>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Additionally, the 2015 Credit Facility includes a subjective acceleration clause, which could be triggered by the lenders if a representation, warranty or statement made by the Company proves to be incorrect in any material respect, which in turn would permit the lenders to accelerate repayment of any outstanding obligations. The Company believes that the likelihood of the lender exercising this right is remote and, as such, we classify borrowings under this facility as long-term debt. As of September 30, 2017, we were in compliance with all of our debt covenants.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Credit Facility</w:t>
      </w:r>
    </w:p>
    <w:p>
      <w:pPr>
        <w:spacing w:after="0" w:line="22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September 2016, we entered into an uncommitted facility agreement, which provides for a $73 million unsecured revolving credit facility (the “2016 Credit Facility”) with no specific expiration date. The 2016 Credit Facility is available at the lender’s discretion and can be canceled at any time. Repayment terms for borrowings under the 2016 Credit Facility are generally one to six month periods or such other periods as the parties may mutually agree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In addition, TripAdvisor, LLC, a wholly-owned domestic subsidiary of the Company, has agreed to guarantee the Company’s obligations under the 2016 Credit Facility. There are no specific financial or incurrence covenants.</w:t>
      </w:r>
    </w:p>
    <w:p>
      <w:pPr>
        <w:spacing w:after="0" w:line="192" w:lineRule="exact"/>
        <w:rPr>
          <w:sz w:val="20"/>
          <w:szCs w:val="20"/>
          <w:color w:val="auto"/>
        </w:rPr>
      </w:pPr>
    </w:p>
    <w:p>
      <w:pPr>
        <w:ind w:right="460" w:firstLine="518"/>
        <w:spacing w:after="0" w:line="286" w:lineRule="auto"/>
        <w:rPr>
          <w:sz w:val="20"/>
          <w:szCs w:val="20"/>
          <w:color w:val="auto"/>
        </w:rPr>
      </w:pPr>
      <w:r>
        <w:rPr>
          <w:rFonts w:ascii="Arial" w:cs="Arial" w:eastAsia="Arial" w:hAnsi="Arial"/>
          <w:sz w:val="17"/>
          <w:szCs w:val="17"/>
          <w:color w:val="auto"/>
        </w:rPr>
        <w:t>The Company repaid all outstanding borrowings during the first three months of 2017 and, as of September 30, 2017, we had no outstanding borrowings under the 2016 Credit Facility. During the three and nine months ended September 30, 2017, total interest recorded with respect to our 2016 Credit Facility to “Interest expense” on our unaudited condensed consolidated statements of operations was not material.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right="100" w:firstLine="552"/>
        <w:spacing w:after="0" w:line="277" w:lineRule="auto"/>
        <w:rPr>
          <w:sz w:val="20"/>
          <w:szCs w:val="20"/>
          <w:color w:val="auto"/>
        </w:rPr>
      </w:pPr>
      <w:r>
        <w:rPr>
          <w:rFonts w:ascii="Arial" w:cs="Arial" w:eastAsia="Arial" w:hAnsi="Arial"/>
          <w:sz w:val="18"/>
          <w:szCs w:val="18"/>
          <w:color w:val="auto"/>
        </w:rPr>
        <w:t>In addition to our borrowings under the 2015 Credit Facility and 2016 Credit Facility, we maintain two credit facilities in China (jointly, the “Chinese Credit Facilities”).</w:t>
      </w:r>
    </w:p>
    <w:p>
      <w:pPr>
        <w:spacing w:after="0" w:line="17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are parties to a $30 million, one-year revolving credit facility with Bank of America (the “Chinese Credit Facility—BOA”) that is currently subject to review on a periodic basis with no specific expiration period. Borrowings under our Chinese Credit Facility—BOA generally bear interest at a rate based on People’s Bank of China benchmark, including certain adjustments which may be made in accordance with the market condition at the time of borrowing. As of September 30, 2017, there were no outstanding borrowings under our Chinese Credit Facility—BOA.</w:t>
      </w:r>
    </w:p>
    <w:p>
      <w:pPr>
        <w:spacing w:after="0" w:line="171" w:lineRule="exact"/>
        <w:rPr>
          <w:sz w:val="20"/>
          <w:szCs w:val="20"/>
          <w:color w:val="auto"/>
        </w:rPr>
      </w:pPr>
    </w:p>
    <w:p>
      <w:pPr>
        <w:ind w:firstLine="552"/>
        <w:spacing w:after="0" w:line="302" w:lineRule="auto"/>
        <w:rPr>
          <w:sz w:val="20"/>
          <w:szCs w:val="20"/>
          <w:color w:val="auto"/>
        </w:rPr>
      </w:pPr>
      <w:r>
        <w:rPr>
          <w:rFonts w:ascii="Arial" w:cs="Arial" w:eastAsia="Arial" w:hAnsi="Arial"/>
          <w:sz w:val="16"/>
          <w:szCs w:val="16"/>
          <w:color w:val="auto"/>
        </w:rPr>
        <w:t>We are also parties to a RMB 70,000,000 (approximately $10 million), one-year revolving credit facility with J.P. Morgan Chase Bank (“Chinese Credit Facility—JPM”). Borrowings under our Chinese Credit Facility—JPM generally bear interest at a rate based on People’s Bank of China benchmark, including certain adjustments which may be made in accordance with the market condition at the time of borrowing. As of September 30, 2017 and December 31, 2016, respectively, we had $7 million of outstanding borrowings from the Chinese Credit Facility – JPM at a weighted average rate of 4.35%.</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Our effective tax rate for the three and nine months ended September 30, 2017 was 34.2% and 39.3%, respectively. Our effective tax rate for the three and nine months ended September 30, 2016 was 12.7% and 18.5%, respectively. For both the three and nine months ended September 30, 2017, the effective tax rate is greater than the federal statutory rate primarily due to valuation allowances on losses in jurisdictions outside the United States, recognition of stock compensation shortfalls, and a change in the relative mix of pretax income among jurisdictions. These same drivers also resulted in an increase in the effective tax rate for the three and nine months ended September 30, 2017, when compared to same periods in 2016.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right="540" w:firstLine="518"/>
        <w:spacing w:after="0" w:line="342"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September 30, 2017, accrued interest was $8 million, net of federal and state benefit, and no penalties have been accrued.</w:t>
      </w:r>
    </w:p>
    <w:p>
      <w:pPr>
        <w:spacing w:after="0" w:line="124"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under an employment tax audit by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2017, no material assessments have resulted, except as noted below regarding our 2009 and 2010 IRS audit with Expedia.</w:t>
      </w:r>
    </w:p>
    <w:p>
      <w:pPr>
        <w:spacing w:after="0" w:line="178"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In January 2017,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totaling $10 million to $14 million for those specific years, after consideration of competent authority relief, exclusive of interest and penalties. During the quarter ended June 30, 2017, we filed a request for Mutual Agreement Procedure consideration under Article 26 of the United States / United Kingdom Income Tax Convention and Rev. Proc. 2015-40, 2015-35 I.R.B. 236. Our policy is to review and update tax reserves as facts and circumstances change. Based on our interpretation of the regulations and available case law, we believe the position we have taken with regard to transfer pricing with our foreign subsidiaries is sustainable. As such, we disagree with the proposed adjustments and intend to defend our position through applicable administrative and, if necessary, judicial remedies. In addition to the risk of additional tax for 2009 and 2010 transactions, if the IRS were to seek transfer pricing adjustments of a similar nature for transactions in subsequent years, we could be subject to significant additional tax liabilities.</w:t>
      </w:r>
    </w:p>
    <w:p>
      <w:pPr>
        <w:spacing w:after="0" w:line="16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an income tax benefit, based on the Court’s acceptance of Altera’s position, of $3 million and $5 million during the three and nine months ended September 30, 2016, respectively, and an additional income tax benefit of $2 million and $5 million during the three and nine months ended September 30, 2017, respectively. The Company will continue to monitor this matter and related potential impacts to its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There have been no material changes to our commitments and contingencies since December 31, 2016. Refer to “Note 13: Commitments and Contingencies,” in the notes to our consolidated financial statements in Item 8 of our Annual Report on Form 10-K for the year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described above, 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ind w:right="380"/>
        <w:spacing w:after="0" w:line="277" w:lineRule="auto"/>
        <w:rPr>
          <w:sz w:val="20"/>
          <w:szCs w:val="20"/>
          <w:color w:val="auto"/>
        </w:rPr>
      </w:pPr>
      <w:r>
        <w:rPr>
          <w:rFonts w:ascii="Arial" w:cs="Arial" w:eastAsia="Arial" w:hAnsi="Arial"/>
          <w:sz w:val="18"/>
          <w:szCs w:val="18"/>
          <w:color w:val="auto"/>
        </w:rPr>
        <w:t>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62"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7: Income Taxes” above for further information on potential contingencies surrounding income taxes.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On January 25, 2017, our Board of Directors authorized the repurchase of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 As of June 30, 2017, we had repurchased a total of 6,079,003 shares of the Company’s outstanding common stock at an average share price of $41.13, or $250 million in the aggregate, and completed this share repurchase program.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consider Liberty TripAdvisor Holdings, Inc. (“LTRIP”) a related party. As of September 30, 2017, LTRIP beneficially owned approximately 18.2 million shares of our common stock and 12.8 million shares of our Class B common stock, which shares constitute 14.4% of the outstanding shares of common stock and 100% of the outstanding shares of Class B common stock. Assuming the conversion of all of LTRIP’s shares of Class B common stock into common stock, LTRIP would beneficially own 22.3% of the outstanding common stock. Because each share of Class B common stock generally is entitled to ten votes per share and each share of common stock is entitled to one vote per share, LTRIP may be deemed to beneficially own equity securities representing 57.5% of our voting power.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the nine months ended September 30, 2017 and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reporting structure includes two reportable segments: Hotel and Non-Hotel.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Hotel segment includes revenue generated from the following sources:</w:t>
      </w:r>
    </w:p>
    <w:p>
      <w:pPr>
        <w:spacing w:after="0" w:line="117" w:lineRule="exact"/>
        <w:rPr>
          <w:sz w:val="20"/>
          <w:szCs w:val="20"/>
          <w:color w:val="auto"/>
        </w:rPr>
      </w:pPr>
    </w:p>
    <w:p>
      <w:pPr>
        <w:ind w:left="1040" w:right="120" w:hanging="384"/>
        <w:spacing w:after="0" w:line="270"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TripAdvisor-branded Click-based and Transaction Revenue. </w:t>
      </w:r>
      <w:r>
        <w:rPr>
          <w:rFonts w:ascii="Arial" w:cs="Arial" w:eastAsia="Arial" w:hAnsi="Arial"/>
          <w:sz w:val="17"/>
          <w:szCs w:val="17"/>
          <w:color w:val="auto"/>
        </w:rPr>
        <w:t>Our largest source of Hotel segment revenue is generated from click-based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on TripAdvisor-branded websites, which is primarily comprised of contextually-relevant booking links to our partners’ sites. Our click-based advertising partners are predominantly online travel agencies, or OTAs, and direct suppliers in the hotel product category. Click-based advertising is generally priced on a cost-per-click, or “CPC”, basis, with payments from advertisers determined by the number of users who click on a link multiplied by the price that partner is willing to pay for that click, or hotel shopper lead. CPC rates are determined in a dynamic, competitive auction process, or metasearch auction, that enables our partners to use our proprietary, automated bidding system to submit CPC bids to have their hotel rates and availability listed on our site. Transaction revenue is generated from our instant booking feature, which enables the merchant of record, generally an OTA or hotel partner, to pay a commission to TripAdvisor for a user that completes a hotel reservation on our website.</w:t>
      </w:r>
    </w:p>
    <w:p>
      <w:pPr>
        <w:spacing w:after="0" w:line="73" w:lineRule="exact"/>
        <w:rPr>
          <w:rFonts w:ascii="Arial" w:cs="Arial" w:eastAsia="Arial" w:hAnsi="Arial"/>
          <w:sz w:val="17"/>
          <w:szCs w:val="17"/>
          <w:color w:val="auto"/>
        </w:rPr>
      </w:pPr>
    </w:p>
    <w:p>
      <w:pPr>
        <w:ind w:left="1040" w:right="60" w:hanging="384"/>
        <w:spacing w:after="0" w:line="272"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TripAdvisor-branded Display-based Advertising and Subscription Revenue. </w:t>
      </w:r>
      <w:r>
        <w:rPr>
          <w:rFonts w:ascii="Arial" w:cs="Arial" w:eastAsia="Arial" w:hAnsi="Arial"/>
          <w:sz w:val="17"/>
          <w:szCs w:val="17"/>
          <w:color w:val="auto"/>
        </w:rPr>
        <w:t>Advertising partners can promote their brands in a contextually-relevant manner through a variety of display-based advertising placements on our websites. Our display-based advertising clients are predominately direct suppliers of hotels, airlines and cruises, as well as destination marketing organizations. We also accept display-based advertising from OTAs and attractions, as well as advertisers from non-travel categories. Display-based advertising is sold predominantly on a cost per thousand impressions, or CPM, basis. Subscription-based advertising is offered to hotels, B&amp;Bs and other specialty lodging properties. This advertising product is sold for a flat fee and enables subscribers to list, for a contracted period of time, a website URL, email address and phone number on our TripAdvisor-branded websites, as well as to post special offers for travelers.</w:t>
      </w:r>
    </w:p>
    <w:p>
      <w:pPr>
        <w:spacing w:after="0" w:line="69" w:lineRule="exact"/>
        <w:rPr>
          <w:rFonts w:ascii="Arial" w:cs="Arial" w:eastAsia="Arial" w:hAnsi="Arial"/>
          <w:sz w:val="17"/>
          <w:szCs w:val="17"/>
          <w:color w:val="auto"/>
        </w:rPr>
      </w:pPr>
    </w:p>
    <w:p>
      <w:pPr>
        <w:ind w:left="104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Hotel Revenue. </w:t>
      </w:r>
      <w:r>
        <w:rPr>
          <w:rFonts w:ascii="Arial" w:cs="Arial" w:eastAsia="Arial" w:hAnsi="Arial"/>
          <w:sz w:val="18"/>
          <w:szCs w:val="18"/>
          <w:color w:val="auto"/>
        </w:rPr>
        <w:t>Our other hotel revenue primarily includes revenue from non-TripAdvisor branded websites, such as bookingbuddy.com,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cruisecritic.com, and onetime.com, which includes click-based advertising revenue, display-based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2" w:name="page23"/>
    <w:bookmarkEnd w:id="22"/>
    <w:p>
      <w:pPr>
        <w:ind w:left="1040" w:right="160"/>
        <w:spacing w:after="0" w:line="277" w:lineRule="auto"/>
        <w:rPr>
          <w:sz w:val="20"/>
          <w:szCs w:val="20"/>
          <w:color w:val="auto"/>
        </w:rPr>
      </w:pPr>
      <w:r>
        <w:rPr>
          <w:rFonts w:ascii="Arial" w:cs="Arial" w:eastAsia="Arial" w:hAnsi="Arial"/>
          <w:sz w:val="18"/>
          <w:szCs w:val="18"/>
          <w:color w:val="auto"/>
        </w:rPr>
        <w:t>advertising revenue, hotel room reservations sold through the websites, and advertising revenue from making cruise reservations available for price comparison and booking.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Non-Hotel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Non-Hotel segment consists of the aggregation of three operating segments, our Attractions, Restaurants and Vacation Rentals businesses.</w:t>
      </w:r>
    </w:p>
    <w:p>
      <w:pPr>
        <w:spacing w:after="0" w:line="24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i w:val="1"/>
          <w:iCs w:val="1"/>
          <w:color w:val="auto"/>
        </w:rPr>
        <w:t xml:space="preserve">Attractions. </w:t>
      </w:r>
      <w:r>
        <w:rPr>
          <w:rFonts w:ascii="Arial" w:cs="Arial" w:eastAsia="Arial" w:hAnsi="Arial"/>
          <w:sz w:val="17"/>
          <w:szCs w:val="17"/>
          <w:color w:val="auto"/>
        </w:rPr>
        <w:t>We provide information and services for users to research and book activities and attractions in popular travel destinations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dedicated Attractions business, Viator, as well as on our TripAdvisor website and applications. We generate revenue by charging the operators a commission for each transaction we facilitate through our online reservation systems. In addition to its consumer-direct business, Viator also powers activity and attractions booking capabilities to its affiliate partners, including some of the world’s top airlines, hotel chains and online and offline travel agencies. Viator’s bookable inventory is available on www.viator.com as well as TripAdvisor-branded websites and mobile applications.</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i w:val="1"/>
          <w:iCs w:val="1"/>
          <w:color w:val="auto"/>
        </w:rPr>
        <w:t xml:space="preserve">Restaurants. </w:t>
      </w:r>
      <w:r>
        <w:rPr>
          <w:rFonts w:ascii="Arial" w:cs="Arial" w:eastAsia="Arial" w:hAnsi="Arial"/>
          <w:sz w:val="16"/>
          <w:szCs w:val="16"/>
          <w:color w:val="auto"/>
        </w:rPr>
        <w:t>We provide information and services for users to research and book restaurants in popular travel destinations through our dedicated</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 reservations business, TheFork, as well as on our TripAdvisor website and applications. TheFork is an online restaurant booking platform operating on a number of sites (including www.lafourchette.com, www.eltenedor.com, www.iens.nl and www.dimmi.com.au), with a network of restaurant partners primarily across Europe and Australia. We generate revenue by charging our restaurant partners a fee for each restaurant guest, or seated diner, that we facilitate through our online reservation systems. TheFork also provides flexible online booking and a premium data and analytics tool, for which the restaurant owner pays a subscription fee. TheFork’s bookable inventory is also available on TripAdvisor-branded websites and mobile applications.</w:t>
      </w:r>
    </w:p>
    <w:p>
      <w:pPr>
        <w:spacing w:after="0" w:line="16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We provide information and services for users to research and book vacation and short-term rental properties, including full home</w:t>
      </w:r>
      <w:r>
        <w:rPr>
          <w:rFonts w:ascii="Arial" w:cs="Arial" w:eastAsia="Arial" w:hAnsi="Arial"/>
          <w:sz w:val="16"/>
          <w:szCs w:val="16"/>
          <w:i w:val="1"/>
          <w:iCs w:val="1"/>
          <w:color w:val="auto"/>
        </w:rPr>
        <w:t xml:space="preserve"> </w:t>
      </w:r>
      <w:r>
        <w:rPr>
          <w:rFonts w:ascii="Arial" w:cs="Arial" w:eastAsia="Arial" w:hAnsi="Arial"/>
          <w:sz w:val="16"/>
          <w:szCs w:val="16"/>
          <w:color w:val="auto"/>
        </w:rPr>
        <w:t>rentals, condominiums, villas, beach rentals, cabins and cottages. The Vacation Rentals business generates revenue primarily by offering individual property owners and property managers the ability to list their properties on our websites and mobile applications through a free-to-list, commission-based option and, to a lesser extent, by an annual subscription-based fee structure. These properties are listed on a number of websites, including www.flipkey.com, www.holidaylettings.co.uk, www.housetrip.com, www.niumba.com, and www.vacationhomerentals.com, as well as on our TripAdvisor-branded websites.</w:t>
      </w:r>
    </w:p>
    <w:p>
      <w:pPr>
        <w:spacing w:after="0" w:line="15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w:t>
      </w:r>
    </w:p>
    <w:p>
      <w:pPr>
        <w:spacing w:after="0" w:line="181"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6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non-recurring expenses and income.</w:t>
      </w:r>
    </w:p>
    <w:p>
      <w:pPr>
        <w:spacing w:after="0" w:line="184" w:lineRule="exact"/>
        <w:rPr>
          <w:sz w:val="20"/>
          <w:szCs w:val="20"/>
          <w:color w:val="auto"/>
        </w:rPr>
      </w:pPr>
    </w:p>
    <w:p>
      <w:pPr>
        <w:ind w:firstLine="548"/>
        <w:spacing w:after="0" w:line="289" w:lineRule="auto"/>
        <w:rPr>
          <w:sz w:val="20"/>
          <w:szCs w:val="20"/>
          <w:color w:val="auto"/>
        </w:rPr>
      </w:pPr>
      <w:r>
        <w:rPr>
          <w:rFonts w:ascii="Arial" w:cs="Arial" w:eastAsia="Arial" w:hAnsi="Arial"/>
          <w:sz w:val="16"/>
          <w:szCs w:val="16"/>
          <w:color w:val="auto"/>
        </w:rPr>
        <w:t>The following tables present our segment information for the three and nine months ended September 30, 2017 and 2016, and include a reconciliation of Adjusted EBITDA to Net Income.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use this information to evaluate operating segments. Accordingly, we do not regularly provide such information by segment to our chief operating decision maker. Intersegment revenue is not material and, in addition, already eliminated in the information by segment provided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center"/>
              <w:ind w:right="315"/>
              <w:spacing w:after="0"/>
              <w:rPr>
                <w:sz w:val="20"/>
                <w:szCs w:val="20"/>
                <w:color w:val="auto"/>
              </w:rPr>
            </w:pPr>
            <w:r>
              <w:rPr>
                <w:rFonts w:ascii="Arial" w:cs="Arial" w:eastAsia="Arial" w:hAnsi="Arial"/>
                <w:sz w:val="14"/>
                <w:szCs w:val="14"/>
                <w:b w:val="1"/>
                <w:bCs w:val="1"/>
                <w:color w:val="auto"/>
                <w:w w:val="91"/>
              </w:rPr>
              <w:t>Three months ended September 30, 2017</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Non-Hotel</w:t>
            </w:r>
          </w:p>
        </w:tc>
        <w:tc>
          <w:tcPr>
            <w:tcW w:w="400" w:type="dxa"/>
            <w:vAlign w:val="bottom"/>
          </w:tcPr>
          <w:p>
            <w:pPr>
              <w:spacing w:after="0"/>
              <w:rPr>
                <w:sz w:val="11"/>
                <w:szCs w:val="11"/>
                <w:color w:val="auto"/>
              </w:rPr>
            </w:pPr>
          </w:p>
        </w:tc>
        <w:tc>
          <w:tcPr>
            <w:tcW w:w="1380" w:type="dxa"/>
            <w:vAlign w:val="bottom"/>
          </w:tcPr>
          <w:p>
            <w:pPr>
              <w:jc w:val="center"/>
              <w:ind w:right="35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center"/>
              <w:ind w:left="90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312</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Adjusted EBITDA (1)</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9"/>
                <w:szCs w:val="19"/>
                <w:color w:val="auto"/>
              </w:rPr>
            </w:pPr>
          </w:p>
        </w:tc>
        <w:tc>
          <w:tcPr>
            <w:tcW w:w="1360" w:type="dxa"/>
            <w:vAlign w:val="bottom"/>
          </w:tcPr>
          <w:p>
            <w:pPr>
              <w:jc w:val="right"/>
              <w:ind w:right="81"/>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gridSpan w:val="3"/>
            <w:vMerge w:val="restart"/>
          </w:tcPr>
          <w:p>
            <w:pPr>
              <w:jc w:val="center"/>
              <w:ind w:right="315"/>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Non-Hotel</w:t>
            </w:r>
          </w:p>
        </w:tc>
        <w:tc>
          <w:tcPr>
            <w:tcW w:w="400" w:type="dxa"/>
            <w:vAlign w:val="bottom"/>
          </w:tcPr>
          <w:p>
            <w:pPr>
              <w:spacing w:after="0"/>
              <w:rPr>
                <w:sz w:val="11"/>
                <w:szCs w:val="11"/>
                <w:color w:val="auto"/>
              </w:rPr>
            </w:pPr>
          </w:p>
        </w:tc>
        <w:tc>
          <w:tcPr>
            <w:tcW w:w="1380" w:type="dxa"/>
            <w:vAlign w:val="bottom"/>
          </w:tcPr>
          <w:p>
            <w:pPr>
              <w:jc w:val="center"/>
              <w:ind w:right="35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center"/>
              <w:ind w:left="90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320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Adjusted EBITDA (2)</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9"/>
                <w:szCs w:val="19"/>
                <w:color w:val="auto"/>
              </w:rPr>
            </w:pPr>
          </w:p>
        </w:tc>
        <w:tc>
          <w:tcPr>
            <w:tcW w:w="1360" w:type="dxa"/>
            <w:vAlign w:val="bottom"/>
          </w:tcPr>
          <w:p>
            <w:pPr>
              <w:jc w:val="right"/>
              <w:ind w:right="81"/>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gridSpan w:val="3"/>
            <w:vMerge w:val="restart"/>
          </w:tcPr>
          <w:p>
            <w:pPr>
              <w:jc w:val="center"/>
              <w:ind w:right="315"/>
              <w:spacing w:after="0"/>
              <w:rPr>
                <w:sz w:val="20"/>
                <w:szCs w:val="20"/>
                <w:color w:val="auto"/>
              </w:rPr>
            </w:pPr>
            <w:r>
              <w:rPr>
                <w:rFonts w:ascii="Arial" w:cs="Arial" w:eastAsia="Arial" w:hAnsi="Arial"/>
                <w:sz w:val="14"/>
                <w:szCs w:val="14"/>
                <w:b w:val="1"/>
                <w:bCs w:val="1"/>
                <w:color w:val="auto"/>
                <w:w w:val="91"/>
              </w:rPr>
              <w:t>Nine months ended September 30, 2017</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Non-Hotel</w:t>
            </w:r>
          </w:p>
        </w:tc>
        <w:tc>
          <w:tcPr>
            <w:tcW w:w="400" w:type="dxa"/>
            <w:vAlign w:val="bottom"/>
          </w:tcPr>
          <w:p>
            <w:pPr>
              <w:spacing w:after="0"/>
              <w:rPr>
                <w:sz w:val="11"/>
                <w:szCs w:val="11"/>
                <w:color w:val="auto"/>
              </w:rPr>
            </w:pPr>
          </w:p>
        </w:tc>
        <w:tc>
          <w:tcPr>
            <w:tcW w:w="1380" w:type="dxa"/>
            <w:vAlign w:val="bottom"/>
          </w:tcPr>
          <w:p>
            <w:pPr>
              <w:jc w:val="center"/>
              <w:ind w:right="35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center"/>
              <w:ind w:left="90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952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81"/>
              <w:spacing w:after="0"/>
              <w:rPr>
                <w:sz w:val="20"/>
                <w:szCs w:val="20"/>
                <w:color w:val="auto"/>
              </w:rPr>
            </w:pPr>
            <w:r>
              <w:rPr>
                <w:rFonts w:ascii="Arial" w:cs="Arial" w:eastAsia="Arial" w:hAnsi="Arial"/>
                <w:sz w:val="18"/>
                <w:szCs w:val="18"/>
                <w:color w:val="auto"/>
              </w:rPr>
              <w:t>283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Depreciation</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Other expense, net</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24</w:t>
            </w: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Hotel</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380" w:type="dxa"/>
            <w:vAlign w:val="bottom"/>
          </w:tcPr>
          <w:p>
            <w:pPr>
              <w:jc w:val="right"/>
              <w:ind w:right="37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455"/>
              <w:spacing w:after="0"/>
              <w:rPr>
                <w:sz w:val="20"/>
                <w:szCs w:val="20"/>
                <w:color w:val="auto"/>
              </w:rPr>
            </w:pPr>
            <w:r>
              <w:rPr>
                <w:rFonts w:ascii="Arial" w:cs="Arial" w:eastAsia="Arial" w:hAnsi="Arial"/>
                <w:sz w:val="14"/>
                <w:szCs w:val="14"/>
                <w:b w:val="1"/>
                <w:bCs w:val="1"/>
                <w:color w:val="auto"/>
              </w:rPr>
              <w:t>Unallocated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ind w:left="9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939</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1"/>
              <w:spacing w:after="0"/>
              <w:rPr>
                <w:sz w:val="20"/>
                <w:szCs w:val="20"/>
                <w:color w:val="auto"/>
              </w:rPr>
            </w:pPr>
            <w:r>
              <w:rPr>
                <w:rFonts w:ascii="Arial" w:cs="Arial" w:eastAsia="Arial" w:hAnsi="Arial"/>
                <w:sz w:val="18"/>
                <w:szCs w:val="18"/>
                <w:color w:val="auto"/>
              </w:rPr>
              <w:t>225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(2)</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309</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Depreciation</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Other expense, net</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right="1400" w:hanging="492"/>
        <w:spacing w:after="0" w:line="29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allocated general and administrative expenses in our Hotel segment of $22 million and $60 million for the three and nine months ended September 30, 2017, respectively, and in our Non-Hotel segment of $11 million and $30 million for the same periods.</w:t>
      </w:r>
    </w:p>
    <w:p>
      <w:pPr>
        <w:ind w:left="500" w:right="1380" w:hanging="492"/>
        <w:spacing w:after="0" w:line="323"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allocated general and administrative expenses in our Hotel segment of $21 million and $63 million for the three and nine months ended September 30, 2016, respectively, and in our Non-Hotel segment of $10 million and $28 million for the same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2016.</w:t>
      </w:r>
    </w:p>
    <w:p>
      <w:pPr>
        <w:spacing w:after="0" w:line="6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nine months ended September 30, 2017, Part II, Item 1A, “Risk Factors.”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TripAdvisor, our flagship brand, is the world’s largest travel site, and its mission is to help people around the world plan, book and experience the perfect trip. We accomplish this by, among other things, aggregating millions of members’ reviews and opinions about destinations, accommodations, activities and attractions, and restaurants worldwide, thereby creating the foundation for a unique platform that enables users to research and plan their travel experiences. Our platform also enables users to compare real-time pricing and availability for these experiences as well as to book hotels, flights, cruises, vacation rentals, tours, activities and attractions, and restaurants, either on a TripAdvisor site or mobile app, or on the site or app of one of our travel partner sites.</w:t>
      </w:r>
    </w:p>
    <w:p>
      <w:pPr>
        <w:spacing w:after="0" w:line="16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Our TripAdvisor-branded websites include tripadvisor.com in the United States and localized versions of the TripAdvisor website in 48 markets and 28 languages worldwide. Our TripAdvisor-branded websites reached 455 million average monthly unique visitors during the quarter ended September 30, 2017, according to our internal log files. We currently feature over 570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5" w:name="page26"/>
    <w:bookmarkEnd w:id="25"/>
    <w:p>
      <w:pPr>
        <w:ind w:right="200"/>
        <w:spacing w:after="0" w:line="268" w:lineRule="auto"/>
        <w:rPr>
          <w:sz w:val="20"/>
          <w:szCs w:val="20"/>
          <w:color w:val="auto"/>
        </w:rPr>
      </w:pPr>
      <w:r>
        <w:rPr>
          <w:rFonts w:ascii="Arial" w:cs="Arial" w:eastAsia="Arial" w:hAnsi="Arial"/>
          <w:sz w:val="17"/>
          <w:szCs w:val="17"/>
          <w:color w:val="auto"/>
        </w:rPr>
        <w:t>reviews and opinions on 7.3 million places to stay, places to eat and things to do – including 1.2 million hotels and accommodations and 780,000 vacation rentals, 4.4 million restaurants and 875,000 activities and attractions worldwide. In addition to the flagship TripAdvisor brand, we now manage and operate the following 20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w:t>
      </w:r>
    </w:p>
    <w:p>
      <w:pPr>
        <w:spacing w:after="0" w:line="1" w:lineRule="exact"/>
        <w:rPr>
          <w:sz w:val="20"/>
          <w:szCs w:val="20"/>
          <w:color w:val="auto"/>
        </w:rPr>
      </w:pPr>
    </w:p>
    <w:p>
      <w:pPr>
        <w:ind w:right="1280"/>
        <w:spacing w:after="0" w:line="261" w:lineRule="auto"/>
        <w:rPr>
          <w:sz w:val="20"/>
          <w:szCs w:val="20"/>
          <w:color w:val="auto"/>
        </w:rPr>
      </w:pPr>
      <w:r>
        <w:rPr>
          <w:rFonts w:ascii="Arial" w:cs="Arial" w:eastAsia="Arial" w:hAnsi="Arial"/>
          <w:sz w:val="18"/>
          <w:szCs w:val="18"/>
          <w:color w:val="auto"/>
        </w:rPr>
        <w:t>www.jetsetter.com, www.niumba.com, www.onetime.com, www.oyster.com, www.seatguru.com, www.smartertravel.com, www.tingo.com, www.vacationhomerentals.com, and www.viator.com.</w:t>
      </w:r>
    </w:p>
    <w:p>
      <w:pPr>
        <w:spacing w:after="0" w:line="184" w:lineRule="exact"/>
        <w:rPr>
          <w:sz w:val="20"/>
          <w:szCs w:val="20"/>
          <w:color w:val="auto"/>
        </w:rPr>
      </w:pPr>
    </w:p>
    <w:p>
      <w:pPr>
        <w:ind w:right="480" w:firstLine="518"/>
        <w:spacing w:after="0" w:line="312" w:lineRule="auto"/>
        <w:rPr>
          <w:sz w:val="20"/>
          <w:szCs w:val="20"/>
          <w:color w:val="auto"/>
        </w:rPr>
      </w:pPr>
      <w:r>
        <w:rPr>
          <w:rFonts w:ascii="Arial" w:cs="Arial" w:eastAsia="Arial" w:hAnsi="Arial"/>
          <w:sz w:val="16"/>
          <w:szCs w:val="16"/>
          <w:color w:val="auto"/>
        </w:rPr>
        <w:t>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and Trends</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As the largest online travel platform, we believe we are an attractive marketing channel for advertisers—including hotel chains, independent hoteliers, online travel agencies, or OTAs, destination marketing organizations, and other travel-related and non-travel related product and service providers— who seek to sell their products and services to our large user base. We offer users the ability to do real-time price comparison through our metasearch product, as well as the ability to book hotels, flights, cruises, vacation rentals, tours, activities and attractions, and restaurants either directly on our website or mobile app through our instant booking product or on one of our travel partner sites. The key drivers of our financial results are described below, including a summary of our growth strategy, current trends affecting our business, and our segment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leverage significant investments in technology, operations, brand-building, and relationships with advertisers and other partners to expand our business and enhance our global competitive position. We continue to focus on the following areas to grow our business:</w:t>
      </w:r>
    </w:p>
    <w:p>
      <w:pPr>
        <w:spacing w:after="0" w:line="62" w:lineRule="exact"/>
        <w:rPr>
          <w:sz w:val="20"/>
          <w:szCs w:val="20"/>
          <w:color w:val="auto"/>
        </w:rPr>
      </w:pPr>
    </w:p>
    <w:p>
      <w:pPr>
        <w:ind w:left="1040" w:hanging="384"/>
        <w:spacing w:after="0" w:line="270"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Delivering a Great User Experience. </w:t>
      </w:r>
      <w:r>
        <w:rPr>
          <w:rFonts w:ascii="Arial" w:cs="Arial" w:eastAsia="Arial" w:hAnsi="Arial"/>
          <w:sz w:val="17"/>
          <w:szCs w:val="17"/>
          <w:color w:val="auto"/>
        </w:rPr>
        <w:t>Over the past few years, we have made significant product enhancements aimed at delivering an end-to-end user experience – from discovery, to researching, price shopping and booking – on the TripAdvisor platform. These enhancements include introducing hotel price comparison tools in 2013, enabling users to book accommodations on our platforms as well as expanding our product offerings to include attractions and restaurants. More recently, we launched a newly redesigned website that offers a simplified, more engaging shopping experience on TripAdvisor. Over time, we believe that a continued focus on delivering more robust products to our users will result in more repeat usage on our platform, higher conversion to transactions for our partners and greater monetization for our business. Our innovative “Speed Wins” culture supports quickly identifying what users want as they conduct their travel research and booking and bringing product enhancements to our users quickly. This includes growing high-quality content, offering best room price availability on hotel listings, building a large marketplace of bookable supply for in-destination activities, and providing users timely email and mobile push notifications, helping them to find and book great travel options at the lowest prices.</w:t>
      </w:r>
    </w:p>
    <w:p>
      <w:pPr>
        <w:spacing w:after="0" w:line="69" w:lineRule="exact"/>
        <w:rPr>
          <w:rFonts w:ascii="Arial" w:cs="Arial" w:eastAsia="Arial" w:hAnsi="Arial"/>
          <w:sz w:val="17"/>
          <w:szCs w:val="17"/>
          <w:color w:val="auto"/>
        </w:rPr>
      </w:pPr>
    </w:p>
    <w:p>
      <w:pPr>
        <w:ind w:left="1040" w:right="20" w:hanging="384"/>
        <w:spacing w:after="0" w:line="287"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High-Quality Traffic to Our Platform. </w:t>
      </w:r>
      <w:r>
        <w:rPr>
          <w:rFonts w:ascii="Arial" w:cs="Arial" w:eastAsia="Arial" w:hAnsi="Arial"/>
          <w:sz w:val="16"/>
          <w:szCs w:val="16"/>
          <w:color w:val="auto"/>
        </w:rPr>
        <w:t>TripAdvisor is a globally-recognized travel brand and, with 455 million average monthly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unique visitors, according to our internal log files, this represents the largest online audience of any travel brand. We seek to amplify our global brand and products through various online and offline marketing channels in order to increase the number of users who navigate to our site either directly, also known as domain direct traffic, or from other marketing channels. We utilize a number of offline advertising channels, including permanent branding campaigns such as TripAdvisor branded campaigns (awards, certificates, stickers and badges, for example) and television advertising. We also leverage a number of online advertising channels, including: customer relationship management, or CRM; email campaigns; social networks; search engine marketing, or SEM, which promotes our websites by increasing their visibility in search engine results through paid placements, contextual advertising and paid inclusions; and retargeting, which targets consumers based on their search behavior. In addition, for sources of user traffic, we also rely on search engine optimization, or SEO, which promotes websites with relevant and current content that rank well in “organic,” or unpaid search engine results, as well as referrals from partners whose sites contain links to TripAdvisor content. In order to continue growing unique visitors to our websites and enhancing the quality of those visits, we intend to continue to invest in, some or all of, the aforementioned channels, as well as any new channels that we may identify in the future.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ind w:left="1040" w:right="100" w:hanging="384"/>
        <w:spacing w:after="0" w:line="272"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Enhancing Our Mobile Phone Offerings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Innovating and improving our mobile phone products are key priorities since mobile phone devices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proliferate and consumers increasingly conduct more internet searches and commerce on these devices. During the quarter ended September 30, 2017, over half of our average monthly unique visitors came from mobile phone, growing 30% year-over-year, according to our internal log files. We anticipate that the growth rate in mobile phone monthly unique visitors will continue to exceed the growth rate of our overall monthly unique visitors, resulting in an increased proportion of users continuing to use their mobile phone devices to access the full range of services available on our websites and applications. We are investing significant resources to improve the features, functionality, engagement, and commercialization of our travel products on our mobile websites and applications.</w:t>
      </w:r>
    </w:p>
    <w:p>
      <w:pPr>
        <w:spacing w:after="0" w:line="69" w:lineRule="exact"/>
        <w:rPr>
          <w:rFonts w:ascii="Arial" w:cs="Arial" w:eastAsia="Arial" w:hAnsi="Arial"/>
          <w:sz w:val="17"/>
          <w:szCs w:val="17"/>
          <w:color w:val="auto"/>
        </w:rPr>
      </w:pPr>
    </w:p>
    <w:p>
      <w:pPr>
        <w:ind w:left="1040" w:right="80" w:hanging="384"/>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Our Attractions, Restaurants and Vacation Rentals Businesses. </w:t>
      </w:r>
      <w:r>
        <w:rPr>
          <w:rFonts w:ascii="Arial" w:cs="Arial" w:eastAsia="Arial" w:hAnsi="Arial"/>
          <w:sz w:val="18"/>
          <w:szCs w:val="18"/>
          <w:color w:val="auto"/>
        </w:rPr>
        <w:t>A significant percentage of our 455 million average monthly unique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visit our websites to review content related to the 875,000 activities and attractions, 4.4 million restaurants, and 780,000 vacation rentals on our platform, and we believe that continuing to grow the number of listings and bookable products, especially in our in-destination Attractions and Restaurants businesses, will enable TripAdvisor to capitalize on a unique opportunity to delight users in more moments during more trips. We believe continuing to invest in improving the product experience, especially on mobile phone, enhancing our supply network and growing demand via online marketing channels will generate increased user demand, repeat usage, increased travel bookings and more revenue on our platform.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in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 Segment</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During 2017, we have continued to improve our hotel shopping experience, which included the launch of a redesigned TripAdvisor website and mobile applications. In addition to making the site cleaner and faster over the past year, another core product focus for us has been to make it easier for our users to find the lowest hotel prices on TripAdvisor. We have and will continue to seek new ways to provide a better end-to-end hotel shopping experience, by improving room-level content, optimizing the room selection process and helping users book with our hotelier and OTA partners. On the supply side, we continue to on-board more partners that have unique brand, supply or room pricing to provide consumers a more comprehensive selection of accommodations in an effort to achieve higher repeat usage and conversion of hotel shoppers to bookings and higher cost-per-click rates on our platform.</w:t>
      </w:r>
    </w:p>
    <w:p>
      <w:pPr>
        <w:spacing w:after="0" w:line="57"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The market to help users find and book hotels online is large and growing. It also remains highly competitive. We compete with other travel companies and search engines for hotel shoppers, or the users we try to bring to view TripAdvisor hotel pages. Over time, increased competition has caused hotel shoppers visiting our websites and applications from paid online marketing channels, such as SEM, to grow faster than traffic from unpaid online marketing channels, such as SEO. Hotel shoppers from unpaid online marketing channels, such as users that navigate directly to our homepage or applications through branded search queries on search engines, are of the highest value to our business. Following the launch of our new hotel shopping experience, we launched a brand advertising campaign, or television campaign, in June 2017 aimed at increasing usage of TripAdvisor as a place to find and book the best hotels at the lowest prices. We also continue to leverage a number of other marketing channels, both paid and unpaid, to achieve this objective, including online efforts such as social media and CRM, as well as offline efforts such as TripAdvisor-branded advertising campaigns. We will continue to optimize our mix of marketing investments based on the relative growth opportunity, the expected returns and the competitive environment in which we operate. We believe optimizing our marketing mix to include brand advertising will help TripAdvisor establish a more durable, long-lasting direct relationship with users shopping for hotels, with a greater financial return than we would be able to achieve from online paid marketing. However, this marketing strategy comes with a near-term trade-off, as online paid marketing may better enable us to generate a short-term hotel shopper and click-based and transaction revenue, whereas we expect our television advertising campaign to generate such returns over a longer timeframe. Over time, we believe that, as more users visit TripAdvisor to compare hotel prices before they book, we will be able to drive revenue, marketing efficiency and profit growth.</w:t>
      </w:r>
    </w:p>
    <w:p>
      <w:pPr>
        <w:spacing w:after="0" w:line="64"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A key objective is to grow the number of hotel shoppers on our platform. In the third quarter of 2017, our average monthly unique hotel shoppers increased 7%, when compared to the same period in 2016, according to our internal log files. The increase is primarily due to the success in our paid online marketing strategy, as well as the general trend of an increasing number of hotel shoppers visiting our websites and apps on mobile phones, partially offset by marketing spend tradeoffs resulting from increased brand advertising investment in our television campaign, as discussed above.</w:t>
      </w:r>
    </w:p>
    <w:p>
      <w:pPr>
        <w:spacing w:after="0" w:line="6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During the third quarter of 2017, hotel shoppers that visited our websites and apps on mobile phones continued to grow significantly faster than traffic from desktop and tablet devices. Mobile phones currently generate significantly lower revenue per hotel shopper compared to desktop and tablet devices. We believe that this monetization difference is due to a number of factors, including the reduced ability to achieve marketing attribution on the mobile phone for facilitating traffic to partner websites and applications; our limited advertising opportunities on smaller screen devices; our historic positioning as a place to read reviews; and general consumer purchasing patterns on mobile phones resulting in lower booking intent, lower conversion to a booking, lower cost-per-click, and lower average gross booking value. As a result, the growth in hotel shoppers on mobile phones has remained a headwind against our revenue per hotel shopper and our TripAdvisor-branded click-based and transaction revenue. In addition,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7" w:name="page28"/>
    <w:bookmarkEnd w:id="27"/>
    <w:p>
      <w:pPr>
        <w:ind w:right="60"/>
        <w:spacing w:after="0" w:line="255" w:lineRule="auto"/>
        <w:rPr>
          <w:sz w:val="20"/>
          <w:szCs w:val="20"/>
          <w:color w:val="auto"/>
        </w:rPr>
      </w:pPr>
      <w:r>
        <w:rPr>
          <w:rFonts w:ascii="Arial" w:cs="Arial" w:eastAsia="Arial" w:hAnsi="Arial"/>
          <w:sz w:val="18"/>
          <w:szCs w:val="18"/>
          <w:color w:val="auto"/>
        </w:rPr>
        <w:t>general trend of increasing traffic to our websites and apps on mobile phones reduces our ability to grow TripAdvisor-branded display-based advertising revenue, as we believe prioritizing and preserving a cleaner user experience over increasing advertising units on smaller screen devices is the most appropriate way to engage more users on our mobile phone products. We continue to align product and marketing in mobile and invest in product development in order to improve the mobile user experience as well as to improve mobile phone traffic acquisition to increase our user base. We believe that, over the long-term, these efforts will result in increased usage and engagement, conversion of hotel shoppers to bookings for our hotel advertising partners and higher monetization rates for us.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Non-Hotel Segment</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ongoing product efforts to deliver an end-to-end user experience extend to our Non-Hotel segment, which includes our Attractions, Restaurants, and Vacation Rentals businesses. Our key growth strategies have been to grow users, improve our products and grow bookable supply. We continued to deliver on those objectives in the third quarter of 2017, as monthly unique users to these pages on our websites and applications continued to grow rapidly, we enhanced our product experience on all devices, and we grew the number of suppliers and bookable products on our platform. Notably, we have been able to increasingly leverage strong user growth on the TripAdvisor-branded platform to drive increased bookings, particularly in our Attractions business. Additionally, our Attractions and Restaurants businesses have both experienced increased engagement on mobile phones.</w:t>
      </w:r>
    </w:p>
    <w:p>
      <w:pPr>
        <w:spacing w:after="0" w:line="5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Continued successful execution of our key growth strategies and increased marketing and operating efficiencies primarily contributed to this segment’s revenue growth and profit growth in the third quarter of 2017, as compared to the same period in 2016. Our ongoing strategic objectives are to continue to enhance the user experience, drive increased user engagement and grow traffic, bookable products, and bookings in these businesses.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Refer to “Note 11: Segment Information” in the notes to the unaudited condensed consolidated financial statements in this Quarterly Report on Form 10-Q for financial information and additional descriptive information related to our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40" w:firstLine="518"/>
        <w:spacing w:after="0" w:line="342" w:lineRule="auto"/>
        <w:rPr>
          <w:sz w:val="20"/>
          <w:szCs w:val="20"/>
          <w:color w:val="auto"/>
        </w:rPr>
      </w:pPr>
      <w:r>
        <w:rPr>
          <w:rFonts w:ascii="Arial" w:cs="Arial" w:eastAsia="Arial" w:hAnsi="Arial"/>
          <w:sz w:val="16"/>
          <w:szCs w:val="16"/>
          <w:color w:val="auto"/>
        </w:rPr>
        <w:t>As of September 30, 2017, we had 3,236 employees. Of these employees, 51% were based in the United States. We believe that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advertisers to market to potential travelers and our financial performance, or revenue and profits, tend to be seasonal as well. As a result, our financial performance tends to be highest in the second and third quarters of a year, as it is a key period for leisure travel research and trip-taking, which includes the seasonal peak in traveler hotel and vacation rental stays, and tours and attractions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8" w:name="page29"/>
    <w:bookmarkEnd w:id="28"/>
    <w:p>
      <w:pPr>
        <w:ind w:right="60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820" w:hanging="299"/>
        <w:spacing w:after="0" w:line="232" w:lineRule="auto"/>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95" w:lineRule="exact"/>
        <w:rPr>
          <w:rFonts w:ascii="Arial" w:cs="Arial" w:eastAsia="Arial" w:hAnsi="Arial"/>
          <w:sz w:val="22"/>
          <w:szCs w:val="22"/>
          <w:color w:val="auto"/>
        </w:rPr>
      </w:pPr>
    </w:p>
    <w:p>
      <w:pPr>
        <w:ind w:left="820" w:right="100" w:hanging="299"/>
        <w:spacing w:after="0" w:line="232" w:lineRule="auto"/>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204"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See “Note 2: Significant Accounting Policies” in the notes to our unaudited condensed consolidated financial statements in this Quarterly Report on Form 10-Q for an overview of new accounting pronouncements that we have adopted or that we plan to adopt that have had or may have an impact on our financial statements.</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since December 31, 2016. For additional information about our accounting policies and estimates, refer to “Note 2: Significant Accounting Policies” in the notes to our consolidated financial statements in Item 8 of our Annual Report on Form 10-K for the year ended December 31, 2016.</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percentages)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16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64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2017 vs.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2017 vs.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421</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210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355</w:t>
            </w: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6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6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(13)</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Financial Data:</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20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6"/>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114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146050</wp:posOffset>
            </wp:positionV>
            <wp:extent cx="651764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(1) See “Adjusted EBITDA” discussion below for more information.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44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6"/>
              </w:rPr>
              <w:t>Three months ended September 30,</w:t>
            </w:r>
          </w:p>
        </w:tc>
        <w:tc>
          <w:tcPr>
            <w:tcW w:w="3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2"/>
              </w:rPr>
              <w:t>Nine months ended September 30,</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298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 vs. 2016</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220" w:type="dxa"/>
            <w:vAlign w:val="bottom"/>
            <w:tcBorders>
              <w:bottom w:val="single" w:sz="8" w:color="CFF0FC"/>
            </w:tcBorders>
          </w:tcPr>
          <w:p>
            <w:pPr>
              <w:spacing w:after="0"/>
              <w:rPr>
                <w:sz w:val="13"/>
                <w:szCs w:val="13"/>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7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5"/>
              <w:spacing w:after="0"/>
              <w:rPr>
                <w:sz w:val="20"/>
                <w:szCs w:val="20"/>
                <w:color w:val="auto"/>
              </w:rPr>
            </w:pPr>
            <w:r>
              <w:rPr>
                <w:rFonts w:ascii="Arial" w:cs="Arial" w:eastAsia="Arial" w:hAnsi="Arial"/>
                <w:sz w:val="14"/>
                <w:szCs w:val="14"/>
                <w:b w:val="1"/>
                <w:bCs w:val="1"/>
                <w:color w:val="auto"/>
              </w:rPr>
              <w:t>(in millions)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Hotel</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312</w:t>
            </w:r>
          </w:p>
        </w:tc>
        <w:tc>
          <w:tcPr>
            <w:tcW w:w="3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952</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127</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7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r>
      <w:tr>
        <w:trPr>
          <w:trHeight w:val="263"/>
        </w:trPr>
        <w:tc>
          <w:tcPr>
            <w:tcW w:w="2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439</w:t>
            </w:r>
          </w:p>
        </w:tc>
        <w:tc>
          <w:tcPr>
            <w:tcW w:w="3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72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3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38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Hotel</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3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7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407%</w:t>
            </w:r>
          </w:p>
        </w:tc>
      </w:tr>
      <w:tr>
        <w:trPr>
          <w:trHeight w:val="223"/>
        </w:trPr>
        <w:tc>
          <w:tcPr>
            <w:tcW w:w="2980" w:type="dxa"/>
            <w:vAlign w:val="bottom"/>
          </w:tcPr>
          <w:p>
            <w:pPr>
              <w:ind w:left="260"/>
              <w:spacing w:after="0"/>
              <w:rPr>
                <w:sz w:val="20"/>
                <w:szCs w:val="20"/>
                <w:color w:val="auto"/>
              </w:rPr>
            </w:pPr>
            <w:r>
              <w:rPr>
                <w:rFonts w:ascii="Arial" w:cs="Arial" w:eastAsia="Arial" w:hAnsi="Arial"/>
                <w:sz w:val="18"/>
                <w:szCs w:val="18"/>
                <w:color w:val="auto"/>
              </w:rPr>
              <w:t>Total Adjusted EBITDA</w:t>
            </w: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2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Adjusted EBITDA Margin by</w:t>
            </w:r>
          </w:p>
        </w:tc>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Segment </w:t>
            </w:r>
            <w:r>
              <w:rPr>
                <w:rFonts w:ascii="Arial" w:cs="Arial" w:eastAsia="Arial" w:hAnsi="Arial"/>
                <w:sz w:val="14"/>
                <w:szCs w:val="14"/>
                <w:color w:val="auto"/>
              </w:rPr>
              <w:t>(2)</w:t>
            </w: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Hotel</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2140" w:type="dxa"/>
            <w:vAlign w:val="bottom"/>
          </w:tcPr>
          <w:p>
            <w:pPr>
              <w:jc w:val="right"/>
              <w:ind w:right="1190"/>
              <w:spacing w:after="0"/>
              <w:rPr>
                <w:sz w:val="20"/>
                <w:szCs w:val="20"/>
                <w:color w:val="auto"/>
              </w:rPr>
            </w:pPr>
            <w:r>
              <w:rPr>
                <w:rFonts w:ascii="Arial" w:cs="Arial" w:eastAsia="Arial" w:hAnsi="Arial"/>
                <w:sz w:val="18"/>
                <w:szCs w:val="18"/>
                <w:color w:val="auto"/>
              </w:rPr>
              <w:t>31%</w:t>
            </w: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2440" w:type="dxa"/>
            <w:vAlign w:val="bottom"/>
          </w:tcPr>
          <w:p>
            <w:pPr>
              <w:jc w:val="right"/>
              <w:ind w:right="1470"/>
              <w:spacing w:after="0"/>
              <w:rPr>
                <w:sz w:val="20"/>
                <w:szCs w:val="20"/>
                <w:color w:val="auto"/>
              </w:rPr>
            </w:pPr>
            <w:r>
              <w:rPr>
                <w:rFonts w:ascii="Arial" w:cs="Arial" w:eastAsia="Arial" w:hAnsi="Arial"/>
                <w:sz w:val="18"/>
                <w:szCs w:val="18"/>
                <w:color w:val="auto"/>
              </w:rPr>
              <w:t>33%</w:t>
            </w: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17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35%</w:t>
            </w:r>
          </w:p>
        </w:tc>
        <w:tc>
          <w:tcPr>
            <w:tcW w:w="214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rPr>
              <w:t>15%</w:t>
            </w:r>
          </w:p>
        </w:tc>
        <w:tc>
          <w:tcPr>
            <w:tcW w:w="21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16%</w:t>
            </w:r>
          </w:p>
        </w:tc>
        <w:tc>
          <w:tcPr>
            <w:tcW w:w="2440" w:type="dxa"/>
            <w:vAlign w:val="bottom"/>
            <w:shd w:val="clear" w:color="auto" w:fill="CFF0FC"/>
          </w:tcPr>
          <w:p>
            <w:pPr>
              <w:jc w:val="right"/>
              <w:ind w:right="1410"/>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13" w:lineRule="exact"/>
        <w:rPr>
          <w:sz w:val="20"/>
          <w:szCs w:val="20"/>
          <w:color w:val="auto"/>
        </w:rPr>
      </w:pPr>
    </w:p>
    <w:p>
      <w:pPr>
        <w:ind w:left="1120" w:right="2620" w:hanging="301"/>
        <w:spacing w:after="0" w:line="227" w:lineRule="auto"/>
        <w:tabs>
          <w:tab w:leader="none" w:pos="1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in Adjusted EBITDA is a general and administrative expense allocation for each segment, which is based on the segment’s percentage of our total personnel costs, excluding stock-based compensation. See “Note 11: Segment Information” in the notes to our unaudited condensed consolidated financial statements for more information.</w:t>
      </w:r>
    </w:p>
    <w:p>
      <w:pPr>
        <w:ind w:left="1120" w:hanging="301"/>
        <w:spacing w:after="0"/>
        <w:tabs>
          <w:tab w:leader="none" w:pos="1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define “Adjusted EBITDA Margin by Segment”, as Adjusted EBITDA by segment divided by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-388620</wp:posOffset>
            </wp:positionV>
            <wp:extent cx="5351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Our Hotel segment revenue decreased by $8 million during the three months ended September 30, 2017, when compared to the same period in 2016, primarily due to a decrease of $11 million in TripAdvisor-branded click-based and transaction revenue during the three months ended September 30, 2017, partially offset by an increase of $3 million in TripAdvisor-branded display-based advertising and subscription revenue, all of which are discussed below. Our Hotel segment revenue increased by $13 million during the nine months ended September 30, 2017, when compared to the same period in 2016, primarily due to an increase of $23 million in TripAdvisor-branded click-based and transaction revenue during the nine months ended September 30, 2017, which was primarily offset by a decrease of $11 million in other hotel revenue during the nine months ended September 30, 2017, all of which are discussed below.</w:t>
      </w:r>
    </w:p>
    <w:p>
      <w:pPr>
        <w:spacing w:after="0" w:line="124"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Adjusted EBITDA and Adjusted EBITDA margin in our Hotel segment decreased by $48 million and decreased to 16%, during the three months ended September 30, 2017, respectively, when compared to the same period in 2016, primarily due to costs of our brand advertising campaign, or television campaign, which launched in June 2017. Adjusted EBITDA and Adjusted EBITDA margin in our Hotel segment decreased by $86 million and decreased to 23%, during the nine months ended September 30, 2017, respectively, when compared to the same period in 2016, primarily due to costs related to our television campaign, and also due to increased SEM and other online traffic acquisition costs during the first six months of 2017. During the three months ended September 30, 2017, our SEM and other online traffic costs were essentially flat, when compared to the same period in 2016, as we reduced our spending in online marketing channels and increased our spending in connection with our television campaign during the third quarter of 2017.</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table showing the revenue sources within our Hotel segment:</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2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2017 vs. 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2017 vs. 2016</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520"/>
              <w:spacing w:after="0" w:line="155" w:lineRule="exact"/>
              <w:rPr>
                <w:sz w:val="20"/>
                <w:szCs w:val="20"/>
                <w:color w:val="auto"/>
              </w:rPr>
            </w:pPr>
            <w:r>
              <w:rPr>
                <w:rFonts w:ascii="Arial" w:cs="Arial" w:eastAsia="Arial" w:hAnsi="Arial"/>
                <w:sz w:val="14"/>
                <w:szCs w:val="14"/>
                <w:b w:val="1"/>
                <w:bCs w:val="1"/>
                <w:color w:val="auto"/>
                <w:w w:val="99"/>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w w:val="99"/>
              </w:rPr>
              <w:t>TripAdvisor-branded click-based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and transaction</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195</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w w:val="93"/>
              </w:rPr>
              <w:t>619</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596</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based advertising and</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5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3"/>
              </w:rPr>
              <w:t>215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hotel revenue</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52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3"/>
              </w:rPr>
              <w:t>118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8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2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Hotel revenue</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52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3"/>
              </w:rPr>
              <w:t>952</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48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TripAdvisor-branded click-based and transaction revenue includes cost-per-click-based advertising revenue from our TripAdvisor-branded websites as well as transaction-based revenue from our hotel instant booking feature. For the three and nine months ended September 30, 2017, 63% and 65%, respectively, of our total Hotel segment revenue came from our TripAdvisor-branded click-based and transaction revenue. For the three and nine months ended September 30, 2016, 64% and 63%, respectively, of our total Hotel segment revenue was derived from our TripAdvisor-branded click-based and transaction revenue. TripAdvisor-branded click-based and transaction revenue during the three months ended September 30, 2017 decreased $11 million, when compared to the same period in 2016, primarily due to a decrease of 11% in revenue per hotel shopper, which was partially offset by an increase of 7% in average monthly unique hotel shoppers during the three months ended September 30, 2017, which is explained below. TripAdvisor-branded click-based and transaction revenue during the nine months ended September 30, 2017 increased $23 million, when compared to the same period in 2016, primarily due to an increase of 9% in average monthly unique hotel shoppers during the nine months ended September 30, 2017, which was partially offset by a decrease of 4% in revenue per hotel shopper, which is explained below.</w:t>
      </w:r>
    </w:p>
    <w:p>
      <w:pPr>
        <w:spacing w:after="0" w:line="7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largest source of Hotel segment revenue is click-based advertising revenue from our TripAdvisor-branded websites, which include links to our partners’ sites and contextually-relevant branded and related text links. Click-based advertising is generated primarily through our metasearch auction, a description of which follows. Our click-based advertising partners are predominantly OTAs and hoteliers. Click-based advertising is generally priced on a cost-per-click, or CPC, basis, with payments from advertisers based on the number of users who click on each type of link or, in other words, the conversion of a hotel shopper to a paid click. CPC is the price that a partner is willing to pay us for a hotel shopper lead and is determined in a competitive process that enables our partners to use our proprietary, automated bidding system to submit CPC bids to have their rates and availability listed on our site. When a partner submits a CPC bid, they are agreeing to pay the amount of that bid each time a user subsequently clicks on the link to the partner’s website. Bids can be submitted periodically – as often as daily– on a property-by-property basis. Primary factors used to determine the placement of partner links on our site include, but are not limited to, room night price, the size of the bid relative to other bids, and other variables. CPCs are generally lower in markets outside the U.S. market, and hotel shoppers visiting via mobile phones currently monetize at a significantly lower rate than hotel shoppers visiting via desktop or tablet.</w:t>
      </w:r>
    </w:p>
    <w:p>
      <w:pPr>
        <w:spacing w:after="0" w:line="12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Hotel segment transaction-based revenue is comprised of revenue from our hotel instant booking feature, which enables the merchant of record, generally an OTA or hotel partner, to pay a commission to TripAdvisor for a user that completes a hotel reservation on our website. Instant booking revenue is currently recognized under two different models: the transaction model and the consumption model. Under the consumption model, which currently represents the majority of our instant booking revenue, commission revenue is not recorded until such time as the traveler completes their stay, at which time our consumption partner is liable to us for commission payment. Under the transaction model commission revenue is recorded at the time a traveler books a hotel reservation on our site, as our transaction partner is liable for commission payments to us upon booking and the partner assumes the cancellation risk. OTA and hotel partner placement, as well as comparative hotel prices available to the traveler in the booking process under both models, is determined by a bidding process within our proprietary automated bidding system, that takes into account a number of variables, primarily hotel room prices, but also including other factors, such as conversion rates and commission rates, depending on the specific hotel selected. Instant booking commissions are primarily a function of average gross booking value generated from hotel reservations, cancellation rates experienced, and commission rates negotiated with each of our partners.</w:t>
      </w:r>
    </w:p>
    <w:p>
      <w:pPr>
        <w:spacing w:after="0" w:line="15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growth in average monthly unique hotel shoppers and revenue per hotel shopper growth, the latter of which measures how effectively we convert our hotel shoppers into revenue. We measure performance by calculating revenue per hotel shopper on an aggregate basis by dividing total TripAdvisor-branded click-based and transaction revenue by total average monthly unique hotel shoppers on TripAdvisor-branded websites for the periods presented.</w:t>
      </w:r>
    </w:p>
    <w:p>
      <w:pPr>
        <w:spacing w:after="0" w:line="14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While we believe that total traffic growth, or growth in monthly visits from unique visitors, is reflective of our overall brand growth, we also track and analyze sub-segments of our traffic and their correlation to revenue generation and utilize data regarding hotel shoppers as one of the key indicators of revenue growth. Hotel shoppers are visitors who view either a listing of hotels in a city or on a specific hotel page. The number of hotel shoppers tends to vary based on seasonality of the travel industry and general economic conditions, as well as other factors outside of our control. Given these factors, as well as the trend towards increased usage on mobile phones and international expansion, quarterly and annual hotel shopper growth is a difficult metric to forecast.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ind w:right="320" w:firstLine="518"/>
        <w:spacing w:after="0" w:line="277" w:lineRule="auto"/>
        <w:rPr>
          <w:sz w:val="20"/>
          <w:szCs w:val="20"/>
          <w:color w:val="auto"/>
        </w:rPr>
      </w:pPr>
      <w:r>
        <w:rPr>
          <w:rFonts w:ascii="Arial" w:cs="Arial" w:eastAsia="Arial" w:hAnsi="Arial"/>
          <w:sz w:val="18"/>
          <w:szCs w:val="18"/>
          <w:color w:val="auto"/>
        </w:rPr>
        <w:t>The below table summarizes our revenue per hotel shopper calculation and growth rate, in aggregate, for the periods presented (in millions, except calculated revenue per hotel shopper and percentages):</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 per hotel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1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205"/>
        </w:trPr>
        <w:tc>
          <w:tcPr>
            <w:tcW w:w="2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shopper: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TripAdvisor-branded</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click-based and</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 revenue</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3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40" w:type="dxa"/>
            <w:vAlign w:val="bottom"/>
          </w:tcPr>
          <w:p>
            <w:pPr>
              <w:ind w:left="240"/>
              <w:spacing w:after="0"/>
              <w:rPr>
                <w:sz w:val="20"/>
                <w:szCs w:val="20"/>
                <w:color w:val="auto"/>
              </w:rPr>
            </w:pPr>
            <w:r>
              <w:rPr>
                <w:rFonts w:ascii="Arial" w:cs="Arial" w:eastAsia="Arial" w:hAnsi="Arial"/>
                <w:sz w:val="18"/>
                <w:szCs w:val="18"/>
                <w:color w:val="auto"/>
              </w:rPr>
              <w:t>Divided by: Total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40"/>
              <w:spacing w:after="0"/>
              <w:rPr>
                <w:sz w:val="20"/>
                <w:szCs w:val="20"/>
                <w:color w:val="auto"/>
              </w:rPr>
            </w:pPr>
            <w:r>
              <w:rPr>
                <w:rFonts w:ascii="Arial" w:cs="Arial" w:eastAsia="Arial" w:hAnsi="Arial"/>
                <w:sz w:val="18"/>
                <w:szCs w:val="18"/>
                <w:color w:val="auto"/>
              </w:rPr>
              <w:t>average unique monthly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40"/>
              <w:spacing w:after="0"/>
              <w:rPr>
                <w:sz w:val="20"/>
                <w:szCs w:val="20"/>
                <w:color w:val="auto"/>
              </w:rPr>
            </w:pPr>
            <w:r>
              <w:rPr>
                <w:rFonts w:ascii="Arial" w:cs="Arial" w:eastAsia="Arial" w:hAnsi="Arial"/>
                <w:sz w:val="18"/>
                <w:szCs w:val="18"/>
                <w:color w:val="auto"/>
              </w:rPr>
              <w:t>hotel shoppers for the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quarter</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36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34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3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3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Revenue per hotel shopper decreased 11% during the three months ended September 30, 2017, when compared to the same period in 2016, according to our internal log files. The decrease was driven primarily by lower CPCs received in our click-based metasearch auction, as we observed partners increase marketing efficiency on our channel during the third quarter of 2017 resulting in lower CPC bids in all geographic areas, as well as the general trend of a greater percentage of hotel shoppers visiting TripAdvisor-branded websites and apps on mobile phones.</w:t>
      </w:r>
    </w:p>
    <w:p>
      <w:pPr>
        <w:spacing w:after="0" w:line="17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Revenue per hotel shopper decreased 4% during the nine months ended September 30, 2017, when compared to the same period in 2016, according to our internal log files. The decrease was driven primarily by the factors noted above, as well as by factors that primarily impacted us during the first six months of 2017, including dilution from product testing related to the second-quarter 2017 launch of our redesigned website and applications, foreign currency fluctuations and the timing of our instant booking feature rollout in certain non-U.S. markets during the first half of 2016, partially offset by strong growth in U.S. revenue per hotel shopper during the first six months of 2017.</w:t>
      </w:r>
    </w:p>
    <w:p>
      <w:pPr>
        <w:spacing w:after="0" w:line="188"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Our aggregate average monthly unique hotel shoppers on TripAdvisor-branded websites increased by 7% and 9% during the three and nine months ended September 30, 2017, respectively, when compared to the same periods in 2016, according to our internal log files. The increase in hotel shoppers for the three and nine months ended September 30, 2017 is primarily due to the success in our paid online marketing strategy, as well as the general trend of an increasing number of hotel shoppers visiting our websites and apps on mobile phones, partially offset by increased brand advertising spend related to our television campaign as part of our marketing mix, which we believe has a longer term return in comparison to online marketing spend.</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the three and nine months ended September 30, 2017, 24% and 23%, respectively, of our Hotel segment revenue came from our TripAdvisor-branded display-based advertising and subscription revenue, which primarily consists of revenue from display-based advertising and subscription-based hotel advertising revenue. For both the three and nine months ended September 30, 2016, 23% of our Hotel segment revenue was derived from our TripAdvisor-branded display-based advertising and subscription revenue.</w:t>
      </w:r>
    </w:p>
    <w:p>
      <w:pPr>
        <w:spacing w:after="0" w:line="16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TripAdvisor-branded display-based advertising and subscription revenue increased by $3 million or 4%, during the three months ended September 30, 2017, when compared to the same period in 2016. Display-based advertising revenue increased primarily due to an increase in impressions sold, partially offset by a slight decrease in pricing and the general trend of increasing traffic visiting our websites and apps on mobile phones. While we continue to focus on new product initiatives to drive growth, our subscription revenue was flat primarily as we work to enhance our product offering to hoteliers and increase our sales pipeline in this business, as well as hotel industry consolidation. Our TripAdvisor-branded display-based advertising and subscription revenue increased slightly by $1 million or 0%, during the nine months ended September 30, 2017, when compared to the same period in 2016.</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For the three and nine months ended September 30, 2017, 13% and 12%, respectively, of our Hotel segment revenue came from other hotel revenue. For the three and nine months ended September 30, 2016, 13% and 14%, respectively, of our Hotel segment revenue was derived from other hotel revenue. Our other hotel revenue primarily includes revenue from non-TripAdvisor branded websites, such as bookingbuddy.com, cruisecritic.com, and onetime.com, including click-based advertising revenue, display-based advertising revenue and room reservations sold through these websites. Our other hotel revenue was flat and decreased by $11 million during the three and nine months ended September 30, 2017, respectively, when compared to the same periods in 2016, primarily due to increased focus on return on marketing spend from paid marketing channels within this revenue stream.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Non-Hotel segment revenue increased by $26 million or 26%, and $58 million or 26% during the three and nine months ended September 30, 2017, respectively, when compared to the same periods in 2016, primarily driven by increased bookable supply, user demand, and increased bookings in our Attractions and Restaurants businesses.</w:t>
      </w:r>
    </w:p>
    <w:p>
      <w:pPr>
        <w:spacing w:after="0" w:line="14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Strong revenue growth in our Attractions business has been driven by the following factors: growth in bookings sourced by TripAdvisor, growth in bookable products, which leads to better consumer choice, as well as by growth in free and paid traffic sources. Another contributing factor is the improved shopping experience from the introduction of new features, such as attractions instant booking for mobile phone, which enables users to purchase tickets and tours seamlessly without leaving the mobile app. These factors are all contributing to more consumer choice and continued revenue growth as a result of increased bookings. Similarly, in our Restaurants business, continued strong revenue growth can be attributed to increased bookings in our most established markets, growth in mobile bookings, a continually improving user experience and an increase in bookable supply of restaurant listings during the three and nine months ended September 30, 2017, respectively, when compared to the same periods in 2016.</w:t>
      </w:r>
    </w:p>
    <w:p>
      <w:pPr>
        <w:spacing w:after="0" w:line="15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Non-Hotel segment Adjusted EBITDA increased $29 million and $61 million during the three and nine months ended September 30, 2017, respectively, when compared to the same periods in 2016. This increase was primarily due to increased revenue growth, for the reasons noted above, and increased efficiencies in paid online marketing channels and other operational efficiencies in our Attractions business, partially offset primarily by increased personnel and overhead costs to support growth in this segment for the three and nine months ended September 30, 2017.</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by Geography</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following table presents our consolidated revenue by geographic region. Revenue by geography is based on the geographic location of our websites.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2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Borders>
              <w:bottom w:val="single" w:sz="8" w:color="auto"/>
            </w:tcBorders>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8"/>
              </w:rPr>
              <w:t>2017 vs. 2016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2017 vs. 2016</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4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w:t>
            </w:r>
          </w:p>
        </w:tc>
        <w:tc>
          <w:tcPr>
            <w:tcW w:w="5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region:</w:t>
            </w:r>
          </w:p>
        </w:tc>
        <w:tc>
          <w:tcPr>
            <w:tcW w:w="5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1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245</w:t>
            </w:r>
          </w:p>
        </w:tc>
        <w:tc>
          <w:tcPr>
            <w:tcW w:w="8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225</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699</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627</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123</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ROW</w:t>
            </w:r>
          </w:p>
        </w:tc>
        <w:tc>
          <w:tcPr>
            <w:tcW w:w="5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52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8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421</w:t>
            </w:r>
          </w:p>
        </w:tc>
        <w:tc>
          <w:tcPr>
            <w:tcW w:w="15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48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400" w:hanging="514"/>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first quarter of 2017, we reclassified Canada, Middle East, Africa, Asia-Pacific (“APAC”) and Latin America (“LATAM”) into rest of world (“ROW”) when presenting our revenue by geographic region. Prior period amounts were reclassified to conform to the current presentation. This change had no effect on our consolidated financial statements in any reporting period.</w:t>
      </w:r>
    </w:p>
    <w:p>
      <w:pPr>
        <w:spacing w:after="0" w:line="16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U.S. revenue increased $20 million or 9%, during the three months ended September 30, 2017, when compared to the same period in 2016. U. S. revenue represented 56% and 53% of total revenue during the three months ended September 30, 2017 and 2016, respectively. This increase in the U.S. was due primarily to growth in our Attractions business. Revenue outside of the U.S., or non-U.S. revenue, decreased $2 million, or 1%, during the three months ended September 30, 2017, when compared to the same period in 2016. Non-U.S. revenue represented 44% and 47% of total revenue during the three months ended September 30, 2017 and 2016, respectively. The decline in our non-U.S. revenue, as a percentage of total revenue during this period was primarily due to growth in our Attractions business in the U.S and a higher growth rate in mobile phone hotel shoppers and a higher percentage of total hotel shoppers from mobile devices in non-U.S. markets during the period.</w:t>
      </w:r>
    </w:p>
    <w:p>
      <w:pPr>
        <w:spacing w:after="0" w:line="17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U.S. revenue increased $72 million or 11%, during the nine months ended September 30, 2017, when compared to the same period in 2016. U. S. revenue represented 57% and 54% of total revenue during the nine months ended September 30, 2017 and 2016, respectively. This increase was due to an increase in U.S. TripAdvisor-branded click-based and transaction revenue, driven by growth in U.S. revenue per hotel shopper during the nine months ended September 30, 2017, when compared to the same period in 2016, as well as growth in our Attractions business. Revenue outside of the U.S., or non-U.S. revenue, decreased $1 million or 0%, during the nine months ended September 30, 2017, when compared to the same period in 2016. Non-U.S. revenue represented 43% and 46% of total revenue during the nine months ended September 30, 2017 and 2016, respectively. The decline in our non-U.S. revenue, as a percentage of total revenue during these periods, was primarily driven by the factors noted above, as well as, foreign currency fluctuations and the timing of our instant booking feature rollout in certain non-U.S. markets during the first half of 2016.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3" w:name="page34"/>
    <w:bookmarkEnd w:id="33"/>
    <w:p>
      <w:pPr>
        <w:jc w:val="right"/>
        <w:ind w:right="9640"/>
        <w:spacing w:after="0"/>
        <w:rPr>
          <w:sz w:val="20"/>
          <w:szCs w:val="20"/>
          <w:color w:val="auto"/>
        </w:rPr>
      </w:pPr>
      <w:r>
        <w:rPr>
          <w:rFonts w:ascii="Arial" w:cs="Arial" w:eastAsia="Arial" w:hAnsi="Arial"/>
          <w:sz w:val="15"/>
          <w:szCs w:val="15"/>
          <w:b w:val="1"/>
          <w:bCs w:val="1"/>
          <w:color w:val="auto"/>
        </w:rPr>
        <w:t>Consolidated Expenses</w:t>
      </w:r>
    </w:p>
    <w:p>
      <w:pPr>
        <w:spacing w:after="0" w:line="156" w:lineRule="exact"/>
        <w:rPr>
          <w:sz w:val="20"/>
          <w:szCs w:val="20"/>
          <w:color w:val="auto"/>
        </w:rPr>
      </w:pPr>
    </w:p>
    <w:p>
      <w:pPr>
        <w:jc w:val="right"/>
        <w:ind w:right="96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expense and bonuses for certain customer support personnel who are directly involved in revenue generation.</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5"/>
          </w:tcPr>
          <w:p>
            <w:pPr>
              <w:jc w:val="center"/>
              <w:ind w:left="187"/>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Borders>
              <w:bottom w:val="single" w:sz="8" w:color="auto"/>
            </w:tcBorders>
            <w:gridSpan w:val="5"/>
          </w:tcPr>
          <w:p>
            <w:pPr>
              <w:jc w:val="center"/>
              <w:ind w:left="167"/>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gridSpan w:val="4"/>
            <w:shd w:val="clear" w:color="auto" w:fill="CFF0FC"/>
          </w:tcPr>
          <w:p>
            <w:pPr>
              <w:jc w:val="center"/>
              <w:ind w:right="22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gridSpan w:val="4"/>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Direct costs</w:t>
            </w:r>
          </w:p>
        </w:tc>
        <w:tc>
          <w:tcPr>
            <w:tcW w:w="84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66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4.6%</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4.5%</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4.7%</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Cost of revenue increased $1 million during both the three and nine months ended September 30, 2017 when compared to the same periods in 2016, primarily due to increased direct costs from merchant credit card and transaction fees in our Non-Hotel segment, as a result of revenue growth.</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3"/>
                <w:szCs w:val="13"/>
                <w:color w:val="auto"/>
              </w:rPr>
            </w:pPr>
          </w:p>
        </w:tc>
        <w:tc>
          <w:tcPr>
            <w:tcW w:w="11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3"/>
                <w:szCs w:val="13"/>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gridSpan w:val="4"/>
            <w:shd w:val="clear" w:color="auto" w:fill="CFF0FC"/>
          </w:tcPr>
          <w:p>
            <w:pPr>
              <w:jc w:val="center"/>
              <w:ind w:left="2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gridSpan w:val="4"/>
            <w:shd w:val="clear" w:color="auto" w:fill="CFF0FC"/>
          </w:tcPr>
          <w:p>
            <w:pPr>
              <w:jc w:val="center"/>
              <w:ind w:left="3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Direct costs</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Total selling and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49.9%</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50.2%</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52"/>
        <w:spacing w:after="0" w:line="302" w:lineRule="auto"/>
        <w:rPr>
          <w:sz w:val="20"/>
          <w:szCs w:val="20"/>
          <w:color w:val="auto"/>
        </w:rPr>
      </w:pPr>
      <w:r>
        <w:rPr>
          <w:rFonts w:ascii="Arial" w:cs="Arial" w:eastAsia="Arial" w:hAnsi="Arial"/>
          <w:sz w:val="16"/>
          <w:szCs w:val="16"/>
          <w:color w:val="auto"/>
        </w:rPr>
        <w:t>Direct selling and marketing costs increased $36 million during the three months ended September 30, 2017, when compared to the same period in 2016, driven primarily by an increase of $42 million in costs incurred related to the launch of our television campaign in June of 2017, which is recorded in our Hotel segment, partially offset by a decrease in other advertising costs. SEM and other online traffic acquisition costs were essentially flat during the three months ended September 30, 2017, when compared to the same period in 2016, as we shifted marketing spend to our television campaign.</w:t>
      </w:r>
    </w:p>
    <w:p>
      <w:pPr>
        <w:spacing w:after="0" w:line="154" w:lineRule="exact"/>
        <w:rPr>
          <w:sz w:val="20"/>
          <w:szCs w:val="20"/>
          <w:color w:val="auto"/>
        </w:rPr>
      </w:pPr>
    </w:p>
    <w:p>
      <w:pPr>
        <w:ind w:right="200" w:firstLine="552"/>
        <w:spacing w:after="0" w:line="259" w:lineRule="auto"/>
        <w:rPr>
          <w:sz w:val="20"/>
          <w:szCs w:val="20"/>
          <w:color w:val="auto"/>
        </w:rPr>
      </w:pPr>
      <w:r>
        <w:rPr>
          <w:rFonts w:ascii="Arial" w:cs="Arial" w:eastAsia="Arial" w:hAnsi="Arial"/>
          <w:sz w:val="18"/>
          <w:szCs w:val="18"/>
          <w:color w:val="auto"/>
        </w:rPr>
        <w:t>Direct selling and marketing costs increased $96 million during the nine months ended September 30, 2017, when compared to the same period in 2016, driven primarily by an increase of $58 million in costs incurred related to the launch of our television campaign in June of 2017, which is recorded in our Hotel segment, as well as an increase in SEM and other online traffic acquisition costs of $43 million, driven by our Hotel segment, partially offset by a decrease in other advertising costs.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20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3"/>
                <w:szCs w:val="13"/>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gridSpan w:val="3"/>
            <w:shd w:val="clear" w:color="auto" w:fill="CFF0FC"/>
          </w:tcPr>
          <w:p>
            <w:pPr>
              <w:jc w:val="center"/>
              <w:ind w:left="2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right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gridSpan w:val="4"/>
            <w:shd w:val="clear" w:color="auto" w:fill="CFF0FC"/>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Personnel and overhead</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tcPr>
          <w:p>
            <w:pPr>
              <w:ind w:left="240"/>
              <w:spacing w:after="0"/>
              <w:rPr>
                <w:sz w:val="20"/>
                <w:szCs w:val="20"/>
                <w:color w:val="auto"/>
              </w:rPr>
            </w:pPr>
            <w:r>
              <w:rPr>
                <w:rFonts w:ascii="Arial" w:cs="Arial" w:eastAsia="Arial" w:hAnsi="Arial"/>
                <w:sz w:val="18"/>
                <w:szCs w:val="18"/>
                <w:color w:val="auto"/>
              </w:rPr>
              <w:t>Total technology and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ind w:left="240"/>
              <w:spacing w:after="0"/>
              <w:rPr>
                <w:sz w:val="20"/>
                <w:szCs w:val="20"/>
                <w:color w:val="auto"/>
              </w:rPr>
            </w:pPr>
            <w:r>
              <w:rPr>
                <w:rFonts w:ascii="Arial" w:cs="Arial" w:eastAsia="Arial" w:hAnsi="Arial"/>
                <w:sz w:val="18"/>
                <w:szCs w:val="18"/>
                <w:color w:val="auto"/>
              </w:rPr>
              <w:t>content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w:t>
            </w:r>
          </w:p>
        </w:tc>
        <w:tc>
          <w:tcPr>
            <w:tcW w:w="90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15.9%</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Technology and content costs decreased $1 million during both the three and nine months ended September 30, 2017, respectively, when compared to the same period in 2016. Personnel and overhead costs decreased $1 million during the three months ended September 30, 2017, when compared to the same period in 2016, primarily due to a decrease in contingent staff costs, partially offset by an increase in personnel costs to support our mobile phone and website initiatives, as well as to support business growth. Personnel and overhead costs increased $5 million during the nine months ended September 30, 2017, when compared to the same period in 2016, primarily to support our mobile phone and website initiatives, as well as to support business growth, partially offset by a decrease in contingent staff costs. Other costs decreased by $6 million during the nine months ended September 30, 2017, when compared to the same period in 2016, primarily due to a decrease in content translation costs.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executive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 and charitable contributions.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Borders>
              <w:bottom w:val="single" w:sz="8" w:color="auto"/>
            </w:tcBorders>
            <w:gridSpan w:val="5"/>
          </w:tcPr>
          <w:p>
            <w:pPr>
              <w:jc w:val="center"/>
              <w:ind w:left="148"/>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gridSpan w:val="4"/>
            <w:shd w:val="clear" w:color="auto" w:fill="CFF0FC"/>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gridSpan w:val="4"/>
            <w:shd w:val="clear" w:color="auto" w:fill="CFF0FC"/>
          </w:tcPr>
          <w:p>
            <w:pPr>
              <w:jc w:val="center"/>
              <w:ind w:left="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Personnel and overhead</w:t>
            </w:r>
          </w:p>
        </w:tc>
        <w:tc>
          <w:tcPr>
            <w:tcW w:w="8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 fees</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and other</w:t>
            </w:r>
          </w:p>
        </w:tc>
        <w:tc>
          <w:tcPr>
            <w:tcW w:w="300" w:type="dxa"/>
            <w:vAlign w:val="bottom"/>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Total general and</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8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110</w:t>
            </w:r>
          </w:p>
        </w:tc>
        <w:tc>
          <w:tcPr>
            <w:tcW w:w="3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9.6%</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9.0%</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52"/>
        <w:spacing w:after="0" w:line="272" w:lineRule="auto"/>
        <w:rPr>
          <w:sz w:val="20"/>
          <w:szCs w:val="20"/>
          <w:color w:val="auto"/>
        </w:rPr>
      </w:pPr>
      <w:r>
        <w:rPr>
          <w:rFonts w:ascii="Arial" w:cs="Arial" w:eastAsia="Arial" w:hAnsi="Arial"/>
          <w:sz w:val="17"/>
          <w:szCs w:val="17"/>
          <w:color w:val="auto"/>
        </w:rPr>
        <w:t>General and administrative costs increased $4 million and $5 million during the three and nine months ended September 30, 2017, respectively, when compared to the same periods in 2016. Personnel and overhead costs increased $2 million and $8 million during the three and nine months ended September 30, 2017, respectively, when compared to the same periods in 2016, primarily related to an increase in stock-based compensation of $3 million and $6 million, respectively. Professional service fees and other increased $2 million during the three months ended September 30, 2017, when compared to the same period in 2016, primarily due to an increase in bad debt costs and non-income taxes, partially offset by a decrease in consulting costs. Professional service fees and other decreased $3 million during the nine months ended September 30, 2017, when compared to the same period in 2016, primarily due to a decrease in consulting costs and non-income taxes, partially offset by an increase in bad debt costs.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left="5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740" w:type="dxa"/>
            <w:vAlign w:val="bottom"/>
          </w:tcPr>
          <w:p>
            <w:pPr>
              <w:spacing w:after="0"/>
              <w:rPr>
                <w:sz w:val="20"/>
                <w:szCs w:val="20"/>
                <w:color w:val="auto"/>
              </w:rPr>
            </w:pPr>
          </w:p>
        </w:tc>
      </w:tr>
      <w:tr>
        <w:trPr>
          <w:trHeight w:val="431"/>
        </w:trPr>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04" w:right="219" w:bottom="1440" w:gutter="0" w:footer="0" w:header="0"/>
        </w:sectPr>
      </w:pPr>
    </w:p>
    <w:bookmarkStart w:id="35" w:name="page36"/>
    <w:bookmarkEnd w:id="35"/>
    <w:p>
      <w:pPr>
        <w:ind w:right="140" w:firstLine="518"/>
        <w:spacing w:after="0" w:line="308" w:lineRule="auto"/>
        <w:rPr>
          <w:sz w:val="20"/>
          <w:szCs w:val="20"/>
          <w:color w:val="auto"/>
        </w:rPr>
      </w:pPr>
      <w:r>
        <w:rPr>
          <w:rFonts w:ascii="Arial" w:cs="Arial" w:eastAsia="Arial" w:hAnsi="Arial"/>
          <w:sz w:val="17"/>
          <w:szCs w:val="17"/>
          <w:color w:val="auto"/>
        </w:rPr>
        <w:t>Depreciation expense increased $1 million and $6 million during the three and nine months ended September 30, 2017, respectively, when compared to the same periods in 2016, primarily due to increased amortization related to capitalized software and website development costs.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left="5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w w:val="98"/>
              </w:rPr>
              <w:t>Amortization of intangible assets</w:t>
            </w:r>
          </w:p>
        </w:tc>
        <w:tc>
          <w:tcPr>
            <w:tcW w:w="9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r>
      <w:tr>
        <w:trPr>
          <w:trHeight w:val="230"/>
        </w:trPr>
        <w:tc>
          <w:tcPr>
            <w:tcW w:w="25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160" w:lineRule="exact"/>
        <w:rPr>
          <w:sz w:val="20"/>
          <w:szCs w:val="20"/>
          <w:color w:val="auto"/>
        </w:rPr>
      </w:pPr>
    </w:p>
    <w:p>
      <w:pPr>
        <w:ind w:right="380" w:firstLine="589"/>
        <w:spacing w:after="0" w:line="286" w:lineRule="auto"/>
        <w:rPr>
          <w:sz w:val="20"/>
          <w:szCs w:val="20"/>
          <w:color w:val="auto"/>
        </w:rPr>
      </w:pPr>
      <w:r>
        <w:rPr>
          <w:rFonts w:ascii="Arial" w:cs="Arial" w:eastAsia="Arial" w:hAnsi="Arial"/>
          <w:sz w:val="17"/>
          <w:szCs w:val="17"/>
          <w:color w:val="auto"/>
        </w:rPr>
        <w:t>Amortization of intangible assets remained flat during the three months ended September 30, 2017, when compared to the same periods in 2016. Amortization of intangible assets increased $2 million during the nine months ended September 30, 2017, when compared to the same period in 2016, primarily due to incremental amortization from purchased indefinite lived intangibles related to our 2016 business acquisitions.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2016 Credit Facility, and Chinese Credit Facilities, as well as interest on our financing obligation related to our corporate headquarters.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7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84"/>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left="5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firstLine="552"/>
        <w:spacing w:after="0" w:line="259" w:lineRule="auto"/>
        <w:rPr>
          <w:sz w:val="20"/>
          <w:szCs w:val="20"/>
          <w:color w:val="auto"/>
        </w:rPr>
      </w:pPr>
      <w:r>
        <w:rPr>
          <w:rFonts w:ascii="Arial" w:cs="Arial" w:eastAsia="Arial" w:hAnsi="Arial"/>
          <w:sz w:val="18"/>
          <w:szCs w:val="18"/>
          <w:color w:val="auto"/>
        </w:rPr>
        <w:t>Interest expense increased $1 million during both the three and nine months ended September 30, 2017, when compared to the same periods in 2016, primarily due to an increase in interest incurred due to higher average outstanding borrowings and effective interest rates during the first nine months of 2017. Refer to “Note 6: Debt” in the notes to our unaudited condensed consolidated financial statements in this Quarterly Report on Form 10-Q for additional information on our 2015 Credit Facility, 2016 Credit Facility, and Chinese Credit Facilities.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Other, Net</w:t>
      </w:r>
    </w:p>
    <w:p>
      <w:pPr>
        <w:spacing w:after="0" w:line="12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auto"/>
                <w:w w:val="91"/>
              </w:rPr>
              <w:t>Nine months ended September 30,</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56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tcPr>
          <w:p>
            <w:pPr>
              <w:jc w:val="center"/>
              <w:ind w:right="58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gridSpan w:val="2"/>
          </w:tcPr>
          <w:p>
            <w:pPr>
              <w:jc w:val="center"/>
              <w:ind w:right="5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110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center"/>
              <w:ind w:right="562"/>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FF0FC"/>
          </w:tcPr>
          <w:p>
            <w:pPr>
              <w:jc w:val="right"/>
              <w:ind w:right="628"/>
              <w:spacing w:after="0"/>
              <w:rPr>
                <w:sz w:val="20"/>
                <w:szCs w:val="20"/>
                <w:color w:val="auto"/>
              </w:rPr>
            </w:pPr>
            <w:r>
              <w:rPr>
                <w:rFonts w:ascii="Arial" w:cs="Arial" w:eastAsia="Arial" w:hAnsi="Arial"/>
                <w:sz w:val="18"/>
                <w:szCs w:val="18"/>
                <w:color w:val="auto"/>
              </w:rPr>
              <w:t>-   $</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Interest income and other, net remained flat and increased $3 million during the three and nine months ended September 30, 2017, respectively, when compared to the same periods in 2016, primarily due higher transaction gains of $2 million and $5 million, respectively, as a result of the fluctuation of foreign exchange rates, partially offset by a loss of $2 million related to one of our cost-method investments recognized during the three months ended September 30, 2017.</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Provision for Income Taxes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Three months ended September 30,</w:t>
            </w: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2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lef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r>
      <w:tr>
        <w:trPr>
          <w:trHeight w:val="230"/>
        </w:trPr>
        <w:tc>
          <w:tcPr>
            <w:tcW w:w="226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93"/>
              </w:rPr>
              <w:t>34.2%</w:t>
            </w:r>
          </w:p>
        </w:tc>
        <w:tc>
          <w:tcPr>
            <w:tcW w:w="4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r>
    </w:tbl>
    <w:p>
      <w:pPr>
        <w:spacing w:after="0" w:line="20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both the three and nine months ended September 30, 2017, respectively, the effective tax rate is greater than the federal statutory rate primarily due to valuation allowances on losses in jurisdictions outside the United States, recognition of stock compensation shortfalls, and a change in the relative mix of pretax income among jurisdictions. These same drivers also resulted in an increase in the effective tax rate for the three and nine months ended September 30, 2017, respectively, when compared to same periods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other non-recurring expenses and income.</w:t>
      </w:r>
    </w:p>
    <w:p>
      <w:pPr>
        <w:spacing w:after="0" w:line="184"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7" w:name="page38"/>
    <w:bookmarkEnd w:id="37"/>
    <w:p>
      <w:pPr>
        <w:ind w:right="42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FF0FC"/>
          </w:tcPr>
          <w:p>
            <w:pPr>
              <w:jc w:val="right"/>
              <w:ind w:right="76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5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Add: Provision for income taxes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Add: Other expense (income), net</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Add: Amortization of intangible assets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30"/>
        </w:trPr>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Depreciation</w:t>
            </w:r>
          </w:p>
        </w:tc>
        <w:tc>
          <w:tcPr>
            <w:tcW w:w="6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9"/>
                <w:szCs w:val="19"/>
                <w:color w:val="auto"/>
              </w:rPr>
            </w:pPr>
          </w:p>
        </w:tc>
      </w:tr>
      <w:tr>
        <w:trPr>
          <w:trHeight w:val="223"/>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6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114</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For information on our relationship with Liberty TripAdvisor Holdings, Inc., refer to “Note 10: Related Party Transactions” in the notes to our unaudited condensed consolidated financial statements in this Quarterly Report on Form 10-Q. We had no related party transactions with LTRIP during the three and nine months ended September 30, 2017 and 2016,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Refer to “Note 3: Stock Based Awards and Other Equity Instruments” in the notes to our unaudited condensed consolidated financial statements in this Quarterly Report on Form 10-Q for further information on current year equity award activity, including the issuance of 1,529,127 service-based stock options with a weighted average grant-date fair value per option of $17.16 and 4,241,561 service-based RSUs with a weighted average grant-date fair value of $42.65 during the nine months ended September 30,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principal source of liquidity is cash flows generated from operations and cash, cash equivalents and marketable securities, although liquidity needs can also be met through drawdowns under our 2015 Credit Facility, 2016 Credit Facility, and Chinese Credit Facilities. As of September 30, 2017 and December 31, 2016, we had $769 million and $746 million, respectively, of cash, cash equivalents and short and long-term available-for-sale marketable securities. As of September 30, 2017, approximately $586 million of our cash, cash equivalents and short and long-term marketable securities are held by our subsidiaries outside the United States. Cumulative undistributed earnings of foreign subsidiaries that we intend to indefinitely reinvest outside of the United States totaled approximately $866 million as of September 30, 2017. Should we distribute, or be treated under certain U.S. tax rules as having distributed, the earnings of foreign subsidiaries in the form of dividends or otherwise, we may be subject to U.S. income taxes. To date, we have permanently reinvested our foreign earnings outside of the United States and we currently do not intend to repatriate these earnings to fund U.S. operations. Determination of the amount of any unrecognized deferred income tax liability on this temporary difference is not practicable because of the complexities of the hypothetical calculation. The majority of cash on hand is denominated in U.S. dollars.</w:t>
      </w:r>
    </w:p>
    <w:p>
      <w:pPr>
        <w:spacing w:after="0" w:line="178"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During the nine months ended September 30, 2017, we borrowed an additional $415 million and repaid $241 million of outstanding borrowings under the 2015 Credit Facility. These net borrowings during the year were primarily used to repurchase shares of our outstanding common stock under the Company’s share repurchase program described below. As of September 30, 2017, we had outstanding borrowings of $265 million in long-term debt, within our U.S. subsidiaries, and approximately $932 million of borrowing capacity available under our 2015 Credit Facility, which we are currently borrowing under a one-month interest period, which will reset periodically. The weighted average rate of our outstanding borrowings under the 2015 Credit Facility as of September 30, 2017 was 2.5% per annum. As of September 30, 2017, we were in compliance with the covenants in our 2015 Credit Facility. In addition, we had $73 million of additional borrowing capacity available under our 2016 Credit Facility. The Company repaid all outstanding borrowings under the 2016 Credit Facility during the three months ended March 31, 2017. Finally, as of September 30, 2017, we had short-term borrowings of $7 million and approximately $33 million of available borrowing capacity under our Chinese Credit Facilities, which currently bear interest at a weighted average rate of</w:t>
      </w:r>
    </w:p>
    <w:p>
      <w:pPr>
        <w:spacing w:after="0" w:line="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4.35%. For further discussion on our credit facilities refer to “Note 6: Debt” in the notes to our unaudited condensed consolidated financial statements in this Quarterly Report on Form 10-Q.</w:t>
      </w:r>
    </w:p>
    <w:p>
      <w:pPr>
        <w:spacing w:after="0" w:line="7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our Vacation Rentals free-to-list model and our Attractions business, we receive cash from travelers at the time of booking and we record these amounts, net of commissions, on our consolidated balance sheets as deferred merchant payables. We pay the suppliers, or the vacation rental owners and tour providers, respectively, after the travelers’ use. Therefore, we receive cash from the traveler prior to paying the supplier and this operating cycle represents a working capital source or use of cash to us. Seasonal fluctuations in these transactions affect the timing of our annual cash flows related to working capital. During the first half of the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right="200"/>
        <w:spacing w:after="0" w:line="259" w:lineRule="auto"/>
        <w:rPr>
          <w:sz w:val="20"/>
          <w:szCs w:val="20"/>
          <w:color w:val="auto"/>
        </w:rPr>
      </w:pPr>
      <w:r>
        <w:rPr>
          <w:rFonts w:ascii="Arial" w:cs="Arial" w:eastAsia="Arial" w:hAnsi="Arial"/>
          <w:sz w:val="18"/>
          <w:szCs w:val="18"/>
          <w:color w:val="auto"/>
        </w:rPr>
        <w:t>vacation rentals and attractions bookings typically exceed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79"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new share repurchase program. As of June 30, 2017, we had repurchased a total of 6,079,003 shares of the Company’s outstanding common stock at an average share price of $41.13, or $250 million in the aggregate, and completed this share repurchase program.</w:t>
      </w:r>
    </w:p>
    <w:p>
      <w:pPr>
        <w:spacing w:after="0" w:line="73"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We believe that our available cash and marketable securities, combined with expected cash flows generated by operating activities and available cash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and/or other expenditures in support of our business strategy; thus potentially reducing our cash balance and/or increasing our debt. We expect total capital expenditures for 2017 to be comparable to our 2016 spending levels.</w:t>
      </w:r>
    </w:p>
    <w:p>
      <w:pPr>
        <w:spacing w:after="0" w:line="5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Our cash flows from/(used in) in operating, investing and financing activities during the periods presented, as reflected in the unaudited condensed consolidated statements of cash flows, are summarized in the following table:</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Nine months ended September 30,</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74"/>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60" w:type="dxa"/>
            <w:vAlign w:val="bottom"/>
            <w:vMerge w:val="restart"/>
          </w:tcPr>
          <w:p>
            <w:pPr>
              <w:spacing w:after="0"/>
              <w:rPr>
                <w:sz w:val="20"/>
                <w:szCs w:val="20"/>
                <w:color w:val="auto"/>
              </w:rPr>
            </w:pPr>
            <w:r>
              <w:rPr>
                <w:rFonts w:ascii="Arial" w:cs="Arial" w:eastAsia="Arial" w:hAnsi="Arial"/>
                <w:sz w:val="18"/>
                <w:szCs w:val="18"/>
                <w:color w:val="auto"/>
              </w:rPr>
              <w:t>Net cash provided by (used in):</w:t>
            </w: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activities</w:t>
            </w:r>
          </w:p>
        </w:tc>
        <w:tc>
          <w:tcPr>
            <w:tcW w:w="286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220</w:t>
            </w:r>
          </w:p>
        </w:tc>
        <w:tc>
          <w:tcPr>
            <w:tcW w:w="104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64</w:t>
            </w:r>
          </w:p>
        </w:tc>
        <w:tc>
          <w:tcPr>
            <w:tcW w:w="10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Financing activities</w:t>
            </w:r>
          </w:p>
        </w:tc>
        <w:tc>
          <w:tcPr>
            <w:tcW w:w="16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(163)</w:t>
            </w:r>
          </w:p>
        </w:tc>
        <w:tc>
          <w:tcPr>
            <w:tcW w:w="10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For the nine months ended September 30, 2017, net cash provided by operating activities decreased by $56 million or 20% when compared to the same period in 2016, primarily due to a decrease in net income of $54 million and a net decrease in working capital of $22 million, partially offset by an increase in non-cash items affecting cash flow of $20 million. The decrease in working capital movements of $22 million was primarily due to timing of collection of receivables, income tax payments, and vendor payments, partially offset by an increase in operating cash flow from deferred merchant payables primarily due to growth in our Attractions business.</w:t>
      </w:r>
    </w:p>
    <w:p>
      <w:pPr>
        <w:spacing w:after="0" w:line="8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nine months ended September 30, 2017, net cash provided by investing activities increased by $204 million when compared to the same period in 2016, primarily due to a net increase in cash generated by the purchase, sales, and maturities of our marketable securities of $175 million, a decrease in cash paid for business acquisitions of $23 million and a decrease in capital expenditures of $7 million.</w:t>
      </w:r>
    </w:p>
    <w:p>
      <w:pPr>
        <w:spacing w:after="0" w:line="73"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For the nine months ended September 30, 2017, net cash used in financing activities increased by $30 million when compared to the same period in 2016, primarily due to an increase of $229 million in cash used in 2017 to purchase shares of our common stock under the authorized share repurchase program, net new borrowings on our 2016 Credit Facility of $73 million in 2016 which was subsequently repaid in 2017, partially offset by an increase in net borrowings under our 2015 Credit Facility of $352 million for the first nine months of 2017, when compared to the same period in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Since December 31, 2016, there have been no material changes outside the normal course of business to our contractual obligations and commercial commitments. As of September 30, 2017, other than our contractual obligations and commercial commitments, we did not have any off-balance sheet arrangements as defined in Item 303(a)(4)(ii) of Regulation S-K promulgated by the SEC. Refer to “Liquidity and Capital Resources” in Part II, Item 7. — Management’s Discussion and Analysis of Financial Condition and Results of Operations of our Annual Report on Form 10-K for the year ended December 31, 2016 for a discussion of our contractual obligations and commercial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9" w:name="page40"/>
    <w:bookmarkEnd w:id="39"/>
    <w:p>
      <w:pPr>
        <w:spacing w:after="0" w:line="255" w:lineRule="auto"/>
        <w:rPr>
          <w:sz w:val="20"/>
          <w:szCs w:val="20"/>
          <w:color w:val="auto"/>
        </w:rPr>
      </w:pPr>
      <w:r>
        <w:rPr>
          <w:rFonts w:ascii="Arial" w:cs="Arial" w:eastAsia="Arial" w:hAnsi="Arial"/>
          <w:sz w:val="18"/>
          <w:szCs w:val="18"/>
          <w:color w:val="auto"/>
        </w:rPr>
        <w:t>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Moreover, such claims, even if not meritorious, could result in the expenditure of significant financial and managerial resources, divert management's attention from the Company's business objectives and adversely affect the Company's business, results of operations, financial condition and cash flows. There may also be claims or actions pending or threatened against us of which we are currently not aware and the ultimate disposition of which would have a material adverse effect on us.</w:t>
      </w:r>
    </w:p>
    <w:p>
      <w:pPr>
        <w:spacing w:after="0" w:line="18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under an employment tax audit by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2017, no material assessments have resulted, except as noted below regarding our 2009 and 2010 IRS audit with Expedia.</w:t>
      </w:r>
    </w:p>
    <w:p>
      <w:pPr>
        <w:spacing w:after="0" w:line="178"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In January 2017,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totaling $10 million to $14 million for those specific years, after consideration of competent authority relief, exclusive of interest and penalties. During the quarter ended June 30, 2017, we filed a request for Mutual Agreement Procedure consideration under Article 26 of the United States / United Kingdom Income Tax Convention and Rev. Proc. 2015-40, 2015-35 I.R.B. 236. Our policy is to review and update tax reserves as facts and circumstances change. Based on our interpretation of the regulations and available case law, we believe the position we have taken with regard to transfer pricing with our foreign subsidiaries is sustainable. As such, we disagree with the proposed adjustments and intend to defend our position through applicable administrative and, if necessary, judicial remedies. In addition to the risk of additional tax for 2009 and 2010 transactions, if the IRS were to seek transfer pricing adjustments of a similar nature for transactions in subsequent years, we could be subject to significant additional tax liabilities.</w:t>
      </w:r>
    </w:p>
    <w:p>
      <w:pPr>
        <w:spacing w:after="0" w:line="16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15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See “Note 7: Income Taxes” in the notes to our unaudited condensed consolidated financial statements in this Quarterly Report on Form 10-Q for further information on potential contingencies surrounding current audits by the IRS and various other domestic and foreign tax authorities, and other income tax matters.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exposed to certain market risks, including changes in interest rates and foreign currency exchange rates that could adversely affect our results of operations or financial condition. Our exposure to market risk includes our revolving credit facilities, derivative instruments and cash and cash equivalents, short term and long term marketable securities, accounts receivable, intercompany balances, accounts payable and deferred merchant payables denominated in foreign currencies.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foreign currency exchange rates and interest rates.</w:t>
      </w:r>
    </w:p>
    <w:p>
      <w:pPr>
        <w:spacing w:after="0" w:line="17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nine months ended September 30, 2017. For additional information, see “Quantitative and Qualitative Disclosures About Market Risk” in Item 7A. in Part II of our Annual Report on Form 10-K for the year ended December 31,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September 30, 2017,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September 30, 2017,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2017 that have materially affected, or are reasonably likely to materially affect, our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Such matters, however, even if not meritorious, could result in the expenditure of significant financial and managerial resources, divert management's attention from the Company's business objectives and adversely affect the Company's business, results of operations, financial condition and cash flows. In addition, there may be claims or actions pending or threatened against us of which we are currently not aware and the ultimate disposition of which could have a material adverse effect on us.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mobile apps and to cost-effectively convert these visitors into revenue-generating users, our revenue, financial results and business could be harmed.</w:t>
      </w:r>
    </w:p>
    <w:p>
      <w:pPr>
        <w:spacing w:after="0" w:line="17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Our long term success depends on our continued ability to maintain and increase the overall number of visitors flowing through our platforms in a cost effective manner, to engage users throughout the travel planning and booking phases and to attract consumers who will share their reviews from their trips. The primary asset that we use to attract visitors to our websites and convert these visitors into engaged users and bookers is our ability to collect or create, organize and distribute high-quality, commercially valuable content and products that meet users’ specific interests. Our traffic and user engagement could be adversely affected by a number of factors, including but not limited to increased competition, reduced consumer awareness of our brands, declines or inefficiencies in traffic acquisition, and macroeconomic conditions. Certain of our competitors have advertising campaigns expressly designed to drive consumer traffic directly to their websites, and these campaigns may negatively impact traffic to our site. There can be no assurances that we will continue to provide content and products in a cost-effective manner, in a manner that meets rapidly changing consumer demand and in a manner that encourages users to book on our platform.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sectPr>
      </w:pPr>
    </w:p>
    <w:bookmarkStart w:id="41" w:name="page42"/>
    <w:bookmarkEnd w:id="41"/>
    <w:p>
      <w:pPr>
        <w:ind w:right="58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strive to create the best experience for our users, providing them with the information, research and tools to enable them to plan, book, and experience the perfect trip. We believe that in doing so we will increase our rates of conversion, revenue per shopper and, ultimately, our financial performance over the long-term. We have taken actions in the past and may continue to make decisions in the future that have the effect of reducing our short-term revenue or profitability if we believe that the decisions benefit the aggregate user experience. For example, we may introduce changes to existing products or new products that direct users away from formats or use cases where we have a proven means of monetization. In addition, our approach of putting users first may negatively impact our relationship with existing or prospective advertisers. These actions and practices could result in a loss of advertisers,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derive a substantial portion of our revenue from the sale of advertising, primarily through click-based advertising and, to a lesser extent, display-based advertising. We enter into master advertising contracts with our advertising partners, however, the agreement terms are generally limited to matters such as privacy and compliance, payment terms and conditions, termination and indemnities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acceptance of online advertising versus more traditional forms of advertising or more effective models,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83"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2016, our two most significant advertising partners, Expedia and Priceline (and their subsidiaries), accounted for a combined 46% of total revenue. While we enter into master advertising contracts with our partners, the terms of these agreements generally address matters such as privacy and compliance, payment terms and conditions, termination and indemnities and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internet search engine algorithms and dynamics, or search engine disintermediation, could have a negative impact on traffic for our sites and, ultimately, our business and results of operations.</w:t>
      </w:r>
    </w:p>
    <w:p>
      <w:pPr>
        <w:spacing w:after="0" w:line="17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We rely heavily on internet search engines, such as Google, to generate traffic to our websites, principally through the purchase of travel-related keywords as well as through free, or organic, search. Pricing and operating dynamics for these traffic sources can change rapidly, both technically and competitively. Search engines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organic search query results. If a major search engine changes its algorithms in a manner that negatively affects the search engine ranking of our websites or those of our partners, or if competitive dynamics impact the cost or effectiveness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2" w:name="page43"/>
    <w:bookmarkEnd w:id="42"/>
    <w:p>
      <w:pPr>
        <w:jc w:val="both"/>
        <w:ind w:right="180"/>
        <w:spacing w:after="0" w:line="264" w:lineRule="auto"/>
        <w:rPr>
          <w:sz w:val="20"/>
          <w:szCs w:val="20"/>
          <w:color w:val="auto"/>
        </w:rPr>
      </w:pPr>
      <w:r>
        <w:rPr>
          <w:rFonts w:ascii="Arial" w:cs="Arial" w:eastAsia="Arial" w:hAnsi="Arial"/>
          <w:sz w:val="18"/>
          <w:szCs w:val="18"/>
          <w:color w:val="auto"/>
        </w:rPr>
        <w:t>of SEO or SEM in a negative manner, our business and financial performance would be adversely affected. Furthermore, our failure to successfully manage our SEO and SEM strategies could result in a substantial decrease in traffic to our websites, as well as increased costs if we were to replace free traffic with paid traffic.</w:t>
      </w:r>
    </w:p>
    <w:p>
      <w:pPr>
        <w:spacing w:after="0" w:line="18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addition, to the extent that Google or other leading search or metasearch engines that have a significant presence in our key markets, disintermediate OTAs or travel content providers, whether by offering their own comprehensive travel planning or shopping capabilities, or by referring leads to suppliers, other favored partners or themselves directly, there could be a material adverse impact on our business and financial performance. To the extent these actions have a negative effect on search results and traffic to our site, our business and financial performance could be adversely affected.</w:t>
      </w:r>
    </w:p>
    <w:p>
      <w:pPr>
        <w:spacing w:after="0" w:line="154"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also rely on application marketplaces, such as Apple’s App Store and Google’s Play, to drive downloads of our applications. In the future, Apple, Google or other marketplace operators may make changes to their marketplaces that make access to our products more difficult. For example,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be successful.</w:t>
      </w:r>
    </w:p>
    <w:p>
      <w:pPr>
        <w:spacing w:after="0" w:line="170" w:lineRule="exact"/>
        <w:rPr>
          <w:sz w:val="20"/>
          <w:szCs w:val="20"/>
          <w:color w:val="auto"/>
        </w:rPr>
      </w:pPr>
    </w:p>
    <w:p>
      <w:pPr>
        <w:ind w:firstLine="507"/>
        <w:spacing w:after="0" w:line="290" w:lineRule="auto"/>
        <w:rPr>
          <w:sz w:val="20"/>
          <w:szCs w:val="20"/>
          <w:color w:val="auto"/>
        </w:rPr>
      </w:pPr>
      <w:r>
        <w:rPr>
          <w:rFonts w:ascii="Arial" w:cs="Arial" w:eastAsia="Arial" w:hAnsi="Arial"/>
          <w:sz w:val="16"/>
          <w:szCs w:val="16"/>
          <w:color w:val="auto"/>
        </w:rPr>
        <w:t>The markets for the services we offer are intensely competitive, and some of our current and potential competitors have access to significantly greater and more diversified resources than we do, and they may be able to leverage other aspects of their businesses to enable them to compete more effectively with us. In an effort to be more competitive, we engage in marketing efforts aimed at increasing awareness of our ability to find our users the right hotels at the lowest prices. Specifically, we initiated a television advertising campaign and reallocated some of our marketing efforts and dollars among the different marketing channels available to us.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 There is no assurance that these actions will have a positive impact on our marketing efficiencies and/or operating margins or when the financial benefit expected to results from these efforts will exceed the costs of such efforts.</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phone devices creates new challenges and, if we are unable to operate effectively on mobile phone devices, our business may be adversely affected.</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number of people who access the internet through mobile phones has increased substantially in the last few years and we anticipate that the rate of use of these devices will continue to grow. The mobile phone market in general remains a rapidly evolving market and mobile phones continue to monetize at a significantly lower rate than desktops and tablets. Advertising opportunities may be more limited on mobile phone devices. Given the device sizes and technical limitations of these devices, mobile phone consumers may not be willing to download multiple apps from multiple companies providing similar service and instead prefer to use one or a limited number of apps for their hotel, restaurant and attractions activity. In addition, as new devices and platforms are released, users may begin consuming content in a manner that is more difficult to monetize.</w:t>
      </w:r>
    </w:p>
    <w:p>
      <w:pPr>
        <w:spacing w:after="0" w:line="17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To address these growing user demands, we continue to extend our platform to develop and improve upon our mobile applications and monetization strategies. If we are unable to continue to rapidly innovate and create new, user-friendly and differentiated mobile phone offerings and websites optimized for mobile phone devices and efficiently and effectively advertise and distribute on these platforms, or if our mobile phone offerings are not used by consumers, our future growth and results of operations could be negatively impacted.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and have a negative impact on our business, working capital and financial performance.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ind w:right="60" w:firstLine="518"/>
        <w:spacing w:after="0" w:line="264"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On June 23, 2016, the United Kingdom held a referendum in which a majority of voters voted to exit the European Union (“Brexit”). Since the referendum, global markets and foreign currency exchange rates have experienced increased volatility. To leave the European Union, the United Kingdom must negotiate the terms of its exit and the process could take two years or more. Brexit could adversely affect European and global economic or market conditions and could contribute to instability in global financial markets, although the effects of Brexit are not yet known and will depend upon, among other things, the terms, nature and timing of the exit. Any of these effects of Brexit, and others we cannot anticipate, may have a negative effect on the travel industry and may adversely affect our business.</w:t>
      </w:r>
    </w:p>
    <w:p>
      <w:pPr>
        <w:spacing w:after="0" w:line="3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the value of our brands and consumer trust in our brands. If we are not able to protect, maintain and enhance our brands, or if events occur that damage our reputation and brands, our business may be harmed.</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believe that the strength of our brands (particularly the TripAdvisor brand) has contributed significantly to our success and that maintaining and enhancing our brands is critical to expanding our base of users, creating content and attracting advertisers. As a result, we invest significantly in brand marketing. We expect these investments to continue, and even increase, as a result of a variety of factors, including relatively high levels of advertising spending from competitors, the increasing costs of supporting multiple brands, expansion into new geographies, product positioning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ability to protect, maintain and enhance our brands also depends largely on our ability to maintain consumer confidence in our products and in the quality and integrity of our content and other information found on our platform. If consumers do not believe our recommended reviews to be useful and reliable, they may seek other services to obtain the information for which they are looking and may not return to our platform as often in the future, or at all. In addition, unfavorable publicity regarding, for example, our practices relating to privacy and data protection, product changes, competitive pressures, reviews and content,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compete in rapidly evolving and competitive markets. We face competition for content, users, advertisers, online travel search and price comparison services, or what is known in the industry as hotel metasearch, and online reservations. In the competition to attract users to our platform, we rely on our ability to acquire traffic through offline brand recognition and brand-direct efforts such as online search,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we participate in, including large and small companies in the travel space as well as broader service providers. More specifically:</w:t>
      </w:r>
    </w:p>
    <w:p>
      <w:pPr>
        <w:spacing w:after="0" w:line="279" w:lineRule="exact"/>
        <w:rPr>
          <w:sz w:val="20"/>
          <w:szCs w:val="20"/>
          <w:color w:val="auto"/>
        </w:rPr>
      </w:pPr>
    </w:p>
    <w:p>
      <w:pPr>
        <w:ind w:left="1280" w:right="80" w:hanging="381"/>
        <w:spacing w:after="0" w:line="279" w:lineRule="auto"/>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our Hotel segment, we face competition from OTAs (including Expedia, Inc. and The Priceline Group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171" w:lineRule="exact"/>
        <w:rPr>
          <w:rFonts w:ascii="Arial" w:cs="Arial" w:eastAsia="Arial" w:hAnsi="Arial"/>
          <w:sz w:val="17"/>
          <w:szCs w:val="17"/>
          <w:color w:val="auto"/>
        </w:rPr>
      </w:pPr>
    </w:p>
    <w:p>
      <w:pPr>
        <w:ind w:left="1280" w:right="80" w:hanging="381"/>
        <w:spacing w:after="0" w:line="259"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in each of the operating segments in our Non-Hotel segment. Our Attractions business competes with traditional travel agencies, wholesalers, and individual tour operators as well as Airbnb and similar websites that have added other travel services such as tours and activities. Our Restaurants business competes with other online restaurant reservation services, such as SeatMe (owned by Yelp) and OpenTable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jc w:val="both"/>
        <w:ind w:left="1280" w:right="140"/>
        <w:spacing w:after="0" w:line="342" w:lineRule="auto"/>
        <w:rPr>
          <w:sz w:val="20"/>
          <w:szCs w:val="20"/>
          <w:color w:val="auto"/>
        </w:rPr>
      </w:pPr>
      <w:r>
        <w:rPr>
          <w:rFonts w:ascii="Arial" w:cs="Arial" w:eastAsia="Arial" w:hAnsi="Arial"/>
          <w:sz w:val="16"/>
          <w:szCs w:val="16"/>
          <w:color w:val="auto"/>
        </w:rPr>
        <w:t>subsidiary of Priceline). Our Vacation Rentals business competes with companies focused on alternative lodging, shared accommodations and online accommodation searches, including Airbnb, HomeAway (a subsidiary of Expedia) and booking.com (a subsidiary of Priceline).</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They also have the ability to leverage other aspects of their business to enable them to compete more effectively against us.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Certain of the companies we do business with, including some of our click-based advertising partners, are also our competitors. The consolidation of our competitors and partners, including Expedia (through its acquisitions of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member engagement, any of which could adversely affect our business and financial performance.</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among other things,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users.</w:t>
      </w:r>
    </w:p>
    <w:p>
      <w:pPr>
        <w:spacing w:after="0" w:line="16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In addition, the emergence of alternative platforms such as mobile 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Our success depends in part on continued innovation to provide features and services that make our platform compelling to travelers. Our competitors are continually developing innovations in online travel-related services and features. As a result, we are continually working to improve our business model and user experience in order to drive user traffic and conversion rates. We can give no assurances that the changes we make will yield the benefits we expect and will not have unintended or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use technology and processes to monitor the quality of the internet traffic that we deliver to online advertisers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5" w:name="page46"/>
    <w:bookmarkEnd w:id="45"/>
    <w:p>
      <w:pPr>
        <w:ind w:right="40"/>
        <w:spacing w:after="0" w:line="277" w:lineRule="auto"/>
        <w:rPr>
          <w:sz w:val="20"/>
          <w:szCs w:val="20"/>
          <w:color w:val="auto"/>
        </w:rPr>
      </w:pPr>
      <w:r>
        <w:rPr>
          <w:rFonts w:ascii="Arial" w:cs="Arial" w:eastAsia="Arial" w:hAnsi="Arial"/>
          <w:sz w:val="18"/>
          <w:szCs w:val="18"/>
          <w:color w:val="auto"/>
        </w:rPr>
        <w:t>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believe that certain metrics are key to our business, including but not limited to unique visitors, hotel shoppers, revenue per hotel shopper, and number of reviews and opinions. As the industry in which we operate and our business continues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more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26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co-founder,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such as those put in place in the United States in early 2017,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170"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We offer vacation rental services on our TripAdvisor-branded sites as well as through our U.S.-based FlipKey and Vacation Home Rentals and European-based Holiday Lettings and Niumba businesses. The vacation rental market has been and continues to be, subject to regulatory development that affects the vacation rental industry and the ability of companies like us to list those vacation rentals online. For example, some states and local jurisdictions have adopted or are considering statutes or ordinances that prohibit property owners and managers from renting certain properties for fewer than 30 consecutive days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Certain companies in the internet and technology industries that own patents, copyrights, trademarks and trade secrets frequently enter into litigation based on allegations of infringement or other violations of those intellectual property rights in order to extract value from technology companies, such as royalties in connection with grants of licenses. We have received in the past, and expect in the future to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Our success will depend, in part, on our ability to expand our product offerings and expand user engagement in order to grow our business in response to changing technologies, user and advertiser demands and competitive pressures. As a result, we have acquired, invested in and/or entered into significant commercial arrangements with a number of new business in the past and our future growth may depend, in part, on future acquisitions, investments, commercial arrangements/or changes in business strategies, any of which could be material to our financial conditions and results of operations. Such endeavors may involve significant risks and uncertainties, including, but not limited to, the following:</w:t>
      </w:r>
    </w:p>
    <w:p>
      <w:pPr>
        <w:spacing w:after="0" w:line="64" w:lineRule="exact"/>
        <w:rPr>
          <w:sz w:val="20"/>
          <w:szCs w:val="20"/>
          <w:color w:val="auto"/>
        </w:rPr>
      </w:pPr>
    </w:p>
    <w:p>
      <w:pPr>
        <w:ind w:left="104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40" w:right="38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stock repurchases, retirement of outstanding indebtedness and/or dividend payments;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40" w:right="4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and other claims relating to the acquired company;</w:t>
      </w:r>
    </w:p>
    <w:p>
      <w:pPr>
        <w:spacing w:after="0" w:line="62"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right="760" w:hanging="384"/>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have recently invested, and may in the future invest, in privately-held companies and these investments are currently accounted for under the cost method.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right="200"/>
        <w:spacing w:after="0" w:line="277" w:lineRule="auto"/>
        <w:rPr>
          <w:sz w:val="20"/>
          <w:szCs w:val="20"/>
          <w:color w:val="auto"/>
        </w:rPr>
      </w:pPr>
      <w:r>
        <w:rPr>
          <w:rFonts w:ascii="Arial" w:cs="Arial" w:eastAsia="Arial" w:hAnsi="Arial"/>
          <w:sz w:val="18"/>
          <w:szCs w:val="18"/>
          <w:color w:val="auto"/>
        </w:rPr>
        <w:t>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We have experienced rapid growth in our headcount and operations, including through acquisitions of other businesses and in new international markets. We continue to make substantial investments in our technology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225"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17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Such claims, suits, government investigations and proceedings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operate in a number of jurisdictions both inside and outside of the United States and continue to expand our operations both domestically and internationally. Many regions have different economic conditions, languages, currencies, consumer expectations, levels of consumer acceptance and use of the internet for commerce, legislation, regulatory environments (including labors laws and customs), tax laws and levels of political stability. We are subject to associated risks typical of global businesses, including, but not limited to, the following:</w:t>
      </w:r>
    </w:p>
    <w:p>
      <w:pPr>
        <w:spacing w:after="0" w:line="79" w:lineRule="exact"/>
        <w:rPr>
          <w:sz w:val="20"/>
          <w:szCs w:val="20"/>
          <w:color w:val="auto"/>
        </w:rPr>
      </w:pPr>
    </w:p>
    <w:p>
      <w:pPr>
        <w:ind w:left="1040" w:right="420" w:hanging="344"/>
        <w:spacing w:after="0" w:line="277" w:lineRule="auto"/>
        <w:tabs>
          <w:tab w:leader="none" w:pos="10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additional laws, including the Foreign Corrupt Practices Act and U.K. Bribery Act, data privacy requirements, labor and employment law, laws regarding advertisements and promotions and anti-competition regulations;</w:t>
      </w:r>
    </w:p>
    <w:p>
      <w:pPr>
        <w:spacing w:after="0" w:line="62" w:lineRule="exact"/>
        <w:rPr>
          <w:rFonts w:ascii="Arial" w:cs="Arial" w:eastAsia="Arial" w:hAnsi="Arial"/>
          <w:sz w:val="18"/>
          <w:szCs w:val="18"/>
          <w:color w:val="auto"/>
        </w:rPr>
      </w:pPr>
    </w:p>
    <w:p>
      <w:pPr>
        <w:ind w:left="1040" w:hanging="34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040" w:hanging="34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1040" w:hanging="34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040" w:hanging="34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8" w:name="page49"/>
    <w:bookmarkEnd w:id="48"/>
    <w:p>
      <w:pPr>
        <w:ind w:left="1040" w:hanging="34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adoption of the internet as an advertising, broadcast and commerce medium in certain international markets;</w:t>
      </w:r>
    </w:p>
    <w:p>
      <w:pPr>
        <w:spacing w:after="0" w:line="117" w:lineRule="exact"/>
        <w:rPr>
          <w:rFonts w:ascii="Arial" w:cs="Arial" w:eastAsia="Arial" w:hAnsi="Arial"/>
          <w:sz w:val="18"/>
          <w:szCs w:val="18"/>
          <w:color w:val="auto"/>
        </w:rPr>
      </w:pPr>
    </w:p>
    <w:p>
      <w:pPr>
        <w:ind w:left="1040" w:hanging="34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040" w:right="220" w:hanging="344"/>
        <w:spacing w:after="0" w:line="277" w:lineRule="auto"/>
        <w:tabs>
          <w:tab w:leader="none" w:pos="10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1080" w:hanging="38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or political instability; and</w:t>
      </w:r>
    </w:p>
    <w:p>
      <w:pPr>
        <w:spacing w:after="0" w:line="117" w:lineRule="exact"/>
        <w:rPr>
          <w:rFonts w:ascii="Arial" w:cs="Arial" w:eastAsia="Arial" w:hAnsi="Arial"/>
          <w:sz w:val="18"/>
          <w:szCs w:val="18"/>
          <w:color w:val="auto"/>
        </w:rPr>
      </w:pPr>
    </w:p>
    <w:p>
      <w:pPr>
        <w:ind w:left="1040" w:hanging="34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For example, 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travel and vacation rental licensing and listing requirements and tax. In some cases, these laws continue to evolve.</w:t>
      </w:r>
    </w:p>
    <w:p>
      <w:pPr>
        <w:spacing w:after="0" w:line="18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7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Further, our Vacation Rentals business has been and continues to be subject to regulatory developments that affect the vacation rental industry and the ability of competitors like us to list those vacation rentals online. For example, some states and local jurisdictions have adopted or are considering adopting statutes or ordinances that prohibit property owners and managers from renting certain properties for fewer than 30 consecutive days.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w:t>
      </w:r>
    </w:p>
    <w:p>
      <w:pPr>
        <w:spacing w:after="0" w:line="158"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5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Unfavorable changes could decrease demand for products and services, limit marketing methods and capabilities, increase costs and/or subject us to additional liabilities. Violations of these laws and regulations could result in finds and/or criminal sanctions against us, our officers or our employees and/or prohibitions on the conduct of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exposes us to risks of external and internal security breaches and could give rise to liabilities.</w:t>
      </w:r>
    </w:p>
    <w:p>
      <w:pPr>
        <w:spacing w:after="0" w:line="170"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the European Union has adopted a new data protection legal framework, effective in May 2018, which may result in a greater compliance burden for companies, including us, with users in Europe and increased costs of compliance.</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allowed unauthorized access of our systems and data. We also face risks associated with security breaches affecting third parties conducting business over the internet. Much of our business is conducted with third party marketing affiliates or, more recently, through business partners powering our instant booking feature. In addition, we frequently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182"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 We may need to expend significant resources to protect against security breaches or to investigate and address problems caused by breaches.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ind w:right="80"/>
        <w:spacing w:after="0" w:line="257" w:lineRule="auto"/>
        <w:rPr>
          <w:sz w:val="20"/>
          <w:szCs w:val="20"/>
          <w:color w:val="auto"/>
        </w:rPr>
      </w:pPr>
      <w:r>
        <w:rPr>
          <w:rFonts w:ascii="Arial" w:cs="Arial" w:eastAsia="Arial" w:hAnsi="Arial"/>
          <w:sz w:val="18"/>
          <w:szCs w:val="18"/>
          <w:color w:val="auto"/>
        </w:rPr>
        <w:t>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88"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225"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If we experience frequent or persistent system failures, our reputation and brand could be permanently and significantly harmed.</w:t>
      </w:r>
    </w:p>
    <w:p>
      <w:pPr>
        <w:spacing w:after="0" w:line="166"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or (as more fully discussed above)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have outstanding $265 million in long-term debt. Risks relating to our indebtedness include:</w:t>
      </w:r>
    </w:p>
    <w:p>
      <w:pPr>
        <w:spacing w:after="0" w:line="117"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200" w:hanging="384"/>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right="140" w:firstLine="51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7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2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jc w:val="both"/>
        <w:ind w:right="200" w:firstLine="51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The final determination of audits could be materially different from our income tax provisions and accruals and could have a material effect on our financial position, results of operations, or cash flows in the period or periods for which that determination is made.</w:t>
      </w:r>
    </w:p>
    <w:p>
      <w:pPr>
        <w:spacing w:after="0" w:line="182"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position and results of operations.</w:t>
      </w:r>
    </w:p>
    <w:p>
      <w:pPr>
        <w:spacing w:after="0" w:line="24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derive could be undermined due to changing tax laws. In particular, the current U.S. administration and key members of Congress have made public statements indicating that tax reform is a priority, resulting in uncertainty not only with respect to the future corporate tax rate, but also the U.S. tax consequences of income derived from income related to intellectual property earned overseas in low tax jurisdictions. Certain changes to U.S. tax laws, including, but not limited to, limitations on the ability to defer U.S. taxation on earnings outside of the United States until those earnings are repatriated to the United States, could affect the tax treatment of our foreign earnings.</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Spin-Off, we could be subject to significant tax liabilities.</w:t>
      </w:r>
    </w:p>
    <w:p>
      <w:pPr>
        <w:spacing w:after="0" w:line="22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an IRS audit for the 2009, 2010, and 2011 tax years. In connection with that audit, we received, in January 2017, notices of proposed adjustment from the IRS for the 2009 and 2010 tax years, which would result in an increase in our worldwide income tax expense. The proposed adjustments would result in an increase to our worldwide income tax expense in an estimated range totaling $10 million to $14 million for those specific years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conduct a significant and growing portion of our business outside the United States but report our results in U.S. dollars. As a result, we face exposure to movements in foreign currency exchange rates, particularly those related to the Euro, British pound sterling,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7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color w:val="auto"/>
        </w:rPr>
        <w:t>consumer trends and the timing and degree of their impact on our markets and business, which in turn could adversely affect our ability to effectively manage our business and adversely affect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 Maffei, and one of our Directors Albert Rosenthaler also serve as officers and directors of LTRIP. LTRIP may have interests that differ from those of our other stockholders and they may vote in a way with which our other stockholders may not agree or that may be adverse to other stockholders’</w:t>
      </w:r>
    </w:p>
    <w:p>
      <w:pPr>
        <w:spacing w:after="0" w:line="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interests. LTRIP is not restricted from investing in other businesses involving or related to our business. Liberty’s control of us, as well as the existing provisions of our organizational documents and Delaware law, may discourage or prevent a change of control that might otherwise be beneficial, which may reduce the market price of our common stock.</w:t>
      </w:r>
    </w:p>
    <w:p>
      <w:pPr>
        <w:spacing w:after="0" w:line="190"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40" w:right="80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4" w:name="page55"/>
    <w:bookmarkEnd w:id="54"/>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For the nine months ended September 30, 2017, the average daily trading volume of our common stock on NASDAQ was approximately 2.9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62" w:lineRule="exact"/>
        <w:rPr>
          <w:sz w:val="20"/>
          <w:szCs w:val="20"/>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40" w:right="10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During the quarter ended September 30, 2017,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w:t>
      </w:r>
    </w:p>
    <w:p>
      <w:pPr>
        <w:spacing w:after="0" w:line="18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As of June 30, 2017, we had repurchased a total of 6,079,003 shares of outstanding common stock under the share repurchase program at an average share price of approximately $41.13, or $250 million in the aggregate, and have completed this share repurchase program authorized by our Board of Directors. We did not repurchase any of our shares of common stock during the three months ended September 30, 2017.</w:t>
      </w:r>
    </w:p>
    <w:p>
      <w:pPr>
        <w:sectPr>
          <w:pgSz w:w="11900" w:h="16838" w:orient="portrait"/>
          <w:cols w:equalWidth="0" w:num="1">
            <w:col w:w="11420"/>
          </w:cols>
          <w:pgMar w:left="240" w:top="688" w:right="23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20" w:type="dxa"/>
            <w:vAlign w:val="bottom"/>
          </w:tcPr>
          <w:p>
            <w:pPr>
              <w:jc w:val="center"/>
              <w:ind w:right="1488"/>
              <w:spacing w:after="0"/>
              <w:rPr>
                <w:sz w:val="20"/>
                <w:szCs w:val="20"/>
                <w:color w:val="auto"/>
              </w:rPr>
            </w:pPr>
            <w:r>
              <w:rPr>
                <w:rFonts w:ascii="Arial" w:cs="Arial" w:eastAsia="Arial" w:hAnsi="Arial"/>
                <w:sz w:val="14"/>
                <w:szCs w:val="14"/>
                <w:b w:val="1"/>
                <w:bCs w:val="1"/>
                <w:color w:val="auto"/>
                <w:w w:val="98"/>
              </w:rPr>
              <w:t>Exhibit</w:t>
            </w:r>
          </w:p>
        </w:tc>
        <w:tc>
          <w:tcPr>
            <w:tcW w:w="276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020" w:type="dxa"/>
            <w:vAlign w:val="bottom"/>
          </w:tcPr>
          <w:p>
            <w:pPr>
              <w:jc w:val="center"/>
              <w:ind w:right="1468"/>
              <w:spacing w:after="0"/>
              <w:rPr>
                <w:sz w:val="20"/>
                <w:szCs w:val="20"/>
                <w:color w:val="auto"/>
              </w:rPr>
            </w:pPr>
            <w:r>
              <w:rPr>
                <w:rFonts w:ascii="Arial" w:cs="Arial" w:eastAsia="Arial" w:hAnsi="Arial"/>
                <w:sz w:val="14"/>
                <w:szCs w:val="14"/>
                <w:b w:val="1"/>
                <w:bCs w:val="1"/>
                <w:color w:val="auto"/>
                <w:w w:val="88"/>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396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8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10.1+  </w:t>
      </w:r>
      <w:hyperlink r:id="rId80">
        <w:r>
          <w:rPr>
            <w:rFonts w:ascii="Arial" w:cs="Arial" w:eastAsia="Arial" w:hAnsi="Arial"/>
            <w:sz w:val="18"/>
            <w:szCs w:val="18"/>
            <w:u w:val="single" w:color="auto"/>
            <w:color w:val="0000EE"/>
          </w:rPr>
          <w:t>Executive Severance Plan and Summary Plan Description dated August 7, 2017</w:t>
        </w:r>
      </w:hyperlink>
    </w:p>
    <w:p>
      <w:pPr>
        <w:spacing w:after="0" w:line="131"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8">
        <w:r>
          <w:rPr>
            <w:rFonts w:ascii="Arial" w:cs="Arial" w:eastAsia="Arial" w:hAnsi="Arial"/>
            <w:sz w:val="16"/>
            <w:szCs w:val="16"/>
            <w:u w:val="single" w:color="auto"/>
            <w:color w:val="0000EE"/>
          </w:rPr>
          <w:t>Certification of the Chief Executive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9">
        <w:r>
          <w:rPr>
            <w:rFonts w:ascii="Arial" w:cs="Arial" w:eastAsia="Arial" w:hAnsi="Arial"/>
            <w:sz w:val="16"/>
            <w:szCs w:val="16"/>
            <w:u w:val="single" w:color="auto"/>
            <w:color w:val="0000EE"/>
          </w:rPr>
          <w:t>Certification of the Chief Financial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60">
        <w:r>
          <w:rPr>
            <w:rFonts w:ascii="Arial" w:cs="Arial" w:eastAsia="Arial" w:hAnsi="Arial"/>
            <w:sz w:val="16"/>
            <w:szCs w:val="16"/>
            <w:u w:val="single" w:color="auto"/>
            <w:color w:val="0000EE"/>
          </w:rPr>
          <w:t>Certification of the Chief Executive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61">
        <w:r>
          <w:rPr>
            <w:rFonts w:ascii="Arial" w:cs="Arial" w:eastAsia="Arial" w:hAnsi="Arial"/>
            <w:sz w:val="16"/>
            <w:szCs w:val="16"/>
            <w:u w:val="single" w:color="auto"/>
            <w:color w:val="0000EE"/>
          </w:rPr>
          <w:t>Certification of the Chief Financial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2002</w:t>
        </w:r>
      </w:hyperlink>
    </w:p>
    <w:p>
      <w:pPr>
        <w:spacing w:after="0" w:line="130" w:lineRule="exact"/>
        <w:rPr>
          <w:sz w:val="20"/>
          <w:szCs w:val="20"/>
          <w:color w:val="auto"/>
        </w:rPr>
      </w:pPr>
    </w:p>
    <w:p>
      <w:pPr>
        <w:ind w:left="560" w:right="60" w:hanging="552"/>
        <w:spacing w:after="0" w:line="255"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September 30, 2017, formatted in XBRL: (i) Unaudited Condensed Consolidated Statements of Operations, (ii) Unaudited Condensed Consolidated Statements of Comprehensive Income, (iii) Unaudited Condensed Consolidated Balance Sheets, (iv) Unaudited Condensed Consolidated Statement of Changes in Stockholders’ Equity, (v) Unaudited Condensed Consolidated Statements of Cash Flows, and (vi) Notes to Unaudited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Indicates a management contract or a compensatory plan, contract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3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7"/>
              </w:rPr>
              <w:t>Filed</w:t>
            </w:r>
          </w:p>
        </w:tc>
        <w:tc>
          <w:tcPr>
            <w:tcW w:w="2220" w:type="dxa"/>
            <w:vAlign w:val="bottom"/>
            <w:gridSpan w:val="5"/>
          </w:tcPr>
          <w:p>
            <w:pPr>
              <w:ind w:left="2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Form</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3"/>
              </w:rPr>
              <w:t>SEC File No.</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Exhibit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31"/>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10-Q</w:t>
            </w:r>
          </w:p>
        </w:tc>
        <w:tc>
          <w:tcPr>
            <w:tcW w:w="820" w:type="dxa"/>
            <w:vAlign w:val="bottom"/>
          </w:tcPr>
          <w:p>
            <w:pPr>
              <w:spacing w:after="0"/>
              <w:rPr>
                <w:sz w:val="20"/>
                <w:szCs w:val="20"/>
                <w:color w:val="auto"/>
              </w:rPr>
            </w:pPr>
            <w:r>
              <w:rPr>
                <w:rFonts w:ascii="Arial" w:cs="Arial" w:eastAsia="Arial" w:hAnsi="Arial"/>
                <w:sz w:val="18"/>
                <w:szCs w:val="18"/>
                <w:color w:val="auto"/>
                <w:w w:val="92"/>
              </w:rPr>
              <w:t>001-35362</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8/8/17</w:t>
            </w:r>
          </w:p>
        </w:tc>
      </w:tr>
    </w:tbl>
    <w:p>
      <w:pPr>
        <w:spacing w:after="0" w:line="3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632" w:lineRule="exact"/>
        <w:rPr>
          <w:sz w:val="20"/>
          <w:szCs w:val="20"/>
          <w:color w:val="auto"/>
        </w:rPr>
      </w:pPr>
    </w:p>
    <w:p>
      <w:pPr>
        <w:sectPr>
          <w:pgSz w:w="11900" w:h="16838" w:orient="portrait"/>
          <w:cols w:equalWidth="0" w:num="2">
            <w:col w:w="7600" w:space="280"/>
            <w:col w:w="3540"/>
          </w:cols>
          <w:pgMar w:left="240" w:top="68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88"/>
              </w:rPr>
              <w:t>/s/ Ernst Teunissen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Chief Financial Officer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Noel Watson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Noel Watson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November 6,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2017,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2017,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3"/>
    </w:lvl>
  </w:abstractNum>
  <w:abstractNum w:abstractNumId="12">
    <w:nsid w:val="79838CB2"/>
    <w:multiLevelType w:val="hybridMultilevel"/>
    <w:lvl w:ilvl="0">
      <w:lvlJc w:val="left"/>
      <w:lvlText w:val="(%1)"/>
      <w:numFmt w:val="decimal"/>
      <w:start w:val="5"/>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3"/>
    </w:lvl>
  </w:abstractNum>
  <w:abstractNum w:abstractNumId="20">
    <w:nsid w:val="2901D82"/>
    <w:multiLevelType w:val="hybridMultilevel"/>
    <w:lvl w:ilvl="0">
      <w:lvlJc w:val="left"/>
      <w:lvlText w:val="(%1)"/>
      <w:numFmt w:val="decimal"/>
      <w:start w:val="5"/>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0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0" Type="http://schemas.openxmlformats.org/officeDocument/2006/relationships/hyperlink" Target="http://www.sec.gov/Archives/edgar/data/1526520/000156459017016506/trip-ex104_6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2019-12-29T02:43:32Z</dcterms:created>
  <dcterms:modified xsi:type="dcterms:W3CDTF">2019-12-29T02:43:32Z</dcterms:modified>
</cp:coreProperties>
</file>