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4" w:lineRule="exact"/>
        <w:rPr>
          <w:sz w:val="24"/>
          <w:szCs w:val="24"/>
          <w:color w:val="auto"/>
        </w:rPr>
      </w:pPr>
    </w:p>
    <w:p>
      <w:pPr>
        <w:ind w:left="500" w:right="240" w:hanging="492"/>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ind w:left="500" w:right="220" w:hanging="492"/>
        <w:spacing w:after="0" w:line="23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9" w:lineRule="exact"/>
        <w:rPr>
          <w:sz w:val="24"/>
          <w:szCs w:val="24"/>
          <w:color w:val="auto"/>
        </w:rPr>
      </w:pPr>
    </w:p>
    <w:p>
      <w:pPr>
        <w:ind w:left="34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-7620</wp:posOffset>
            </wp:positionV>
            <wp:extent cx="1323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001-35362</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TRIPADVISOR,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p>
      <w:pPr>
        <w:spacing w:after="0" w:line="286"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31" w:lineRule="exact"/>
        <w:rPr>
          <w:sz w:val="24"/>
          <w:szCs w:val="24"/>
          <w:color w:val="auto"/>
        </w:rPr>
      </w:pPr>
    </w:p>
    <w:p>
      <w:pPr>
        <w:sectPr>
          <w:pgSz w:w="11900" w:h="16838" w:orient="portrait"/>
          <w:cols w:equalWidth="0" w:num="2">
            <w:col w:w="8020" w:space="720"/>
            <w:col w:w="2500"/>
          </w:cols>
          <w:pgMar w:left="320" w:top="301" w:right="339" w:bottom="1440" w:gutter="0" w:footer="0" w:header="0"/>
          <w:type w:val="continuous"/>
        </w:sectPr>
      </w:pPr>
    </w:p>
    <w:p>
      <w:pPr>
        <w:spacing w:after="0" w:line="12" w:lineRule="exact"/>
        <w:rPr>
          <w:sz w:val="24"/>
          <w:szCs w:val="24"/>
          <w:color w:val="auto"/>
        </w:rPr>
      </w:pPr>
    </w:p>
    <w:p>
      <w:pPr>
        <w:ind w:left="2600"/>
        <w:spacing w:after="0"/>
        <w:rPr>
          <w:sz w:val="20"/>
          <w:szCs w:val="20"/>
          <w:color w:val="auto"/>
        </w:rPr>
      </w:pPr>
      <w:r>
        <w:rPr>
          <w:rFonts w:ascii="Arial" w:cs="Arial" w:eastAsia="Arial" w:hAnsi="Arial"/>
          <w:sz w:val="13"/>
          <w:szCs w:val="13"/>
          <w:b w:val="1"/>
          <w:bCs w:val="1"/>
          <w:color w:val="auto"/>
        </w:rPr>
        <w:t>(State or other jurisdiction of</w:t>
      </w:r>
    </w:p>
    <w:p>
      <w:pPr>
        <w:ind w:left="25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5" w:lineRule="exact"/>
        <w:rPr>
          <w:sz w:val="24"/>
          <w:szCs w:val="24"/>
          <w:color w:val="auto"/>
        </w:rPr>
      </w:pPr>
    </w:p>
    <w:p>
      <w:pPr>
        <w:sectPr>
          <w:pgSz w:w="11900" w:h="16838" w:orient="portrait"/>
          <w:cols w:equalWidth="0" w:num="2">
            <w:col w:w="7900" w:space="720"/>
            <w:col w:w="2620"/>
          </w:cols>
          <w:pgMar w:left="320" w:top="301"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400 1</w:t>
      </w:r>
      <w:r>
        <w:rPr>
          <w:rFonts w:ascii="Arial" w:cs="Arial" w:eastAsia="Arial" w:hAnsi="Arial"/>
          <w:sz w:val="15"/>
          <w:szCs w:val="15"/>
          <w:b w:val="1"/>
          <w:bCs w:val="1"/>
          <w:color w:val="auto"/>
        </w:rPr>
        <w:t>st</w:t>
      </w:r>
      <w:r>
        <w:rPr>
          <w:rFonts w:ascii="Arial" w:cs="Arial" w:eastAsia="Arial" w:hAnsi="Arial"/>
          <w:sz w:val="18"/>
          <w:szCs w:val="18"/>
          <w:b w:val="1"/>
          <w:bCs w:val="1"/>
          <w:color w:val="auto"/>
        </w:rPr>
        <w:t xml:space="preserve"> Avenue</w:t>
      </w:r>
    </w:p>
    <w:p>
      <w:pPr>
        <w:jc w:val="center"/>
        <w:ind w:right="-19"/>
        <w:spacing w:after="0"/>
        <w:rPr>
          <w:sz w:val="20"/>
          <w:szCs w:val="20"/>
          <w:color w:val="auto"/>
        </w:rPr>
      </w:pPr>
      <w:r>
        <w:rPr>
          <w:rFonts w:ascii="Arial" w:cs="Arial" w:eastAsia="Arial" w:hAnsi="Arial"/>
          <w:sz w:val="16"/>
          <w:szCs w:val="16"/>
          <w:b w:val="1"/>
          <w:bCs w:val="1"/>
          <w:color w:val="auto"/>
        </w:rPr>
        <w:t>Needham, MA 02494</w:t>
      </w:r>
    </w:p>
    <w:p>
      <w:pPr>
        <w:sectPr>
          <w:pgSz w:w="11900" w:h="16838" w:orient="portrait"/>
          <w:cols w:equalWidth="0" w:num="1">
            <w:col w:w="11240"/>
          </w:cols>
          <w:pgMar w:left="320" w:top="301" w:right="339" w:bottom="1440" w:gutter="0" w:footer="0" w:header="0"/>
          <w:type w:val="continuous"/>
        </w:sectPr>
      </w:pP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6" w:lineRule="exact"/>
        <w:rPr>
          <w:sz w:val="24"/>
          <w:szCs w:val="24"/>
          <w:color w:val="auto"/>
        </w:rPr>
      </w:pPr>
    </w:p>
    <w:tbl>
      <w:tblPr>
        <w:tblLayout w:type="fixed"/>
        <w:tblInd w:w="690" w:type="dxa"/>
        <w:tblCellMar>
          <w:top w:w="0" w:type="dxa"/>
          <w:left w:w="0" w:type="dxa"/>
          <w:bottom w:w="0" w:type="dxa"/>
          <w:right w:w="0" w:type="dxa"/>
        </w:tblCellMar>
      </w:tblPr>
      <w:tr>
        <w:trPr>
          <w:trHeight w:val="216"/>
        </w:trPr>
        <w:tc>
          <w:tcPr>
            <w:tcW w:w="2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Trading Symbol</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TRIP</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Nasdaq</w:t>
            </w:r>
          </w:p>
        </w:tc>
      </w:tr>
    </w:tbl>
    <w:p>
      <w:pPr>
        <w:spacing w:after="0" w:line="98" w:lineRule="exact"/>
        <w:rPr>
          <w:sz w:val="24"/>
          <w:szCs w:val="24"/>
          <w:color w:val="auto"/>
        </w:rPr>
      </w:pPr>
    </w:p>
    <w:p>
      <w:pPr>
        <w:ind w:right="180"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ind w:right="1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86"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7960" w:type="dxa"/>
            <w:vAlign w:val="bottom"/>
            <w:gridSpan w:val="3"/>
          </w:tcPr>
          <w:p>
            <w:pPr>
              <w:ind w:left="52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26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Class</w:t>
            </w:r>
          </w:p>
        </w:tc>
        <w:tc>
          <w:tcPr>
            <w:tcW w:w="1020" w:type="dxa"/>
            <w:vAlign w:val="bottom"/>
            <w:gridSpan w:val="2"/>
          </w:tcPr>
          <w:p>
            <w:pPr>
              <w:spacing w:after="0"/>
              <w:rPr>
                <w:sz w:val="22"/>
                <w:szCs w:val="22"/>
                <w:color w:val="auto"/>
              </w:rPr>
            </w:pPr>
          </w:p>
        </w:tc>
        <w:tc>
          <w:tcPr>
            <w:tcW w:w="3260" w:type="dxa"/>
            <w:vAlign w:val="bottom"/>
          </w:tcPr>
          <w:p>
            <w:pPr>
              <w:jc w:val="center"/>
              <w:ind w:right="817"/>
              <w:spacing w:after="0"/>
              <w:rPr>
                <w:sz w:val="20"/>
                <w:szCs w:val="20"/>
                <w:color w:val="auto"/>
              </w:rPr>
            </w:pPr>
            <w:r>
              <w:rPr>
                <w:rFonts w:ascii="Arial" w:cs="Arial" w:eastAsia="Arial" w:hAnsi="Arial"/>
                <w:sz w:val="14"/>
                <w:szCs w:val="14"/>
                <w:color w:val="auto"/>
                <w:w w:val="90"/>
              </w:rPr>
              <w:t>Outstanding Shares at August 3, 2020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Common Stock, $0.001 par value per share</w:t>
            </w:r>
          </w:p>
        </w:tc>
        <w:tc>
          <w:tcPr>
            <w:tcW w:w="9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0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3260" w:type="dxa"/>
            <w:vAlign w:val="bottom"/>
          </w:tcPr>
          <w:p>
            <w:pPr>
              <w:jc w:val="center"/>
              <w:ind w:right="817"/>
              <w:spacing w:after="0" w:line="182" w:lineRule="exact"/>
              <w:rPr>
                <w:sz w:val="20"/>
                <w:szCs w:val="20"/>
                <w:color w:val="auto"/>
              </w:rPr>
            </w:pPr>
            <w:r>
              <w:rPr>
                <w:rFonts w:ascii="Arial" w:cs="Arial" w:eastAsia="Arial" w:hAnsi="Arial"/>
                <w:sz w:val="18"/>
                <w:szCs w:val="18"/>
                <w:color w:val="auto"/>
                <w:w w:val="87"/>
              </w:rPr>
              <w:t>121,640,613 shares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60" w:type="dxa"/>
            <w:vAlign w:val="bottom"/>
            <w:gridSpan w:val="3"/>
          </w:tcPr>
          <w:p>
            <w:pPr>
              <w:jc w:val="center"/>
              <w:ind w:right="1000"/>
              <w:spacing w:after="0"/>
              <w:rPr>
                <w:sz w:val="20"/>
                <w:szCs w:val="20"/>
                <w:color w:val="auto"/>
              </w:rPr>
            </w:pPr>
            <w:r>
              <w:rPr>
                <w:rFonts w:ascii="Arial" w:cs="Arial" w:eastAsia="Arial" w:hAnsi="Arial"/>
                <w:sz w:val="18"/>
                <w:szCs w:val="18"/>
                <w:color w:val="auto"/>
                <w:w w:val="89"/>
              </w:rPr>
              <w:t>Class B common stock, $0.001 par value per share</w:t>
            </w:r>
          </w:p>
        </w:tc>
        <w:tc>
          <w:tcPr>
            <w:tcW w:w="3260" w:type="dxa"/>
            <w:vAlign w:val="bottom"/>
          </w:tcPr>
          <w:p>
            <w:pPr>
              <w:jc w:val="center"/>
              <w:ind w:right="817"/>
              <w:spacing w:after="0"/>
              <w:rPr>
                <w:sz w:val="20"/>
                <w:szCs w:val="20"/>
                <w:color w:val="auto"/>
              </w:rPr>
            </w:pPr>
            <w:r>
              <w:rPr>
                <w:rFonts w:ascii="Arial" w:cs="Arial" w:eastAsia="Arial" w:hAnsi="Arial"/>
                <w:sz w:val="18"/>
                <w:szCs w:val="18"/>
                <w:color w:val="auto"/>
                <w:w w:val="88"/>
              </w:rPr>
              <w:t>12,799,999 shares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9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7"/>
        </w:trPr>
        <w:tc>
          <w:tcPr>
            <w:tcW w:w="6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9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10920" w:type="dxa"/>
            <w:vAlign w:val="bottom"/>
            <w:gridSpan w:val="5"/>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0920" w:type="dxa"/>
            <w:vAlign w:val="bottom"/>
            <w:gridSpan w:val="5"/>
          </w:tcPr>
          <w:p>
            <w:pPr>
              <w:spacing w:after="0"/>
              <w:rPr>
                <w:sz w:val="20"/>
                <w:szCs w:val="20"/>
                <w:color w:val="auto"/>
              </w:rPr>
            </w:pPr>
            <w:r>
              <w:rPr>
                <w:rFonts w:ascii="Arial" w:cs="Arial" w:eastAsia="Arial" w:hAnsi="Arial"/>
                <w:sz w:val="18"/>
                <w:szCs w:val="18"/>
                <w:color w:val="auto"/>
              </w:rPr>
              <w:t>Item 1. Unaudited Condensed Financial Statements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0920" w:type="dxa"/>
            <w:vAlign w:val="bottom"/>
            <w:gridSpan w:val="5"/>
          </w:tcPr>
          <w:p>
            <w:pPr>
              <w:ind w:left="4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Statements of Operations for the Three and Six Months Ended June 30, 2020 and 2019</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920" w:type="dxa"/>
            <w:vAlign w:val="bottom"/>
            <w:gridSpan w:val="5"/>
          </w:tcPr>
          <w:p>
            <w:pPr>
              <w:ind w:left="440"/>
              <w:spacing w:after="0"/>
              <w:rPr>
                <w:rFonts w:ascii="Arial" w:cs="Arial" w:eastAsia="Arial" w:hAnsi="Arial"/>
                <w:sz w:val="18"/>
                <w:szCs w:val="18"/>
                <w:u w:val="single" w:color="auto"/>
                <w:color w:val="0000EE"/>
                <w:w w:val="95"/>
              </w:rPr>
            </w:pPr>
            <w:hyperlink w:anchor="page4">
              <w:r>
                <w:rPr>
                  <w:rFonts w:ascii="Arial" w:cs="Arial" w:eastAsia="Arial" w:hAnsi="Arial"/>
                  <w:sz w:val="18"/>
                  <w:szCs w:val="18"/>
                  <w:u w:val="single" w:color="auto"/>
                  <w:color w:val="0000EE"/>
                  <w:w w:val="95"/>
                </w:rPr>
                <w:t>Unaudited Condensed Consolidated Statements of Comprehensive Income for the Three and Six Months Ended June 30, 2020 and 2019</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920" w:type="dxa"/>
            <w:vAlign w:val="bottom"/>
            <w:gridSpan w:val="5"/>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Condensed Consolidated Balance Sheets at June 30, 2020 and December 31, 2019</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10080" w:type="dxa"/>
            <w:vAlign w:val="bottom"/>
            <w:tcBorders>
              <w:bottom w:val="single" w:sz="8" w:color="0000EE"/>
            </w:tcBorders>
            <w:gridSpan w:val="3"/>
          </w:tcPr>
          <w:p>
            <w:pPr>
              <w:spacing w:after="0" w:line="190"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Condensed Consolidated Statements of Changes in Stockholders’ Equity for the Three and Six Months Ended June 30, 2020 and</w:t>
              </w:r>
            </w:hyperlink>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gridSpan w:val="2"/>
          </w:tcPr>
          <w:p>
            <w:pPr>
              <w:spacing w:after="0"/>
              <w:rPr>
                <w:sz w:val="17"/>
                <w:szCs w:val="17"/>
                <w:color w:val="auto"/>
              </w:rPr>
            </w:pPr>
          </w:p>
        </w:tc>
        <w:tc>
          <w:tcPr>
            <w:tcW w:w="360" w:type="dxa"/>
            <w:vAlign w:val="bottom"/>
            <w:tcBorders>
              <w:bottom w:val="single" w:sz="8" w:color="0000EE"/>
            </w:tcBorders>
          </w:tcPr>
          <w:p>
            <w:pPr>
              <w:jc w:val="right"/>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2019</w:t>
              </w:r>
            </w:hyperlink>
          </w:p>
        </w:tc>
        <w:tc>
          <w:tcPr>
            <w:tcW w:w="9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10920" w:type="dxa"/>
            <w:vAlign w:val="bottom"/>
            <w:gridSpan w:val="5"/>
          </w:tcPr>
          <w:p>
            <w:pPr>
              <w:ind w:left="4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Unaudited Condensed Consolidated Statements of Cash Flows for the Six Months Ended June 30, 2020 and 2019</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10920" w:type="dxa"/>
            <w:vAlign w:val="bottom"/>
            <w:gridSpan w:val="5"/>
          </w:tcPr>
          <w:p>
            <w:pPr>
              <w:ind w:left="4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Unaudited Condensed Consolidated Financial Statements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8"/>
        </w:trPr>
        <w:tc>
          <w:tcPr>
            <w:tcW w:w="10920" w:type="dxa"/>
            <w:vAlign w:val="bottom"/>
            <w:gridSpan w:val="5"/>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2. 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920" w:type="dxa"/>
            <w:vAlign w:val="bottom"/>
            <w:gridSpan w:val="5"/>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3. 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10920" w:type="dxa"/>
            <w:vAlign w:val="bottom"/>
            <w:gridSpan w:val="5"/>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4. 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32"/>
        </w:trPr>
        <w:tc>
          <w:tcPr>
            <w:tcW w:w="10920" w:type="dxa"/>
            <w:vAlign w:val="bottom"/>
            <w:gridSpan w:val="5"/>
          </w:tcPr>
          <w:p>
            <w:pPr>
              <w:spacing w:after="0"/>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Part II—Other Information</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920" w:type="dxa"/>
            <w:vAlign w:val="bottom"/>
            <w:gridSpan w:val="5"/>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1. Legal Proceedings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0920" w:type="dxa"/>
            <w:vAlign w:val="bottom"/>
            <w:gridSpan w:val="5"/>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1A. Risk Factors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0920" w:type="dxa"/>
            <w:vAlign w:val="bottom"/>
            <w:gridSpan w:val="5"/>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2. Unregistered Sales of Equity Securities and Use of Proceeds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0920" w:type="dxa"/>
            <w:vAlign w:val="bottom"/>
            <w:gridSpan w:val="5"/>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3. Defaults Upon Senior Securities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0920" w:type="dxa"/>
            <w:vAlign w:val="bottom"/>
            <w:gridSpan w:val="5"/>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4. Mine Safety Disclosures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0920" w:type="dxa"/>
            <w:vAlign w:val="bottom"/>
            <w:gridSpan w:val="5"/>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5. Other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0920" w:type="dxa"/>
            <w:vAlign w:val="bottom"/>
            <w:gridSpan w:val="5"/>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Item 6. Exhibits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10920" w:type="dxa"/>
            <w:vAlign w:val="bottom"/>
            <w:gridSpan w:val="5"/>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Signatures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0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1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6"/>
              </w:rPr>
              <w:t>Six months ended June 30,</w:t>
            </w:r>
          </w:p>
        </w:tc>
      </w:tr>
      <w:tr>
        <w:trPr>
          <w:trHeight w:val="156"/>
        </w:trPr>
        <w:tc>
          <w:tcPr>
            <w:tcW w:w="50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Revenue (Note 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040" w:type="dxa"/>
            <w:vAlign w:val="bottom"/>
          </w:tcPr>
          <w:p>
            <w:pPr>
              <w:ind w:left="240"/>
              <w:spacing w:after="0"/>
              <w:rPr>
                <w:sz w:val="20"/>
                <w:szCs w:val="20"/>
                <w:color w:val="auto"/>
              </w:rPr>
            </w:pPr>
            <w:r>
              <w:rPr>
                <w:rFonts w:ascii="Arial" w:cs="Arial" w:eastAsia="Arial" w:hAnsi="Arial"/>
                <w:sz w:val="18"/>
                <w:szCs w:val="18"/>
                <w:color w:val="auto"/>
              </w:rPr>
              <w:t>Cost of revenue (1)(2)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 (2)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FF0FC"/>
          </w:tcPr>
          <w:p>
            <w:pPr>
              <w:spacing w:after="0"/>
              <w:rPr>
                <w:sz w:val="19"/>
                <w:szCs w:val="19"/>
                <w:color w:val="auto"/>
              </w:rPr>
            </w:pPr>
          </w:p>
        </w:tc>
      </w:tr>
      <w:tr>
        <w:trPr>
          <w:trHeight w:val="229"/>
        </w:trPr>
        <w:tc>
          <w:tcPr>
            <w:tcW w:w="5040" w:type="dxa"/>
            <w:vAlign w:val="bottom"/>
          </w:tcPr>
          <w:p>
            <w:pPr>
              <w:ind w:left="240"/>
              <w:spacing w:after="0"/>
              <w:rPr>
                <w:sz w:val="20"/>
                <w:szCs w:val="20"/>
                <w:color w:val="auto"/>
              </w:rPr>
            </w:pPr>
            <w:r>
              <w:rPr>
                <w:rFonts w:ascii="Arial" w:cs="Arial" w:eastAsia="Arial" w:hAnsi="Arial"/>
                <w:sz w:val="18"/>
                <w:szCs w:val="18"/>
                <w:color w:val="auto"/>
              </w:rPr>
              <w:t>Technology and content (2)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r>
      <w:tr>
        <w:trPr>
          <w:trHeight w:val="229"/>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r>
      <w:tr>
        <w:trPr>
          <w:trHeight w:val="229"/>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6"/>
              </w:rPr>
              <w:t>Restructuring and other related reorganization costs (Note 10)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FF0FC"/>
            </w:tcBorders>
          </w:tcPr>
          <w:p>
            <w:pPr>
              <w:spacing w:after="0"/>
              <w:rPr>
                <w:sz w:val="19"/>
                <w:szCs w:val="19"/>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r>
      <w:tr>
        <w:trPr>
          <w:trHeight w:val="229"/>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 (Note 14)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9"/>
                <w:szCs w:val="19"/>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19"/>
                <w:szCs w:val="19"/>
                <w:color w:val="auto"/>
              </w:rPr>
            </w:pPr>
          </w:p>
        </w:tc>
      </w:tr>
      <w:tr>
        <w:trPr>
          <w:trHeight w:val="229"/>
        </w:trPr>
        <w:tc>
          <w:tcPr>
            <w:tcW w:w="5040" w:type="dxa"/>
            <w:vAlign w:val="bottom"/>
          </w:tcPr>
          <w:p>
            <w:pPr>
              <w:ind w:left="240"/>
              <w:spacing w:after="0"/>
              <w:rPr>
                <w:sz w:val="20"/>
                <w:szCs w:val="20"/>
                <w:color w:val="auto"/>
              </w:rPr>
            </w:pPr>
            <w:r>
              <w:rPr>
                <w:rFonts w:ascii="Arial" w:cs="Arial" w:eastAsia="Arial" w:hAnsi="Arial"/>
                <w:sz w:val="18"/>
                <w:szCs w:val="18"/>
                <w:color w:val="auto"/>
              </w:rPr>
              <w:t>(Provision) benefit for income taxes (Note 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r>
      <w:tr>
        <w:trPr>
          <w:trHeight w:val="223"/>
        </w:trPr>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w w:val="92"/>
              </w:rPr>
              <w:t>Earnings (loss) per share attributable to common stockholders (Note</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FF0FC"/>
          </w:tcPr>
          <w:p>
            <w:pPr>
              <w:spacing w:after="0"/>
              <w:rPr>
                <w:sz w:val="19"/>
                <w:szCs w:val="19"/>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Weighted average common shares outstanding (Note 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(1) Excludes amortization as follows: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5"/>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5"/>
              </w:rPr>
              <w:t>Amortization of acquired technology included in amortization of</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r>
      <w:tr>
        <w:trPr>
          <w:trHeight w:val="215"/>
        </w:trPr>
        <w:tc>
          <w:tcPr>
            <w:tcW w:w="5040" w:type="dxa"/>
            <w:vAlign w:val="bottom"/>
          </w:tcPr>
          <w:p>
            <w:pPr>
              <w:ind w:left="240"/>
              <w:spacing w:after="0"/>
              <w:rPr>
                <w:sz w:val="20"/>
                <w:szCs w:val="20"/>
                <w:color w:val="auto"/>
              </w:rPr>
            </w:pPr>
            <w:r>
              <w:rPr>
                <w:rFonts w:ascii="Arial" w:cs="Arial" w:eastAsia="Arial" w:hAnsi="Arial"/>
                <w:sz w:val="18"/>
                <w:szCs w:val="18"/>
                <w:color w:val="auto"/>
              </w:rPr>
              <w:t>Amortization of website development costs included in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FF0FC"/>
            </w:tcBorders>
          </w:tcPr>
          <w:p>
            <w:pPr>
              <w:spacing w:after="0"/>
              <w:rPr>
                <w:sz w:val="20"/>
                <w:szCs w:val="20"/>
                <w:color w:val="auto"/>
              </w:rPr>
            </w:pPr>
          </w:p>
        </w:tc>
      </w:tr>
      <w:tr>
        <w:trPr>
          <w:trHeight w:val="223"/>
        </w:trPr>
        <w:tc>
          <w:tcPr>
            <w:tcW w:w="5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r>
      <w:tr>
        <w:trPr>
          <w:trHeight w:val="243"/>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w w:val="92"/>
              </w:rPr>
              <w:t>(2) Includes stock-based compensation expense as follows (Note 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504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Technology and content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r>
    </w:tbl>
    <w:p>
      <w:pPr>
        <w:spacing w:after="0" w:line="16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364" w:right="899" w:bottom="1440" w:gutter="0" w:footer="0" w:header="0"/>
        </w:sectPr>
      </w:pPr>
    </w:p>
    <w:bookmarkStart w:id="3" w:name="page4"/>
    <w:bookmarkEnd w:id="3"/>
    <w:p>
      <w:pPr>
        <w:jc w:val="center"/>
        <w:ind w:right="-52"/>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52"/>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ind w:right="-52"/>
        <w:spacing w:after="0"/>
        <w:rPr>
          <w:sz w:val="20"/>
          <w:szCs w:val="20"/>
          <w:color w:val="auto"/>
        </w:rPr>
      </w:pPr>
      <w:r>
        <w:rPr>
          <w:rFonts w:ascii="Arial" w:cs="Arial" w:eastAsia="Arial" w:hAnsi="Arial"/>
          <w:sz w:val="18"/>
          <w:szCs w:val="18"/>
          <w:b w:val="1"/>
          <w:bCs w:val="1"/>
          <w:color w:val="auto"/>
        </w:rPr>
        <w:t>(in millions)</w:t>
      </w:r>
    </w:p>
    <w:p>
      <w:pPr>
        <w:spacing w:after="0" w:line="283" w:lineRule="exact"/>
        <w:rPr>
          <w:sz w:val="20"/>
          <w:szCs w:val="20"/>
          <w:color w:val="auto"/>
        </w:rPr>
      </w:pPr>
    </w:p>
    <w:tbl>
      <w:tblPr>
        <w:tblLayout w:type="fixed"/>
        <w:tblInd w:w="73"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17"/>
              <w:spacing w:after="0" w:line="155" w:lineRule="exact"/>
              <w:rPr>
                <w:sz w:val="20"/>
                <w:szCs w:val="20"/>
                <w:color w:val="auto"/>
              </w:rPr>
            </w:pPr>
            <w:r>
              <w:rPr>
                <w:rFonts w:ascii="Arial" w:cs="Arial" w:eastAsia="Arial" w:hAnsi="Arial"/>
                <w:sz w:val="14"/>
                <w:szCs w:val="14"/>
                <w:b w:val="1"/>
                <w:bCs w:val="1"/>
                <w:color w:val="auto"/>
              </w:rPr>
              <w:t>2020</w:t>
            </w: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1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223"/>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adjustments, net of tax (1)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5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w w:val="94"/>
              </w:rPr>
              <w:t>Reclassification adjustment for net losses included in net income (loss)</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income (loss), net of tax</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3" w:lineRule="exact"/>
        <w:rPr>
          <w:sz w:val="20"/>
          <w:szCs w:val="20"/>
          <w:color w:val="auto"/>
        </w:rPr>
      </w:pPr>
    </w:p>
    <w:p>
      <w:pPr>
        <w:ind w:left="373" w:hanging="373"/>
        <w:spacing w:after="0"/>
        <w:tabs>
          <w:tab w:leader="none" w:pos="37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deferred income tax liability related to foreign currency translation adjustments is not material.</w:t>
      </w:r>
    </w:p>
    <w:p>
      <w:pPr>
        <w:spacing w:after="0" w:line="200" w:lineRule="exact"/>
        <w:rPr>
          <w:sz w:val="20"/>
          <w:szCs w:val="20"/>
          <w:color w:val="auto"/>
        </w:rPr>
      </w:pPr>
    </w:p>
    <w:p>
      <w:pPr>
        <w:spacing w:after="0" w:line="219"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73"/>
          </w:cols>
          <w:pgMar w:left="827" w:top="364" w:right="8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0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09"/>
        </w:trPr>
        <w:tc>
          <w:tcPr>
            <w:tcW w:w="8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6"/>
                <w:szCs w:val="16"/>
                <w:color w:val="auto"/>
              </w:rPr>
              <w:t>Current assets:</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 (Note 6)</w:t>
            </w: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FF0FC"/>
          </w:tcPr>
          <w:p>
            <w:pPr>
              <w:spacing w:after="0"/>
              <w:rPr>
                <w:sz w:val="19"/>
                <w:szCs w:val="19"/>
                <w:color w:val="auto"/>
              </w:rPr>
            </w:pPr>
          </w:p>
        </w:tc>
      </w:tr>
      <w:tr>
        <w:trPr>
          <w:trHeight w:val="206"/>
        </w:trPr>
        <w:tc>
          <w:tcPr>
            <w:tcW w:w="8000" w:type="dxa"/>
            <w:vAlign w:val="bottom"/>
          </w:tcPr>
          <w:p>
            <w:pPr>
              <w:ind w:left="260"/>
              <w:spacing w:after="0"/>
              <w:rPr>
                <w:sz w:val="20"/>
                <w:szCs w:val="20"/>
                <w:color w:val="auto"/>
              </w:rPr>
            </w:pPr>
            <w:r>
              <w:rPr>
                <w:rFonts w:ascii="Arial" w:cs="Arial" w:eastAsia="Arial" w:hAnsi="Arial"/>
                <w:sz w:val="16"/>
                <w:szCs w:val="16"/>
                <w:color w:val="auto"/>
                <w:w w:val="97"/>
              </w:rPr>
              <w:t>Accounts receivable and contract assets, net of allowance for credit losses of $32 and $25, respectively (Note 2,</w:t>
            </w: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8000" w:type="dxa"/>
            <w:vAlign w:val="bottom"/>
          </w:tcPr>
          <w:p>
            <w:pPr>
              <w:ind w:left="260"/>
              <w:spacing w:after="0"/>
              <w:rPr>
                <w:sz w:val="20"/>
                <w:szCs w:val="20"/>
                <w:color w:val="auto"/>
              </w:rPr>
            </w:pPr>
            <w:r>
              <w:rPr>
                <w:rFonts w:ascii="Arial" w:cs="Arial" w:eastAsia="Arial" w:hAnsi="Arial"/>
                <w:sz w:val="16"/>
                <w:szCs w:val="16"/>
                <w:color w:val="auto"/>
              </w:rPr>
              <w:t>Note 3)</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taxes receivable</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9"/>
                <w:szCs w:val="19"/>
                <w:color w:val="auto"/>
              </w:rPr>
            </w:pPr>
          </w:p>
        </w:tc>
      </w:tr>
      <w:tr>
        <w:trPr>
          <w:trHeight w:val="213"/>
        </w:trPr>
        <w:tc>
          <w:tcPr>
            <w:tcW w:w="80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FF0FC"/>
            </w:tcBorders>
          </w:tcPr>
          <w:p>
            <w:pPr>
              <w:spacing w:after="0"/>
              <w:rPr>
                <w:sz w:val="18"/>
                <w:szCs w:val="18"/>
                <w:color w:val="auto"/>
              </w:rPr>
            </w:pPr>
          </w:p>
        </w:tc>
      </w:tr>
      <w:tr>
        <w:trPr>
          <w:trHeight w:val="213"/>
        </w:trPr>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w:t>
            </w:r>
          </w:p>
        </w:tc>
        <w:tc>
          <w:tcPr>
            <w:tcW w:w="100" w:type="dxa"/>
            <w:vAlign w:val="bottom"/>
            <w:shd w:val="clear" w:color="auto" w:fill="CFF0FC"/>
          </w:tcPr>
          <w:p>
            <w:pPr>
              <w:spacing w:after="0"/>
              <w:rPr>
                <w:sz w:val="18"/>
                <w:szCs w:val="18"/>
                <w:color w:val="auto"/>
              </w:rPr>
            </w:pPr>
          </w:p>
        </w:tc>
      </w:tr>
      <w:tr>
        <w:trPr>
          <w:trHeight w:val="213"/>
        </w:trPr>
        <w:tc>
          <w:tcPr>
            <w:tcW w:w="8000" w:type="dxa"/>
            <w:vAlign w:val="bottom"/>
          </w:tcPr>
          <w:p>
            <w:pPr>
              <w:ind w:left="260"/>
              <w:spacing w:after="0"/>
              <w:rPr>
                <w:sz w:val="20"/>
                <w:szCs w:val="20"/>
                <w:color w:val="auto"/>
              </w:rPr>
            </w:pPr>
            <w:r>
              <w:rPr>
                <w:rFonts w:ascii="Arial" w:cs="Arial" w:eastAsia="Arial" w:hAnsi="Arial"/>
                <w:sz w:val="16"/>
                <w:szCs w:val="16"/>
                <w:color w:val="auto"/>
              </w:rPr>
              <w:t>Property and equipment, net of accumulated depreciation of $347 and $319, respectively</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259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right-of-use assets</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FF0FC"/>
          </w:tcPr>
          <w:p>
            <w:pPr>
              <w:spacing w:after="0"/>
              <w:rPr>
                <w:sz w:val="19"/>
                <w:szCs w:val="19"/>
                <w:color w:val="auto"/>
              </w:rPr>
            </w:pPr>
          </w:p>
        </w:tc>
      </w:tr>
      <w:tr>
        <w:trPr>
          <w:trHeight w:val="213"/>
        </w:trPr>
        <w:tc>
          <w:tcPr>
            <w:tcW w:w="8000" w:type="dxa"/>
            <w:vAlign w:val="bottom"/>
          </w:tcPr>
          <w:p>
            <w:pPr>
              <w:ind w:left="260"/>
              <w:spacing w:after="0"/>
              <w:rPr>
                <w:sz w:val="20"/>
                <w:szCs w:val="20"/>
                <w:color w:val="auto"/>
              </w:rPr>
            </w:pPr>
            <w:r>
              <w:rPr>
                <w:rFonts w:ascii="Arial" w:cs="Arial" w:eastAsia="Arial" w:hAnsi="Arial"/>
                <w:sz w:val="16"/>
                <w:szCs w:val="16"/>
                <w:color w:val="auto"/>
              </w:rPr>
              <w:t>Intangible assets, net of accumulated amortization of $184 and $173, respectively</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Goodwill (Note 7)</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w:t>
            </w:r>
          </w:p>
        </w:tc>
        <w:tc>
          <w:tcPr>
            <w:tcW w:w="100" w:type="dxa"/>
            <w:vAlign w:val="bottom"/>
            <w:shd w:val="clear" w:color="auto" w:fill="CFF0FC"/>
          </w:tcPr>
          <w:p>
            <w:pPr>
              <w:spacing w:after="0"/>
              <w:rPr>
                <w:sz w:val="19"/>
                <w:szCs w:val="19"/>
                <w:color w:val="auto"/>
              </w:rPr>
            </w:pPr>
          </w:p>
        </w:tc>
      </w:tr>
      <w:tr>
        <w:trPr>
          <w:trHeight w:val="213"/>
        </w:trPr>
        <w:tc>
          <w:tcPr>
            <w:tcW w:w="8000" w:type="dxa"/>
            <w:vAlign w:val="bottom"/>
          </w:tcPr>
          <w:p>
            <w:pPr>
              <w:ind w:left="260"/>
              <w:spacing w:after="0"/>
              <w:rPr>
                <w:sz w:val="20"/>
                <w:szCs w:val="20"/>
                <w:color w:val="auto"/>
              </w:rPr>
            </w:pPr>
            <w:r>
              <w:rPr>
                <w:rFonts w:ascii="Arial" w:cs="Arial" w:eastAsia="Arial" w:hAnsi="Arial"/>
                <w:sz w:val="16"/>
                <w:szCs w:val="16"/>
                <w:color w:val="auto"/>
              </w:rPr>
              <w:t>Deferred income taxes, net</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Non-marketable investments (Note 6)</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FF0FC"/>
          </w:tcPr>
          <w:p>
            <w:pPr>
              <w:spacing w:after="0"/>
              <w:rPr>
                <w:sz w:val="19"/>
                <w:szCs w:val="19"/>
                <w:color w:val="auto"/>
              </w:rPr>
            </w:pPr>
          </w:p>
        </w:tc>
      </w:tr>
      <w:tr>
        <w:trPr>
          <w:trHeight w:val="213"/>
        </w:trPr>
        <w:tc>
          <w:tcPr>
            <w:tcW w:w="80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long-term assets, net of allowance for credit losses of $5 and $0, respectively</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FF0FC"/>
            </w:tcBorders>
          </w:tcPr>
          <w:p>
            <w:pPr>
              <w:spacing w:after="0"/>
              <w:rPr>
                <w:sz w:val="18"/>
                <w:szCs w:val="18"/>
                <w:color w:val="auto"/>
              </w:rPr>
            </w:pPr>
          </w:p>
        </w:tc>
      </w:tr>
      <w:tr>
        <w:trPr>
          <w:trHeight w:val="210"/>
        </w:trPr>
        <w:tc>
          <w:tcPr>
            <w:tcW w:w="8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ASSETS</w:t>
            </w:r>
          </w:p>
        </w:tc>
        <w:tc>
          <w:tcPr>
            <w:tcW w:w="100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2,249</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8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6"/>
                <w:szCs w:val="16"/>
                <w:color w:val="auto"/>
              </w:rPr>
              <w:t>Current liabilities:</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19"/>
                <w:szCs w:val="19"/>
                <w:color w:val="auto"/>
              </w:rPr>
            </w:pPr>
          </w:p>
        </w:tc>
      </w:tr>
      <w:tr>
        <w:trPr>
          <w:trHeight w:val="213"/>
        </w:trPr>
        <w:tc>
          <w:tcPr>
            <w:tcW w:w="8000" w:type="dxa"/>
            <w:vAlign w:val="bottom"/>
          </w:tcPr>
          <w:p>
            <w:pPr>
              <w:ind w:left="260"/>
              <w:spacing w:after="0"/>
              <w:rPr>
                <w:sz w:val="20"/>
                <w:szCs w:val="20"/>
                <w:color w:val="auto"/>
              </w:rPr>
            </w:pPr>
            <w:r>
              <w:rPr>
                <w:rFonts w:ascii="Arial" w:cs="Arial" w:eastAsia="Arial" w:hAnsi="Arial"/>
                <w:sz w:val="16"/>
                <w:szCs w:val="16"/>
                <w:color w:val="auto"/>
              </w:rPr>
              <w:t>Deferred merchant payables</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 (Note 3)</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FF0FC"/>
          </w:tcPr>
          <w:p>
            <w:pPr>
              <w:spacing w:after="0"/>
              <w:rPr>
                <w:sz w:val="19"/>
                <w:szCs w:val="19"/>
                <w:color w:val="auto"/>
              </w:rPr>
            </w:pPr>
          </w:p>
        </w:tc>
      </w:tr>
      <w:tr>
        <w:trPr>
          <w:trHeight w:val="213"/>
        </w:trPr>
        <w:tc>
          <w:tcPr>
            <w:tcW w:w="80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Accrued expenses and other current liabilities (Note 10)</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FF0FC"/>
            </w:tcBorders>
          </w:tcPr>
          <w:p>
            <w:pPr>
              <w:spacing w:after="0"/>
              <w:rPr>
                <w:sz w:val="18"/>
                <w:szCs w:val="18"/>
                <w:color w:val="auto"/>
              </w:rPr>
            </w:pPr>
          </w:p>
        </w:tc>
      </w:tr>
      <w:tr>
        <w:trPr>
          <w:trHeight w:val="213"/>
        </w:trPr>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Total current liabilities</w:t>
            </w: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FF0FC"/>
          </w:tcPr>
          <w:p>
            <w:pPr>
              <w:spacing w:after="0"/>
              <w:rPr>
                <w:sz w:val="18"/>
                <w:szCs w:val="18"/>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6"/>
                <w:szCs w:val="16"/>
                <w:color w:val="auto"/>
              </w:rPr>
              <w:t>Long-term debt (Note 8)</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700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taxes, net</w:t>
            </w: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8"/>
                <w:szCs w:val="18"/>
                <w:color w:val="auto"/>
              </w:rPr>
            </w:pPr>
          </w:p>
        </w:tc>
      </w:tr>
      <w:tr>
        <w:trPr>
          <w:trHeight w:val="213"/>
        </w:trPr>
        <w:tc>
          <w:tcPr>
            <w:tcW w:w="80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long-term liabilities</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FF0FC"/>
            </w:tcBorders>
          </w:tcPr>
          <w:p>
            <w:pPr>
              <w:spacing w:after="0"/>
              <w:rPr>
                <w:sz w:val="18"/>
                <w:szCs w:val="18"/>
                <w:color w:val="auto"/>
              </w:rPr>
            </w:pPr>
          </w:p>
        </w:tc>
      </w:tr>
      <w:tr>
        <w:trPr>
          <w:trHeight w:val="209"/>
        </w:trPr>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10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1,337</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823</w:t>
            </w:r>
          </w:p>
        </w:tc>
        <w:tc>
          <w:tcPr>
            <w:tcW w:w="100" w:type="dxa"/>
            <w:vAlign w:val="bottom"/>
            <w:shd w:val="clear" w:color="auto" w:fill="CFF0FC"/>
          </w:tcPr>
          <w:p>
            <w:pPr>
              <w:spacing w:after="0"/>
              <w:rPr>
                <w:sz w:val="18"/>
                <w:szCs w:val="18"/>
                <w:color w:val="auto"/>
              </w:rPr>
            </w:pPr>
          </w:p>
        </w:tc>
      </w:tr>
      <w:tr>
        <w:trPr>
          <w:trHeight w:val="213"/>
        </w:trPr>
        <w:tc>
          <w:tcPr>
            <w:tcW w:w="8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11)</w:t>
            </w: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6"/>
                <w:szCs w:val="16"/>
                <w:color w:val="auto"/>
              </w:rPr>
              <w:t>Stockholders’ equity: (Note 12)</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stock, $0.001 par value</w:t>
            </w:r>
          </w:p>
        </w:tc>
        <w:tc>
          <w:tcPr>
            <w:tcW w:w="10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tcPr>
          <w:p>
            <w:pPr>
              <w:ind w:left="500"/>
              <w:spacing w:after="0"/>
              <w:rPr>
                <w:sz w:val="20"/>
                <w:szCs w:val="20"/>
                <w:color w:val="auto"/>
              </w:rPr>
            </w:pPr>
            <w:r>
              <w:rPr>
                <w:rFonts w:ascii="Arial" w:cs="Arial" w:eastAsia="Arial" w:hAnsi="Arial"/>
                <w:sz w:val="16"/>
                <w:szCs w:val="16"/>
                <w:color w:val="auto"/>
              </w:rPr>
              <w:t>Authorized shares: 100,000,000</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issued and outstanding: 0 and 0</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6"/>
                <w:szCs w:val="16"/>
                <w:color w:val="auto"/>
              </w:rPr>
              <w:t>Common stock, $0.001 par value</w:t>
            </w:r>
          </w:p>
        </w:tc>
        <w:tc>
          <w:tcPr>
            <w:tcW w:w="100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Authorized shares: 1,600,000,000</w:t>
            </w: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8000" w:type="dxa"/>
            <w:vAlign w:val="bottom"/>
          </w:tcPr>
          <w:p>
            <w:pPr>
              <w:ind w:left="500"/>
              <w:spacing w:after="0"/>
              <w:rPr>
                <w:sz w:val="20"/>
                <w:szCs w:val="20"/>
                <w:color w:val="auto"/>
              </w:rPr>
            </w:pPr>
            <w:r>
              <w:rPr>
                <w:rFonts w:ascii="Arial" w:cs="Arial" w:eastAsia="Arial" w:hAnsi="Arial"/>
                <w:sz w:val="16"/>
                <w:szCs w:val="16"/>
                <w:color w:val="auto"/>
              </w:rPr>
              <w:t>Shares issued: 140,412,251 and 138,698,307, respectively</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outstanding: 121,567,637 and 124,581,773, respectively</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6"/>
                <w:szCs w:val="16"/>
                <w:color w:val="auto"/>
              </w:rPr>
              <w:t>Class B common stock, $0.001 par value</w:t>
            </w:r>
          </w:p>
        </w:tc>
        <w:tc>
          <w:tcPr>
            <w:tcW w:w="100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Authorized shares: 400,000,000</w:t>
            </w: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8000" w:type="dxa"/>
            <w:vAlign w:val="bottom"/>
          </w:tcPr>
          <w:p>
            <w:pPr>
              <w:ind w:left="500"/>
              <w:spacing w:after="0"/>
              <w:rPr>
                <w:sz w:val="20"/>
                <w:szCs w:val="20"/>
                <w:color w:val="auto"/>
              </w:rPr>
            </w:pPr>
            <w:r>
              <w:rPr>
                <w:rFonts w:ascii="Arial" w:cs="Arial" w:eastAsia="Arial" w:hAnsi="Arial"/>
                <w:sz w:val="16"/>
                <w:szCs w:val="16"/>
                <w:color w:val="auto"/>
              </w:rPr>
              <w:t>Shares issued and outstanding: 12,799,999 and 12,799,999, respectively</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1,193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1,150</w:t>
            </w:r>
          </w:p>
        </w:tc>
        <w:tc>
          <w:tcPr>
            <w:tcW w:w="100" w:type="dxa"/>
            <w:vAlign w:val="bottom"/>
            <w:shd w:val="clear" w:color="auto" w:fill="CFF0FC"/>
          </w:tcPr>
          <w:p>
            <w:pPr>
              <w:spacing w:after="0"/>
              <w:rPr>
                <w:sz w:val="19"/>
                <w:szCs w:val="19"/>
                <w:color w:val="auto"/>
              </w:rPr>
            </w:pPr>
          </w:p>
        </w:tc>
      </w:tr>
      <w:tr>
        <w:trPr>
          <w:trHeight w:val="213"/>
        </w:trPr>
        <w:tc>
          <w:tcPr>
            <w:tcW w:w="800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509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18"/>
                <w:szCs w:val="18"/>
                <w:color w:val="auto"/>
              </w:rPr>
            </w:pPr>
          </w:p>
        </w:tc>
      </w:tr>
      <w:tr>
        <w:trPr>
          <w:trHeight w:val="219"/>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income (loss)</w:t>
            </w: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(68)</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w:t>
            </w:r>
          </w:p>
        </w:tc>
      </w:tr>
      <w:tr>
        <w:trPr>
          <w:trHeight w:val="213"/>
        </w:trPr>
        <w:tc>
          <w:tcPr>
            <w:tcW w:w="8000" w:type="dxa"/>
            <w:vAlign w:val="bottom"/>
          </w:tcPr>
          <w:p>
            <w:pPr>
              <w:ind w:left="260"/>
              <w:spacing w:after="0"/>
              <w:rPr>
                <w:sz w:val="20"/>
                <w:szCs w:val="20"/>
                <w:color w:val="auto"/>
              </w:rPr>
            </w:pPr>
            <w:r>
              <w:rPr>
                <w:rFonts w:ascii="Arial" w:cs="Arial" w:eastAsia="Arial" w:hAnsi="Arial"/>
                <w:sz w:val="16"/>
                <w:szCs w:val="16"/>
                <w:color w:val="auto"/>
              </w:rPr>
              <w:t>Treasury stock-common stock, at cost, 18,844,614 and 14,116,534 shares, respectively</w:t>
            </w:r>
          </w:p>
        </w:tc>
        <w:tc>
          <w:tcPr>
            <w:tcW w:w="10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(722)</w:t>
            </w: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(607)</w:t>
            </w:r>
          </w:p>
        </w:tc>
      </w:tr>
      <w:tr>
        <w:trPr>
          <w:trHeight w:val="213"/>
        </w:trPr>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912</w:t>
            </w: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1,161</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800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00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2,249</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w:t>
            </w:r>
          </w:p>
        </w:tc>
        <w:tc>
          <w:tcPr>
            <w:tcW w:w="100" w:type="dxa"/>
            <w:vAlign w:val="bottom"/>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27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Three months ended June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7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4"/>
          </w:tcPr>
          <w:p>
            <w:pPr>
              <w:ind w:left="20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other</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620"/>
              <w:spacing w:after="0"/>
              <w:rPr>
                <w:sz w:val="20"/>
                <w:szCs w:val="20"/>
                <w:color w:val="auto"/>
              </w:rPr>
            </w:pPr>
            <w:r>
              <w:rPr>
                <w:rFonts w:ascii="Arial" w:cs="Arial" w:eastAsia="Arial" w:hAnsi="Arial"/>
                <w:sz w:val="14"/>
                <w:szCs w:val="14"/>
                <w:b w:val="1"/>
                <w:bCs w:val="1"/>
                <w:color w:val="auto"/>
                <w:w w:val="93"/>
              </w:rPr>
              <w:t>Class B</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8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earnings</w:t>
            </w:r>
          </w:p>
        </w:tc>
        <w:tc>
          <w:tcPr>
            <w:tcW w:w="2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00" w:type="dxa"/>
            <w:vAlign w:val="bottom"/>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Treasury Stock</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March</w:t>
            </w:r>
          </w:p>
        </w:tc>
        <w:tc>
          <w:tcPr>
            <w:tcW w:w="1020" w:type="dxa"/>
            <w:vAlign w:val="bottom"/>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9"/>
                <w:szCs w:val="19"/>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9"/>
                <w:szCs w:val="19"/>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1780" w:type="dxa"/>
            <w:vAlign w:val="bottom"/>
            <w:vMerge w:val="continue"/>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r>
              <w:rPr>
                <w:rFonts w:ascii="Arial" w:cs="Arial" w:eastAsia="Arial" w:hAnsi="Arial"/>
                <w:sz w:val="18"/>
                <w:szCs w:val="18"/>
                <w:b w:val="1"/>
                <w:bCs w:val="1"/>
                <w:color w:val="auto"/>
              </w:rPr>
              <w:t>31, 2020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7"/>
              </w:rPr>
              <w:t>140,109,681</w:t>
            </w:r>
          </w:p>
        </w:tc>
        <w:tc>
          <w:tcPr>
            <w:tcW w:w="48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12,799,999</w:t>
            </w:r>
          </w:p>
        </w:tc>
        <w:tc>
          <w:tcPr>
            <w:tcW w:w="200" w:type="dxa"/>
            <w:vAlign w:val="bottom"/>
          </w:tcPr>
          <w:p>
            <w:pPr>
              <w:spacing w:after="0"/>
              <w:rPr>
                <w:sz w:val="20"/>
                <w:szCs w:val="20"/>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300" w:type="dxa"/>
            <w:vAlign w:val="bottom"/>
          </w:tcPr>
          <w:p>
            <w:pPr>
              <w:ind w:left="100"/>
              <w:spacing w:after="0"/>
              <w:rPr>
                <w:sz w:val="20"/>
                <w:szCs w:val="20"/>
                <w:color w:val="auto"/>
              </w:rPr>
            </w:pPr>
            <w:r>
              <w:rPr>
                <w:rFonts w:ascii="Arial" w:cs="Arial" w:eastAsia="Arial" w:hAnsi="Arial"/>
                <w:sz w:val="18"/>
                <w:szCs w:val="18"/>
                <w:b w:val="1"/>
                <w:bCs w:val="1"/>
                <w:color w:val="auto"/>
                <w:w w:val="99"/>
              </w:rPr>
              <w:t>—</w:t>
            </w:r>
          </w:p>
        </w:tc>
        <w:tc>
          <w:tcPr>
            <w:tcW w:w="280" w:type="dxa"/>
            <w:vAlign w:val="bottom"/>
            <w:gridSpan w:val="2"/>
          </w:tcPr>
          <w:p>
            <w:pPr>
              <w:ind w:left="200"/>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1,167</w:t>
            </w:r>
          </w:p>
        </w:tc>
        <w:tc>
          <w:tcPr>
            <w:tcW w:w="120" w:type="dxa"/>
            <w:vAlign w:val="bottom"/>
          </w:tcPr>
          <w:p>
            <w:pPr>
              <w:spacing w:after="0"/>
              <w:rPr>
                <w:sz w:val="20"/>
                <w:szCs w:val="20"/>
                <w:color w:val="auto"/>
              </w:rPr>
            </w:pPr>
          </w:p>
        </w:tc>
        <w:tc>
          <w:tcPr>
            <w:tcW w:w="26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662</w:t>
            </w:r>
          </w:p>
        </w:tc>
        <w:tc>
          <w:tcPr>
            <w:tcW w:w="200" w:type="dxa"/>
            <w:vAlign w:val="bottom"/>
          </w:tcPr>
          <w:p>
            <w:pPr>
              <w:spacing w:after="0"/>
              <w:rPr>
                <w:sz w:val="20"/>
                <w:szCs w:val="20"/>
                <w:color w:val="auto"/>
              </w:rPr>
            </w:pPr>
          </w:p>
        </w:tc>
        <w:tc>
          <w:tcPr>
            <w:tcW w:w="180" w:type="dxa"/>
            <w:vAlign w:val="bottom"/>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(18,823,984)</w:t>
            </w:r>
          </w:p>
        </w:tc>
        <w:tc>
          <w:tcPr>
            <w:tcW w:w="30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(722)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1,027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Other comprehensive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income (loss)</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stock related to</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exercises of options</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and vesting of RSUs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302,570</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Withholding taxes on</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net share settlements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of equity awards</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Stock-based</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compensation</w:t>
            </w: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(20,630)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17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 June</w:t>
            </w:r>
          </w:p>
        </w:tc>
        <w:tc>
          <w:tcPr>
            <w:tcW w:w="10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30, 2020</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140,412,251</w:t>
            </w:r>
          </w:p>
        </w:tc>
        <w:tc>
          <w:tcPr>
            <w:tcW w:w="4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FF0FC"/>
          </w:tcPr>
          <w:p>
            <w:pPr>
              <w:ind w:left="1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12,799,999</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b w:val="1"/>
                <w:bCs w:val="1"/>
                <w:color w:val="auto"/>
                <w:w w:val="99"/>
              </w:rPr>
              <w:t>—</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1,193</w:t>
            </w:r>
          </w:p>
        </w:tc>
        <w:tc>
          <w:tcPr>
            <w:tcW w:w="1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509</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(68)</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w w:val="99"/>
              </w:rPr>
              <w:t>(18,844,614)</w:t>
            </w:r>
          </w:p>
        </w:tc>
        <w:tc>
          <w:tcPr>
            <w:tcW w:w="3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99"/>
              </w:rPr>
              <w:t>(722)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27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Six months ended June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7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4"/>
          </w:tcPr>
          <w:p>
            <w:pPr>
              <w:ind w:left="20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other</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620"/>
              <w:spacing w:after="0"/>
              <w:rPr>
                <w:sz w:val="20"/>
                <w:szCs w:val="20"/>
                <w:color w:val="auto"/>
              </w:rPr>
            </w:pPr>
            <w:r>
              <w:rPr>
                <w:rFonts w:ascii="Arial" w:cs="Arial" w:eastAsia="Arial" w:hAnsi="Arial"/>
                <w:sz w:val="14"/>
                <w:szCs w:val="14"/>
                <w:b w:val="1"/>
                <w:bCs w:val="1"/>
                <w:color w:val="auto"/>
                <w:w w:val="93"/>
              </w:rPr>
              <w:t>Class B</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8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earnings</w:t>
            </w:r>
          </w:p>
        </w:tc>
        <w:tc>
          <w:tcPr>
            <w:tcW w:w="2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00" w:type="dxa"/>
            <w:vAlign w:val="bottom"/>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Treasury Stock</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w:t>
            </w:r>
          </w:p>
        </w:tc>
        <w:tc>
          <w:tcPr>
            <w:tcW w:w="1020" w:type="dxa"/>
            <w:vAlign w:val="bottom"/>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9"/>
                <w:szCs w:val="19"/>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9"/>
                <w:szCs w:val="19"/>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1780" w:type="dxa"/>
            <w:vAlign w:val="bottom"/>
            <w:vMerge w:val="continue"/>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7"/>
              </w:rPr>
              <w:t>138,698,307</w:t>
            </w:r>
          </w:p>
        </w:tc>
        <w:tc>
          <w:tcPr>
            <w:tcW w:w="48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12,799,999</w:t>
            </w:r>
          </w:p>
        </w:tc>
        <w:tc>
          <w:tcPr>
            <w:tcW w:w="200" w:type="dxa"/>
            <w:vAlign w:val="bottom"/>
          </w:tcPr>
          <w:p>
            <w:pPr>
              <w:spacing w:after="0"/>
              <w:rPr>
                <w:sz w:val="20"/>
                <w:szCs w:val="20"/>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300" w:type="dxa"/>
            <w:vAlign w:val="bottom"/>
          </w:tcPr>
          <w:p>
            <w:pPr>
              <w:ind w:left="100"/>
              <w:spacing w:after="0"/>
              <w:rPr>
                <w:sz w:val="20"/>
                <w:szCs w:val="20"/>
                <w:color w:val="auto"/>
              </w:rPr>
            </w:pPr>
            <w:r>
              <w:rPr>
                <w:rFonts w:ascii="Arial" w:cs="Arial" w:eastAsia="Arial" w:hAnsi="Arial"/>
                <w:sz w:val="18"/>
                <w:szCs w:val="18"/>
                <w:b w:val="1"/>
                <w:bCs w:val="1"/>
                <w:color w:val="auto"/>
                <w:w w:val="99"/>
              </w:rPr>
              <w:t>—</w:t>
            </w:r>
          </w:p>
        </w:tc>
        <w:tc>
          <w:tcPr>
            <w:tcW w:w="280" w:type="dxa"/>
            <w:vAlign w:val="bottom"/>
            <w:gridSpan w:val="2"/>
          </w:tcPr>
          <w:p>
            <w:pPr>
              <w:ind w:left="200"/>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1,150</w:t>
            </w:r>
          </w:p>
        </w:tc>
        <w:tc>
          <w:tcPr>
            <w:tcW w:w="120" w:type="dxa"/>
            <w:vAlign w:val="bottom"/>
          </w:tcPr>
          <w:p>
            <w:pPr>
              <w:spacing w:after="0"/>
              <w:rPr>
                <w:sz w:val="20"/>
                <w:szCs w:val="20"/>
                <w:color w:val="auto"/>
              </w:rPr>
            </w:pPr>
          </w:p>
        </w:tc>
        <w:tc>
          <w:tcPr>
            <w:tcW w:w="26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681</w:t>
            </w:r>
          </w:p>
        </w:tc>
        <w:tc>
          <w:tcPr>
            <w:tcW w:w="200" w:type="dxa"/>
            <w:vAlign w:val="bottom"/>
          </w:tcPr>
          <w:p>
            <w:pPr>
              <w:spacing w:after="0"/>
              <w:rPr>
                <w:sz w:val="20"/>
                <w:szCs w:val="20"/>
                <w:color w:val="auto"/>
              </w:rPr>
            </w:pPr>
          </w:p>
        </w:tc>
        <w:tc>
          <w:tcPr>
            <w:tcW w:w="180" w:type="dxa"/>
            <w:vAlign w:val="bottom"/>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(63)</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(14,116,534)</w:t>
            </w:r>
          </w:p>
        </w:tc>
        <w:tc>
          <w:tcPr>
            <w:tcW w:w="30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(607)</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1,161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Cumulative effect</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adjustment from</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adoption of new</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accounting guidance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(Note 2)</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income (loss)</w:t>
            </w: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Issuance of common</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stock related to</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exercises of options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and vesting of RSUs</w:t>
            </w:r>
          </w:p>
        </w:tc>
        <w:tc>
          <w:tcPr>
            <w:tcW w:w="1020" w:type="dxa"/>
            <w:vAlign w:val="bottom"/>
          </w:tcPr>
          <w:p>
            <w:pPr>
              <w:jc w:val="right"/>
              <w:spacing w:after="0"/>
              <w:rPr>
                <w:sz w:val="20"/>
                <w:szCs w:val="20"/>
                <w:color w:val="auto"/>
              </w:rPr>
            </w:pPr>
            <w:r>
              <w:rPr>
                <w:rFonts w:ascii="Arial" w:cs="Arial" w:eastAsia="Arial" w:hAnsi="Arial"/>
                <w:sz w:val="18"/>
                <w:szCs w:val="18"/>
                <w:color w:val="auto"/>
              </w:rPr>
              <w:t>1,713,944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Repurchase of</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common stock (Note</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12)</w:t>
            </w: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(4,707,450)</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(115)</w:t>
            </w:r>
          </w:p>
        </w:tc>
        <w:tc>
          <w:tcPr>
            <w:tcW w:w="1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Withholding taxes on</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net share settlements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of equity awards</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5"/>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Stock-based</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compensation</w:t>
            </w: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(20,630)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17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 June</w:t>
            </w:r>
          </w:p>
        </w:tc>
        <w:tc>
          <w:tcPr>
            <w:tcW w:w="10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30, 2020</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140,412,251</w:t>
            </w:r>
          </w:p>
        </w:tc>
        <w:tc>
          <w:tcPr>
            <w:tcW w:w="4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FF0FC"/>
          </w:tcPr>
          <w:p>
            <w:pPr>
              <w:ind w:left="1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12,799,999</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b w:val="1"/>
                <w:bCs w:val="1"/>
                <w:color w:val="auto"/>
                <w:w w:val="99"/>
              </w:rPr>
              <w:t>—</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1,193</w:t>
            </w:r>
          </w:p>
        </w:tc>
        <w:tc>
          <w:tcPr>
            <w:tcW w:w="1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509</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(68)</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w w:val="99"/>
              </w:rPr>
              <w:t>(18,844,614)</w:t>
            </w:r>
          </w:p>
        </w:tc>
        <w:tc>
          <w:tcPr>
            <w:tcW w:w="3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99"/>
              </w:rPr>
              <w:t>(722)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58"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Three months ended June 30,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5"/>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Accumulated</w:t>
            </w:r>
          </w:p>
        </w:tc>
        <w:tc>
          <w:tcPr>
            <w:tcW w:w="9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3"/>
              </w:rPr>
              <w:t>Additional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other</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4"/>
          </w:tcPr>
          <w:p>
            <w:pPr>
              <w:jc w:val="center"/>
              <w:ind w:left="408"/>
              <w:spacing w:after="0"/>
              <w:rPr>
                <w:sz w:val="20"/>
                <w:szCs w:val="20"/>
                <w:color w:val="auto"/>
              </w:rPr>
            </w:pPr>
            <w:r>
              <w:rPr>
                <w:rFonts w:ascii="Arial" w:cs="Arial" w:eastAsia="Arial" w:hAnsi="Arial"/>
                <w:sz w:val="14"/>
                <w:szCs w:val="14"/>
                <w:b w:val="1"/>
                <w:bCs w:val="1"/>
                <w:color w:val="auto"/>
                <w:w w:val="89"/>
              </w:rPr>
              <w:t>Class B</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paid-in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4"/>
              </w:rPr>
              <w:t>Retained</w:t>
            </w:r>
          </w:p>
        </w:tc>
        <w:tc>
          <w:tcPr>
            <w:tcW w:w="60" w:type="dxa"/>
            <w:vAlign w:val="bottom"/>
          </w:tcPr>
          <w:p>
            <w:pPr>
              <w:spacing w:after="0"/>
              <w:rPr>
                <w:sz w:val="14"/>
                <w:szCs w:val="14"/>
                <w:color w:val="auto"/>
              </w:rPr>
            </w:pPr>
          </w:p>
        </w:tc>
        <w:tc>
          <w:tcPr>
            <w:tcW w:w="11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89"/>
              </w:rPr>
              <w:t>comprehensive</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Borders>
              <w:bottom w:val="single" w:sz="8" w:color="auto"/>
            </w:tcBorders>
            <w:gridSpan w:val="6"/>
          </w:tcPr>
          <w:p>
            <w:pPr>
              <w:jc w:val="right"/>
              <w:ind w:right="155"/>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89"/>
              </w:rPr>
              <w:t>common stock</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9"/>
              </w:rPr>
              <w:t>capital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2"/>
              </w:rPr>
              <w:t>earnings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160" w:type="dxa"/>
            <w:vAlign w:val="bottom"/>
            <w:gridSpan w:val="2"/>
          </w:tcPr>
          <w:p>
            <w:pPr>
              <w:spacing w:after="0"/>
              <w:rPr>
                <w:sz w:val="14"/>
                <w:szCs w:val="14"/>
                <w:color w:val="auto"/>
              </w:rPr>
            </w:pPr>
          </w:p>
        </w:tc>
        <w:tc>
          <w:tcPr>
            <w:tcW w:w="1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Treasury Stock</w:t>
            </w: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Balance as of March 31,</w:t>
            </w:r>
          </w:p>
        </w:tc>
        <w:tc>
          <w:tcPr>
            <w:tcW w:w="140" w:type="dxa"/>
            <w:vAlign w:val="bottom"/>
          </w:tcPr>
          <w:p>
            <w:pPr>
              <w:spacing w:after="0"/>
              <w:rPr>
                <w:sz w:val="19"/>
                <w:szCs w:val="19"/>
                <w:color w:val="auto"/>
              </w:rPr>
            </w:pPr>
          </w:p>
        </w:tc>
        <w:tc>
          <w:tcPr>
            <w:tcW w:w="780" w:type="dxa"/>
            <w:vAlign w:val="bottom"/>
          </w:tcPr>
          <w:p>
            <w:pPr>
              <w:jc w:val="right"/>
              <w:ind w:right="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9"/>
                <w:szCs w:val="19"/>
                <w:color w:val="auto"/>
              </w:rPr>
            </w:pPr>
          </w:p>
        </w:tc>
        <w:tc>
          <w:tcPr>
            <w:tcW w:w="6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9"/>
                <w:szCs w:val="19"/>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5"/>
        </w:trPr>
        <w:tc>
          <w:tcPr>
            <w:tcW w:w="1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138,256,630</w:t>
            </w:r>
          </w:p>
        </w:tc>
        <w:tc>
          <w:tcPr>
            <w:tcW w:w="140" w:type="dxa"/>
            <w:vAlign w:val="bottom"/>
          </w:tcPr>
          <w:p>
            <w:pPr>
              <w:spacing w:after="0"/>
              <w:rPr>
                <w:sz w:val="20"/>
                <w:szCs w:val="20"/>
                <w:color w:val="auto"/>
              </w:rPr>
            </w:pPr>
          </w:p>
        </w:tc>
        <w:tc>
          <w:tcPr>
            <w:tcW w:w="440" w:type="dxa"/>
            <w:vAlign w:val="bottom"/>
            <w:gridSpan w:val="2"/>
          </w:tcPr>
          <w:p>
            <w:pPr>
              <w:jc w:val="right"/>
              <w:ind w:right="255"/>
              <w:spacing w:after="0"/>
              <w:rPr>
                <w:sz w:val="20"/>
                <w:szCs w:val="20"/>
                <w:color w:val="auto"/>
              </w:rPr>
            </w:pPr>
            <w:r>
              <w:rPr>
                <w:rFonts w:ascii="Arial" w:cs="Arial" w:eastAsia="Arial" w:hAnsi="Arial"/>
                <w:sz w:val="18"/>
                <w:szCs w:val="18"/>
                <w:b w:val="1"/>
                <w:bCs w:val="1"/>
                <w:color w:val="auto"/>
                <w:w w:val="79"/>
              </w:rPr>
              <w:t>$</w:t>
            </w:r>
          </w:p>
        </w:tc>
        <w:tc>
          <w:tcPr>
            <w:tcW w:w="20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12,799,999</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ind w:left="320"/>
              <w:spacing w:after="0"/>
              <w:rPr>
                <w:sz w:val="20"/>
                <w:szCs w:val="20"/>
                <w:color w:val="auto"/>
              </w:rPr>
            </w:pPr>
            <w:r>
              <w:rPr>
                <w:rFonts w:ascii="Arial" w:cs="Arial" w:eastAsia="Arial" w:hAnsi="Arial"/>
                <w:sz w:val="18"/>
                <w:szCs w:val="18"/>
                <w:b w:val="1"/>
                <w:bCs w:val="1"/>
                <w:color w:val="auto"/>
                <w:w w:val="99"/>
              </w:rPr>
              <w:t>—</w:t>
            </w:r>
          </w:p>
        </w:tc>
        <w:tc>
          <w:tcPr>
            <w:tcW w:w="240" w:type="dxa"/>
            <w:vAlign w:val="bottom"/>
            <w:gridSpan w:val="2"/>
          </w:tcPr>
          <w:p>
            <w:pPr>
              <w:ind w:left="160"/>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1,046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1,072</w:t>
            </w:r>
          </w:p>
        </w:tc>
        <w:tc>
          <w:tcPr>
            <w:tcW w:w="400" w:type="dxa"/>
            <w:vAlign w:val="bottom"/>
            <w:gridSpan w:val="3"/>
          </w:tcPr>
          <w:p>
            <w:pPr>
              <w:jc w:val="right"/>
              <w:ind w:right="68"/>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(64)</w:t>
            </w:r>
          </w:p>
        </w:tc>
        <w:tc>
          <w:tcPr>
            <w:tcW w:w="60" w:type="dxa"/>
            <w:vAlign w:val="bottom"/>
          </w:tcPr>
          <w:p>
            <w:pPr>
              <w:spacing w:after="0"/>
              <w:rPr>
                <w:sz w:val="20"/>
                <w:szCs w:val="20"/>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9"/>
              </w:rPr>
              <w:t>(12,056,688)</w:t>
            </w:r>
          </w:p>
        </w:tc>
        <w:tc>
          <w:tcPr>
            <w:tcW w:w="26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w w:val="99"/>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(547)</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40" w:type="dxa"/>
            <w:vAlign w:val="bottom"/>
            <w:gridSpan w:val="2"/>
          </w:tcPr>
          <w:p>
            <w:pPr>
              <w:spacing w:after="0"/>
              <w:rPr>
                <w:sz w:val="20"/>
                <w:szCs w:val="20"/>
                <w:color w:val="auto"/>
              </w:rPr>
            </w:pPr>
            <w:r>
              <w:rPr>
                <w:rFonts w:ascii="Arial" w:cs="Arial" w:eastAsia="Arial" w:hAnsi="Arial"/>
                <w:sz w:val="18"/>
                <w:szCs w:val="18"/>
                <w:color w:val="auto"/>
              </w:rPr>
              <w:t>Other comprehensive</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income (loss)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0"/>
              </w:rPr>
              <w:t>Issuance of common stock</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related to exercises of</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and vesting of</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RSUs</w:t>
            </w:r>
          </w:p>
        </w:tc>
        <w:tc>
          <w:tcPr>
            <w:tcW w:w="11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268,528</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40" w:type="dxa"/>
            <w:vAlign w:val="bottom"/>
            <w:gridSpan w:val="2"/>
          </w:tcPr>
          <w:p>
            <w:pPr>
              <w:spacing w:after="0"/>
              <w:rPr>
                <w:sz w:val="20"/>
                <w:szCs w:val="20"/>
                <w:color w:val="auto"/>
              </w:rPr>
            </w:pPr>
            <w:r>
              <w:rPr>
                <w:rFonts w:ascii="Arial" w:cs="Arial" w:eastAsia="Arial" w:hAnsi="Arial"/>
                <w:sz w:val="18"/>
                <w:szCs w:val="18"/>
                <w:color w:val="auto"/>
                <w:w w:val="97"/>
              </w:rPr>
              <w:t>Withholding taxes on net</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w w:val="89"/>
              </w:rPr>
              <w:t>share settlements of equity</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awards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4"/>
          </w:tcPr>
          <w:p>
            <w:pPr>
              <w:jc w:val="right"/>
              <w:ind w:right="48"/>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88"/>
              </w:rPr>
              <w:t>Stock-based compensation</w:t>
            </w:r>
          </w:p>
        </w:tc>
        <w:tc>
          <w:tcPr>
            <w:tcW w:w="1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9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9"/>
              </w:rPr>
              <w:t>Balance as of June 30,</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5"/>
              </w:rPr>
              <w:t>138,525,158</w:t>
            </w:r>
          </w:p>
        </w:tc>
        <w:tc>
          <w:tcPr>
            <w:tcW w:w="140" w:type="dxa"/>
            <w:vAlign w:val="bottom"/>
          </w:tcPr>
          <w:p>
            <w:pPr>
              <w:spacing w:after="0"/>
              <w:rPr>
                <w:sz w:val="20"/>
                <w:szCs w:val="20"/>
                <w:color w:val="auto"/>
              </w:rPr>
            </w:pPr>
          </w:p>
        </w:tc>
        <w:tc>
          <w:tcPr>
            <w:tcW w:w="440" w:type="dxa"/>
            <w:vAlign w:val="bottom"/>
            <w:gridSpan w:val="2"/>
          </w:tcPr>
          <w:p>
            <w:pPr>
              <w:jc w:val="right"/>
              <w:ind w:right="255"/>
              <w:spacing w:after="0"/>
              <w:rPr>
                <w:sz w:val="20"/>
                <w:szCs w:val="20"/>
                <w:color w:val="auto"/>
              </w:rPr>
            </w:pPr>
            <w:r>
              <w:rPr>
                <w:rFonts w:ascii="Arial" w:cs="Arial" w:eastAsia="Arial" w:hAnsi="Arial"/>
                <w:sz w:val="18"/>
                <w:szCs w:val="18"/>
                <w:b w:val="1"/>
                <w:bCs w:val="1"/>
                <w:color w:val="auto"/>
                <w:w w:val="79"/>
              </w:rPr>
              <w:t>$</w:t>
            </w:r>
          </w:p>
        </w:tc>
        <w:tc>
          <w:tcPr>
            <w:tcW w:w="20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12,799,999</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ind w:left="320"/>
              <w:spacing w:after="0"/>
              <w:rPr>
                <w:sz w:val="20"/>
                <w:szCs w:val="20"/>
                <w:color w:val="auto"/>
              </w:rPr>
            </w:pPr>
            <w:r>
              <w:rPr>
                <w:rFonts w:ascii="Arial" w:cs="Arial" w:eastAsia="Arial" w:hAnsi="Arial"/>
                <w:sz w:val="18"/>
                <w:szCs w:val="18"/>
                <w:b w:val="1"/>
                <w:bCs w:val="1"/>
                <w:color w:val="auto"/>
                <w:w w:val="99"/>
              </w:rPr>
              <w:t>—</w:t>
            </w:r>
          </w:p>
        </w:tc>
        <w:tc>
          <w:tcPr>
            <w:tcW w:w="240" w:type="dxa"/>
            <w:vAlign w:val="bottom"/>
            <w:gridSpan w:val="2"/>
          </w:tcPr>
          <w:p>
            <w:pPr>
              <w:ind w:left="160"/>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1,081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1,106</w:t>
            </w:r>
          </w:p>
        </w:tc>
        <w:tc>
          <w:tcPr>
            <w:tcW w:w="400" w:type="dxa"/>
            <w:vAlign w:val="bottom"/>
            <w:gridSpan w:val="3"/>
          </w:tcPr>
          <w:p>
            <w:pPr>
              <w:jc w:val="right"/>
              <w:ind w:right="68"/>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(65)</w:t>
            </w:r>
          </w:p>
        </w:tc>
        <w:tc>
          <w:tcPr>
            <w:tcW w:w="60" w:type="dxa"/>
            <w:vAlign w:val="bottom"/>
          </w:tcPr>
          <w:p>
            <w:pPr>
              <w:spacing w:after="0"/>
              <w:rPr>
                <w:sz w:val="20"/>
                <w:szCs w:val="20"/>
                <w:color w:val="auto"/>
              </w:rPr>
            </w:pPr>
          </w:p>
        </w:tc>
        <w:tc>
          <w:tcPr>
            <w:tcW w:w="1380" w:type="dxa"/>
            <w:vAlign w:val="bottom"/>
            <w:gridSpan w:val="5"/>
          </w:tcPr>
          <w:p>
            <w:pPr>
              <w:jc w:val="right"/>
              <w:ind w:right="68"/>
              <w:spacing w:after="0"/>
              <w:rPr>
                <w:sz w:val="20"/>
                <w:szCs w:val="20"/>
                <w:color w:val="auto"/>
              </w:rPr>
            </w:pPr>
            <w:r>
              <w:rPr>
                <w:rFonts w:ascii="Arial" w:cs="Arial" w:eastAsia="Arial" w:hAnsi="Arial"/>
                <w:sz w:val="18"/>
                <w:szCs w:val="18"/>
                <w:b w:val="1"/>
                <w:bCs w:val="1"/>
                <w:color w:val="auto"/>
              </w:rPr>
              <w:t>(12,056,688) $</w:t>
            </w:r>
          </w:p>
        </w:tc>
        <w:tc>
          <w:tcPr>
            <w:tcW w:w="68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(547) $</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14"/>
          </w:tcPr>
          <w:p>
            <w:pPr>
              <w:ind w:left="60"/>
              <w:spacing w:after="0"/>
              <w:rPr>
                <w:sz w:val="20"/>
                <w:szCs w:val="20"/>
                <w:color w:val="auto"/>
              </w:rPr>
            </w:pPr>
            <w:r>
              <w:rPr>
                <w:rFonts w:ascii="Arial" w:cs="Arial" w:eastAsia="Arial" w:hAnsi="Arial"/>
                <w:sz w:val="18"/>
                <w:szCs w:val="18"/>
                <w:b w:val="1"/>
                <w:bCs w:val="1"/>
                <w:color w:val="auto"/>
                <w:w w:val="88"/>
              </w:rPr>
              <w:t>Six months ended June 30, 2019</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6"/>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7"/>
              </w:rPr>
              <w:t>other</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4"/>
          </w:tcPr>
          <w:p>
            <w:pPr>
              <w:ind w:left="10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4"/>
              </w:rPr>
              <w:t>Retained</w:t>
            </w:r>
          </w:p>
        </w:tc>
        <w:tc>
          <w:tcPr>
            <w:tcW w:w="124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earnings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0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4"/>
                <w:szCs w:val="14"/>
                <w:b w:val="1"/>
                <w:bCs w:val="1"/>
                <w:color w:val="auto"/>
              </w:rPr>
              <w:t>Treasury Stock</w:t>
            </w:r>
          </w:p>
        </w:tc>
        <w:tc>
          <w:tcPr>
            <w:tcW w:w="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224"/>
              <w:spacing w:after="0"/>
              <w:rPr>
                <w:sz w:val="20"/>
                <w:szCs w:val="20"/>
                <w:color w:val="auto"/>
              </w:rPr>
            </w:pPr>
            <w:r>
              <w:rPr>
                <w:rFonts w:ascii="Arial" w:cs="Arial" w:eastAsia="Arial" w:hAnsi="Arial"/>
                <w:sz w:val="14"/>
                <w:szCs w:val="14"/>
                <w:b w:val="1"/>
                <w:bCs w:val="1"/>
                <w:color w:val="auto"/>
                <w:w w:val="98"/>
              </w:rPr>
              <w:t>Shares</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Shares</w:t>
            </w:r>
          </w:p>
        </w:tc>
        <w:tc>
          <w:tcPr>
            <w:tcW w:w="800" w:type="dxa"/>
            <w:vAlign w:val="bottom"/>
            <w:gridSpan w:val="4"/>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9"/>
                <w:szCs w:val="19"/>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5"/>
        </w:trPr>
        <w:tc>
          <w:tcPr>
            <w:tcW w:w="184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w:t>
            </w:r>
          </w:p>
        </w:tc>
        <w:tc>
          <w:tcPr>
            <w:tcW w:w="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137,158,010</w:t>
            </w:r>
          </w:p>
        </w:tc>
        <w:tc>
          <w:tcPr>
            <w:tcW w:w="36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jc w:val="center"/>
              <w:ind w:left="115"/>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12,799,999</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FF0FC"/>
          </w:tcPr>
          <w:p>
            <w:pPr>
              <w:spacing w:after="0"/>
              <w:rPr>
                <w:sz w:val="20"/>
                <w:szCs w:val="20"/>
                <w:color w:val="auto"/>
              </w:rPr>
            </w:pPr>
          </w:p>
        </w:tc>
        <w:tc>
          <w:tcPr>
            <w:tcW w:w="52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1,037</w:t>
            </w:r>
          </w:p>
        </w:tc>
        <w:tc>
          <w:tcPr>
            <w:tcW w:w="16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1,043</w:t>
            </w:r>
          </w:p>
        </w:tc>
        <w:tc>
          <w:tcPr>
            <w:tcW w:w="12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(62)</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b w:val="1"/>
                <w:bCs w:val="1"/>
                <w:color w:val="auto"/>
                <w:w w:val="94"/>
              </w:rPr>
              <w:t>(12,056,688)</w:t>
            </w:r>
          </w:p>
        </w:tc>
        <w:tc>
          <w:tcPr>
            <w:tcW w:w="2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b w:val="1"/>
                <w:bCs w:val="1"/>
                <w:color w:val="auto"/>
                <w:w w:val="95"/>
              </w:rPr>
              <w:t>(547)</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1,471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Cumulative effect</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 from</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adoption of new</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accounting guidance</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40" w:type="dxa"/>
            <w:vAlign w:val="bottom"/>
            <w:gridSpan w:val="2"/>
          </w:tcPr>
          <w:p>
            <w:pPr>
              <w:spacing w:after="0"/>
              <w:rPr>
                <w:sz w:val="20"/>
                <w:szCs w:val="20"/>
                <w:color w:val="auto"/>
              </w:rPr>
            </w:pPr>
            <w:r>
              <w:rPr>
                <w:rFonts w:ascii="Arial" w:cs="Arial" w:eastAsia="Arial" w:hAnsi="Arial"/>
                <w:sz w:val="18"/>
                <w:szCs w:val="18"/>
                <w:color w:val="auto"/>
              </w:rPr>
              <w:t>Other comprehensive</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income (loss)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Issuance of common</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related to</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exercises of options</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and vesting of RSUs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1,367,148</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jc w:val="center"/>
              <w:ind w:left="115"/>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40" w:type="dxa"/>
            <w:vAlign w:val="bottom"/>
            <w:gridSpan w:val="2"/>
          </w:tcPr>
          <w:p>
            <w:pPr>
              <w:spacing w:after="0"/>
              <w:rPr>
                <w:sz w:val="20"/>
                <w:szCs w:val="20"/>
                <w:color w:val="auto"/>
              </w:rPr>
            </w:pPr>
            <w:r>
              <w:rPr>
                <w:rFonts w:ascii="Arial" w:cs="Arial" w:eastAsia="Arial" w:hAnsi="Arial"/>
                <w:sz w:val="18"/>
                <w:szCs w:val="18"/>
                <w:color w:val="auto"/>
              </w:rPr>
              <w:t>Withholding taxes on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w w:val="99"/>
              </w:rPr>
              <w:t>net share settlements of</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equity awards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5"/>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compensation</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840" w:type="dxa"/>
            <w:vAlign w:val="bottom"/>
          </w:tcPr>
          <w:p>
            <w:pPr>
              <w:spacing w:after="0" w:line="205" w:lineRule="exact"/>
              <w:rPr>
                <w:sz w:val="20"/>
                <w:szCs w:val="20"/>
                <w:color w:val="auto"/>
              </w:rPr>
            </w:pPr>
            <w:r>
              <w:rPr>
                <w:rFonts w:ascii="Arial" w:cs="Arial" w:eastAsia="Arial" w:hAnsi="Arial"/>
                <w:sz w:val="18"/>
                <w:szCs w:val="18"/>
                <w:b w:val="1"/>
                <w:bCs w:val="1"/>
                <w:color w:val="auto"/>
                <w:w w:val="94"/>
              </w:rPr>
              <w:t>Balance as of June 30,</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138,525,158</w:t>
            </w:r>
          </w:p>
        </w:tc>
        <w:tc>
          <w:tcPr>
            <w:tcW w:w="360" w:type="dxa"/>
            <w:vAlign w:val="bottom"/>
            <w:gridSpan w:val="3"/>
          </w:tcPr>
          <w:p>
            <w:pPr>
              <w:jc w:val="right"/>
              <w:ind w:right="8"/>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420" w:type="dxa"/>
            <w:vAlign w:val="bottom"/>
          </w:tcPr>
          <w:p>
            <w:pPr>
              <w:jc w:val="center"/>
              <w:ind w:left="115"/>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12,799,999</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20"/>
                <w:szCs w:val="20"/>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1,081</w:t>
            </w:r>
          </w:p>
        </w:tc>
        <w:tc>
          <w:tcPr>
            <w:tcW w:w="1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1,106</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4"/>
              </w:rPr>
              <w:t>(12,056,688)</w:t>
            </w:r>
          </w:p>
        </w:tc>
        <w:tc>
          <w:tcPr>
            <w:tcW w:w="26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5"/>
              </w:rPr>
              <w:t>(547)</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tcPr>
          <w:p>
            <w:pPr>
              <w:spacing w:after="0"/>
              <w:rPr>
                <w:sz w:val="14"/>
                <w:szCs w:val="14"/>
                <w:color w:val="auto"/>
              </w:rPr>
            </w:pPr>
          </w:p>
        </w:tc>
        <w:tc>
          <w:tcPr>
            <w:tcW w:w="2640" w:type="dxa"/>
            <w:vAlign w:val="bottom"/>
            <w:tcBorders>
              <w:bottom w:val="single" w:sz="8" w:color="auto"/>
            </w:tcBorders>
            <w:gridSpan w:val="5"/>
          </w:tcPr>
          <w:p>
            <w:pPr>
              <w:jc w:val="right"/>
              <w:ind w:right="227"/>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8080" w:type="dxa"/>
            <w:vAlign w:val="bottom"/>
          </w:tcPr>
          <w:p>
            <w:pPr>
              <w:spacing w:after="0"/>
              <w:rPr>
                <w:sz w:val="13"/>
                <w:szCs w:val="13"/>
                <w:color w:val="auto"/>
              </w:rPr>
            </w:pPr>
          </w:p>
        </w:tc>
        <w:tc>
          <w:tcPr>
            <w:tcW w:w="940" w:type="dxa"/>
            <w:vAlign w:val="bottom"/>
          </w:tcPr>
          <w:p>
            <w:pPr>
              <w:jc w:val="right"/>
              <w:ind w:right="39"/>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67"/>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8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080" w:type="dxa"/>
            <w:vAlign w:val="bottom"/>
          </w:tcPr>
          <w:p>
            <w:pPr>
              <w:spacing w:after="0"/>
              <w:rPr>
                <w:sz w:val="20"/>
                <w:szCs w:val="20"/>
                <w:color w:val="auto"/>
              </w:rPr>
            </w:pPr>
            <w:r>
              <w:rPr>
                <w:rFonts w:ascii="Arial" w:cs="Arial" w:eastAsia="Arial" w:hAnsi="Arial"/>
                <w:sz w:val="18"/>
                <w:szCs w:val="18"/>
                <w:color w:val="auto"/>
              </w:rPr>
              <w:t>Net income (loss)</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980" w:type="dxa"/>
            <w:vAlign w:val="bottom"/>
            <w:gridSpan w:val="2"/>
          </w:tcPr>
          <w:p>
            <w:pPr>
              <w:jc w:val="right"/>
              <w:ind w:right="807"/>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30"/>
        </w:trPr>
        <w:tc>
          <w:tcPr>
            <w:tcW w:w="80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0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 (Note 5)</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r>
      <w:tr>
        <w:trPr>
          <w:trHeight w:val="230"/>
        </w:trPr>
        <w:tc>
          <w:tcPr>
            <w:tcW w:w="8080" w:type="dxa"/>
            <w:vAlign w:val="bottom"/>
          </w:tcPr>
          <w:p>
            <w:pPr>
              <w:ind w:left="260"/>
              <w:spacing w:after="0"/>
              <w:rPr>
                <w:sz w:val="20"/>
                <w:szCs w:val="20"/>
                <w:color w:val="auto"/>
              </w:rPr>
            </w:pPr>
            <w:r>
              <w:rPr>
                <w:rFonts w:ascii="Arial" w:cs="Arial" w:eastAsia="Arial" w:hAnsi="Arial"/>
                <w:sz w:val="18"/>
                <w:szCs w:val="18"/>
                <w:color w:val="auto"/>
              </w:rPr>
              <w:t>Deferred income tax expense</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expected credit losses and other, net</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29"/>
        </w:trPr>
        <w:tc>
          <w:tcPr>
            <w:tcW w:w="808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 net of effects from acquisitions and other investments:</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and contract assets, prepaid expenses and other assets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w:t>
            </w:r>
          </w:p>
        </w:tc>
      </w:tr>
      <w:tr>
        <w:trPr>
          <w:trHeight w:val="229"/>
        </w:trPr>
        <w:tc>
          <w:tcPr>
            <w:tcW w:w="8080" w:type="dxa"/>
            <w:vAlign w:val="bottom"/>
          </w:tcPr>
          <w:p>
            <w:pPr>
              <w:ind w:left="500"/>
              <w:spacing w:after="0"/>
              <w:rPr>
                <w:sz w:val="20"/>
                <w:szCs w:val="20"/>
                <w:color w:val="auto"/>
              </w:rPr>
            </w:pPr>
            <w:r>
              <w:rPr>
                <w:rFonts w:ascii="Arial" w:cs="Arial" w:eastAsia="Arial" w:hAnsi="Arial"/>
                <w:sz w:val="18"/>
                <w:szCs w:val="18"/>
                <w:color w:val="auto"/>
              </w:rPr>
              <w:t>Accounts payable, accrued expenses and other liabilities</w:t>
            </w: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8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merchant payables</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19"/>
                <w:szCs w:val="19"/>
                <w:color w:val="auto"/>
              </w:rPr>
            </w:pPr>
          </w:p>
        </w:tc>
      </w:tr>
      <w:tr>
        <w:trPr>
          <w:trHeight w:val="229"/>
        </w:trPr>
        <w:tc>
          <w:tcPr>
            <w:tcW w:w="8080" w:type="dxa"/>
            <w:vAlign w:val="bottom"/>
          </w:tcPr>
          <w:p>
            <w:pPr>
              <w:ind w:left="500"/>
              <w:spacing w:after="0"/>
              <w:rPr>
                <w:sz w:val="20"/>
                <w:szCs w:val="20"/>
                <w:color w:val="auto"/>
              </w:rPr>
            </w:pPr>
            <w:r>
              <w:rPr>
                <w:rFonts w:ascii="Arial" w:cs="Arial" w:eastAsia="Arial" w:hAnsi="Arial"/>
                <w:sz w:val="18"/>
                <w:szCs w:val="18"/>
                <w:color w:val="auto"/>
              </w:rPr>
              <w:t>Income tax receivables/payables, net</w:t>
            </w: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9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r>
      <w:tr>
        <w:trPr>
          <w:trHeight w:val="229"/>
        </w:trPr>
        <w:tc>
          <w:tcPr>
            <w:tcW w:w="8080" w:type="dxa"/>
            <w:vAlign w:val="bottom"/>
          </w:tcPr>
          <w:p>
            <w:pPr>
              <w:ind w:left="260"/>
              <w:spacing w:after="0"/>
              <w:rPr>
                <w:sz w:val="20"/>
                <w:szCs w:val="20"/>
                <w:color w:val="auto"/>
              </w:rPr>
            </w:pPr>
            <w:r>
              <w:rPr>
                <w:rFonts w:ascii="Arial" w:cs="Arial" w:eastAsia="Arial" w:hAnsi="Arial"/>
                <w:sz w:val="18"/>
                <w:szCs w:val="18"/>
                <w:color w:val="auto"/>
              </w:rPr>
              <w:t>Purchases of marketable securities</w:t>
            </w:r>
          </w:p>
        </w:tc>
        <w:tc>
          <w:tcPr>
            <w:tcW w:w="94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r>
      <w:tr>
        <w:trPr>
          <w:trHeight w:val="230"/>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marketable securities</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29"/>
        </w:trPr>
        <w:tc>
          <w:tcPr>
            <w:tcW w:w="8080" w:type="dxa"/>
            <w:vAlign w:val="bottom"/>
          </w:tcPr>
          <w:p>
            <w:pPr>
              <w:ind w:left="260"/>
              <w:spacing w:after="0"/>
              <w:rPr>
                <w:sz w:val="20"/>
                <w:szCs w:val="20"/>
                <w:color w:val="auto"/>
              </w:rPr>
            </w:pPr>
            <w:r>
              <w:rPr>
                <w:rFonts w:ascii="Arial" w:cs="Arial" w:eastAsia="Arial" w:hAnsi="Arial"/>
                <w:sz w:val="18"/>
                <w:szCs w:val="18"/>
                <w:color w:val="auto"/>
              </w:rPr>
              <w:t>Other investing activities, net</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8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9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080" w:type="dxa"/>
            <w:vAlign w:val="bottom"/>
          </w:tcPr>
          <w:p>
            <w:pPr>
              <w:ind w:left="260"/>
              <w:spacing w:after="0"/>
              <w:rPr>
                <w:sz w:val="20"/>
                <w:szCs w:val="20"/>
                <w:color w:val="auto"/>
              </w:rPr>
            </w:pPr>
            <w:r>
              <w:rPr>
                <w:rFonts w:ascii="Arial" w:cs="Arial" w:eastAsia="Arial" w:hAnsi="Arial"/>
                <w:sz w:val="18"/>
                <w:szCs w:val="18"/>
                <w:color w:val="auto"/>
              </w:rPr>
              <w:t>Repurchase of common stock (Note 12)</w:t>
            </w: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2015 credit facility (Note 8)</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8080" w:type="dxa"/>
            <w:vAlign w:val="bottom"/>
          </w:tcPr>
          <w:p>
            <w:pPr>
              <w:ind w:left="260"/>
              <w:spacing w:after="0"/>
              <w:rPr>
                <w:sz w:val="20"/>
                <w:szCs w:val="20"/>
                <w:color w:val="auto"/>
              </w:rPr>
            </w:pPr>
            <w:r>
              <w:rPr>
                <w:rFonts w:ascii="Arial" w:cs="Arial" w:eastAsia="Arial" w:hAnsi="Arial"/>
                <w:sz w:val="18"/>
                <w:szCs w:val="18"/>
                <w:color w:val="auto"/>
              </w:rPr>
              <w:t>Payment of financing costs from 2015 credit facility (Note 8)</w:t>
            </w: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30"/>
        </w:trPr>
        <w:tc>
          <w:tcPr>
            <w:tcW w:w="8080" w:type="dxa"/>
            <w:vAlign w:val="bottom"/>
          </w:tcPr>
          <w:p>
            <w:pPr>
              <w:ind w:left="260"/>
              <w:spacing w:after="0"/>
              <w:rPr>
                <w:sz w:val="20"/>
                <w:szCs w:val="20"/>
                <w:color w:val="auto"/>
              </w:rPr>
            </w:pPr>
            <w:r>
              <w:rPr>
                <w:rFonts w:ascii="Arial" w:cs="Arial" w:eastAsia="Arial" w:hAnsi="Arial"/>
                <w:sz w:val="18"/>
                <w:szCs w:val="18"/>
                <w:color w:val="auto"/>
              </w:rPr>
              <w:t>Payment of withholding taxes on net share settlements of equity awards</w:t>
            </w: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30"/>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finance lease obligation</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9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30"/>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9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FF0FC"/>
          </w:tcPr>
          <w:p>
            <w:pPr>
              <w:spacing w:after="0"/>
              <w:rPr>
                <w:sz w:val="19"/>
                <w:szCs w:val="19"/>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 AND BASIS OF PRESENTATION</w:t>
      </w:r>
    </w:p>
    <w:p>
      <w:pPr>
        <w:spacing w:after="0" w:line="121"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280" w:firstLine="510"/>
        <w:spacing w:after="0" w:line="311" w:lineRule="auto"/>
        <w:rPr>
          <w:sz w:val="20"/>
          <w:szCs w:val="20"/>
          <w:color w:val="auto"/>
        </w:rPr>
      </w:pPr>
      <w:r>
        <w:rPr>
          <w:rFonts w:ascii="Arial" w:cs="Arial" w:eastAsia="Arial" w:hAnsi="Arial"/>
          <w:sz w:val="16"/>
          <w:szCs w:val="16"/>
          <w:color w:val="auto"/>
        </w:rPr>
        <w:t>Tripadvisor is a leading online travel company and our mission is to help people around the world plan, book and experience the perfect trip. We operate a global travel platform that connects the world’s largest audience of prospective travelers with travel partners through rich content, price comparison tools, and online reservation and related services for destinations, accommodations, travel activities and experiences, and restaurants.</w:t>
      </w:r>
    </w:p>
    <w:p>
      <w:pPr>
        <w:spacing w:after="0" w:line="14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Under our flagship brand, Tripadvisor, we launched www.Tripadvisor.com in the U.S. in 2000. Since then, we have launched localized versions of the Tripadvisor website in 48 markets and 28 languages worldwide. Tripadvisor features 867 million reviews and opinions on 8.7 million places to stay, places to eat and things to do – including 1.5 million hotels, inns, B&amp;Bs and specialty lodging, 786,000 rental properties, 4.6 million restaurants, 1.3 million travel activities and experiences worldwide, 500,000 airlines, and 30,000 cruises. Tripadvisor’s rich content and engaged community attract the world’s largest travel audience, based on monthly unique visitors, including 463 million average monthly unique visitors in the third quarter of 2019 during the peak summer travel season.</w:t>
      </w:r>
    </w:p>
    <w:p>
      <w:pPr>
        <w:spacing w:after="0" w:line="192" w:lineRule="exact"/>
        <w:rPr>
          <w:sz w:val="20"/>
          <w:szCs w:val="20"/>
          <w:color w:val="auto"/>
        </w:rPr>
      </w:pPr>
    </w:p>
    <w:p>
      <w:pPr>
        <w:ind w:right="600" w:firstLine="510"/>
        <w:spacing w:after="0" w:line="301" w:lineRule="auto"/>
        <w:rPr>
          <w:sz w:val="20"/>
          <w:szCs w:val="20"/>
          <w:color w:val="auto"/>
        </w:rPr>
      </w:pPr>
      <w:r>
        <w:rPr>
          <w:rFonts w:ascii="Arial" w:cs="Arial" w:eastAsia="Arial" w:hAnsi="Arial"/>
          <w:sz w:val="16"/>
          <w:szCs w:val="16"/>
          <w:color w:val="auto"/>
        </w:rPr>
        <w:t>In addition to the flagship Tripadvisor brand, we own and operate a portfolio of travel media brands and businesses, operating under various websites, including the following: www.bokun.io, www.cruisecritic.com, www.flipkey.com, www.thefork.com (including www.lafourchette.com, www.eltenedor.com, www.bookatable.co.uk, and www.delinski.com), www.helloreco.com, www.holidaylettings.co.uk, www.housetrip.com, www.jetsetter.com, www.niumba.com, www.seatguru.com, www.singleplatform.com, www.vacationhomerentals.com, and www.viator.com.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spacing w:after="0" w:line="18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2019, previously filed with the SEC. The unaudited condensed consolidated balance sheet as of December 31, 2019 included herein was derived from the audited consolidated financial statements as of that date, but does not include all disclosures including notes required by GAAP.</w:t>
      </w:r>
    </w:p>
    <w:p>
      <w:pPr>
        <w:spacing w:after="0" w:line="18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As of June 30, 2020, Liberty TripAdvisor Holdings, Inc. (“LTRIP”) beneficially owned approximately 18.2 million shares of our common stock and 12.8 million shares of our Class B common stock, which constitute 14.9% of the outstanding shares of common stock and 100% of the outstanding shares of Class B common stock. Assuming the conversion of all of LTRIP’s shares of Class B common stock into common stock, LTRIP would beneficially own 23.0% of the outstanding common stock. Because each share of Class B common stock is entitled to ten votes per share and each share of common stock is entitled to one vote per share,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0" w:name="page11"/>
    <w:bookmarkEnd w:id="10"/>
    <w:p>
      <w:pPr>
        <w:ind w:right="400"/>
        <w:spacing w:after="0" w:line="277" w:lineRule="auto"/>
        <w:rPr>
          <w:sz w:val="20"/>
          <w:szCs w:val="20"/>
          <w:color w:val="auto"/>
        </w:rPr>
      </w:pPr>
      <w:r>
        <w:rPr>
          <w:rFonts w:ascii="Arial" w:cs="Arial" w:eastAsia="Arial" w:hAnsi="Arial"/>
          <w:sz w:val="18"/>
          <w:szCs w:val="18"/>
          <w:color w:val="auto"/>
        </w:rPr>
        <w:t>LTRIP may be deemed to beneficially own equity securities representing 58.6% of our voting power. We had no related party transactions with LTRIP during the three and six months ended June 30, 2020 and 2019,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21" w:lineRule="exact"/>
        <w:rPr>
          <w:sz w:val="20"/>
          <w:szCs w:val="20"/>
          <w:color w:val="auto"/>
        </w:rPr>
      </w:pPr>
    </w:p>
    <w:p>
      <w:pPr>
        <w:ind w:right="160" w:firstLine="510"/>
        <w:spacing w:after="0" w:line="253" w:lineRule="auto"/>
        <w:rPr>
          <w:sz w:val="20"/>
          <w:szCs w:val="20"/>
          <w:color w:val="auto"/>
        </w:rPr>
      </w:pPr>
      <w:r>
        <w:rPr>
          <w:rFonts w:ascii="Arial" w:cs="Arial" w:eastAsia="Arial" w:hAnsi="Arial"/>
          <w:sz w:val="18"/>
          <w:szCs w:val="18"/>
          <w:color w:val="auto"/>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include: (i) recognition and recoverability of goodwill, definite-lived intangibles and other long-lived assets; and (ii) accounting for income taxes.</w:t>
      </w:r>
    </w:p>
    <w:p>
      <w:pPr>
        <w:spacing w:after="0" w:line="1" w:lineRule="exact"/>
        <w:rPr>
          <w:sz w:val="20"/>
          <w:szCs w:val="20"/>
          <w:color w:val="auto"/>
        </w:rPr>
      </w:pPr>
    </w:p>
    <w:p>
      <w:pPr>
        <w:jc w:val="both"/>
        <w:ind w:right="260" w:firstLine="510"/>
        <w:spacing w:after="0" w:line="253" w:lineRule="auto"/>
        <w:rPr>
          <w:sz w:val="20"/>
          <w:szCs w:val="20"/>
          <w:color w:val="auto"/>
        </w:rPr>
      </w:pPr>
      <w:r>
        <w:rPr>
          <w:rFonts w:ascii="Arial" w:cs="Arial" w:eastAsia="Arial" w:hAnsi="Arial"/>
          <w:sz w:val="18"/>
          <w:szCs w:val="18"/>
          <w:color w:val="auto"/>
        </w:rPr>
        <w:t>The COVID-19 pandemic has created and may continue to create significant uncertainty in macroeconomic conditions, which may cause further business disruptions and adversely impact our results of operations. As a result, some of our estimates and assumptions required increased judgment and carry a higher degree of variability and volatility. As events continue to evolve and additional information becomes available, our estimates may change materially in future periods.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In December 2019, a novel strain of coronavirus (“COVID-19”) was reported in Wuhan, China, and on March 11, 2020 was declared a global pandemic. We are subject to risks and uncertainties as a result of the COVID-19 pandemic. COVID-19 has caused material declines in demand within the travel, hospitality, restaurant, and leisure industry. The pandemic’s proliferation, concurrent with travel bans, increased governmental restrictions and mandates globally, to limit the spread of the virus, has dampened consumer demand for our products and services, which has adversely and materially affected our business, results of operations and financial condition. We believe the travel industry and our business will continue to be adversely and materially affected while travel bans and other government restrictions and mandates continue to remain in place. However, the extent of the impact of the COVID-19 pandemic on our business remains highly uncertain and difficult to predict, as the response to the pandemic continues to be ongoing and shifting as information is rapidly evolving, and the duration and severity of the pandemic are also uncertain and cannot be predicted. In addition, we do not have visibility into when these bans will be lifted, where additional bans may be initiated, or where bans that have been previously lifted are reinstated due to resurgence of virus, nor do we have visibility into the changes to consumer usage patterns on our platform or travel behavior patterns when travel bans and other government restrictions and mandates are fully lifted.</w:t>
      </w:r>
    </w:p>
    <w:p>
      <w:pPr>
        <w:spacing w:after="0" w:line="7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Furthermore, capital markets and economies worldwide have also been negatively impacted by the COVID-19 pandemic, and it is possible that it could cause a protracted local and/or global economic recession. Such economic disruption could have a material adverse effect on our business as consumers reduce their discretionary spending. Policymakers around the globe have responded with fiscal policy actions to support certain areas of the travel industry and economy as a whole. The magnitude and overall effectiveness of these actions remains uncertain.</w:t>
      </w:r>
    </w:p>
    <w:p>
      <w:pPr>
        <w:spacing w:after="0" w:line="63"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Company's future results of operations and liquidity could also be adversely impacted by delays in payments of outstanding accounts receivable amounts beyond normal payment terms, travel supplier and restaurant insolvencies, and the impact of any initiatives or programs that the Company may undertake to address financial and operational challenges faced by the Company and its customers. As of the date of issuance of these unaudited condensed consolidated financial statements, the extent and duration to which the COVID-19 pandemic may materially impact the Company's financial condition, liquidity, or results of operations in the future continues to be uncertain.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Consumers’ travel expenditures have historically followed a seasonal pattern. Correspondingly, travel partners’ advertising investments, and therefore our revenue and profits, have also historically followed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Significant shifts in our business mix or adverse economic conditions could result in future seasonal patterns that are different from historical trends.</w:t>
      </w:r>
    </w:p>
    <w:p>
      <w:pPr>
        <w:spacing w:after="0" w:line="68"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addition, due to the impact of COVID-19 to our business, we did not experience our typical seasonal pattern for revenue and profit during the three months ended June 30, 2020. In addition, cash outflows to travel suppliers related to deferred merchant payables significantly exceeded cash received from travelers during the first six months of 2020, reflecting the decline in consumer demand for our products and cancellations of reservations related to COVID-19, contributing significantly to unfavorable working capital trends and material negative operating cash flow during the six months ended June 30, 2020. It is difficult to forecast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ind w:right="80"/>
        <w:spacing w:after="0" w:line="277" w:lineRule="auto"/>
        <w:rPr>
          <w:sz w:val="20"/>
          <w:szCs w:val="20"/>
          <w:color w:val="auto"/>
        </w:rPr>
      </w:pPr>
      <w:r>
        <w:rPr>
          <w:rFonts w:ascii="Arial" w:cs="Arial" w:eastAsia="Arial" w:hAnsi="Arial"/>
          <w:sz w:val="18"/>
          <w:szCs w:val="18"/>
          <w:color w:val="auto"/>
        </w:rPr>
        <w:t>seasonality for the upcoming quarters, given the uncertainty related to the extent and duration of the impact from COVID-19 and the shape and timing of a recovery.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 xml:space="preserve">With the exception of the change for the accounting of credit losses as a result of adopting ASC 326 –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(“ASC 326”) on January 1, 2020, as discussed below, there have been no other significant changes to our accounting policies since December 31, 2019, as described under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consolidated financial statements in Item 8 of our Annual Report on Form 10-K for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2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June 2016, the FASB issued new accounting guidance which replaces the incurred loss impairment model with an expected loss methodology on the measurement of credit losses for financial assets measured at amortized cost, which includes accounts receivable, notes receivable, and available-for-sale debt securities. For financial assets measured at amortized cost, this new guidance requires an entity to: (1) estimate its lifetime expected credit losses upon recognition of the financial assets and establish an allowance to present the net amount expected to be collected; (2) recognize this allowance and changes in the allowance during subsequent periods through net income; and (3) consider relevant information about past events, current conditions and reasonable and supportable forecasts in assessing the lifetime expected credit losses. For available-for-sale debt securities, this new guidance made several targeted amendments to the existing other-than-temporary impairment model, including: (1) requiring disclosure of the allowance for credit losses; (2) allowing reversals of the previously recognized credit losses until the entity has the intent to sell, is more-likely-than-not required to sell the securities or the maturity of the securities; (3) limiting impairment to the difference between the amortized cost basis and fair value; and (4) not allowing entities to consider the length of time that fair value has been less than amortized cost as a factor in evaluating whether a credit loss exists. In addition, ASC 326 made changes to the accounting for available-for-sale debt securities. One such change is to require credit losses to be presented as an allowance rather than as a write-down on available-for-sale debt securities management does not intend to sell or believes that it is more likely than not they will be required to sell.</w:t>
      </w:r>
    </w:p>
    <w:p>
      <w:pPr>
        <w:spacing w:after="0" w:line="168"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The Company adopted ASC 326 on January 1, 2020, using a modified retrospective transition method for all financial assets measured at amortized cost, which requires a cumulative-effect adjustment of initial application, if any, to be recognized on the date of adoption. The cumulative-effect adjustment recorded by the Company on January 1, 2020 to retained earnings on its unaudited condensed consolidated balance sheet was $3 million. Financial results for reporting periods beginning after January 1, 2020 are presented under the new guidance, while prior period amounts are not adjusted and continue to be reported in accordance with previous GAAP. During the three and six months ended June 30, 2020, the impact of adopting the expected credit loss model was not material to the Company. Credit loss estimates on accounts receivable are recorded in general and administrative expenses on our unaudited condensed consolidated statement of operations. Credit loss estimates on available-for-sale debt securities are recorded in interest expense on our unaudited condensed consolidated statement of operations. The Company has updated its significant accounting policies as described below as of January 1, 2020.</w:t>
      </w:r>
    </w:p>
    <w:p>
      <w:pPr>
        <w:spacing w:after="0" w:line="165"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i w:val="1"/>
          <w:iCs w:val="1"/>
          <w:color w:val="auto"/>
        </w:rPr>
        <w:t xml:space="preserve">Accounts Receivable and Allowance for Credit Losses. </w:t>
      </w:r>
      <w:r>
        <w:rPr>
          <w:rFonts w:ascii="Arial" w:cs="Arial" w:eastAsia="Arial" w:hAnsi="Arial"/>
          <w:sz w:val="16"/>
          <w:szCs w:val="16"/>
          <w:color w:val="auto"/>
        </w:rPr>
        <w:t>The Company historically recorded an allowance for doubtful accounts using the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loss model. Upon adoption of ASC 326, the Company transitioned to the “expected credit loss” methodology in estimating its allowance for credit losses.</w:t>
      </w:r>
    </w:p>
    <w:p>
      <w:pPr>
        <w:spacing w:after="0" w:line="124"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apply the “expected credit loss” methodology by first assessing our historical losses based on credit sales and then adding in an assessment of expected changes in the foreseeable future, whether positive or negative, to the Company’s ability to collect its outstanding accounts receivables, or the expectation for future losses. The Company develops its expectation for future losses by assessing the profiles of its customers using their historical payment patterns, any known changes to those customers’ ability to fulfill their payment obligations, and assessing broader economic conditions that may impact our customers’ ability to pay their obligations. Where appropriate, the Company performs this analysis using a portfolio approach. Portfolios comprise customers with similar characteristics and payment history, and we have concluded that the aggregation of these customers into various portfolios does not produce a result that is materially different from considering the affected customers individually. Customers are assigned internal credit ratings, as determined by the Company, based on our collection profiles. Customers whose outstanding obligations are less likely to experience a credit loss are assigned a higher internal credit rating, and those customers whose outstanding obligations are more likely to experience a credit loss are assigned a lower credit rating. We recognize a greater credit loss allowance on the accounts receivable due from those customers in the lower credit tranche, as determined by the Company. When the Company becomes aware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of facts and circumstances affecting an individual customer, it also takes that specific customer information into account as part of its calculation of expected credit losses.</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Company's exposure to credit losses may increase if our customers are adversely affected by changes in macroeconomic pressures or uncertainty associated with local or global economic recessions, including the economic impact to our customers associated with COVID-19, or other customer-specific factors.</w:t>
      </w:r>
    </w:p>
    <w:p>
      <w:pPr>
        <w:spacing w:after="0" w:line="184"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i w:val="1"/>
          <w:iCs w:val="1"/>
          <w:color w:val="auto"/>
        </w:rPr>
        <w:t xml:space="preserve">Available-for-sale debt securities. </w:t>
      </w:r>
      <w:r>
        <w:rPr>
          <w:rFonts w:ascii="Arial" w:cs="Arial" w:eastAsia="Arial" w:hAnsi="Arial"/>
          <w:sz w:val="17"/>
          <w:szCs w:val="17"/>
          <w:color w:val="auto"/>
        </w:rPr>
        <w:t>The Company's investment portfolio at any point in time may contain investments in U.S. treasury and U.S.</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 agency securities, taxable and tax-exempt municipal notes, corporate notes and bonds, commercial paper, non-U.S. government agency securities, cash and term deposits, and money market funds. The Company segments its portfolio based on the underlying risk profiles of the securities and has a zero loss expectation for U.S. treasury and U.S. government agency securities. The Company regularly reviews the securities in an unrealized loss position and evaluates the expected credit loss risk by considering factors such as historical experience, market data, issuer-specific factors, and current economic conditions. As of June 30, 2020, the Company had no available-for-sale-debt securities.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We generate all of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we recognize revenue for only our commission on the arrangement. We determine revenue recognition through the following steps:</w:t>
      </w:r>
    </w:p>
    <w:p>
      <w:pPr>
        <w:spacing w:after="0" w:line="187"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19"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At contract inception, we assess the services promised in our contracts with customers and identify a performance obligation for each promise to transfer to the customer a service (or bundle of services) that is distinct. To identify the performance obligations, we consider all of the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three and six months ended June 30, 2020 and 2019 related to performance obligations satisfied in prior periods, respectively. We have applied a practical expedient and do not disclose the value of unsatisfied performance obligations that have an original expected duration of less than one year, and we do not have any material unsatisfied performance obligations over one year.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 The application of our revenue recognition policies and a description of our principal activities, organized by segment, from which we generate our revenue, are presented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21"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b w:val="1"/>
          <w:bCs w:val="1"/>
          <w:color w:val="auto"/>
        </w:rPr>
        <w:t>Tripadvisor-branded Hotels Revenue</w:t>
      </w:r>
      <w:r>
        <w:rPr>
          <w:rFonts w:ascii="Arial" w:cs="Arial" w:eastAsia="Arial" w:hAnsi="Arial"/>
          <w:sz w:val="17"/>
          <w:szCs w:val="17"/>
          <w:color w:val="auto"/>
        </w:rPr>
        <w:t>. Our largest source of Hotels, Media &amp; Platform segment revenue is generated from click-based advertising</w:t>
      </w:r>
      <w:r>
        <w:rPr>
          <w:rFonts w:ascii="Arial" w:cs="Arial" w:eastAsia="Arial" w:hAnsi="Arial"/>
          <w:sz w:val="17"/>
          <w:szCs w:val="17"/>
          <w:b w:val="1"/>
          <w:bCs w:val="1"/>
          <w:color w:val="auto"/>
        </w:rPr>
        <w:t xml:space="preserve"> </w:t>
      </w:r>
      <w:r>
        <w:rPr>
          <w:rFonts w:ascii="Arial" w:cs="Arial" w:eastAsia="Arial" w:hAnsi="Arial"/>
          <w:sz w:val="17"/>
          <w:szCs w:val="17"/>
          <w:color w:val="auto"/>
        </w:rPr>
        <w:t>on Tripadvisor-branded websites, which is primarily comprised of contextually-relevant booking links to our travel partners’ websites. Our click-based travel partners are predominantly OTAs and hotels. Click-based advertising is generally priced on a cost-per-click, or “CPC”, basis, with payments from travel partners determined by the number of travelers who click on a link multiplied by the CPC rate for each specific click. CPC rates are determined in a dynamic, competitive auction process, also known as hotel auction revenue, where our travel partner CPC bids for rates and availability to be listed on our site are submitted. When a CPC bid is submitted, the partner agrees to pay us the bid amount each time a traveler clicks on the link to that partner’s websites. Bids can be submitted periodically – as often as daily – on a property-by-property basis. We record click-based advertising revenue as the click occurs and traveler leads are sent to the travel partner websites as our performance obligation is fulfilled at that time. Click-based revenue is generally billed to our travel partners on a monthly basis consistent with the timing of the service.</w:t>
      </w:r>
    </w:p>
    <w:p>
      <w:pPr>
        <w:spacing w:after="0" w:line="178"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In addition, we offer subscription-based advertising to hotel partners, owners of B&amp;Bs and other specialty lodging properties. Our performance obligation is generally to enable subscribers to advertise their businesses on our website, as well as to manage and promote their website URL, email address, phone number, special offers and other information related to their business. Subscription-based advertising services are predominantly sold for a flat fee for a contracted period of time of one year or less and revenue is recognized on a straight-line basis over the period of the subscription service as efforts are expended evenly throughout the contract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 w:name="page14"/>
    <w:bookmarkEnd w:id="13"/>
    <w:p>
      <w:pPr>
        <w:ind w:right="100"/>
        <w:spacing w:after="0" w:line="277" w:lineRule="auto"/>
        <w:rPr>
          <w:sz w:val="20"/>
          <w:szCs w:val="20"/>
          <w:color w:val="auto"/>
        </w:rPr>
      </w:pPr>
      <w:r>
        <w:rPr>
          <w:rFonts w:ascii="Arial" w:cs="Arial" w:eastAsia="Arial" w:hAnsi="Arial"/>
          <w:sz w:val="18"/>
          <w:szCs w:val="18"/>
          <w:color w:val="auto"/>
        </w:rPr>
        <w:t>period. Subscription-based advertising services are generally billed at the inception of the service. When prepayments are received, we recognize deferred revenue for the amount of prepayment in excess of revenue recognized until the performance obligation is satisfied.</w:t>
      </w:r>
    </w:p>
    <w:p>
      <w:pPr>
        <w:spacing w:after="0" w:line="170"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We also offer travel partners the opportunity to advertise and promote their business through hotel sponsored placements on our websites. This service is generally priced on a CPC basis, with payments from travel partners determined by the number of travelers who click on the sponsored link multiplied by the CPC rate for each specific click. CPC rates for hotel sponsored placements that our travel partners pay are based on a pre-determined contractual rate. We record this click-based advertising revenue as the click occurs and traveler leads are sent to the travel partner as our performance obligation is fulfilled at that time. Hotel sponsored placements revenue is generally billed to our travel partners on a monthly basis consistent with the timing of the service. To a lesser extent, we generate revenue from our cost-per-action, or “CPA” model, which consists of contextually-relevant booking links to our travel partners’ websites which are advertised on our platform. We earn a commission from our travel partners, based on a pre-determined contractual commission rate, for each traveler who clicks to and books a hotel reservation on the travel partners’ website, which results in a traveler stay. CPA revenue is billable only upon the completion of each traveler’s stay resulting from a hotel reservation. The travel partners provide the service to the travelers and we act as an agent under ASC 606. Our performance obligation is complete at the time of the hotel reservation booking, and the commission earned is recognized upon booking, as we have no post-booking service obligations. Revenue recognized under the CPA model requires an estimate of the impact of cancellations using historical cancellation rates at the time of booking. Contract assets are recognized at the time of booking for commissions that are billable at the time of stay.</w:t>
      </w:r>
    </w:p>
    <w:p>
      <w:pPr>
        <w:spacing w:after="0" w:line="18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b w:val="1"/>
          <w:bCs w:val="1"/>
          <w:color w:val="auto"/>
        </w:rPr>
        <w:t>Tripadvisor-branded Display and Platform Revenue</w:t>
      </w:r>
      <w:r>
        <w:rPr>
          <w:rFonts w:ascii="Arial" w:cs="Arial" w:eastAsia="Arial" w:hAnsi="Arial"/>
          <w:sz w:val="17"/>
          <w:szCs w:val="17"/>
          <w:color w:val="auto"/>
        </w:rPr>
        <w:t>. We offer travel partners the ability to promote their brands through display-based</w:t>
      </w:r>
      <w:r>
        <w:rPr>
          <w:rFonts w:ascii="Arial" w:cs="Arial" w:eastAsia="Arial" w:hAnsi="Arial"/>
          <w:sz w:val="17"/>
          <w:szCs w:val="17"/>
          <w:b w:val="1"/>
          <w:bCs w:val="1"/>
          <w:color w:val="auto"/>
        </w:rPr>
        <w:t xml:space="preserve"> </w:t>
      </w:r>
      <w:r>
        <w:rPr>
          <w:rFonts w:ascii="Arial" w:cs="Arial" w:eastAsia="Arial" w:hAnsi="Arial"/>
          <w:sz w:val="17"/>
          <w:szCs w:val="17"/>
          <w:color w:val="auto"/>
        </w:rPr>
        <w:t>advertising placements on our websites across all of our segments and business units. Our display-based advertising clients are predominantly direct suppliers of hotels, airlines and cruises, as well as destination marketing organizations. We also sell display-based advertising to OTAs and other travel related businesses, as well as advertisers from non-travel categories. Display-based advertising is sold predominantly on a cost per thousand impressions, or CPM, basis. The performance obligation in our display-based advertising arrangements is to display a number of advertising impressions on our websites and we recognize revenue for impressions as they are delivered. Services are generally billed monthly. We have applied the practical expedient to measure progress toward completion, as we have the right to invoice the customer in an amount that directly corresponds with the value to the customer of our performance to date, which is measured based on impressions delivered.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25" w:lineRule="exact"/>
        <w:rPr>
          <w:sz w:val="20"/>
          <w:szCs w:val="20"/>
          <w:color w:val="auto"/>
        </w:rPr>
      </w:pPr>
    </w:p>
    <w:p>
      <w:pPr>
        <w:ind w:right="60" w:firstLine="510"/>
        <w:spacing w:after="0" w:line="267" w:lineRule="auto"/>
        <w:rPr>
          <w:sz w:val="20"/>
          <w:szCs w:val="20"/>
          <w:color w:val="auto"/>
        </w:rPr>
      </w:pPr>
      <w:r>
        <w:rPr>
          <w:rFonts w:ascii="Arial" w:cs="Arial" w:eastAsia="Arial" w:hAnsi="Arial"/>
          <w:sz w:val="17"/>
          <w:szCs w:val="17"/>
          <w:color w:val="auto"/>
        </w:rPr>
        <w:t>We provide information and services that allow consumers to research and book activities and attractions in popular travel destinations both through Viator, our dedicated Experiences offering, and on our Tripadvisor website and mobile apps. We also power travel activities and experiences booking capabilities to consumers on affiliate partner websites, including some of the world’s top airlines, hotel chains, and online and offline travel agencies. We work with local tour or travel activities/experiences operators (“the supplier”) to provide consumers the ability to book tours, activities and experiences (“the activity”) in popular destinations worldwide. We generate commissions for each booking transaction we facilitate through our online reservation system. We provide post-booking service to the customer until the time of the activity, which is the completion of the performance obligation. Revenue is recognized at the time that the activity occurs. We generally do not control the activity before the supplier provides it to our customer and therefore act as agent for nearly all of these transactions under ASC 606. We generally collect payment from the customer at the time of booking that includes both our commission revenue and the amount due to the supplier. Our commission revenue is recorded as deferred revenue until the activity occurs and revenue is recognized, and the amount due to the supplier is recorded as deferred merchant payables on our consolidated balance sheet until completion of the activity and payment is made to the supplier. To a lesser extent, we earn commissions from affiliate partners, or third-party merchant partners who display and promote on their websites the supplier activities available on our platform to generate bookings. In these transactions, where we are not the merchant of record, we generally invoice and receive commissions directly from the third-party merchant partners. Our performance obligation is to allow the third-party merchant partners to display and promote on their website suppliers who utilize our platform and we earn a commission when consumers book and complete an activity. We do not control the service and act as an agent for these transactions under ASC 606. Our performance obligation is complete and revenue is recognized at the time of the booking, as we have no post-booking obligations. We recognize this revenue net of an estimate of the impact of cancellations using historical cancellation rates. Contract assets are recognized for commissions that are billable contingent upon completion of the activity.</w:t>
      </w:r>
    </w:p>
    <w:p>
      <w:pPr>
        <w:spacing w:after="0" w:line="190"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We also provide information and services for consumers to research and book restaurants in popular travel destinations through our dedicated restaurant reservations offering, TheFork, and on our Tripadvisor-branded websites and mobile apps. TheFork is an online restaurant booking platform operating on a number of websites (including www.thefork.com, www.lafourchette.com, www.eltenedor.com, and www.bookatable.co.uk), with a network of restaurant partners located primarily across the U.K. and Europe, Australia, and South America. We primarily generate transaction fees (or per seated diner fees) that are paid by restaurants for diners seated primarily from bookings through TheFork’s online reservation system. The transaction fee is recognized as revenue after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ind w:right="40"/>
        <w:spacing w:after="0" w:line="269" w:lineRule="auto"/>
        <w:rPr>
          <w:sz w:val="20"/>
          <w:szCs w:val="20"/>
          <w:color w:val="auto"/>
        </w:rPr>
      </w:pPr>
      <w:r>
        <w:rPr>
          <w:rFonts w:ascii="Arial" w:cs="Arial" w:eastAsia="Arial" w:hAnsi="Arial"/>
          <w:sz w:val="17"/>
          <w:szCs w:val="17"/>
          <w:color w:val="auto"/>
        </w:rPr>
        <w:t>reservation is fulfilled, or as diners are seated by our restaurant customers. We invoice restaurants monthly for transaction fees. To a lesser extent, we also generate subscription fees for subscription-based advertising to restaurants, access to certain online reservation management services, marketing analytic tools, and menu syndication services provided by TheFork and Tripadvisor. As the performance obligation is to provide restaurants with access to these services over the subscription period, subscription fee revenue is recognized over the period of the subscription service on a straight-line basis as efforts are expended evenly throughout the contract period. Subscription fees are generally billable in advance of service. When prepayments are received, we recognize deferred revenue for the amount of prepayment in excess of revenue recognized until the performance obligation is satisfied. In addition, we also offer restaurant partners the opportunity to advertise and promote their business through restaurant media advertising placements on our website. This service is generally priced on a CPC basis, with payments from restaurant partners determined by the number of users who click on the sponsored link multiplied by the CPC rate for each specific click. CPC rates for media advertising placements that our restaurant partners pay are based on a pre-determined contractual rate. We record this click-based advertising revenue as the click occurs and diner leads are sent to the restaurant partner as our performance obligation is fulfilled at that time. Click-based revenue is generally billed to our restaurant partners on a monthly basis consistent with the timing of the service.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provide information and services that allow travelers to research and book vacation and short-term rental properties, including full homes, condominiums, villas, beach properties, cabins and cottages. Our Rentals offering generates revenue primarily by offering individual property owners and managers the ability to list their properties on our websites and mobile apps thereby connecting with travelers through a free-to-list, commission-based option or, to a lesser extent, by an annual subscription-based fee structure. These properties are listed on www.flipkey.com, www.holidaylettings.co.uk, www.housetrip.com, www.niumba.com, and www.vacationhomerentals.com, and on our Tripadvisor-branded websites and mobile apps. We earn commissions associated with rental transactions through our free-to-list model from both the traveler, and the property owner or manager. We provide post-booking service to the travelers, property owners and managers until the time the rental commences, which is the time the performance obligation is completed. Revenue from transaction fees is recognized at the time that the rental commences. We act as an agent, under ASC 606, in the transactions as we do not control any properties before the property owner provides the accommodation to the traveler and do not have inventory risk. We generally collect from the traveler at the time of booking payment representing the amount due to the property owner or manager, as well as our commission. That portion of the payment representing our commission is recorded as deferred revenue until revenue is recognized, and that portion of the payment representing the amount due to the property owner is recorded as deferred merchant payables until payment is made to the property owner after the completion of the rental. Payments for term-based subscription fees related to online advertising services for the listing of rental properties are generally due in advance. As the performance obligation is the listing service provided to the property owner or manager over the subscription period, revenue is recognized over the period of the subscription service on a straight-line basis as efforts are expended evenly throughout the contract period. We recognize deferred revenue for the amount of prepayment in excess of revenue recognized until the performance obligation is satisfied.</w:t>
      </w:r>
    </w:p>
    <w:p>
      <w:pPr>
        <w:spacing w:after="0" w:line="176" w:lineRule="exact"/>
        <w:rPr>
          <w:sz w:val="20"/>
          <w:szCs w:val="20"/>
          <w:color w:val="auto"/>
        </w:rPr>
      </w:pPr>
    </w:p>
    <w:p>
      <w:pPr>
        <w:ind w:right="260" w:firstLine="510"/>
        <w:spacing w:after="0" w:line="286" w:lineRule="auto"/>
        <w:rPr>
          <w:sz w:val="20"/>
          <w:szCs w:val="20"/>
          <w:color w:val="auto"/>
        </w:rPr>
      </w:pPr>
      <w:r>
        <w:rPr>
          <w:rFonts w:ascii="Arial" w:cs="Arial" w:eastAsia="Arial" w:hAnsi="Arial"/>
          <w:sz w:val="17"/>
          <w:szCs w:val="17"/>
          <w:color w:val="auto"/>
        </w:rPr>
        <w:t>In addition, Other also includes revenue generated from flights, cruises, and car offerings on Tripadvisor, which primarily includes click-based advertising and display-based advertising revenue. The performance obligations, timing of customer payments for these brands, and methods of revenue recognition are generally consistent with click-based advertising and display-based advertising revenue, as described above.</w:t>
      </w:r>
    </w:p>
    <w:p>
      <w:pPr>
        <w:spacing w:after="0" w:line="165"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 xml:space="preserve">We disaggregate revenue from contracts with customers into major products/revenue sources. We have determined that disaggregating revenue into these categories achieves the disclosure objective to depict how the nature, amount, timing, and uncertainty of revenue and cash flows are affected by economic factors. As noted in “Note 13: </w:t>
      </w:r>
      <w:r>
        <w:rPr>
          <w:rFonts w:ascii="Arial" w:cs="Arial" w:eastAsia="Arial" w:hAnsi="Arial"/>
          <w:sz w:val="17"/>
          <w:szCs w:val="17"/>
          <w:i w:val="1"/>
          <w:iCs w:val="1"/>
          <w:color w:val="auto"/>
        </w:rPr>
        <w:t>Segment Information,</w:t>
      </w:r>
      <w:r>
        <w:rPr>
          <w:rFonts w:ascii="Arial" w:cs="Arial" w:eastAsia="Arial" w:hAnsi="Arial"/>
          <w:sz w:val="17"/>
          <w:szCs w:val="17"/>
          <w:color w:val="auto"/>
        </w:rPr>
        <w:t>” our business consists of two reportable segments – (1) Hotels, Media &amp; Platform; and (2) Experiences &amp; Dining. A reconciliation of disaggregated revenue to segment revenue is also included below.</w:t>
      </w:r>
    </w:p>
    <w:p>
      <w:pPr>
        <w:spacing w:after="0" w:line="6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4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360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Major products/revenue sources (1):</w:t>
            </w: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Tripadvisor-branded hotels</w:t>
            </w:r>
          </w:p>
        </w:tc>
        <w:tc>
          <w:tcPr>
            <w:tcW w:w="1420" w:type="dxa"/>
            <w:vAlign w:val="bottom"/>
            <w:gridSpan w:val="2"/>
            <w:shd w:val="clear" w:color="auto" w:fill="CFF0FC"/>
          </w:tcPr>
          <w:p>
            <w:pPr>
              <w:jc w:val="right"/>
              <w:ind w:right="762"/>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160" w:type="dxa"/>
            <w:vAlign w:val="bottom"/>
            <w:gridSpan w:val="2"/>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FF0FC"/>
          </w:tcPr>
          <w:p>
            <w:pPr>
              <w:spacing w:after="0"/>
              <w:rPr>
                <w:sz w:val="19"/>
                <w:szCs w:val="19"/>
                <w:color w:val="auto"/>
              </w:rPr>
            </w:pPr>
          </w:p>
        </w:tc>
      </w:tr>
      <w:tr>
        <w:trPr>
          <w:trHeight w:val="229"/>
        </w:trPr>
        <w:tc>
          <w:tcPr>
            <w:tcW w:w="36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Tripadvisor-branded display and platform</w:t>
            </w:r>
          </w:p>
        </w:tc>
        <w:tc>
          <w:tcPr>
            <w:tcW w:w="4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FF0FC"/>
            </w:tcBorders>
          </w:tcPr>
          <w:p>
            <w:pPr>
              <w:spacing w:after="0"/>
              <w:rPr>
                <w:sz w:val="19"/>
                <w:szCs w:val="19"/>
                <w:color w:val="auto"/>
              </w:rPr>
            </w:pPr>
          </w:p>
        </w:tc>
      </w:tr>
      <w:tr>
        <w:trPr>
          <w:trHeight w:val="223"/>
        </w:trPr>
        <w:tc>
          <w:tcPr>
            <w:tcW w:w="3600" w:type="dxa"/>
            <w:vAlign w:val="bottom"/>
            <w:shd w:val="clear" w:color="auto" w:fill="CFF0FC"/>
          </w:tcPr>
          <w:p>
            <w:pPr>
              <w:ind w:left="80"/>
              <w:spacing w:after="0"/>
              <w:rPr>
                <w:sz w:val="20"/>
                <w:szCs w:val="20"/>
                <w:color w:val="auto"/>
              </w:rPr>
            </w:pPr>
            <w:r>
              <w:rPr>
                <w:rFonts w:ascii="Arial" w:cs="Arial" w:eastAsia="Arial" w:hAnsi="Arial"/>
                <w:sz w:val="18"/>
                <w:szCs w:val="18"/>
                <w:color w:val="auto"/>
              </w:rPr>
              <w:t>Total Hotels, Media &amp; Platform</w:t>
            </w: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FF0FC"/>
          </w:tcPr>
          <w:p>
            <w:pPr>
              <w:spacing w:after="0"/>
              <w:rPr>
                <w:sz w:val="19"/>
                <w:szCs w:val="19"/>
                <w:color w:val="auto"/>
              </w:rPr>
            </w:pPr>
          </w:p>
        </w:tc>
      </w:tr>
      <w:tr>
        <w:trPr>
          <w:trHeight w:val="229"/>
        </w:trPr>
        <w:tc>
          <w:tcPr>
            <w:tcW w:w="3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FF0FC"/>
          </w:tcPr>
          <w:p>
            <w:pPr>
              <w:spacing w:after="0"/>
              <w:rPr>
                <w:sz w:val="19"/>
                <w:szCs w:val="19"/>
                <w:color w:val="auto"/>
              </w:rPr>
            </w:pPr>
          </w:p>
        </w:tc>
      </w:tr>
      <w:tr>
        <w:trPr>
          <w:trHeight w:val="230"/>
        </w:trPr>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(2)</w:t>
            </w:r>
          </w:p>
        </w:tc>
        <w:tc>
          <w:tcPr>
            <w:tcW w:w="4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FF0FC"/>
            </w:tcBorders>
          </w:tcPr>
          <w:p>
            <w:pPr>
              <w:spacing w:after="0"/>
              <w:rPr>
                <w:sz w:val="19"/>
                <w:szCs w:val="19"/>
                <w:color w:val="auto"/>
              </w:rPr>
            </w:pPr>
          </w:p>
        </w:tc>
      </w:tr>
      <w:tr>
        <w:trPr>
          <w:trHeight w:val="223"/>
        </w:trPr>
        <w:tc>
          <w:tcPr>
            <w:tcW w:w="36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Total Revenue</w:t>
            </w:r>
          </w:p>
        </w:tc>
        <w:tc>
          <w:tcPr>
            <w:tcW w:w="4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62"/>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ind w:left="1420" w:hanging="373"/>
        <w:spacing w:after="0"/>
        <w:tabs>
          <w:tab w:leader="none" w:pos="1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revenue is recognized primarily at a point in time for all reported segments.</w:t>
      </w:r>
    </w:p>
    <w:p>
      <w:pPr>
        <w:spacing w:after="0" w:line="23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ind w:left="1420" w:hanging="373"/>
        <w:spacing w:after="0"/>
        <w:tabs>
          <w:tab w:leader="none" w:pos="1420" w:val="left"/>
        </w:tabs>
        <w:numPr>
          <w:ilvl w:val="0"/>
          <w:numId w:val="6"/>
        </w:numPr>
        <w:rPr>
          <w:rFonts w:ascii="Arial" w:cs="Arial" w:eastAsia="Arial" w:hAnsi="Arial"/>
          <w:sz w:val="15"/>
          <w:szCs w:val="15"/>
          <w:color w:val="auto"/>
        </w:rPr>
      </w:pPr>
      <w:r>
        <w:rPr>
          <w:rFonts w:ascii="Arial" w:cs="Arial" w:eastAsia="Arial" w:hAnsi="Arial"/>
          <w:sz w:val="14"/>
          <w:szCs w:val="14"/>
          <w:color w:val="auto"/>
        </w:rPr>
        <w:t>Other consists of the combination of our Rentals, Flights &amp; Car, Cruises, and Tripadvisor China business units and does not constitute a reportable segment</w:t>
      </w:r>
      <w:r>
        <w:rPr>
          <w:rFonts w:ascii="Arial" w:cs="Arial" w:eastAsia="Arial" w:hAnsi="Arial"/>
          <w:sz w:val="15"/>
          <w:szCs w:val="15"/>
          <w:color w:val="auto"/>
        </w:rPr>
        <w:t>.</w:t>
      </w:r>
    </w:p>
    <w:p>
      <w:pPr>
        <w:spacing w:after="0" w:line="242"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 following table provides information about the opening and closing balances of accounts receivable and contract assets from contracts with customers (in millions):</w:t>
      </w:r>
    </w:p>
    <w:p>
      <w:pPr>
        <w:spacing w:after="0" w:line="13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56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Contract assets</w:t>
            </w:r>
          </w:p>
        </w:tc>
        <w:tc>
          <w:tcPr>
            <w:tcW w:w="15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FF0FC"/>
            </w:tcBorders>
          </w:tcPr>
          <w:p>
            <w:pPr>
              <w:spacing w:after="0"/>
              <w:rPr>
                <w:sz w:val="19"/>
                <w:szCs w:val="19"/>
                <w:color w:val="auto"/>
              </w:rPr>
            </w:pPr>
          </w:p>
        </w:tc>
      </w:tr>
      <w:tr>
        <w:trPr>
          <w:trHeight w:val="223"/>
        </w:trPr>
        <w:tc>
          <w:tcPr>
            <w:tcW w:w="30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Accounts receivable are recognized when the right to consideration becomes unconditional.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During the three and six months ended June 30, 2020, we recorded approximately $7 million and $10 million, respectively, of incremental allowance for expected uncollectible amounts of accounts receivable and contract assets, when compared to the same periods in 2019, respectively, including estimated future losses in consideration of the impact of COVID-19 pandemic on the economy and the Company. Actual future bad debt could differ materially from this estimate resulting from changes in our assumptions of the duration and severity of the impact of the COVID-19 pandemic.</w:t>
      </w:r>
    </w:p>
    <w:p>
      <w:pPr>
        <w:spacing w:after="0" w:line="177"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Contract liabilities generally include payments received in advance of performance under the contract, and are realized as revenue as the performance obligation to the customer is satisfied, which we present as deferred revenue on our consolidated balance sheets. As of January 1, 2020, we had $62 million recorded as deferred revenue on our unaudited condensed consolidated balance sheet, of which $12 million and $44 million were recognized as revenue and $4 million and $10 million were refunded due to cancellations by travelers during the three and six months ended June 30, 2020, respectively. As of January 1, 2019, we had $63 million recorded as deferred revenue on our unaudited condensed consolidated balance sheet, of which $12 million and $46 million were recognized as revenue and $1 million and $2 million were refunded due to cancellations by travelers during the three and six months ended June 30, 2019, respectively. The difference between the opening and closing balances of our deferred revenue primarily results from the timing differences between when we receive customer payments and the time in which we satisfy our performance obligations.</w:t>
      </w:r>
    </w:p>
    <w:p>
      <w:pPr>
        <w:spacing w:after="0" w:line="16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The difference between the opening and closing balances of our contract assets primarily results from the timing difference between when we satisfy our performance obligations and the time when the principal completes the service in the transaction. There were no significant changes in contract assets or deferred revenue during the three and six months ended June 30, 2020 and 2019 related to business combinations, impairments, cumulative catch-ups or other material adjustments. However, to the extent the COVID-19 pandemic continues, we may incur additional significant and unanticipated cancellations by consumers related to future travel, accommodations and tour bookings, which have been reserved by travelers and recorded as deferred revenue on our consolidated balance sheet as of June 30, 2020 and December 31, 2019.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p>
      <w:pPr>
        <w:spacing w:after="0" w:line="121" w:lineRule="exact"/>
        <w:rPr>
          <w:sz w:val="20"/>
          <w:szCs w:val="20"/>
          <w:color w:val="auto"/>
        </w:rPr>
      </w:pPr>
    </w:p>
    <w:p>
      <w:pPr>
        <w:ind w:right="140" w:firstLine="544"/>
        <w:spacing w:after="0" w:line="279" w:lineRule="auto"/>
        <w:rPr>
          <w:sz w:val="20"/>
          <w:szCs w:val="20"/>
          <w:color w:val="auto"/>
        </w:rPr>
      </w:pPr>
      <w:r>
        <w:rPr>
          <w:rFonts w:ascii="Arial" w:cs="Arial" w:eastAsia="Arial" w:hAnsi="Arial"/>
          <w:sz w:val="17"/>
          <w:szCs w:val="17"/>
          <w:color w:val="auto"/>
        </w:rPr>
        <w:t>We compute basic earnings per share, or Basic EPS, by dividing net income (loss)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p>
      <w:pPr>
        <w:spacing w:after="0" w:line="121"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Diluted earnings per share, or Diluted EPS, includes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EPS calculation as indicated above; and (ii) if dilutive, the incremental weighted average common stock that we would issue upon the assumed exercise of outstanding common equivalent shares, primarily related to stock options and the vesting of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6" w:name="page17"/>
    <w:bookmarkEnd w:id="16"/>
    <w:p>
      <w:pPr>
        <w:jc w:val="both"/>
        <w:ind w:right="80" w:firstLine="510"/>
        <w:spacing w:after="0" w:line="311"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41"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7"/>
          <w:szCs w:val="17"/>
          <w:color w:val="auto"/>
        </w:rPr>
        <w:t>In periods of a net loss, common equivalent shares are excluded from the calculation of Diluted EPS as their inclusion would have an antidilutive effect. Accordingly, for periods in which we report a net loss, such as for the three and six months ended June 30, 2020, Diluted EPS is the same as Basic EPS, since dilutive common equivalent shares are not assumed to have been issued if their effect is antidilutive.</w:t>
      </w:r>
    </w:p>
    <w:p>
      <w:pPr>
        <w:spacing w:after="0" w:line="165"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234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9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03"/>
        </w:trPr>
        <w:tc>
          <w:tcPr>
            <w:tcW w:w="92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2"/>
              </w:rPr>
              <w:t>Numerator:</w:t>
            </w:r>
          </w:p>
        </w:tc>
        <w:tc>
          <w:tcPr>
            <w:tcW w:w="3560" w:type="dxa"/>
            <w:vAlign w:val="bottom"/>
            <w:tcBorders>
              <w:bottom w:val="single" w:sz="8" w:color="CFF0FC"/>
            </w:tcBorders>
            <w:gridSpan w:val="2"/>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29"/>
        </w:trPr>
        <w:tc>
          <w:tcPr>
            <w:tcW w:w="4480" w:type="dxa"/>
            <w:vAlign w:val="bottom"/>
            <w:gridSpan w:val="3"/>
          </w:tcPr>
          <w:p>
            <w:pPr>
              <w:ind w:left="240"/>
              <w:spacing w:after="0"/>
              <w:rPr>
                <w:sz w:val="20"/>
                <w:szCs w:val="20"/>
                <w:color w:val="auto"/>
              </w:rPr>
            </w:pPr>
            <w:r>
              <w:rPr>
                <w:rFonts w:ascii="Arial" w:cs="Arial" w:eastAsia="Arial" w:hAnsi="Arial"/>
                <w:sz w:val="18"/>
                <w:szCs w:val="18"/>
                <w:color w:val="auto"/>
              </w:rPr>
              <w:t>Net income (loss)</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10"/>
        </w:trPr>
        <w:tc>
          <w:tcPr>
            <w:tcW w:w="108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90"/>
              </w:rPr>
              <w:t>Denominator:</w:t>
            </w:r>
          </w:p>
        </w:tc>
        <w:tc>
          <w:tcPr>
            <w:tcW w:w="34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29"/>
        </w:trPr>
        <w:tc>
          <w:tcPr>
            <w:tcW w:w="4480" w:type="dxa"/>
            <w:vAlign w:val="bottom"/>
            <w:gridSpan w:val="3"/>
          </w:tcPr>
          <w:p>
            <w:pPr>
              <w:ind w:left="240"/>
              <w:spacing w:after="0"/>
              <w:rPr>
                <w:sz w:val="20"/>
                <w:szCs w:val="20"/>
                <w:color w:val="auto"/>
              </w:rPr>
            </w:pPr>
            <w:r>
              <w:rPr>
                <w:rFonts w:ascii="Arial" w:cs="Arial" w:eastAsia="Arial" w:hAnsi="Arial"/>
                <w:sz w:val="18"/>
                <w:szCs w:val="18"/>
                <w:color w:val="auto"/>
                <w:w w:val="97"/>
              </w:rPr>
              <w:t>Weighted average shares used to compute Basic EPS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134,213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139,070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135,227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138,744</w:t>
            </w:r>
          </w:p>
        </w:tc>
        <w:tc>
          <w:tcPr>
            <w:tcW w:w="100" w:type="dxa"/>
            <w:vAlign w:val="bottom"/>
          </w:tcPr>
          <w:p>
            <w:pPr>
              <w:spacing w:after="0"/>
              <w:rPr>
                <w:sz w:val="19"/>
                <w:szCs w:val="19"/>
                <w:color w:val="auto"/>
              </w:rPr>
            </w:pPr>
          </w:p>
        </w:tc>
      </w:tr>
      <w:tr>
        <w:trPr>
          <w:trHeight w:val="230"/>
        </w:trPr>
        <w:tc>
          <w:tcPr>
            <w:tcW w:w="44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Weighted average effect of dilutive securities:</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80" w:type="dxa"/>
            <w:vAlign w:val="bottom"/>
            <w:gridSpan w:val="3"/>
          </w:tcPr>
          <w:p>
            <w:pPr>
              <w:ind w:left="480"/>
              <w:spacing w:after="0"/>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r>
      <w:tr>
        <w:trPr>
          <w:trHeight w:val="229"/>
        </w:trPr>
        <w:tc>
          <w:tcPr>
            <w:tcW w:w="4480" w:type="dxa"/>
            <w:vAlign w:val="bottom"/>
            <w:gridSpan w:val="3"/>
            <w:shd w:val="clear" w:color="auto" w:fill="CFF0FC"/>
          </w:tcPr>
          <w:p>
            <w:pPr>
              <w:ind w:left="480"/>
              <w:spacing w:after="0"/>
              <w:rPr>
                <w:sz w:val="20"/>
                <w:szCs w:val="20"/>
                <w:color w:val="auto"/>
              </w:rPr>
            </w:pPr>
            <w:r>
              <w:rPr>
                <w:rFonts w:ascii="Arial" w:cs="Arial" w:eastAsia="Arial" w:hAnsi="Arial"/>
                <w:sz w:val="18"/>
                <w:szCs w:val="18"/>
                <w:color w:val="auto"/>
              </w:rPr>
              <w:t>RSUs/MSUs</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CFF0FC"/>
          </w:tcPr>
          <w:p>
            <w:pPr>
              <w:spacing w:after="0"/>
              <w:rPr>
                <w:sz w:val="19"/>
                <w:szCs w:val="19"/>
                <w:color w:val="auto"/>
              </w:rPr>
            </w:pPr>
          </w:p>
        </w:tc>
      </w:tr>
      <w:tr>
        <w:trPr>
          <w:trHeight w:val="263"/>
        </w:trPr>
        <w:tc>
          <w:tcPr>
            <w:tcW w:w="448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w w:val="94"/>
              </w:rPr>
              <w:t>Weighted average shares used to compute Diluted EPS</w:t>
            </w:r>
          </w:p>
        </w:tc>
        <w:tc>
          <w:tcPr>
            <w:tcW w:w="3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134,213</w:t>
            </w:r>
          </w:p>
        </w:tc>
        <w:tc>
          <w:tcPr>
            <w:tcW w:w="2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140,805</w:t>
            </w:r>
          </w:p>
        </w:tc>
        <w:tc>
          <w:tcPr>
            <w:tcW w:w="2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135,227</w:t>
            </w:r>
          </w:p>
        </w:tc>
        <w:tc>
          <w:tcPr>
            <w:tcW w:w="2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141,037</w:t>
            </w:r>
          </w:p>
        </w:tc>
        <w:tc>
          <w:tcPr>
            <w:tcW w:w="100" w:type="dxa"/>
            <w:vAlign w:val="bottom"/>
            <w:tcBorders>
              <w:bottom w:val="single" w:sz="8" w:color="CFF0FC"/>
            </w:tcBorders>
          </w:tcPr>
          <w:p>
            <w:pPr>
              <w:spacing w:after="0"/>
              <w:rPr>
                <w:sz w:val="22"/>
                <w:szCs w:val="22"/>
                <w:color w:val="auto"/>
              </w:rPr>
            </w:pPr>
          </w:p>
        </w:tc>
      </w:tr>
      <w:tr>
        <w:trPr>
          <w:trHeight w:val="210"/>
        </w:trPr>
        <w:tc>
          <w:tcPr>
            <w:tcW w:w="4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 EPS</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FF0FC"/>
          </w:tcPr>
          <w:p>
            <w:pPr>
              <w:spacing w:after="0"/>
              <w:rPr>
                <w:sz w:val="18"/>
                <w:szCs w:val="18"/>
                <w:color w:val="auto"/>
              </w:rPr>
            </w:pPr>
          </w:p>
        </w:tc>
      </w:tr>
      <w:tr>
        <w:trPr>
          <w:trHeight w:val="230"/>
        </w:trPr>
        <w:tc>
          <w:tcPr>
            <w:tcW w:w="448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Potential common shares, consisting of outstanding stock options, service and performance-based restricted stock units (“RSUs”) and market-based restricted stock units (“MSUs”), totaling approximately 14.2 million shares and 15.6 million shares for the three and six months ended June 30, 2020, respectively, and approximately 6.1 million shares and 4.8 million shares for the three and six months ended June 30, 2019, respectively, have been excluded from the calculation of Diluted EPS because their effect would have been antidilutive. In addition, potential common shares of certain performance-based awards of approximately 0.7 million shares for both the three and six months ended June 30, 2020, respectively, and approximately 0.5 million shares for both the three and six months ended June 30, 2019, respectively, for which all targets required to trigger vesting had not been achieved, were excluded from the calculation of weighted average shares used to compute Diluted EPS for those reporting periods.</w:t>
      </w:r>
    </w:p>
    <w:p>
      <w:pPr>
        <w:spacing w:after="0" w:line="58" w:lineRule="exact"/>
        <w:rPr>
          <w:sz w:val="20"/>
          <w:szCs w:val="20"/>
          <w:color w:val="auto"/>
        </w:rPr>
      </w:pPr>
    </w:p>
    <w:p>
      <w:pPr>
        <w:ind w:right="80" w:firstLine="510"/>
        <w:spacing w:after="0" w:line="219" w:lineRule="exact"/>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 In addition, our non-vested RSUs are entitled to dividend equivalents, which will be payable to the holder subject to, and upon vesting of, the underlying awards and are therefore forfeitable. Given such dividend equivalents are forfeitable, we do not consider them to be participating securities and, consequently, they are not subject to the two</w:t>
      </w:r>
      <w:r>
        <w:rPr>
          <w:rFonts w:ascii="MS PGothic" w:cs="MS PGothic" w:eastAsia="MS PGothic" w:hAnsi="MS PGothic"/>
          <w:sz w:val="18"/>
          <w:szCs w:val="18"/>
          <w:color w:val="auto"/>
        </w:rPr>
        <w:t>‑</w:t>
      </w:r>
      <w:r>
        <w:rPr>
          <w:rFonts w:ascii="Arial" w:cs="Arial" w:eastAsia="Arial" w:hAnsi="Arial"/>
          <w:sz w:val="18"/>
          <w:szCs w:val="18"/>
          <w:color w:val="auto"/>
        </w:rPr>
        <w:t>class method of determining earnings per share.</w:t>
      </w:r>
    </w:p>
    <w:p>
      <w:pPr>
        <w:spacing w:after="0" w:line="309" w:lineRule="exact"/>
        <w:rPr>
          <w:sz w:val="20"/>
          <w:szCs w:val="20"/>
          <w:color w:val="auto"/>
        </w:rPr>
      </w:pPr>
    </w:p>
    <w:p>
      <w:pPr>
        <w:ind w:right="5160"/>
        <w:spacing w:after="0" w:line="378" w:lineRule="auto"/>
        <w:rPr>
          <w:sz w:val="20"/>
          <w:szCs w:val="20"/>
          <w:color w:val="auto"/>
        </w:rPr>
      </w:pPr>
      <w:r>
        <w:rPr>
          <w:rFonts w:ascii="Arial" w:cs="Arial" w:eastAsia="Arial" w:hAnsi="Arial"/>
          <w:sz w:val="18"/>
          <w:szCs w:val="18"/>
          <w:b w:val="1"/>
          <w:bCs w:val="1"/>
          <w:color w:val="auto"/>
        </w:rPr>
        <w:t>NOTE 5: STOCK BASED AWARDS AND OTHER EQUITY INSTRUMENTS Stock-Based Compensation Expense</w:t>
      </w:r>
    </w:p>
    <w:p>
      <w:pPr>
        <w:ind w:right="820" w:firstLine="510"/>
        <w:spacing w:after="0" w:line="277"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on our unaudited condensed consolidated statements of operations during the periods presented: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80" w:type="dxa"/>
            <w:vAlign w:val="bottom"/>
            <w:gridSpan w:val="5"/>
          </w:tcPr>
          <w:p>
            <w:pPr>
              <w:jc w:val="center"/>
              <w:ind w:left="228"/>
              <w:spacing w:after="0"/>
              <w:rPr>
                <w:sz w:val="20"/>
                <w:szCs w:val="20"/>
                <w:color w:val="auto"/>
              </w:rPr>
            </w:pPr>
            <w:r>
              <w:rPr>
                <w:rFonts w:ascii="Arial" w:cs="Arial" w:eastAsia="Arial" w:hAnsi="Arial"/>
                <w:sz w:val="14"/>
                <w:szCs w:val="14"/>
                <w:b w:val="1"/>
                <w:bCs w:val="1"/>
                <w:color w:val="auto"/>
                <w:w w:val="91"/>
              </w:rPr>
              <w:t>Three months ended</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91"/>
              </w:rPr>
              <w:t>Six months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8"/>
        </w:trPr>
        <w:tc>
          <w:tcPr>
            <w:tcW w:w="5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right="430"/>
              <w:spacing w:after="0"/>
              <w:rPr>
                <w:sz w:val="20"/>
                <w:szCs w:val="20"/>
                <w:color w:val="auto"/>
              </w:rPr>
            </w:pPr>
            <w:r>
              <w:rPr>
                <w:rFonts w:ascii="Arial" w:cs="Arial" w:eastAsia="Arial" w:hAnsi="Arial"/>
                <w:sz w:val="14"/>
                <w:szCs w:val="14"/>
                <w:b w:val="1"/>
                <w:bCs w:val="1"/>
                <w:color w:val="auto"/>
                <w:w w:val="89"/>
              </w:rPr>
              <w:t>June 30,</w:t>
            </w:r>
          </w:p>
        </w:tc>
        <w:tc>
          <w:tcPr>
            <w:tcW w:w="3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55"/>
        </w:trPr>
        <w:tc>
          <w:tcPr>
            <w:tcW w:w="5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5"/>
        </w:trPr>
        <w:tc>
          <w:tcPr>
            <w:tcW w:w="5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60" w:type="dxa"/>
            <w:vAlign w:val="bottom"/>
            <w:gridSpan w:val="4"/>
          </w:tcPr>
          <w:p>
            <w:pPr>
              <w:jc w:val="center"/>
              <w:ind w:right="43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3"/>
          </w:tcPr>
          <w:p>
            <w:pPr>
              <w:jc w:val="center"/>
              <w:ind w:left="417"/>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220" w:type="dxa"/>
            <w:vAlign w:val="bottom"/>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Selling and marketing</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content</w:t>
            </w: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Income tax benefit from stock-based compensation</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Total stock-based compensation expense, net of tax</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20" w:type="dxa"/>
            <w:vAlign w:val="bottom"/>
            <w:gridSpan w:val="2"/>
          </w:tcPr>
          <w:p>
            <w:pPr>
              <w:jc w:val="right"/>
              <w:ind w:right="108"/>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 w:name="page18"/>
    <w:bookmarkEnd w:id="17"/>
    <w:p>
      <w:pPr>
        <w:jc w:val="both"/>
        <w:ind w:firstLine="510"/>
        <w:spacing w:after="0" w:line="342" w:lineRule="auto"/>
        <w:rPr>
          <w:sz w:val="20"/>
          <w:szCs w:val="20"/>
          <w:color w:val="auto"/>
        </w:rPr>
      </w:pPr>
      <w:r>
        <w:rPr>
          <w:rFonts w:ascii="Arial" w:cs="Arial" w:eastAsia="Arial" w:hAnsi="Arial"/>
          <w:sz w:val="16"/>
          <w:szCs w:val="16"/>
          <w:color w:val="auto"/>
        </w:rPr>
        <w:t>We capitalized $4 million and $8 million of stock-based compensation expense as internal-use software and website development costs during the three and six months ended June 30, 2020, respectively, and $5 million and $9 million during the three and six months ended June 30, 2019,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 Activity and Valuation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Option Activity</w:t>
      </w:r>
    </w:p>
    <w:p>
      <w:pPr>
        <w:spacing w:after="0" w:line="225"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A summary of our stock option activity, consisting primarily of service-based non-qualified stock options, during the six months ended June 30, 2020, is presented below:</w:t>
      </w:r>
    </w:p>
    <w:p>
      <w:pPr>
        <w:spacing w:after="0" w:line="108"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Average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Exercise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Options</w:t>
            </w: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Price Per</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Share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4500" w:type="dxa"/>
            <w:vAlign w:val="bottom"/>
          </w:tcPr>
          <w:p>
            <w:pPr>
              <w:spacing w:after="0"/>
              <w:rPr>
                <w:sz w:val="13"/>
                <w:szCs w:val="13"/>
                <w:color w:val="auto"/>
              </w:rPr>
            </w:pPr>
          </w:p>
        </w:tc>
        <w:tc>
          <w:tcPr>
            <w:tcW w:w="11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(in years)</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10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December 31, 2019</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50.27</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1,095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25.38</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Cancelled or expired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(732)</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46.74</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June 30, 2020</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46.42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40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FF0FC"/>
              <w:bottom w:val="single" w:sz="8" w:color="CFF0FC"/>
            </w:tcBorders>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Exercisable as of June 30, 2020</w:t>
            </w: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55.30</w:t>
            </w:r>
          </w:p>
        </w:tc>
        <w:tc>
          <w:tcPr>
            <w:tcW w:w="26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FF0FC"/>
            </w:tcBorders>
            <w:vMerge w:val="continue"/>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24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vMerge w:val="continue"/>
          </w:tcPr>
          <w:p>
            <w:pPr>
              <w:spacing w:after="0"/>
              <w:rPr>
                <w:sz w:val="21"/>
                <w:szCs w:val="21"/>
                <w:color w:val="auto"/>
              </w:rPr>
            </w:pPr>
          </w:p>
        </w:tc>
        <w:tc>
          <w:tcPr>
            <w:tcW w:w="400" w:type="dxa"/>
            <w:vAlign w:val="bottom"/>
            <w:tcBorders>
              <w:bottom w:val="single" w:sz="8" w:color="CFF0FC"/>
            </w:tcBorders>
            <w:gridSpan w:val="2"/>
            <w:vMerge w:val="continue"/>
          </w:tcPr>
          <w:p>
            <w:pPr>
              <w:spacing w:after="0"/>
              <w:rPr>
                <w:sz w:val="21"/>
                <w:szCs w:val="21"/>
                <w:color w:val="auto"/>
              </w:rPr>
            </w:pPr>
          </w:p>
        </w:tc>
        <w:tc>
          <w:tcPr>
            <w:tcW w:w="1160" w:type="dxa"/>
            <w:vAlign w:val="bottom"/>
            <w:tcBorders>
              <w:bottom w:val="single" w:sz="8" w:color="CFF0FC"/>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after June 30, 2020 (1)</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6,378</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46.42</w:t>
            </w:r>
          </w:p>
        </w:tc>
        <w:tc>
          <w:tcPr>
            <w:tcW w:w="2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4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820" w:right="120" w:hanging="359"/>
        <w:spacing w:after="0" w:line="308" w:lineRule="auto"/>
        <w:tabs>
          <w:tab w:leader="none" w:pos="800" w:val="left"/>
        </w:tabs>
        <w:rPr>
          <w:sz w:val="20"/>
          <w:szCs w:val="20"/>
          <w:color w:val="auto"/>
        </w:rPr>
      </w:pPr>
      <w:r>
        <w:rPr>
          <w:rFonts w:ascii="Arial" w:cs="Arial" w:eastAsia="Arial" w:hAnsi="Arial"/>
          <w:sz w:val="17"/>
          <w:szCs w:val="17"/>
          <w:color w:val="auto"/>
        </w:rPr>
        <w:t>(1)</w:t>
        <w:tab/>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4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Aggregate intrinsic value represents the difference between the closing stock price of our common stock and the exercise price of outstanding, in-the-money options. Our closing stock price as reported on Nasdaq as of June 30, 2020 was $19.01. The total intrinsic value of stock options exercised for the six months ended June 30, 2020 and 2019 was not material and $2 million, respectively.</w:t>
      </w:r>
    </w:p>
    <w:p>
      <w:pPr>
        <w:spacing w:after="0" w:line="184"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fair value of stock option grants has been estimated at the date of grant using the Black–Scholes option pricing model with the following weighted average assumptions for the periods presented:</w:t>
      </w:r>
    </w:p>
    <w:p>
      <w:pPr>
        <w:spacing w:after="0" w:line="148"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60" w:type="dxa"/>
            <w:vAlign w:val="bottom"/>
            <w:vMerge w:val="restart"/>
          </w:tcPr>
          <w:p>
            <w:pPr>
              <w:spacing w:after="0"/>
              <w:rPr>
                <w:sz w:val="20"/>
                <w:szCs w:val="20"/>
                <w:color w:val="auto"/>
              </w:rPr>
            </w:pPr>
            <w:r>
              <w:rPr>
                <w:rFonts w:ascii="Arial" w:cs="Arial" w:eastAsia="Arial" w:hAnsi="Arial"/>
                <w:sz w:val="18"/>
                <w:szCs w:val="18"/>
                <w:color w:val="auto"/>
              </w:rPr>
              <w:t>Risk free interest rate</w:t>
            </w:r>
          </w:p>
        </w:tc>
        <w:tc>
          <w:tcPr>
            <w:tcW w:w="6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w w:val="89"/>
              </w:rPr>
              <w:t>2019</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3"/>
        </w:trPr>
        <w:tc>
          <w:tcPr>
            <w:tcW w:w="336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w:t>
            </w:r>
          </w:p>
        </w:tc>
        <w:tc>
          <w:tcPr>
            <w:tcW w:w="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Weighted-average grant date fair value</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0"/>
                <w:szCs w:val="20"/>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21.80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total fair value of stock options vested was $11 million and $10 million for the six months ended June 30, 2020 and 2019, respectively.</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611" w:right="5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2020 RSU Activity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RSU activity during the six months ended June 30, 2020 is presented below:</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8"/>
        </w:trPr>
        <w:tc>
          <w:tcPr>
            <w:tcW w:w="5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5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59"/>
              <w:spacing w:after="0"/>
              <w:rPr>
                <w:sz w:val="20"/>
                <w:szCs w:val="20"/>
                <w:color w:val="auto"/>
              </w:rPr>
            </w:pPr>
            <w:r>
              <w:rPr>
                <w:rFonts w:ascii="Arial" w:cs="Arial" w:eastAsia="Arial" w:hAnsi="Arial"/>
                <w:sz w:val="14"/>
                <w:szCs w:val="14"/>
                <w:b w:val="1"/>
                <w:bCs w:val="1"/>
                <w:color w:val="auto"/>
                <w:w w:val="99"/>
              </w:rPr>
              <w:t>Grant-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522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RSUs</w:t>
            </w:r>
          </w:p>
        </w:tc>
        <w:tc>
          <w:tcPr>
            <w:tcW w:w="140" w:type="dxa"/>
            <w:vAlign w:val="bottom"/>
          </w:tcPr>
          <w:p>
            <w:pPr>
              <w:spacing w:after="0"/>
              <w:rPr>
                <w:sz w:val="14"/>
                <w:szCs w:val="14"/>
                <w:color w:val="auto"/>
              </w:rPr>
            </w:pPr>
          </w:p>
        </w:tc>
        <w:tc>
          <w:tcPr>
            <w:tcW w:w="1280" w:type="dxa"/>
            <w:vAlign w:val="bottom"/>
          </w:tcPr>
          <w:p>
            <w:pPr>
              <w:jc w:val="center"/>
              <w:ind w:right="79"/>
              <w:spacing w:after="0"/>
              <w:rPr>
                <w:sz w:val="20"/>
                <w:szCs w:val="20"/>
                <w:color w:val="auto"/>
              </w:rPr>
            </w:pPr>
            <w:r>
              <w:rPr>
                <w:rFonts w:ascii="Arial" w:cs="Arial" w:eastAsia="Arial" w:hAnsi="Arial"/>
                <w:sz w:val="14"/>
                <w:szCs w:val="14"/>
                <w:b w:val="1"/>
                <w:bCs w:val="1"/>
                <w:color w:val="auto"/>
              </w:rPr>
              <w:t>Date Fair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Intrinsic</w:t>
            </w:r>
          </w:p>
        </w:tc>
      </w:tr>
      <w:tr>
        <w:trPr>
          <w:trHeight w:val="171"/>
        </w:trPr>
        <w:tc>
          <w:tcPr>
            <w:tcW w:w="522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128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Value Per Share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r>
      <w:tr>
        <w:trPr>
          <w:trHeight w:val="155"/>
        </w:trPr>
        <w:tc>
          <w:tcPr>
            <w:tcW w:w="522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4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Unvested RSUs outstanding as of December 31, 2019</w:t>
            </w:r>
          </w:p>
        </w:tc>
        <w:tc>
          <w:tcPr>
            <w:tcW w:w="1380" w:type="dxa"/>
            <w:vAlign w:val="bottom"/>
          </w:tcPr>
          <w:p>
            <w:pPr>
              <w:jc w:val="right"/>
              <w:spacing w:after="0"/>
              <w:rPr>
                <w:sz w:val="20"/>
                <w:szCs w:val="20"/>
                <w:color w:val="auto"/>
              </w:rPr>
            </w:pPr>
            <w:r>
              <w:rPr>
                <w:rFonts w:ascii="Arial" w:cs="Arial" w:eastAsia="Arial" w:hAnsi="Arial"/>
                <w:sz w:val="18"/>
                <w:szCs w:val="18"/>
                <w:color w:val="auto"/>
              </w:rPr>
              <w:t>8,469</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45.42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Vested and released (1)</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(2,397)</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47.67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(2,858)</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Unvested RSUs outstanding as of June 30, 2020</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8,048</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34.96</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840" w:right="320" w:hanging="355"/>
        <w:spacing w:after="0" w:line="257" w:lineRule="auto"/>
        <w:tabs>
          <w:tab w:leader="none" w:pos="83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Inclusive of 628,545 RSUs withheld due to net share settlement to satisfy required employee tax withholding requirements. Potential shares which had been convertible under RSUs that were withheld under net share settlement remain in the authorized but unissued pool under the Tripadvisor, Inc. 2018 Stock and Annual Incentive Plan (the “2018 Plan”) and 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188"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On May 8, 2020, the Company entered into an amended employment agreement (“Amendment”) with Ernst Teunissen, the Company’s Chief Financial Officer and Senior Vice President. The Amendment, among other things, provides for a target payment (“Bonus Award”) in an amount equal to the difference between a maximum payment of $7 million and the aggregate intrinsic value of Mr. Teunissen’s RSU and stock options that vest between May 1, 2020 and May 31, 2022 (the “Target Period”), as measured using the average market price of the Company’s common stock for ten trading days immediately prior to May 31, 2022. On a quarterly basis, management estimates the Bonus Award and accrues this amount ratably over the Target Period. As of June 30, 2020, this amount is classified in other long-term liabilities on the unaudited condensed consolidated balance sheet, and is not material. The foregoing description of the Amendment does not purport to be complete and is qualified in its entirety by reference to the full text of the Amendment filed as Exhibit 10.9 to the Company’s Quarterly Report on Form 10-Q for the quarter ended March 31, 2020.</w:t>
      </w:r>
    </w:p>
    <w:p>
      <w:pPr>
        <w:spacing w:after="0" w:line="178"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On May 27, 2020, the Compensation Committee of the Board of Directors, approved a modification to the Company’s annual RSU grant issued to its employees in the first quarter of 2020, which consisted of reducing the original grant-date vesting period from four years to two years. This modification resulted in the acceleration and recognition of an additional $10 million of stock-based compensation expense during the three months ended June 30, 2020, given the modified vesting term. There was no change to the original fair value of the impacted RSUs as a result of this modification. This modification did not apply to the RSU grant to Mr. Teunissen in light of the separate arrangement, as described above.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MSU activity during the six months ended June 30, 2020 is presented below:</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8"/>
        </w:trPr>
        <w:tc>
          <w:tcPr>
            <w:tcW w:w="5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5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Grant-</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524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MSUs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Date Fair</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Intrinsic</w:t>
            </w:r>
          </w:p>
        </w:tc>
      </w:tr>
      <w:tr>
        <w:trPr>
          <w:trHeight w:val="171"/>
        </w:trPr>
        <w:tc>
          <w:tcPr>
            <w:tcW w:w="524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Value Per Share</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r>
      <w:tr>
        <w:trPr>
          <w:trHeight w:val="155"/>
        </w:trPr>
        <w:tc>
          <w:tcPr>
            <w:tcW w:w="524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4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3"/>
                <w:szCs w:val="13"/>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Unvested MSUs outstanding as of December 31, 2019</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Granted (1)</w:t>
            </w: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28.15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w:t>
            </w: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Cancelled</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58.63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MSUs outstanding as of June 30, 2020</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36.71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800" w:hanging="374"/>
        <w:spacing w:after="0" w:line="259"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MSUs provide for vesting based upon the Company’s total shareholder return, or TSR, performance over the period commencing January 1, 2020 through December 31, 2022 relative to the TSR performance of the Nasdaq Composite Total Return Index. Based upon actual attainment relative to the target performance metric, the grantee has the ability to receive up to 200% of the target number of MSUs originally granted, or to be issued none at all. These MSUs were granted under the 2018 Plan.</w:t>
      </w:r>
    </w:p>
    <w:p>
      <w:pPr>
        <w:spacing w:after="0" w:line="18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A Monte-Carlo simulation model, which simulated the present value of the potential outcomes of future stock prices and TSR of the Company and the Nasdaq Composite Total Return Index over the performance period, was used to calculate the grant-date fair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9" w:name="page20"/>
    <w:bookmarkEnd w:id="19"/>
    <w:p>
      <w:pPr>
        <w:ind w:right="180"/>
        <w:spacing w:after="0" w:line="277" w:lineRule="auto"/>
        <w:rPr>
          <w:sz w:val="20"/>
          <w:szCs w:val="20"/>
          <w:color w:val="auto"/>
        </w:rPr>
      </w:pPr>
      <w:r>
        <w:rPr>
          <w:rFonts w:ascii="Arial" w:cs="Arial" w:eastAsia="Arial" w:hAnsi="Arial"/>
          <w:sz w:val="18"/>
          <w:szCs w:val="18"/>
          <w:color w:val="auto"/>
        </w:rPr>
        <w:t>value of our MSU awards. The estimated grant-date fair value of these awards is being amortized on a straight-line basis over the requisite service period through December 31, 2022.</w:t>
      </w:r>
    </w:p>
    <w:p>
      <w:pPr>
        <w:spacing w:after="0" w:line="170" w:lineRule="exact"/>
        <w:rPr>
          <w:sz w:val="20"/>
          <w:szCs w:val="20"/>
          <w:color w:val="auto"/>
        </w:rPr>
      </w:pPr>
    </w:p>
    <w:p>
      <w:pPr>
        <w:ind w:right="80" w:firstLine="539"/>
        <w:spacing w:after="0" w:line="263" w:lineRule="auto"/>
        <w:rPr>
          <w:sz w:val="20"/>
          <w:szCs w:val="20"/>
          <w:color w:val="auto"/>
        </w:rPr>
      </w:pPr>
      <w:r>
        <w:rPr>
          <w:rFonts w:ascii="Arial" w:cs="Arial" w:eastAsia="Arial" w:hAnsi="Arial"/>
          <w:sz w:val="18"/>
          <w:szCs w:val="18"/>
          <w:color w:val="auto"/>
        </w:rPr>
        <w:t>Total current income tax benefits associated with the exercise or settlement of Tripadvisor stock-based awards held by our employees was $1 million and $13 million during the three and six months ended June 30, 2020, respectively, and $3 million and $22 million during the three and six months ended June 30, 2019,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our remaining unrecognized stock-based compensation expense and the weighted average remaining amortization period at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related to our non-vested equity awards is presented below (in millions, except in years information):</w:t>
      </w:r>
    </w:p>
    <w:p>
      <w:pPr>
        <w:spacing w:after="0" w:line="148"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1000" w:type="dxa"/>
            <w:vAlign w:val="bottom"/>
          </w:tcPr>
          <w:p>
            <w:pPr>
              <w:jc w:val="center"/>
              <w:ind w:left="268"/>
              <w:spacing w:after="0"/>
              <w:rPr>
                <w:sz w:val="20"/>
                <w:szCs w:val="20"/>
                <w:color w:val="auto"/>
              </w:rPr>
            </w:pPr>
            <w:r>
              <w:rPr>
                <w:rFonts w:ascii="Arial" w:cs="Arial" w:eastAsia="Arial" w:hAnsi="Arial"/>
                <w:sz w:val="14"/>
                <w:szCs w:val="14"/>
                <w:b w:val="1"/>
                <w:bCs w:val="1"/>
                <w:color w:val="auto"/>
                <w:w w:val="89"/>
              </w:rPr>
              <w:t>Stock</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4860" w:type="dxa"/>
            <w:vAlign w:val="bottom"/>
          </w:tcPr>
          <w:p>
            <w:pPr>
              <w:spacing w:after="0"/>
              <w:rPr>
                <w:sz w:val="16"/>
                <w:szCs w:val="16"/>
                <w:color w:val="auto"/>
              </w:rPr>
            </w:pPr>
          </w:p>
        </w:tc>
        <w:tc>
          <w:tcPr>
            <w:tcW w:w="1000" w:type="dxa"/>
            <w:vAlign w:val="bottom"/>
          </w:tcPr>
          <w:p>
            <w:pPr>
              <w:jc w:val="center"/>
              <w:ind w:left="248"/>
              <w:spacing w:after="0"/>
              <w:rPr>
                <w:sz w:val="20"/>
                <w:szCs w:val="20"/>
                <w:color w:val="auto"/>
              </w:rPr>
            </w:pPr>
            <w:r>
              <w:rPr>
                <w:rFonts w:ascii="Arial" w:cs="Arial" w:eastAsia="Arial" w:hAnsi="Arial"/>
                <w:sz w:val="14"/>
                <w:szCs w:val="14"/>
                <w:b w:val="1"/>
                <w:bCs w:val="1"/>
                <w:color w:val="auto"/>
                <w:w w:val="90"/>
              </w:rPr>
              <w:t>Options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RSUs/MSUs</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compensation expense</w:t>
            </w:r>
          </w:p>
        </w:tc>
        <w:tc>
          <w:tcPr>
            <w:tcW w:w="1000" w:type="dxa"/>
            <w:vAlign w:val="bottom"/>
            <w:tcBorders>
              <w:top w:val="single" w:sz="8" w:color="auto"/>
            </w:tcBorders>
            <w:shd w:val="clear" w:color="auto" w:fill="CFF0FC"/>
          </w:tcPr>
          <w:p>
            <w:pPr>
              <w:jc w:val="right"/>
              <w:ind w:right="84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10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FINANCIAL INSTRUMENTS AND FAIR VALUE MEASUREMENTS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For assets and liabilities required to be reported at fair value, GAAP provides a hierarchy that prioritizes inputs to valuation techniques used to measure fair value into three broad levels: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quoted market prices for identical assets and liabilities in active markets.</w:t>
      </w:r>
    </w:p>
    <w:p>
      <w:pPr>
        <w:spacing w:after="0" w:line="117" w:lineRule="exact"/>
        <w:rPr>
          <w:sz w:val="20"/>
          <w:szCs w:val="20"/>
          <w:color w:val="auto"/>
        </w:rPr>
      </w:pPr>
    </w:p>
    <w:p>
      <w:pPr>
        <w:ind w:left="520"/>
        <w:spacing w:after="0" w:line="263" w:lineRule="auto"/>
        <w:rPr>
          <w:sz w:val="20"/>
          <w:szCs w:val="20"/>
          <w:color w:val="auto"/>
        </w:rPr>
      </w:pPr>
      <w:r>
        <w:rPr>
          <w:rFonts w:ascii="Arial" w:cs="Arial" w:eastAsia="Arial" w:hAnsi="Arial"/>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6" w:lineRule="exact"/>
        <w:rPr>
          <w:sz w:val="20"/>
          <w:szCs w:val="20"/>
          <w:color w:val="auto"/>
        </w:rPr>
      </w:pPr>
    </w:p>
    <w:p>
      <w:pPr>
        <w:ind w:left="520" w:right="180"/>
        <w:spacing w:after="0" w:line="277"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Equivalents and Marketable Securities</w:t>
      </w:r>
    </w:p>
    <w:p>
      <w:pPr>
        <w:spacing w:after="0" w:line="117"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The following table shows our cash equivalents and marketable securities that are measured at fair value on a recurring basis and were categorized using the fair value hierarchy, as well as their classification on our unaudited condensed consolidated balance sheet as of June 30, 2020 (in millions).</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6"/>
              </w:rPr>
              <w:t>Amortized Cost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Fair Value (1)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Cash and Cash</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Equivalents</w:t>
            </w:r>
          </w:p>
        </w:tc>
        <w:tc>
          <w:tcPr>
            <w:tcW w:w="0" w:type="dxa"/>
            <w:vAlign w:val="bottom"/>
          </w:tcPr>
          <w:p>
            <w:pPr>
              <w:spacing w:after="0"/>
              <w:rPr>
                <w:sz w:val="1"/>
                <w:szCs w:val="1"/>
                <w:color w:val="auto"/>
              </w:rPr>
            </w:pPr>
          </w:p>
        </w:tc>
      </w:tr>
      <w:tr>
        <w:trPr>
          <w:trHeight w:val="223"/>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Level 2:</w:t>
            </w:r>
          </w:p>
        </w:tc>
        <w:tc>
          <w:tcPr>
            <w:tcW w:w="15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240"/>
              <w:spacing w:after="0"/>
              <w:rPr>
                <w:sz w:val="20"/>
                <w:szCs w:val="20"/>
                <w:color w:val="auto"/>
              </w:rPr>
            </w:pPr>
            <w:r>
              <w:rPr>
                <w:rFonts w:ascii="Arial" w:cs="Arial" w:eastAsia="Arial" w:hAnsi="Arial"/>
                <w:sz w:val="18"/>
                <w:szCs w:val="18"/>
                <w:color w:val="auto"/>
              </w:rPr>
              <w:t>Term deposits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420" w:hanging="373"/>
        <w:spacing w:after="0"/>
        <w:tabs>
          <w:tab w:leader="none" w:pos="1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Unrealized gains or losses related to our cash equivalents were not material.</w:t>
      </w:r>
    </w:p>
    <w:p>
      <w:pPr>
        <w:spacing w:after="0" w:line="208"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cash and cash equivalents consist of cash and term deposits on hand in global financial institutions with maturities of 90 days or less at the date of purchase. We had no outstanding investments classified as either short-term or long-term marketable securities, as of June 30, 2020 and December 31, 2019, respectively, and no material realized gains or losses related to the sales of any marketable securities during and for the three and six months ended June 30, 2020 and 2019.</w:t>
      </w:r>
    </w:p>
    <w:p>
      <w:pPr>
        <w:spacing w:after="0" w:line="79" w:lineRule="exact"/>
        <w:rPr>
          <w:sz w:val="20"/>
          <w:szCs w:val="20"/>
          <w:color w:val="auto"/>
        </w:rPr>
      </w:pPr>
    </w:p>
    <w:p>
      <w:pPr>
        <w:jc w:val="both"/>
        <w:ind w:right="120" w:firstLine="510"/>
        <w:spacing w:after="0" w:line="273" w:lineRule="auto"/>
        <w:rPr>
          <w:sz w:val="20"/>
          <w:szCs w:val="20"/>
          <w:color w:val="auto"/>
        </w:rPr>
      </w:pPr>
      <w:r>
        <w:rPr>
          <w:rFonts w:ascii="Arial" w:cs="Arial" w:eastAsia="Arial" w:hAnsi="Arial"/>
          <w:sz w:val="17"/>
          <w:szCs w:val="17"/>
          <w:color w:val="auto"/>
        </w:rPr>
        <w:t>We classify our cash equivalents and marketable securities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0" w:lineRule="exact"/>
        <w:rPr>
          <w:sz w:val="20"/>
          <w:szCs w:val="20"/>
          <w:color w:val="auto"/>
        </w:rPr>
      </w:pPr>
    </w:p>
    <w:p>
      <w:pPr>
        <w:ind w:right="20"/>
        <w:spacing w:after="0" w:line="308" w:lineRule="auto"/>
        <w:rPr>
          <w:sz w:val="20"/>
          <w:szCs w:val="20"/>
          <w:color w:val="auto"/>
        </w:rPr>
      </w:pPr>
      <w:r>
        <w:rPr>
          <w:rFonts w:ascii="Arial" w:cs="Arial" w:eastAsia="Arial" w:hAnsi="Arial"/>
          <w:sz w:val="19"/>
          <w:szCs w:val="19"/>
          <w:color w:val="auto"/>
        </w:rPr>
        <w:t>We use forward contracts to reduce the effects of foreign currency exchange rate fluctuations on our cash flows. For the three and six months ended June 30, 2020 and 2019, respectively, our forward contracts have not been designated as hedges and generally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 w:name="page21"/>
    <w:bookmarkEnd w:id="20"/>
    <w:p>
      <w:pPr>
        <w:ind w:right="120"/>
        <w:spacing w:after="0" w:line="293" w:lineRule="auto"/>
        <w:rPr>
          <w:sz w:val="20"/>
          <w:szCs w:val="20"/>
          <w:color w:val="auto"/>
        </w:rPr>
      </w:pPr>
      <w:r>
        <w:rPr>
          <w:rFonts w:ascii="Arial" w:cs="Arial" w:eastAsia="Arial" w:hAnsi="Arial"/>
          <w:sz w:val="16"/>
          <w:szCs w:val="16"/>
          <w:color w:val="auto"/>
        </w:rPr>
        <w:t>had maturities of less than 90 days. Our outstanding or unsettled forward contracts are carried at fair value on our unaudited condensed consolidated balance sheets.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our foreign currency forward contracts in other income (expense), net on our unaudited condensed consolidated statement of operations which was not material for the three months ended June 30, 2020. We recorded a net gain of $1 million for the six months ended June 30, 2020 related to our forward contracts. These amounts were not material for both the three and six months ended June 30, 2019, respectively.</w:t>
      </w:r>
    </w:p>
    <w:p>
      <w:pPr>
        <w:spacing w:after="0" w:line="5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shows the notional principal amounts of our outstanding derivative instruments as of the periods presented:</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December 31, 2019</w:t>
            </w:r>
          </w:p>
        </w:tc>
      </w:tr>
      <w:tr>
        <w:trPr>
          <w:trHeight w:val="155"/>
        </w:trPr>
        <w:tc>
          <w:tcPr>
            <w:tcW w:w="50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(in millions)</w:t>
            </w: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exchange - forward contracts (1) (2)</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00" w:right="20" w:hanging="492"/>
        <w:spacing w:after="0" w:line="255"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Derivative contracts address foreign currency exchange fluctuations for the Euro versus the U.S. dollar. The Company had no outstanding derivative contracts as of June 30, 2020 and one outstanding derivative contract as of December 31, 2019. These outstanding derivatives are not designated as hedging instruments and have an original maturity period of 90 days or less.</w:t>
      </w:r>
    </w:p>
    <w:p>
      <w:pPr>
        <w:spacing w:after="0" w:line="2"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fair value of our outstanding derivative as of December 31, 2019 was not material.</w:t>
      </w:r>
    </w:p>
    <w:p>
      <w:pPr>
        <w:spacing w:after="0" w:line="319" w:lineRule="exact"/>
        <w:rPr>
          <w:sz w:val="20"/>
          <w:szCs w:val="20"/>
          <w:color w:val="auto"/>
        </w:rPr>
      </w:pPr>
    </w:p>
    <w:p>
      <w:pPr>
        <w:ind w:right="360" w:firstLine="510"/>
        <w:spacing w:after="0" w:line="311" w:lineRule="auto"/>
        <w:rPr>
          <w:sz w:val="20"/>
          <w:szCs w:val="20"/>
          <w:color w:val="auto"/>
        </w:rPr>
      </w:pPr>
      <w:r>
        <w:rPr>
          <w:rFonts w:ascii="Arial" w:cs="Arial" w:eastAsia="Arial" w:hAnsi="Arial"/>
          <w:sz w:val="16"/>
          <w:szCs w:val="16"/>
          <w:color w:val="auto"/>
        </w:rPr>
        <w:t>Counterparties to our outstanding forward contracts consist of major international financial institutions. We monitor our positions and the credit ratings of the counterparties involved and, by policy limits, the amount of credit exposure to any one party. We do not use derivatives for trading or speculative purposes. We had not entered into any cash flow, fair value or net investment hedges as of June 30, 2020 or December 31, 2019.</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Other financial instruments not measured at fair value on a recurring basis include accounts receivable and contract assets, accounts payable, deferred merchant payables, accrued expenses and other current liabilities, and long-term debt. The carrying amount of these financial instruments, with the exception of long-term debt, approximate their fair value because of the short maturity of these instruments as reported on our unaudited condensed consolidated balance sheets as of June 30, 2020 and December 31, 2019, respectively. The carrying value of long-term debt from our 2015 Credit Facility bears interest at a variable rate, and therefore is also considered to approximate its fair value.</w:t>
      </w:r>
    </w:p>
    <w:p>
      <w:pPr>
        <w:spacing w:after="0" w:line="176"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Company did not have any material assets or liabilities measured at fair value on a recurring basis using the Level 3 unobservable inputs at both June 30, 2020 and December 31, 2019.</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Risks and Concentrations</w:t>
      </w:r>
    </w:p>
    <w:p>
      <w:pPr>
        <w:spacing w:after="0" w:line="252"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Our business is subject to certain financial risks and concentrations, including concentration related to dependence on our relationships with our customers. For the year ended December 31, 2019 our two most significant travel partners, Expedia (and its subsidiaries) and Booking (and its subsidiaries), each accounted for more than 10% of our consolidated revenue and combined accounted for 33%, respectively, of our consolidated revenue, with nearly all of this revenue concentrated in our Hotels, Media &amp; Platform segment.</w:t>
      </w:r>
    </w:p>
    <w:p>
      <w:pPr>
        <w:spacing w:after="0" w:line="227" w:lineRule="exact"/>
        <w:rPr>
          <w:sz w:val="20"/>
          <w:szCs w:val="20"/>
          <w:color w:val="auto"/>
        </w:rPr>
      </w:pPr>
    </w:p>
    <w:p>
      <w:pPr>
        <w:ind w:right="120" w:firstLine="374"/>
        <w:spacing w:after="0" w:line="290" w:lineRule="auto"/>
        <w:rPr>
          <w:sz w:val="20"/>
          <w:szCs w:val="20"/>
          <w:color w:val="auto"/>
        </w:rPr>
      </w:pPr>
      <w:r>
        <w:rPr>
          <w:rFonts w:ascii="Arial" w:cs="Arial" w:eastAsia="Arial" w:hAnsi="Arial"/>
          <w:sz w:val="16"/>
          <w:szCs w:val="16"/>
          <w:color w:val="auto"/>
        </w:rPr>
        <w:t>Financial instruments, which potentially subject us to concentration of credit risk at any point in time, generally consist primarily of cash and cash equivalents, corporate debt securities, forward contracts, and accounts receivable. We maintain some cash and cash equivalents balances with financial institutions that are in excess of Federal Deposit Insurance Corporation insurance limits. Our cash and cash equivalents are primarily composed of bank account balances with financial institutions primarily denominated in U.S. dollars, Euros, British pounds, and Australian dollars, as well as money market funds and term deposits. We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are transacted with major international financial institutions with high credit standings, which to date, have typically had maturities of less than 90 days. Our overall credit risk related to accounts receivable is mitigated by the relatively short collection period.</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Non-Marketable Investments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Equity Securities Accounted for under the Equity Method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owns a 40% equity investment in Chelsea Investment Holding Company PTE Ltd, which is majority owned by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1" w:name="page22"/>
    <w:bookmarkEnd w:id="21"/>
    <w:p>
      <w:pPr>
        <w:jc w:val="both"/>
        <w:spacing w:after="0" w:line="275" w:lineRule="auto"/>
        <w:rPr>
          <w:sz w:val="20"/>
          <w:szCs w:val="20"/>
          <w:color w:val="auto"/>
        </w:rPr>
      </w:pPr>
      <w:r>
        <w:rPr>
          <w:rFonts w:ascii="Arial" w:cs="Arial" w:eastAsia="Arial" w:hAnsi="Arial"/>
          <w:sz w:val="17"/>
          <w:szCs w:val="17"/>
          <w:color w:val="auto"/>
        </w:rPr>
        <w:t>Ctrip Investment Holding Ltd, a majority-owned subsidiary of Trip.com Group Limited. The Company determined it has the ability to exercise significant influence over the investee, and therefore recorded an equity method investment with a carrying value of $39 million and $41 million as of June 30, 2020 and December 31, 2019, respectively, and is included in non-marketable investments on our unaudited condensed consolidated balance sheet. Due to the COVID-19 pandemic, we performed a qualitative assessment to evaluate whether our equity investment is impaired. During the three and six months ended June 30, 2020, we did not record any impairment loss on this equity investment.</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Investments in Privately-Held Companies</w:t>
      </w:r>
    </w:p>
    <w:p>
      <w:pPr>
        <w:spacing w:after="0" w:line="225"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We hold investments in equity securities of privately-held companies, which are typically at an early stage of the business cycle and do not have a readily determinable fair value. As of June 30, 2020 and December 31, 2019, the total carrying value of our investments was $2 million and $14 million, respectively, and included in non-marketable investments on our unaudited condensed consolidated balance sheet. During the three months ended June 30, 2020, the Company redeemed an existing equity investment in a privately-held company with a carrying value of $10 million in return for a collateralized note receivable for the same amount. Refer to section entitled “Other Long-Term Assets” below for additional information.</w:t>
      </w:r>
    </w:p>
    <w:p>
      <w:pPr>
        <w:spacing w:after="0" w:line="161"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Our policy is to measure these investments at cost less impairment, if any, plus or minus changes resulting from observable price changes in orderly transactions for the identical or a similar investment of the same issuer such observable price changes may include instances where the investee issues equity securities to new investors, thus creating a new indicator of fair value, as an example. On a quarterly basis, we perform a qualitative assessment considering impairment indicators to evaluate whether these investments are impaired and also monitor for any observable price changes. During the three and six months ended June 30, 2020 and 2019, we did not record any impairment loss on these equity investments or note any observable price change indicators.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21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During the three months ended June 30, 2020, the Company was issued collateralized notes (the “Notes Receivable”) with a total principal amount of $20 million from a privately-held company, in exchange for an existing equity investment held in the investee by the Company, and other-long term receivables, net, which the Company held due from the same investee. Refer to the section entitled “Investments in Privately-Held Companies” above for further information. The Company classified the Notes Receivable as held-to-maturity, as the Company has concluded it has the positive intent and ability to hold the Notes Receivable until maturity, with 50% due in 5 years and remaining 50% due in 10 years from issuance date. The Company recorded a $3 million allowance for credit loss under ASC 326 during the three months ended June 30, 2020 in other income (expense), net on the unaudited condensed consolidated statement of operations, related to the Notes Receivable. As of June 30, 2020, the carrying value of the Notes Receivable was $14 million, net of accumulated allowance for credit losses, and is classified in other long-term assets on our unaudited condensed consolidated balance sheet at amortized cost. On a quarterly basis, we perform a qualitative assessment considering impairment indicators to evaluate whether the Notes Receivable are impaired and monitor for changes to our allowance for credit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229"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as of the acquisition date.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 We evaluate our reporting units when changes in our operating structure occur, and if necessary, reassign goodwill using a relative fair value allocation approach.</w:t>
      </w:r>
    </w:p>
    <w:p>
      <w:pPr>
        <w:spacing w:after="0" w:line="178"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The Company reorganized its reporting units pursuant to an internal restructuring during the three months ended June 30, 2020. Following the internal restructuring changes, our legacy Dining and Flights/Cruises/Car reporting units were reorganized into four new distinct reporting units: (1) TheFork, (2) Tripadvisor Restaurants, (3) Flights &amp; Car, and (4) Cruises, for the purposes of goodwill impairment testing. As a result, we first performed a qualitative assessment on our historical Dining and Flights/Cruise/Car reporting units prior to implementing the revised reporting unit structure and determined that it was more likely than not that the fair value of these reporting units was greater than the carrying value; which was consistent with our conclusion in the fourth quarter of 2019. We then performed a goodwill impairment test for each of the new reporting units using a quantitative assessment. We concluded the estimated fair values were in excess of the carrying values for each of the four new reporting units. We also performed sensitivity analyses, such as calculating estimated fair values using different rates for the weighted-average cost of capital and long-term rates of growth in the income approach and different revenue/income multiples in our market approach and the estimated fair values remained in excess of the carrying values. Therefore, no indications of impairment were identified as a result of these changes as of June 30,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ind w:right="40"/>
        <w:spacing w:after="0" w:line="311" w:lineRule="auto"/>
        <w:rPr>
          <w:sz w:val="20"/>
          <w:szCs w:val="20"/>
          <w:color w:val="auto"/>
        </w:rPr>
      </w:pPr>
      <w:r>
        <w:rPr>
          <w:rFonts w:ascii="Arial" w:cs="Arial" w:eastAsia="Arial" w:hAnsi="Arial"/>
          <w:sz w:val="16"/>
          <w:szCs w:val="16"/>
          <w:color w:val="auto"/>
        </w:rPr>
        <w:t>2020. In addition, as a result of internal restructuring and the sale of its SmarterTravel business during the second quarter of 2020, our SmarterTravel reporting unit no longer exists. The sale of this business was not a material disposition. This change in reporting units had no impact on the composition of our operating segments, or the information that the CODM reviews to evaluate the financial performance of the Company’s operating segments.</w:t>
      </w:r>
    </w:p>
    <w:p>
      <w:pPr>
        <w:spacing w:after="0" w:line="149"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In addition, the Company conducted a thorough evaluation of relevant events and circumstances that could have impacted the fair value of each of our historical reporting units as of June 30, 2020. As part of this evaluation, it was noted that as of June 30, 2020 the Company’s market capitalization remained in excess of its book value. The Company also observed our most recently completed goodwill impairment analyses indicated significant excess fair values over carrying values across the different reporting units. In addition, the Company considered the change to reporting unit carrying values since the fourth quarter of 2019, and also performed targeted sensitivity analysis on previous assessments, which included applying hypothetical rate increases to the weighted-average cost of capital used in our income approach analyses given the current COVID-19 environment, and the estimated fair values remained in excess of the carrying values. Based on such evaluation, we do not believe it is more likely than not that the fair values of our reporting units are below their respective carrying values as of June 30, 2020. However, we believe the passage of time will provide new information regarding the expected duration and severity of impacts of COVID-19 on the economy as a whole and to our business. The Company’s forecasting process in a COVID-19 environment is resulting in unprecedented challenges, given we are unable to predict the expected duration and severity of impacts of COVID-19 on the Company’s business. Accordingly, we believe all of our reporting units are at an elevated risk for impairment in future periods. A prolonged decline in the outlook for future revenue and cash flows or other factors, related to COVID-19 or other events, could result in a determination that a non-cash impairment adjustment is required, which could be material. The Company will continue to monitor events and circumstances that may affect the fair value or carrying value of our reporting units.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goodwill activity by reportable segment for the period presented:</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115"/>
              <w:spacing w:after="0"/>
              <w:rPr>
                <w:sz w:val="20"/>
                <w:szCs w:val="20"/>
                <w:color w:val="auto"/>
              </w:rPr>
            </w:pPr>
            <w:r>
              <w:rPr>
                <w:rFonts w:ascii="Arial" w:cs="Arial" w:eastAsia="Arial" w:hAnsi="Arial"/>
                <w:sz w:val="14"/>
                <w:szCs w:val="14"/>
                <w:b w:val="1"/>
                <w:bCs w:val="1"/>
                <w:color w:val="auto"/>
                <w:w w:val="97"/>
              </w:rPr>
              <w:t>Hotels, Media &amp;</w:t>
            </w:r>
          </w:p>
        </w:tc>
        <w:tc>
          <w:tcPr>
            <w:tcW w:w="24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Experiences &amp; Dining</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Other (4)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335"/>
              <w:spacing w:after="0"/>
              <w:rPr>
                <w:sz w:val="20"/>
                <w:szCs w:val="20"/>
                <w:color w:val="auto"/>
              </w:rPr>
            </w:pPr>
            <w:r>
              <w:rPr>
                <w:rFonts w:ascii="Arial" w:cs="Arial" w:eastAsia="Arial" w:hAnsi="Arial"/>
                <w:sz w:val="14"/>
                <w:szCs w:val="14"/>
                <w:b w:val="1"/>
                <w:bCs w:val="1"/>
                <w:color w:val="auto"/>
              </w:rPr>
              <w:t>Platform</w:t>
            </w: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5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8"/>
                <w:szCs w:val="18"/>
                <w:color w:val="auto"/>
              </w:rPr>
              <w:t>Re-allocation of goodwill (1)</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Disposition (2)</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Arial" w:cs="Arial" w:eastAsia="Arial" w:hAnsi="Arial"/>
                <w:sz w:val="18"/>
                <w:szCs w:val="18"/>
                <w:color w:val="auto"/>
              </w:rPr>
              <w:t>Other adjustments (3)</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2020</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880" w:hanging="508"/>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Re-allocation of goodwill as a result of changes to reporting units related to internal restructuring.</w:t>
      </w:r>
    </w:p>
    <w:p>
      <w:pPr>
        <w:spacing w:after="0" w:line="22" w:lineRule="exact"/>
        <w:rPr>
          <w:rFonts w:ascii="Arial" w:cs="Arial" w:eastAsia="Arial" w:hAnsi="Arial"/>
          <w:sz w:val="16"/>
          <w:szCs w:val="16"/>
          <w:color w:val="auto"/>
        </w:rPr>
      </w:pPr>
    </w:p>
    <w:p>
      <w:pPr>
        <w:ind w:left="880" w:hanging="508"/>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Disposition relates to the sale of our SmarterTravel business.</w:t>
      </w:r>
    </w:p>
    <w:p>
      <w:pPr>
        <w:spacing w:after="0" w:line="18" w:lineRule="exact"/>
        <w:rPr>
          <w:rFonts w:ascii="Arial" w:cs="Arial" w:eastAsia="Arial" w:hAnsi="Arial"/>
          <w:sz w:val="16"/>
          <w:szCs w:val="16"/>
          <w:color w:val="auto"/>
        </w:rPr>
      </w:pPr>
    </w:p>
    <w:p>
      <w:pPr>
        <w:ind w:left="880" w:hanging="508"/>
        <w:spacing w:after="0"/>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Other adjustments primarily relate to an immaterial business acquisition in our Experiences &amp; Dining segment and foreign currency translation on goodwill.</w:t>
      </w:r>
    </w:p>
    <w:p>
      <w:pPr>
        <w:spacing w:after="0" w:line="39" w:lineRule="exact"/>
        <w:rPr>
          <w:rFonts w:ascii="Arial" w:cs="Arial" w:eastAsia="Arial" w:hAnsi="Arial"/>
          <w:sz w:val="15"/>
          <w:szCs w:val="15"/>
          <w:color w:val="auto"/>
        </w:rPr>
      </w:pPr>
    </w:p>
    <w:p>
      <w:pPr>
        <w:ind w:left="880" w:hanging="508"/>
        <w:spacing w:after="0"/>
        <w:tabs>
          <w:tab w:leader="none" w:pos="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consists of the combination of our Rentals, Flights &amp; Car, Cruises, and Tripadvisor China business units and does not constitute a reportable segment.</w:t>
      </w: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8: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Credit Facility</w:t>
      </w:r>
    </w:p>
    <w:p>
      <w:pPr>
        <w:spacing w:after="0" w:line="121" w:lineRule="exact"/>
        <w:rPr>
          <w:sz w:val="20"/>
          <w:szCs w:val="20"/>
          <w:color w:val="auto"/>
        </w:rPr>
      </w:pPr>
    </w:p>
    <w:p>
      <w:pPr>
        <w:ind w:right="40" w:firstLine="544"/>
        <w:spacing w:after="0" w:line="268" w:lineRule="auto"/>
        <w:rPr>
          <w:sz w:val="20"/>
          <w:szCs w:val="20"/>
          <w:color w:val="auto"/>
        </w:rPr>
      </w:pPr>
      <w:r>
        <w:rPr>
          <w:rFonts w:ascii="Arial" w:cs="Arial" w:eastAsia="Arial" w:hAnsi="Arial"/>
          <w:sz w:val="17"/>
          <w:szCs w:val="17"/>
          <w:color w:val="auto"/>
        </w:rPr>
        <w:t>In June 2015, we entered into a five year credit agreement with a group of lenders which, among other things, provided for a $1 billion unsecured revolving credit facility (the “2015 Credit Facility”). On May 12, 2017, the 2015 Credit Facility was amended to, among other things, (i) increase the aggregate amount of revolving loan commitments available from $1.0 billion to $1.2 billion; and (ii) extend the maturity date of the 2015 Credit Facility from June 26, 2020 to May 12, 2022 (the “First Amendment”). On May 5, 2020, we amended our 2015 Credit Facility (“Second Amendment”) to, among other things, suspend the leverage ratio covenant on this facility beginning in the second quarter of 2020 and ending prior to September 30, 2021 (or such earlier date as elected by the Company), and replacing it with a minimum liquidity covenant, or the Leverage Covenant Holiday, that requires us to maintain $150 million of unrestricted cash, cash equivalents and short-term investments less deferred merchant payables plus available revolver capacity, which will apply only during the Leverage Covenant Holiday, provide collateral to secure the obligations under the agreement, as well as downsizing its capacity to $1.0 billion from $1.2 billion. No change was made to the existing maturity date of the 2015 Credit Facility of May 12, 2022. The Company may borrow from the 2015 Credit Facility in U.S. dollars, Euros and British pounds. In addition, our 2015 Credit Facility includes $15 million of borrowing capacity available for letters of credit and $40 million for Swing Line borrowings on same-day notice. As of June 30, 2020, we had outstanding borrowings of $700 million classified as long-term debt on our unaudited condensed consolidated balance sheet and issued $3 million of outstanding letters of credit under the 2015 Credit Facility.</w:t>
      </w:r>
    </w:p>
    <w:p>
      <w:pPr>
        <w:spacing w:after="0" w:line="186" w:lineRule="exact"/>
        <w:rPr>
          <w:sz w:val="20"/>
          <w:szCs w:val="20"/>
          <w:color w:val="auto"/>
        </w:rPr>
      </w:pPr>
    </w:p>
    <w:p>
      <w:pPr>
        <w:ind w:firstLine="539"/>
        <w:spacing w:after="0" w:line="272" w:lineRule="auto"/>
        <w:rPr>
          <w:sz w:val="20"/>
          <w:szCs w:val="20"/>
          <w:color w:val="auto"/>
        </w:rPr>
      </w:pPr>
      <w:r>
        <w:rPr>
          <w:rFonts w:ascii="Arial" w:cs="Arial" w:eastAsia="Arial" w:hAnsi="Arial"/>
          <w:sz w:val="17"/>
          <w:szCs w:val="17"/>
          <w:color w:val="auto"/>
        </w:rPr>
        <w:t>During March 2020, the Company borrowed $700 million from the 2015 Credit Facility. These funds were drawn down as a precautionary measure to reinforce our liquidity position and preserve financial flexibility in light of uncertainty in the global markets resulting from the COVID-19 pandemic. For the timeframe for which the leverage ratio covenant is suspended, any outstanding or future borrowings under the 2015 Credit Facility will bear interest at LIBOR plus a 2.25% margin with a LIBOR floor of 1% per annum. We are required to pay a quarterly commitment fee, at an applicable rate of 0.5%, on the daily unused portion of the revolving credit facility for each fiscal quarter and additional fees in connection with the issuance of letters of credit. As of June 30, 2020, the Company was borrowing at an interest rate of 3.25% per annum, using a one-month interest period Eurocurrency Spread, which will reset periodically, and our unused revolver capacity was subject to a commitment fee of 0.5%.</w:t>
      </w:r>
    </w:p>
    <w:p>
      <w:pPr>
        <w:spacing w:after="0" w:line="177" w:lineRule="exact"/>
        <w:rPr>
          <w:sz w:val="20"/>
          <w:szCs w:val="20"/>
          <w:color w:val="auto"/>
        </w:rPr>
      </w:pPr>
    </w:p>
    <w:p>
      <w:pPr>
        <w:ind w:right="80" w:firstLine="539"/>
        <w:spacing w:after="0" w:line="296" w:lineRule="auto"/>
        <w:rPr>
          <w:sz w:val="20"/>
          <w:szCs w:val="20"/>
          <w:color w:val="auto"/>
        </w:rPr>
      </w:pPr>
      <w:r>
        <w:rPr>
          <w:rFonts w:ascii="Arial" w:cs="Arial" w:eastAsia="Arial" w:hAnsi="Arial"/>
          <w:sz w:val="16"/>
          <w:szCs w:val="16"/>
          <w:color w:val="auto"/>
        </w:rPr>
        <w:t>For the three and six months ended June 30, 2020, we recorded total interest expense and commitment fees on our 2015 Credit Facility of $5 million and $6 million, respectively, to interest expense on our unaudited condensed consolidated statements of operations. For both the three and six months ended June 30, 2019, we recorded total interest expense and commitment fees on our 2015 Credit Facility of $1 million to interest expense on our unaudited condensed consolidated statements of operations. As of December 31, 2019, the Company had no outstanding borrowings under the 2015 Credit Facility. All unpaid interest and commitment fee amounts as of June 30, 2020 and December 31, 2019 were not material.</w:t>
      </w:r>
    </w:p>
    <w:p>
      <w:pPr>
        <w:spacing w:after="0" w:line="161" w:lineRule="exact"/>
        <w:rPr>
          <w:sz w:val="20"/>
          <w:szCs w:val="20"/>
          <w:color w:val="auto"/>
        </w:rPr>
      </w:pPr>
    </w:p>
    <w:p>
      <w:pPr>
        <w:ind w:right="100" w:firstLine="539"/>
        <w:spacing w:after="0" w:line="257" w:lineRule="auto"/>
        <w:rPr>
          <w:sz w:val="20"/>
          <w:szCs w:val="20"/>
          <w:color w:val="auto"/>
        </w:rPr>
      </w:pPr>
      <w:r>
        <w:rPr>
          <w:rFonts w:ascii="Arial" w:cs="Arial" w:eastAsia="Arial" w:hAnsi="Arial"/>
          <w:sz w:val="18"/>
          <w:szCs w:val="18"/>
          <w:color w:val="auto"/>
        </w:rPr>
        <w:t>In connection with the Second Amendment, we incurred additional lender fees and debt financing costs totaling $4 million during the three months ended June 30, 2020, which were capitalized as deferred financing costs and recorded to other long-term assets on the unaudited consolidated balance sheet. These costs will be amortized over the remaining term of the 2015 Credit Facility, using the effective interest rate method, and recorded to interest expense on our unaudited condensed consolidated statements of operations. The resulting write down of previous deferred financing costs incurred from the First Amendment as a result of the Second Amendment was not material.</w:t>
      </w:r>
    </w:p>
    <w:p>
      <w:pPr>
        <w:spacing w:after="0" w:line="188" w:lineRule="exact"/>
        <w:rPr>
          <w:sz w:val="20"/>
          <w:szCs w:val="20"/>
          <w:color w:val="auto"/>
        </w:rPr>
      </w:pPr>
    </w:p>
    <w:p>
      <w:pPr>
        <w:ind w:firstLine="539"/>
        <w:spacing w:after="0" w:line="268" w:lineRule="auto"/>
        <w:rPr>
          <w:sz w:val="20"/>
          <w:szCs w:val="20"/>
          <w:color w:val="auto"/>
        </w:rPr>
      </w:pPr>
      <w:r>
        <w:rPr>
          <w:rFonts w:ascii="Arial" w:cs="Arial" w:eastAsia="Arial" w:hAnsi="Arial"/>
          <w:sz w:val="17"/>
          <w:szCs w:val="17"/>
          <w:color w:val="auto"/>
        </w:rPr>
        <w:t>There is no specific repayment date prior to the maturity date for any borrowings under this credit agreement. We may voluntarily repay any outstanding borrowing under the 2015 Credit Facility at any time without premium or penalty, other than customary breakage costs with respect to Eurocurrency loans. Additionally, the Company believes that the likelihood of the lender exercising any subjective acceleration rights, which would permit the lenders to accelerate repayment of any outstanding borrowings, is remote. As such, we classify any borrowings under this facility as long-term debt. 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Second Amendment also prohibits the Company from repurchasing shares of its common stock and paying dividends, among other restrictions, during the Leverage Covenant Holiday. In connection with the Second Amendment and as collateral to secure the obligations, the Company and certain subsidiaries have pledged, and granted security interests and liens in and on, substantially all of their assets. The 2015 Credit Facility also requires us to maintain a minimum liquidity covenant and contains certain customary affirmative covenants and events of default, including a change of control. If an event of default occurs, the lenders under the 2015 Credit Facility will be entitled to take various actions, including the acceleration of all amounts due under the 2015 Credit Facility. As of June 30, 2020 and December 31, 2019, we were in compliance with our debt covenants.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b w:val="1"/>
          <w:bCs w:val="1"/>
          <w:color w:val="auto"/>
        </w:rPr>
        <w:t>Chinese Credit Facility</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were party to a $30 million, one-year revolving credit facility with Bank of America (the “Chinese Credit Facility”) as of December 31, 2019. In June 2020, the Company terminated this credit facility. We had no outstanding borrowings under this credit facility at the time of termination or at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Senior Notes</w:t>
      </w:r>
    </w:p>
    <w:p>
      <w:pPr>
        <w:spacing w:after="0" w:line="22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 xml:space="preserve">On July 9, 2020, the Company completed the sale of $500 million aggregate principal amount of 7.000% senior notes due July 15, 2025 (the "Senior Notes") in a private offering. The Senior Notes were issued pursuant to an Indenture, dated July 9, 2020, among the Company, the Guarantors and Wilmington Trust, National Association, as trustee (the “Indenture”). The Indenture provides, among other things, that interest will be payable on the Senior Notes on January 15 and July 15 of each year, beginning on January 15, 2021, until their maturity date of July 15, 2025. The Senior Notes are senior unsecured obligations of the Company and are guaranteed by each of its domestic subsidiaries that guarantees the Company’s 2015 Credit Facility. Subsequently, in July 2020, the Company used all the net proceeds from the Senior Notes, or $490 million, net of approximately $10 million in debt issuances costs, to repay a portion of our 2015 Credit Facility borrowings that existed as of June 30, 2020. Refer to “Note 15: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 information about the Senior Notes.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2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Each interim period is considered an integral part of the annual period and,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On March 27, 2020, the U.S. government enacted the Coronavirus Aid, Relief, and Economic Security Act (the "CARES Act"). The CARES Act is an emergency economic stimulus package in response to the COVID-19 pandemic, which among other things contains numerous income tax provisions. Some of these tax provisions are expected to be effective retroactively for fiscal years ended before the date of enactment. We anticipate that we will benefit from the temporary five-year net operating loss carryback provisions to generate a refund of previously paid income taxes, modifications to the net interest deduction limitations, the technical correction for qualified leasehold improvements, which changes 39-year property to 15-year property, eligible for 100% tax bonus depreciation, and potentially other provisions within the CARES Act.</w:t>
      </w:r>
    </w:p>
    <w:p>
      <w:pPr>
        <w:spacing w:after="0" w:line="178"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We had income tax benefits of $26 million and $38 million for the three and six months ended June 30, 2020, respectively, and income tax expense of $34 million and $41 million for the three and six months ended June 30, 2019, respectively. The decrease in our income tax expense during the three and six months ended June 30, 2020, when compared to the same periods in 2019, was primarily due to pretax losses incurred during both the three and six months ended June 30, 2020, respectively, and a tax benefit of $5 million and $19 million during the three and six months ended June 30, 2020, respectively, from the tax rate differential in tax years applicable to U.S. loss carryforwards that became eligible for carryback under the CARES Act enacted in March 2020, offset by an increase in the recognition of stock-based compensation shortfalls related to the decline in the Company’s stock price during both the three and six months ended June 30, 2020, respectively.</w:t>
      </w:r>
    </w:p>
    <w:p>
      <w:pPr>
        <w:spacing w:after="0" w:line="177"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Our policy is to recognize accrued interest and penalties related to unrecognized tax benefits and income tax liabilities as part of our income tax expense. As of June 30, 2020, we had an accrued interest liability of $24 million, net of federal and state benefit, and no penalties have been accrued.</w:t>
      </w:r>
    </w:p>
    <w:p>
      <w:pPr>
        <w:spacing w:after="0" w:line="12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By virtue of consolidated income tax returns previously filed with Expedia, we are currently under an IRS audit for the 2009, 2010 and short-period 2011 tax years. We are separately under examination by the IRS for the short-period 2011 and 2012 through 2016 tax years, under an employment tax audit by the IRS for the 2015 through 2017 tax years, and have various ongoing audits for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June 30, 2020, no material assessments have resulted, except as noted below regarding our 2009, 2010, and 2011 IRS audit with Expedia and our 2012 and 2013 standalone IRS audit.</w:t>
      </w:r>
    </w:p>
    <w:p>
      <w:pPr>
        <w:spacing w:after="0" w:line="195"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January 2017 and April 2019, as part of the IRS audit of Expedia, we received Notices of Proposed Adjustment from the IRS for the 2009, 2010, and 2011 tax years. Subsequently, in September 2019, as part of Tripadvisor’s standalone audit, we received Notices of Proposed Adjustment from the IRS for the 2012 and 2013 tax years. These proposed adjustments are related to certain transfer pricing arrangements with our foreign subsidiaries, and would result in an increase to our worldwide income tax expense in an estimated range of $50 million to $60 million at the close of the audit if the IRS prevails. The estimated range takes into consideration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5" w:name="page26"/>
    <w:bookmarkEnd w:id="25"/>
    <w:p>
      <w:pPr>
        <w:ind w:right="40"/>
        <w:spacing w:after="0" w:line="290" w:lineRule="auto"/>
        <w:rPr>
          <w:sz w:val="20"/>
          <w:szCs w:val="20"/>
          <w:color w:val="auto"/>
        </w:rPr>
      </w:pPr>
      <w:r>
        <w:rPr>
          <w:rFonts w:ascii="Arial" w:cs="Arial" w:eastAsia="Arial" w:hAnsi="Arial"/>
          <w:sz w:val="16"/>
          <w:szCs w:val="16"/>
          <w:color w:val="auto"/>
        </w:rPr>
        <w:t>competent authority relief and transition tax regulations, and is exclusive of interest,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2013 transactions, if the IRS were to seek transfer pricing adjustments of a similar nature for transactions in subsequent years, we would be subject to significant additional tax liabilities. We have requested competent authority assistance under the Mutual Agreement Procedure (“MAP”) for tax years 2009 through 2013. We expect the competent authorities to present a resolution for the 2009 through 2011 tax years in the near future. Upon receipt, we will assess the resolution provided by the competent authorities as well as its impact on our existing income tax reserves for all open subsequent years.</w:t>
      </w:r>
    </w:p>
    <w:p>
      <w:pPr>
        <w:spacing w:after="0" w:line="165"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In July 2015, the United States Tax Court (the “Court”) issued an opinion favorable to Altera with respect to Altera’s litigation with the IRS. This opinion was submitted as a final decision under Tax Court Rule 155 during December 2015. The litigation relates to the treatment of stock-based compensation expense in an inter-company cost-sharing arrangement with Altera’s foreign subsidiary. In its opinion, the Court accepted Altera’s position of excluding stock-based compensation from its inter-company cost-sharing arrangement. The IRS appealed the Court decision on February 19, 2016. On June 7, 2019, a three-judge panel from the Ninth Circuit Court of Appeals reversed the Court’s decision and upheld the validity of the Treasury regulation (Reg. sec. 1.482-7A(d)(2)) requiring stock-based compensation costs to be included in the costs shared in a cost-sharing arrangement. Based on this Ninth Circuit Court of Appeals decision, we recorded a cumulative income tax expense of $15 million during the year ended December 31, 2019, which was a reversal of income tax benefits taken by the Company since the Court’s 2015 opinion. In November 2019, the Ninth Circuit denied Altera’s request for a rehearing en banc. On February 10, 2020, Altera filed a certiorari petition with the Supreme Court, asking it to hear an appeal of the Ninth Circuit’s decision. On June 22, 2020, the Supreme Court denied Altera’s request to review the Ninth Circuit decision.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for the periods presented:</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June 30, 2020</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December 31, 2019</w:t>
            </w:r>
          </w:p>
        </w:tc>
      </w:tr>
      <w:tr>
        <w:trPr>
          <w:trHeight w:val="155"/>
        </w:trPr>
        <w:tc>
          <w:tcPr>
            <w:tcW w:w="4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1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Accrued salary, bonus, and related benefits</w:t>
            </w:r>
          </w:p>
        </w:tc>
        <w:tc>
          <w:tcPr>
            <w:tcW w:w="1980" w:type="dxa"/>
            <w:vAlign w:val="bottom"/>
            <w:gridSpan w:val="2"/>
            <w:shd w:val="clear" w:color="auto" w:fill="CFF0FC"/>
          </w:tcPr>
          <w:p>
            <w:pPr>
              <w:jc w:val="right"/>
              <w:ind w:right="1127"/>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Accrued marketing costs</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payables</w:t>
            </w:r>
          </w:p>
        </w:tc>
        <w:tc>
          <w:tcPr>
            <w:tcW w:w="7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Finance lease liability - current portion</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 liability - current portion</w:t>
            </w:r>
          </w:p>
        </w:tc>
        <w:tc>
          <w:tcPr>
            <w:tcW w:w="7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Restructuring and other related reorganization costs (1)</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r>
      <w:tr>
        <w:trPr>
          <w:trHeight w:val="223"/>
        </w:trPr>
        <w:tc>
          <w:tcPr>
            <w:tcW w:w="4660" w:type="dxa"/>
            <w:vAlign w:val="bottom"/>
          </w:tcPr>
          <w:p>
            <w:pPr>
              <w:ind w:left="24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1280" w:type="dxa"/>
            <w:vAlign w:val="bottom"/>
            <w:tcBorders>
              <w:bottom w:val="single" w:sz="8" w:color="auto"/>
            </w:tcBorders>
          </w:tcPr>
          <w:p>
            <w:pPr>
              <w:jc w:val="right"/>
              <w:ind w:right="112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9" w:lineRule="exact"/>
        <w:rPr>
          <w:sz w:val="20"/>
          <w:szCs w:val="20"/>
          <w:color w:val="auto"/>
        </w:rPr>
      </w:pPr>
    </w:p>
    <w:p>
      <w:pPr>
        <w:ind w:left="1860" w:right="1440" w:hanging="367"/>
        <w:spacing w:after="0" w:line="248" w:lineRule="auto"/>
        <w:tabs>
          <w:tab w:leader="none" w:pos="18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Company incurred pre-tax restructuring and other related reorganization costs of $33 million and $42 million during the three and six months ended June 30, 2020, respectively. The costs consist of employee severance and related benefits. In response to the COVID-19 pandemic, during the second quarter of 2020, the Company committed to restructuring actions intended to reinforce its financial position, reduce its cost structure, and improve operational efficiencies, which have resulted in headcount reductions. In addition, we engaged in a smaller scale restructuring action in the first quarter of 2020 to reduce our cost structure and improve our operational efficiencies, which resulted in headcount reductions for which we recognized $9 million in restructuring and other related reorganization costs.</w:t>
      </w:r>
    </w:p>
    <w:p>
      <w:pPr>
        <w:spacing w:after="0" w:line="72"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The following table summarizes our restructuring and other related reorganization costs for the six months ended June 30, 2020:</w:t>
      </w:r>
    </w:p>
    <w:tbl>
      <w:tblPr>
        <w:tblLayout w:type="fixed"/>
        <w:tblInd w:w="0" w:type="dxa"/>
        <w:tblCellMar>
          <w:top w:w="0" w:type="dxa"/>
          <w:left w:w="0" w:type="dxa"/>
          <w:bottom w:w="0" w:type="dxa"/>
          <w:right w:w="0" w:type="dxa"/>
        </w:tblCellMar>
      </w:tblPr>
      <w:tr>
        <w:trPr>
          <w:trHeight w:val="146"/>
        </w:trPr>
        <w:tc>
          <w:tcPr>
            <w:tcW w:w="22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6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4"/>
              </w:rPr>
              <w:t>Restructuring and other</w:t>
            </w: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related reorganization</w:t>
            </w: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1"/>
              </w:rPr>
              <w:t>costs</w:t>
            </w: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w w:val="94"/>
              </w:rPr>
              <w:t>Accrued liability as of December 31, 2019</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Charges</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Payments</w:t>
            </w:r>
          </w:p>
        </w:tc>
        <w:tc>
          <w:tcPr>
            <w:tcW w:w="1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ind w:left="2260"/>
              <w:spacing w:after="0"/>
              <w:rPr>
                <w:sz w:val="20"/>
                <w:szCs w:val="20"/>
                <w:color w:val="auto"/>
              </w:rPr>
            </w:pPr>
            <w:r>
              <w:rPr>
                <w:rFonts w:ascii="Arial" w:cs="Arial" w:eastAsia="Arial" w:hAnsi="Arial"/>
                <w:sz w:val="18"/>
                <w:szCs w:val="18"/>
                <w:color w:val="auto"/>
              </w:rPr>
              <w:t>Accrued liability as of June 30, 2020</w:t>
            </w:r>
          </w:p>
        </w:tc>
        <w:tc>
          <w:tcPr>
            <w:tcW w:w="19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20" w:type="dxa"/>
            <w:vAlign w:val="bottom"/>
            <w:vMerge w:val="restart"/>
          </w:tcPr>
          <w:p>
            <w:pPr>
              <w:jc w:val="right"/>
              <w:ind w:right="1530"/>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2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2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 xml:space="preserve">As of June 30, 2020, there have been no material changes to our commitments and contingencies since December 31, 2019. Refer to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notes to our consolidated financial statements in Item 8 of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 xml:space="preserve">In the ordinary course of business, we are party to regulatory and legal matters, including threats thereof, arising out of our operations. These matters may involve claims involving intellectual property rights (including alleged infringement of third-party intellectual property rights), tax matters (including value-added, excise, transient occupancy and accommodation taxes), regulatory compliance (including competition and consumer protection matters), defamation and free speech, personal injury claims, </w:t>
      </w:r>
      <w:r>
        <w:rPr>
          <w:rFonts w:ascii="Arial" w:cs="Arial" w:eastAsia="Arial" w:hAnsi="Arial"/>
          <w:sz w:val="17"/>
          <w:szCs w:val="17"/>
          <w:color w:val="212529"/>
        </w:rPr>
        <w:t>labor and employment matters and commercial disputes.</w:t>
      </w:r>
      <w:r>
        <w:rPr>
          <w:rFonts w:ascii="Arial" w:cs="Arial" w:eastAsia="Arial" w:hAnsi="Arial"/>
          <w:sz w:val="17"/>
          <w:szCs w:val="17"/>
          <w:color w:val="auto"/>
        </w:rPr>
        <w:t xml:space="preserve">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and Non-Income Taxes</w:t>
      </w:r>
    </w:p>
    <w:p>
      <w:pPr>
        <w:spacing w:after="0" w:line="121"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 xml:space="preserve">We are under audit by the IRS and various other domestic and foreign tax authorities with regards to income tax and non-income tax matters. We have reserved for potential adjustments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9: </w:t>
      </w:r>
      <w:r>
        <w:rPr>
          <w:rFonts w:ascii="Arial" w:cs="Arial" w:eastAsia="Arial" w:hAnsi="Arial"/>
          <w:sz w:val="16"/>
          <w:szCs w:val="16"/>
          <w:i w:val="1"/>
          <w:iCs w:val="1"/>
          <w:color w:val="auto"/>
        </w:rPr>
        <w:t>Income Taxes</w:t>
      </w:r>
      <w:r>
        <w:rPr>
          <w:rFonts w:ascii="Arial" w:cs="Arial" w:eastAsia="Arial" w:hAnsi="Arial"/>
          <w:sz w:val="16"/>
          <w:szCs w:val="16"/>
          <w:color w:val="auto"/>
        </w:rPr>
        <w:t>” for further information on potential contingencies surrounding income taxes.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229"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On January 31, 2018, our Board of Directors authorized an additional repurchase of up to $250 million of our shares of common stock under a share repurchase program. This share repurchase program has no expiration date but may be suspended or terminated by our Board of Directors at any time. The Company did not repurchase any shares of outstanding common stock during the three and six months ended June 30, 2019 under the share repurchase program. As of December 31, 2019, we had $190 million remaining available to repurchase shares of our common stock under this share repurchase program. The Company did not repurchase any shares of outstanding common stock during the three months ended June 30, 2020 under the share repurchase program. During the six months ended June 30, 2020, we repurchased 4,707,450 shares of our outstanding common stock at an average share price of $24.32 per share, exclusive of fees and commissions, or $115 million in the aggregate. As of June 30, 2020, we had $75 million remaining available to repurchase shares of our common stock under this share repurchase program, and there were 18,844,614 shares of the Company’s common stock held in treasury with an aggregate cost of $722 million.</w:t>
      </w:r>
    </w:p>
    <w:p>
      <w:pPr>
        <w:spacing w:after="0" w:line="181"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 xml:space="preserve">While the Board of Directors has not suspended or terminated the share repurchase program, the terms of our Second Amendment currently prohibit the Company from engaging in share repurchases and the terms of our Indenture impose certain limitations and restrictions on share repurchases. Refer to “Note 8: </w:t>
      </w:r>
      <w:r>
        <w:rPr>
          <w:rFonts w:ascii="Arial" w:cs="Arial" w:eastAsia="Arial" w:hAnsi="Arial"/>
          <w:sz w:val="16"/>
          <w:szCs w:val="16"/>
          <w:i w:val="1"/>
          <w:iCs w:val="1"/>
          <w:color w:val="auto"/>
        </w:rPr>
        <w:t>Debt</w:t>
      </w:r>
      <w:r>
        <w:rPr>
          <w:rFonts w:ascii="Arial" w:cs="Arial" w:eastAsia="Arial" w:hAnsi="Arial"/>
          <w:sz w:val="16"/>
          <w:szCs w:val="16"/>
          <w:color w:val="auto"/>
        </w:rPr>
        <w:t xml:space="preserve">” for further information about our Second Amendment and “Note 15: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for further information about our Indenture.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12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We have two reportable segments: (1) Hotels, Media &amp; Platform; and (2) Experiences &amp; Dining. Our Hotels, Media &amp; Platform reportable segment includes the following revenue sources: (1) Tripadvisor-branded hotels revenue – primarily consisting of hotel auction revenue, and to a lesser extent , subscription-based advertising, hotel sponsored placements revenue, and CPA revenue; and (2) Tripadvisor-branded display and platform revenue – consisting of display-based advertising revenue. Our Experiences &amp; Dining reportable segment includes an aggregation of our Experiences and Dining operating segments. All remaining business units have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7" w:name="page28"/>
    <w:bookmarkEnd w:id="27"/>
    <w:p>
      <w:pPr>
        <w:ind w:right="40"/>
        <w:spacing w:after="0" w:line="257" w:lineRule="auto"/>
        <w:rPr>
          <w:sz w:val="20"/>
          <w:szCs w:val="20"/>
          <w:color w:val="auto"/>
        </w:rPr>
      </w:pPr>
      <w:r>
        <w:rPr>
          <w:rFonts w:ascii="Arial" w:cs="Arial" w:eastAsia="Arial" w:hAnsi="Arial"/>
          <w:sz w:val="18"/>
          <w:szCs w:val="18"/>
          <w:color w:val="auto"/>
        </w:rPr>
        <w:t xml:space="preserve">been combined into and reported as “Other”, which includes Rentals, Flights &amp; Car, Cruises, and Tripadvisor China, as none of these businesses meet the quantitative thresholds and other criteria to qualify as reportable segments, and therefore are combined and disclosed as Other. The nature of the services provided and revenue recognition policies are summarized by reported segment in “Note 3: </w:t>
      </w:r>
      <w:r>
        <w:rPr>
          <w:rFonts w:ascii="Arial" w:cs="Arial" w:eastAsia="Arial" w:hAnsi="Arial"/>
          <w:sz w:val="18"/>
          <w:szCs w:val="18"/>
          <w:i w:val="1"/>
          <w:iCs w:val="1"/>
          <w:color w:val="auto"/>
        </w:rPr>
        <w:t>Revenue Recognition</w:t>
      </w:r>
      <w:r>
        <w:rPr>
          <w:rFonts w:ascii="Arial" w:cs="Arial" w:eastAsia="Arial" w:hAnsi="Arial"/>
          <w:sz w:val="18"/>
          <w:szCs w:val="18"/>
          <w:color w:val="auto"/>
        </w:rPr>
        <w:t>.” Our operating segments are determined based on how our chief operating decision maker manages our business, regularly accesses information and evaluates performance for operating decision-making purposes, including allocation of resources.</w:t>
      </w:r>
    </w:p>
    <w:p>
      <w:pPr>
        <w:spacing w:after="0" w:line="80" w:lineRule="exact"/>
        <w:rPr>
          <w:sz w:val="20"/>
          <w:szCs w:val="20"/>
          <w:color w:val="auto"/>
        </w:rPr>
      </w:pPr>
    </w:p>
    <w:p>
      <w:pPr>
        <w:ind w:right="540" w:firstLine="510"/>
        <w:spacing w:after="0" w:line="259" w:lineRule="auto"/>
        <w:rPr>
          <w:sz w:val="20"/>
          <w:szCs w:val="20"/>
          <w:color w:val="auto"/>
        </w:rPr>
      </w:pPr>
      <w:r>
        <w:rPr>
          <w:rFonts w:ascii="Arial" w:cs="Arial" w:eastAsia="Arial" w:hAnsi="Arial"/>
          <w:sz w:val="18"/>
          <w:szCs w:val="18"/>
          <w:color w:val="auto"/>
        </w:rPr>
        <w:t>All direct general and administrative costs are included in the applicable segments and business units; however, all corporate general and administrative costs are included in the Hotels, Media &amp; Platform reportable segment. In addition, the Hotels, Media &amp; Platform reportable segment includes all Tripadvisor-related brand advertising expenses (primarily television advertising), technical infrastructure, and other costs supporting the Tripadvisor platform.</w:t>
      </w:r>
    </w:p>
    <w:p>
      <w:pPr>
        <w:spacing w:after="0" w:line="187"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Adjusted EBITDA is our segment profit measure and a key measure used by our management and Board of Directors to understand and evaluate the operating performance of our business and on which internal budgets and forecasts are based and approved. We define Adjusted EBITDA as net income (loss) plus: (1) (provision) benefit for income taxes; (2) other income (expense), net; (3) depreciation and amortization; (4) stock-based compensation and other stock-settled obligations; (5) goodwill, long-lived asset and intangible asset impairments; (6) legal reserves and settlements; (7) restructuring and other related reorganization costs; and (8) non-recurring expenses and income.</w:t>
      </w:r>
    </w:p>
    <w:p>
      <w:pPr>
        <w:spacing w:after="0" w:line="176"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The following tables present our segment information for the three and six months ended June 30, 2020 and 2019 and includes a reconciliation of Adjusted EBITDA to Net Income. We record depreciation of property and equipment and amortization of intangible assets, stock-based compensation and other stock-settled obligations, legal reserves and settlements, restructuring and other related reorganization costs, other income (expense), net, other non-recurring expenses and income, net, and income taxes, which are excluded from segment operating performance, in corporate and unallocated. In addition, we do not report our assets, capital expenditures and related depreciation expense by segment as our CODM does not use this information to evaluate operating segments. Accordingly, we do not regularly provide such information by segment to our CODM. Intersegment revenue is not material and is included in Other.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w w:val="96"/>
              </w:rPr>
              <w:t>Three months ended June 30, 2020</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320" w:type="dxa"/>
            <w:vAlign w:val="bottom"/>
            <w:gridSpan w:val="2"/>
          </w:tcPr>
          <w:p>
            <w:pPr>
              <w:jc w:val="center"/>
              <w:ind w:right="96"/>
              <w:spacing w:after="0" w:line="133" w:lineRule="exact"/>
              <w:rPr>
                <w:sz w:val="20"/>
                <w:szCs w:val="20"/>
                <w:color w:val="auto"/>
              </w:rPr>
            </w:pPr>
            <w:r>
              <w:rPr>
                <w:rFonts w:ascii="Arial" w:cs="Arial" w:eastAsia="Arial" w:hAnsi="Arial"/>
                <w:sz w:val="14"/>
                <w:szCs w:val="14"/>
                <w:b w:val="1"/>
                <w:bCs w:val="1"/>
                <w:color w:val="auto"/>
                <w:w w:val="97"/>
              </w:rPr>
              <w:t>Hotels, Media &amp;</w:t>
            </w:r>
          </w:p>
        </w:tc>
        <w:tc>
          <w:tcPr>
            <w:tcW w:w="240" w:type="dxa"/>
            <w:vAlign w:val="bottom"/>
          </w:tcPr>
          <w:p>
            <w:pPr>
              <w:spacing w:after="0"/>
              <w:rPr>
                <w:sz w:val="11"/>
                <w:szCs w:val="11"/>
                <w:color w:val="auto"/>
              </w:rPr>
            </w:pPr>
          </w:p>
        </w:tc>
        <w:tc>
          <w:tcPr>
            <w:tcW w:w="1240" w:type="dxa"/>
            <w:vAlign w:val="bottom"/>
          </w:tcPr>
          <w:p>
            <w:pPr>
              <w:jc w:val="center"/>
              <w:ind w:right="221"/>
              <w:spacing w:after="0" w:line="133" w:lineRule="exact"/>
              <w:rPr>
                <w:sz w:val="20"/>
                <w:szCs w:val="20"/>
                <w:color w:val="auto"/>
              </w:rPr>
            </w:pPr>
            <w:r>
              <w:rPr>
                <w:rFonts w:ascii="Arial" w:cs="Arial" w:eastAsia="Arial" w:hAnsi="Arial"/>
                <w:sz w:val="14"/>
                <w:szCs w:val="14"/>
                <w:b w:val="1"/>
                <w:bCs w:val="1"/>
                <w:color w:val="auto"/>
                <w:w w:val="93"/>
              </w:rPr>
              <w:t>Experiences &amp;</w:t>
            </w:r>
          </w:p>
        </w:tc>
        <w:tc>
          <w:tcPr>
            <w:tcW w:w="260" w:type="dxa"/>
            <w:vAlign w:val="bottom"/>
          </w:tcPr>
          <w:p>
            <w:pPr>
              <w:spacing w:after="0"/>
              <w:rPr>
                <w:sz w:val="11"/>
                <w:szCs w:val="11"/>
                <w:color w:val="auto"/>
              </w:rPr>
            </w:pPr>
          </w:p>
        </w:tc>
        <w:tc>
          <w:tcPr>
            <w:tcW w:w="1160" w:type="dxa"/>
            <w:vAlign w:val="bottom"/>
            <w:vMerge w:val="restart"/>
          </w:tcPr>
          <w:p>
            <w:pPr>
              <w:jc w:val="center"/>
              <w:ind w:right="239"/>
              <w:spacing w:after="0"/>
              <w:rPr>
                <w:sz w:val="20"/>
                <w:szCs w:val="20"/>
                <w:color w:val="auto"/>
              </w:rPr>
            </w:pPr>
            <w:r>
              <w:rPr>
                <w:rFonts w:ascii="Arial" w:cs="Arial" w:eastAsia="Arial" w:hAnsi="Arial"/>
                <w:sz w:val="14"/>
                <w:szCs w:val="14"/>
                <w:b w:val="1"/>
                <w:bCs w:val="1"/>
                <w:color w:val="auto"/>
                <w:w w:val="95"/>
              </w:rPr>
              <w:t>Other (3)</w:t>
            </w:r>
          </w:p>
        </w:tc>
        <w:tc>
          <w:tcPr>
            <w:tcW w:w="240" w:type="dxa"/>
            <w:vAlign w:val="bottom"/>
          </w:tcPr>
          <w:p>
            <w:pPr>
              <w:spacing w:after="0"/>
              <w:rPr>
                <w:sz w:val="11"/>
                <w:szCs w:val="11"/>
                <w:color w:val="auto"/>
              </w:rPr>
            </w:pPr>
          </w:p>
        </w:tc>
        <w:tc>
          <w:tcPr>
            <w:tcW w:w="10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216"/>
              <w:spacing w:after="0"/>
              <w:rPr>
                <w:sz w:val="20"/>
                <w:szCs w:val="20"/>
                <w:color w:val="auto"/>
              </w:rPr>
            </w:pPr>
            <w:r>
              <w:rPr>
                <w:rFonts w:ascii="Arial" w:cs="Arial" w:eastAsia="Arial" w:hAnsi="Arial"/>
                <w:sz w:val="14"/>
                <w:szCs w:val="14"/>
                <w:b w:val="1"/>
                <w:bCs w:val="1"/>
                <w:color w:val="auto"/>
                <w:w w:val="97"/>
              </w:rPr>
              <w:t>Platform (1)</w:t>
            </w:r>
          </w:p>
        </w:tc>
        <w:tc>
          <w:tcPr>
            <w:tcW w:w="240" w:type="dxa"/>
            <w:vAlign w:val="bottom"/>
          </w:tcPr>
          <w:p>
            <w:pPr>
              <w:spacing w:after="0"/>
              <w:rPr>
                <w:sz w:val="14"/>
                <w:szCs w:val="14"/>
                <w:color w:val="auto"/>
              </w:rPr>
            </w:pPr>
          </w:p>
        </w:tc>
        <w:tc>
          <w:tcPr>
            <w:tcW w:w="1240" w:type="dxa"/>
            <w:vAlign w:val="bottom"/>
          </w:tcPr>
          <w:p>
            <w:pPr>
              <w:jc w:val="center"/>
              <w:ind w:right="221"/>
              <w:spacing w:after="0"/>
              <w:rPr>
                <w:sz w:val="20"/>
                <w:szCs w:val="20"/>
                <w:color w:val="auto"/>
              </w:rPr>
            </w:pPr>
            <w:r>
              <w:rPr>
                <w:rFonts w:ascii="Arial" w:cs="Arial" w:eastAsia="Arial" w:hAnsi="Arial"/>
                <w:sz w:val="14"/>
                <w:szCs w:val="14"/>
                <w:b w:val="1"/>
                <w:bCs w:val="1"/>
                <w:color w:val="auto"/>
                <w:w w:val="96"/>
              </w:rPr>
              <w:t>Dining</w:t>
            </w:r>
          </w:p>
        </w:tc>
        <w:tc>
          <w:tcPr>
            <w:tcW w:w="2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Unallocated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2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jc w:val="center"/>
              <w:ind w:lef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101"/>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w w:val="98"/>
              </w:rPr>
              <w:t>Restructuring and other related reorganization costs</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gridSpan w:val="3"/>
            <w:vMerge w:val="restart"/>
          </w:tcPr>
          <w:p>
            <w:pPr>
              <w:jc w:val="right"/>
              <w:ind w:right="319"/>
              <w:spacing w:after="0"/>
              <w:rPr>
                <w:sz w:val="20"/>
                <w:szCs w:val="20"/>
                <w:color w:val="auto"/>
              </w:rPr>
            </w:pPr>
            <w:r>
              <w:rPr>
                <w:rFonts w:ascii="Arial" w:cs="Arial" w:eastAsia="Arial" w:hAnsi="Arial"/>
                <w:sz w:val="14"/>
                <w:szCs w:val="14"/>
                <w:b w:val="1"/>
                <w:bCs w:val="1"/>
                <w:color w:val="auto"/>
                <w:w w:val="96"/>
              </w:rPr>
              <w:t>Three months ended June 30, 2019</w:t>
            </w: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320" w:type="dxa"/>
            <w:vAlign w:val="bottom"/>
            <w:gridSpan w:val="2"/>
          </w:tcPr>
          <w:p>
            <w:pPr>
              <w:jc w:val="center"/>
              <w:ind w:right="96"/>
              <w:spacing w:after="0" w:line="133" w:lineRule="exact"/>
              <w:rPr>
                <w:sz w:val="20"/>
                <w:szCs w:val="20"/>
                <w:color w:val="auto"/>
              </w:rPr>
            </w:pPr>
            <w:r>
              <w:rPr>
                <w:rFonts w:ascii="Arial" w:cs="Arial" w:eastAsia="Arial" w:hAnsi="Arial"/>
                <w:sz w:val="14"/>
                <w:szCs w:val="14"/>
                <w:b w:val="1"/>
                <w:bCs w:val="1"/>
                <w:color w:val="auto"/>
                <w:w w:val="97"/>
              </w:rPr>
              <w:t>Hotels, Media &amp;</w:t>
            </w:r>
          </w:p>
        </w:tc>
        <w:tc>
          <w:tcPr>
            <w:tcW w:w="240" w:type="dxa"/>
            <w:vAlign w:val="bottom"/>
          </w:tcPr>
          <w:p>
            <w:pPr>
              <w:spacing w:after="0"/>
              <w:rPr>
                <w:sz w:val="11"/>
                <w:szCs w:val="11"/>
                <w:color w:val="auto"/>
              </w:rPr>
            </w:pPr>
          </w:p>
        </w:tc>
        <w:tc>
          <w:tcPr>
            <w:tcW w:w="1240" w:type="dxa"/>
            <w:vAlign w:val="bottom"/>
          </w:tcPr>
          <w:p>
            <w:pPr>
              <w:jc w:val="center"/>
              <w:ind w:right="221"/>
              <w:spacing w:after="0" w:line="133" w:lineRule="exact"/>
              <w:rPr>
                <w:sz w:val="20"/>
                <w:szCs w:val="20"/>
                <w:color w:val="auto"/>
              </w:rPr>
            </w:pPr>
            <w:r>
              <w:rPr>
                <w:rFonts w:ascii="Arial" w:cs="Arial" w:eastAsia="Arial" w:hAnsi="Arial"/>
                <w:sz w:val="14"/>
                <w:szCs w:val="14"/>
                <w:b w:val="1"/>
                <w:bCs w:val="1"/>
                <w:color w:val="auto"/>
                <w:w w:val="93"/>
              </w:rPr>
              <w:t>Experiences &amp;</w:t>
            </w:r>
          </w:p>
        </w:tc>
        <w:tc>
          <w:tcPr>
            <w:tcW w:w="260" w:type="dxa"/>
            <w:vAlign w:val="bottom"/>
          </w:tcPr>
          <w:p>
            <w:pPr>
              <w:spacing w:after="0"/>
              <w:rPr>
                <w:sz w:val="11"/>
                <w:szCs w:val="11"/>
                <w:color w:val="auto"/>
              </w:rPr>
            </w:pPr>
          </w:p>
        </w:tc>
        <w:tc>
          <w:tcPr>
            <w:tcW w:w="1160" w:type="dxa"/>
            <w:vAlign w:val="bottom"/>
            <w:vMerge w:val="restart"/>
          </w:tcPr>
          <w:p>
            <w:pPr>
              <w:jc w:val="center"/>
              <w:ind w:right="239"/>
              <w:spacing w:after="0"/>
              <w:rPr>
                <w:sz w:val="20"/>
                <w:szCs w:val="20"/>
                <w:color w:val="auto"/>
              </w:rPr>
            </w:pPr>
            <w:r>
              <w:rPr>
                <w:rFonts w:ascii="Arial" w:cs="Arial" w:eastAsia="Arial" w:hAnsi="Arial"/>
                <w:sz w:val="14"/>
                <w:szCs w:val="14"/>
                <w:b w:val="1"/>
                <w:bCs w:val="1"/>
                <w:color w:val="auto"/>
                <w:w w:val="95"/>
              </w:rPr>
              <w:t>Other (3)</w:t>
            </w:r>
          </w:p>
        </w:tc>
        <w:tc>
          <w:tcPr>
            <w:tcW w:w="240" w:type="dxa"/>
            <w:vAlign w:val="bottom"/>
          </w:tcPr>
          <w:p>
            <w:pPr>
              <w:spacing w:after="0"/>
              <w:rPr>
                <w:sz w:val="11"/>
                <w:szCs w:val="11"/>
                <w:color w:val="auto"/>
              </w:rPr>
            </w:pPr>
          </w:p>
        </w:tc>
        <w:tc>
          <w:tcPr>
            <w:tcW w:w="10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216"/>
              <w:spacing w:after="0"/>
              <w:rPr>
                <w:sz w:val="20"/>
                <w:szCs w:val="20"/>
                <w:color w:val="auto"/>
              </w:rPr>
            </w:pPr>
            <w:r>
              <w:rPr>
                <w:rFonts w:ascii="Arial" w:cs="Arial" w:eastAsia="Arial" w:hAnsi="Arial"/>
                <w:sz w:val="14"/>
                <w:szCs w:val="14"/>
                <w:b w:val="1"/>
                <w:bCs w:val="1"/>
                <w:color w:val="auto"/>
                <w:w w:val="97"/>
              </w:rPr>
              <w:t>Platform (2)</w:t>
            </w:r>
          </w:p>
        </w:tc>
        <w:tc>
          <w:tcPr>
            <w:tcW w:w="240" w:type="dxa"/>
            <w:vAlign w:val="bottom"/>
          </w:tcPr>
          <w:p>
            <w:pPr>
              <w:spacing w:after="0"/>
              <w:rPr>
                <w:sz w:val="14"/>
                <w:szCs w:val="14"/>
                <w:color w:val="auto"/>
              </w:rPr>
            </w:pPr>
          </w:p>
        </w:tc>
        <w:tc>
          <w:tcPr>
            <w:tcW w:w="1240" w:type="dxa"/>
            <w:vAlign w:val="bottom"/>
          </w:tcPr>
          <w:p>
            <w:pPr>
              <w:jc w:val="center"/>
              <w:ind w:right="221"/>
              <w:spacing w:after="0"/>
              <w:rPr>
                <w:sz w:val="20"/>
                <w:szCs w:val="20"/>
                <w:color w:val="auto"/>
              </w:rPr>
            </w:pPr>
            <w:r>
              <w:rPr>
                <w:rFonts w:ascii="Arial" w:cs="Arial" w:eastAsia="Arial" w:hAnsi="Arial"/>
                <w:sz w:val="14"/>
                <w:szCs w:val="14"/>
                <w:b w:val="1"/>
                <w:bCs w:val="1"/>
                <w:color w:val="auto"/>
                <w:w w:val="96"/>
              </w:rPr>
              <w:t>Dining</w:t>
            </w:r>
          </w:p>
        </w:tc>
        <w:tc>
          <w:tcPr>
            <w:tcW w:w="2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Unallocated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2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FF0FC"/>
          </w:tcPr>
          <w:p>
            <w:pPr>
              <w:jc w:val="center"/>
              <w:ind w:lef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101"/>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19"/>
                <w:szCs w:val="19"/>
                <w:color w:val="auto"/>
              </w:rPr>
            </w:pP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80" w:type="dxa"/>
            <w:vAlign w:val="bottom"/>
            <w:gridSpan w:val="2"/>
            <w:vMerge w:val="restart"/>
          </w:tcPr>
          <w:p>
            <w:pPr>
              <w:jc w:val="center"/>
              <w:ind w:right="1021"/>
              <w:spacing w:after="0"/>
              <w:rPr>
                <w:sz w:val="20"/>
                <w:szCs w:val="20"/>
                <w:color w:val="auto"/>
              </w:rPr>
            </w:pPr>
            <w:r>
              <w:rPr>
                <w:rFonts w:ascii="Arial" w:cs="Arial" w:eastAsia="Arial" w:hAnsi="Arial"/>
                <w:sz w:val="18"/>
                <w:szCs w:val="18"/>
                <w:color w:val="auto"/>
                <w:w w:val="89"/>
              </w:rPr>
              <w:t>28</w:t>
            </w: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Six months ended June 30, 2020</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300" w:type="dxa"/>
            <w:vAlign w:val="bottom"/>
            <w:gridSpan w:val="2"/>
          </w:tcPr>
          <w:p>
            <w:pPr>
              <w:jc w:val="center"/>
              <w:ind w:right="76"/>
              <w:spacing w:after="0" w:line="133" w:lineRule="exact"/>
              <w:rPr>
                <w:sz w:val="20"/>
                <w:szCs w:val="20"/>
                <w:color w:val="auto"/>
              </w:rPr>
            </w:pPr>
            <w:r>
              <w:rPr>
                <w:rFonts w:ascii="Arial" w:cs="Arial" w:eastAsia="Arial" w:hAnsi="Arial"/>
                <w:sz w:val="14"/>
                <w:szCs w:val="14"/>
                <w:b w:val="1"/>
                <w:bCs w:val="1"/>
                <w:color w:val="auto"/>
                <w:w w:val="97"/>
              </w:rPr>
              <w:t>Hotels, Media &amp;</w:t>
            </w:r>
          </w:p>
        </w:tc>
        <w:tc>
          <w:tcPr>
            <w:tcW w:w="260" w:type="dxa"/>
            <w:vAlign w:val="bottom"/>
          </w:tcPr>
          <w:p>
            <w:pPr>
              <w:spacing w:after="0"/>
              <w:rPr>
                <w:sz w:val="11"/>
                <w:szCs w:val="11"/>
                <w:color w:val="auto"/>
              </w:rPr>
            </w:pPr>
          </w:p>
        </w:tc>
        <w:tc>
          <w:tcPr>
            <w:tcW w:w="1240" w:type="dxa"/>
            <w:vAlign w:val="bottom"/>
          </w:tcPr>
          <w:p>
            <w:pPr>
              <w:jc w:val="center"/>
              <w:ind w:right="221"/>
              <w:spacing w:after="0" w:line="133" w:lineRule="exact"/>
              <w:rPr>
                <w:sz w:val="20"/>
                <w:szCs w:val="20"/>
                <w:color w:val="auto"/>
              </w:rPr>
            </w:pPr>
            <w:r>
              <w:rPr>
                <w:rFonts w:ascii="Arial" w:cs="Arial" w:eastAsia="Arial" w:hAnsi="Arial"/>
                <w:sz w:val="14"/>
                <w:szCs w:val="14"/>
                <w:b w:val="1"/>
                <w:bCs w:val="1"/>
                <w:color w:val="auto"/>
                <w:w w:val="93"/>
              </w:rPr>
              <w:t>Experiences &amp;</w:t>
            </w:r>
          </w:p>
        </w:tc>
        <w:tc>
          <w:tcPr>
            <w:tcW w:w="260" w:type="dxa"/>
            <w:vAlign w:val="bottom"/>
          </w:tcPr>
          <w:p>
            <w:pPr>
              <w:spacing w:after="0"/>
              <w:rPr>
                <w:sz w:val="11"/>
                <w:szCs w:val="11"/>
                <w:color w:val="auto"/>
              </w:rPr>
            </w:pPr>
          </w:p>
        </w:tc>
        <w:tc>
          <w:tcPr>
            <w:tcW w:w="1140" w:type="dxa"/>
            <w:vAlign w:val="bottom"/>
            <w:vMerge w:val="restart"/>
          </w:tcPr>
          <w:p>
            <w:pPr>
              <w:jc w:val="center"/>
              <w:ind w:right="219"/>
              <w:spacing w:after="0"/>
              <w:rPr>
                <w:sz w:val="20"/>
                <w:szCs w:val="20"/>
                <w:color w:val="auto"/>
              </w:rPr>
            </w:pPr>
            <w:r>
              <w:rPr>
                <w:rFonts w:ascii="Arial" w:cs="Arial" w:eastAsia="Arial" w:hAnsi="Arial"/>
                <w:sz w:val="14"/>
                <w:szCs w:val="14"/>
                <w:b w:val="1"/>
                <w:bCs w:val="1"/>
                <w:color w:val="auto"/>
                <w:w w:val="95"/>
              </w:rPr>
              <w:t>Other (3)</w:t>
            </w:r>
          </w:p>
        </w:tc>
        <w:tc>
          <w:tcPr>
            <w:tcW w:w="260" w:type="dxa"/>
            <w:vAlign w:val="bottom"/>
          </w:tcPr>
          <w:p>
            <w:pPr>
              <w:spacing w:after="0"/>
              <w:rPr>
                <w:sz w:val="11"/>
                <w:szCs w:val="11"/>
                <w:color w:val="auto"/>
              </w:rPr>
            </w:pPr>
          </w:p>
        </w:tc>
        <w:tc>
          <w:tcPr>
            <w:tcW w:w="10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196"/>
              <w:spacing w:after="0"/>
              <w:rPr>
                <w:sz w:val="20"/>
                <w:szCs w:val="20"/>
                <w:color w:val="auto"/>
              </w:rPr>
            </w:pPr>
            <w:r>
              <w:rPr>
                <w:rFonts w:ascii="Arial" w:cs="Arial" w:eastAsia="Arial" w:hAnsi="Arial"/>
                <w:sz w:val="14"/>
                <w:szCs w:val="14"/>
                <w:b w:val="1"/>
                <w:bCs w:val="1"/>
                <w:color w:val="auto"/>
                <w:w w:val="97"/>
              </w:rPr>
              <w:t>Platform (1)</w:t>
            </w:r>
          </w:p>
        </w:tc>
        <w:tc>
          <w:tcPr>
            <w:tcW w:w="260" w:type="dxa"/>
            <w:vAlign w:val="bottom"/>
          </w:tcPr>
          <w:p>
            <w:pPr>
              <w:spacing w:after="0"/>
              <w:rPr>
                <w:sz w:val="14"/>
                <w:szCs w:val="14"/>
                <w:color w:val="auto"/>
              </w:rPr>
            </w:pPr>
          </w:p>
        </w:tc>
        <w:tc>
          <w:tcPr>
            <w:tcW w:w="1240" w:type="dxa"/>
            <w:vAlign w:val="bottom"/>
          </w:tcPr>
          <w:p>
            <w:pPr>
              <w:jc w:val="center"/>
              <w:ind w:right="221"/>
              <w:spacing w:after="0"/>
              <w:rPr>
                <w:sz w:val="20"/>
                <w:szCs w:val="20"/>
                <w:color w:val="auto"/>
              </w:rPr>
            </w:pPr>
            <w:r>
              <w:rPr>
                <w:rFonts w:ascii="Arial" w:cs="Arial" w:eastAsia="Arial" w:hAnsi="Arial"/>
                <w:sz w:val="14"/>
                <w:szCs w:val="14"/>
                <w:b w:val="1"/>
                <w:bCs w:val="1"/>
                <w:color w:val="auto"/>
                <w:w w:val="96"/>
              </w:rPr>
              <w:t>Dining</w:t>
            </w: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Unallocated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19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207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1"/>
              <w:spacing w:after="0"/>
              <w:rPr>
                <w:sz w:val="20"/>
                <w:szCs w:val="20"/>
                <w:color w:val="auto"/>
              </w:rPr>
            </w:pPr>
            <w:r>
              <w:rPr>
                <w:rFonts w:ascii="Arial" w:cs="Arial" w:eastAsia="Arial" w:hAnsi="Arial"/>
                <w:sz w:val="18"/>
                <w:szCs w:val="18"/>
                <w:color w:val="auto"/>
              </w:rPr>
              <w:t>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21"/>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w w:val="98"/>
              </w:rPr>
              <w:t>Restructuring and other related reorganization costs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gridSpan w:val="3"/>
            <w:vMerge w:val="restart"/>
          </w:tcPr>
          <w:p>
            <w:pPr>
              <w:jc w:val="right"/>
              <w:ind w:right="379"/>
              <w:spacing w:after="0"/>
              <w:rPr>
                <w:sz w:val="20"/>
                <w:szCs w:val="20"/>
                <w:color w:val="auto"/>
              </w:rPr>
            </w:pPr>
            <w:r>
              <w:rPr>
                <w:rFonts w:ascii="Arial" w:cs="Arial" w:eastAsia="Arial" w:hAnsi="Arial"/>
                <w:sz w:val="14"/>
                <w:szCs w:val="14"/>
                <w:b w:val="1"/>
                <w:bCs w:val="1"/>
                <w:color w:val="auto"/>
              </w:rPr>
              <w:t>Six months ended June 30, 2019</w:t>
            </w: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300" w:type="dxa"/>
            <w:vAlign w:val="bottom"/>
            <w:gridSpan w:val="2"/>
          </w:tcPr>
          <w:p>
            <w:pPr>
              <w:jc w:val="center"/>
              <w:ind w:right="76"/>
              <w:spacing w:after="0" w:line="133" w:lineRule="exact"/>
              <w:rPr>
                <w:sz w:val="20"/>
                <w:szCs w:val="20"/>
                <w:color w:val="auto"/>
              </w:rPr>
            </w:pPr>
            <w:r>
              <w:rPr>
                <w:rFonts w:ascii="Arial" w:cs="Arial" w:eastAsia="Arial" w:hAnsi="Arial"/>
                <w:sz w:val="14"/>
                <w:szCs w:val="14"/>
                <w:b w:val="1"/>
                <w:bCs w:val="1"/>
                <w:color w:val="auto"/>
                <w:w w:val="97"/>
              </w:rPr>
              <w:t>Hotels, Media &amp;</w:t>
            </w:r>
          </w:p>
        </w:tc>
        <w:tc>
          <w:tcPr>
            <w:tcW w:w="260" w:type="dxa"/>
            <w:vAlign w:val="bottom"/>
          </w:tcPr>
          <w:p>
            <w:pPr>
              <w:spacing w:after="0"/>
              <w:rPr>
                <w:sz w:val="11"/>
                <w:szCs w:val="11"/>
                <w:color w:val="auto"/>
              </w:rPr>
            </w:pPr>
          </w:p>
        </w:tc>
        <w:tc>
          <w:tcPr>
            <w:tcW w:w="1240" w:type="dxa"/>
            <w:vAlign w:val="bottom"/>
          </w:tcPr>
          <w:p>
            <w:pPr>
              <w:jc w:val="center"/>
              <w:ind w:right="221"/>
              <w:spacing w:after="0" w:line="133" w:lineRule="exact"/>
              <w:rPr>
                <w:sz w:val="20"/>
                <w:szCs w:val="20"/>
                <w:color w:val="auto"/>
              </w:rPr>
            </w:pPr>
            <w:r>
              <w:rPr>
                <w:rFonts w:ascii="Arial" w:cs="Arial" w:eastAsia="Arial" w:hAnsi="Arial"/>
                <w:sz w:val="14"/>
                <w:szCs w:val="14"/>
                <w:b w:val="1"/>
                <w:bCs w:val="1"/>
                <w:color w:val="auto"/>
                <w:w w:val="93"/>
              </w:rPr>
              <w:t>Experiences &amp;</w:t>
            </w:r>
          </w:p>
        </w:tc>
        <w:tc>
          <w:tcPr>
            <w:tcW w:w="260" w:type="dxa"/>
            <w:vAlign w:val="bottom"/>
          </w:tcPr>
          <w:p>
            <w:pPr>
              <w:spacing w:after="0"/>
              <w:rPr>
                <w:sz w:val="11"/>
                <w:szCs w:val="11"/>
                <w:color w:val="auto"/>
              </w:rPr>
            </w:pPr>
          </w:p>
        </w:tc>
        <w:tc>
          <w:tcPr>
            <w:tcW w:w="1140" w:type="dxa"/>
            <w:vAlign w:val="bottom"/>
            <w:vMerge w:val="restart"/>
          </w:tcPr>
          <w:p>
            <w:pPr>
              <w:jc w:val="center"/>
              <w:ind w:right="219"/>
              <w:spacing w:after="0"/>
              <w:rPr>
                <w:sz w:val="20"/>
                <w:szCs w:val="20"/>
                <w:color w:val="auto"/>
              </w:rPr>
            </w:pPr>
            <w:r>
              <w:rPr>
                <w:rFonts w:ascii="Arial" w:cs="Arial" w:eastAsia="Arial" w:hAnsi="Arial"/>
                <w:sz w:val="14"/>
                <w:szCs w:val="14"/>
                <w:b w:val="1"/>
                <w:bCs w:val="1"/>
                <w:color w:val="auto"/>
                <w:w w:val="95"/>
              </w:rPr>
              <w:t>Other (3)</w:t>
            </w:r>
          </w:p>
        </w:tc>
        <w:tc>
          <w:tcPr>
            <w:tcW w:w="260" w:type="dxa"/>
            <w:vAlign w:val="bottom"/>
          </w:tcPr>
          <w:p>
            <w:pPr>
              <w:spacing w:after="0"/>
              <w:rPr>
                <w:sz w:val="11"/>
                <w:szCs w:val="11"/>
                <w:color w:val="auto"/>
              </w:rPr>
            </w:pPr>
          </w:p>
        </w:tc>
        <w:tc>
          <w:tcPr>
            <w:tcW w:w="10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196"/>
              <w:spacing w:after="0"/>
              <w:rPr>
                <w:sz w:val="20"/>
                <w:szCs w:val="20"/>
                <w:color w:val="auto"/>
              </w:rPr>
            </w:pPr>
            <w:r>
              <w:rPr>
                <w:rFonts w:ascii="Arial" w:cs="Arial" w:eastAsia="Arial" w:hAnsi="Arial"/>
                <w:sz w:val="14"/>
                <w:szCs w:val="14"/>
                <w:b w:val="1"/>
                <w:bCs w:val="1"/>
                <w:color w:val="auto"/>
                <w:w w:val="97"/>
              </w:rPr>
              <w:t>Platform (2)</w:t>
            </w:r>
          </w:p>
        </w:tc>
        <w:tc>
          <w:tcPr>
            <w:tcW w:w="260" w:type="dxa"/>
            <w:vAlign w:val="bottom"/>
          </w:tcPr>
          <w:p>
            <w:pPr>
              <w:spacing w:after="0"/>
              <w:rPr>
                <w:sz w:val="14"/>
                <w:szCs w:val="14"/>
                <w:color w:val="auto"/>
              </w:rPr>
            </w:pPr>
          </w:p>
        </w:tc>
        <w:tc>
          <w:tcPr>
            <w:tcW w:w="1240" w:type="dxa"/>
            <w:vAlign w:val="bottom"/>
          </w:tcPr>
          <w:p>
            <w:pPr>
              <w:jc w:val="center"/>
              <w:ind w:right="221"/>
              <w:spacing w:after="0"/>
              <w:rPr>
                <w:sz w:val="20"/>
                <w:szCs w:val="20"/>
                <w:color w:val="auto"/>
              </w:rPr>
            </w:pPr>
            <w:r>
              <w:rPr>
                <w:rFonts w:ascii="Arial" w:cs="Arial" w:eastAsia="Arial" w:hAnsi="Arial"/>
                <w:sz w:val="14"/>
                <w:szCs w:val="14"/>
                <w:b w:val="1"/>
                <w:bCs w:val="1"/>
                <w:color w:val="auto"/>
                <w:w w:val="96"/>
              </w:rPr>
              <w:t>Dining</w:t>
            </w: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Unallocated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19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508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1"/>
              <w:spacing w:after="0"/>
              <w:rPr>
                <w:sz w:val="20"/>
                <w:szCs w:val="20"/>
                <w:color w:val="auto"/>
              </w:rPr>
            </w:pPr>
            <w:r>
              <w:rPr>
                <w:rFonts w:ascii="Arial" w:cs="Arial" w:eastAsia="Arial" w:hAnsi="Arial"/>
                <w:sz w:val="18"/>
                <w:szCs w:val="18"/>
                <w:color w:val="auto"/>
              </w:rPr>
              <w:t>206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21"/>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740" w:right="700" w:hanging="368"/>
        <w:spacing w:after="0" w:line="233" w:lineRule="auto"/>
        <w:tabs>
          <w:tab w:leader="none" w:pos="7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allocated corporate general and administrative costs of $16 million and $34 million and Tripadvisor-branded advertising expenses (primarily television advertising) of $1 million and $5 million for the three and six months ended June 30, 2020, respectively.</w:t>
      </w:r>
    </w:p>
    <w:p>
      <w:pPr>
        <w:spacing w:after="0" w:line="1" w:lineRule="exact"/>
        <w:rPr>
          <w:rFonts w:ascii="Arial" w:cs="Arial" w:eastAsia="Arial" w:hAnsi="Arial"/>
          <w:sz w:val="15"/>
          <w:szCs w:val="15"/>
          <w:color w:val="auto"/>
        </w:rPr>
      </w:pPr>
    </w:p>
    <w:p>
      <w:pPr>
        <w:ind w:left="740" w:right="700" w:hanging="368"/>
        <w:spacing w:after="0" w:line="225" w:lineRule="auto"/>
        <w:tabs>
          <w:tab w:leader="none" w:pos="7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allocated corporate general and administrative costs of $17 million and $31 million and Tripadvisor-branded advertising expenses (primarily television advertising) of $26 million and $55 million for the three and six months ended June 30, 2019, respectively.</w:t>
      </w:r>
    </w:p>
    <w:p>
      <w:pPr>
        <w:ind w:left="740" w:hanging="368"/>
        <w:spacing w:after="0"/>
        <w:tabs>
          <w:tab w:leader="none" w:pos="7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Other consists of the combination of our Rentals, Flights &amp; Car, Cruises, and Tripadvisor China business units and does not constitute a reportable segment.</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Customer Concentrations</w:t>
      </w:r>
    </w:p>
    <w:p>
      <w:pPr>
        <w:spacing w:after="0" w:line="225"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Financial Instruments and Fair Value Measurements</w:t>
      </w:r>
      <w:r>
        <w:rPr>
          <w:rFonts w:ascii="Arial" w:cs="Arial" w:eastAsia="Arial" w:hAnsi="Arial"/>
          <w:sz w:val="18"/>
          <w:szCs w:val="18"/>
          <w:color w:val="auto"/>
        </w:rPr>
        <w:t>” under the section entitled “Risks and Concentrations” for information regarding our major customer concentrations.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14: OTHER INCOME (EXPENSE),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(expense), net, consists of the following for the periods presented:</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60" w:type="dxa"/>
            <w:vAlign w:val="bottom"/>
            <w:gridSpan w:val="4"/>
          </w:tcPr>
          <w:p>
            <w:pPr>
              <w:jc w:val="right"/>
              <w:ind w:right="167"/>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80" w:type="dxa"/>
            <w:vAlign w:val="bottom"/>
            <w:gridSpan w:val="3"/>
          </w:tcPr>
          <w:p>
            <w:pPr>
              <w:jc w:val="right"/>
              <w:ind w:right="707"/>
              <w:spacing w:after="0" w:line="155" w:lineRule="exact"/>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tcPr>
          <w:p>
            <w:pPr>
              <w:jc w:val="right"/>
              <w:ind w:right="90"/>
              <w:spacing w:after="0" w:line="155" w:lineRule="exact"/>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exchange rates gains</w:t>
            </w: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(losses), net (1)</w:t>
            </w:r>
          </w:p>
        </w:tc>
        <w:tc>
          <w:tcPr>
            <w:tcW w:w="140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8"/>
                <w:szCs w:val="18"/>
                <w:color w:val="auto"/>
              </w:rPr>
              <w:t>Earnings (losses) from equity method</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vMerge w:val="restart"/>
          </w:tcPr>
          <w:p>
            <w:pPr>
              <w:jc w:val="right"/>
              <w:ind w:right="28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investment, net</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Loss on sale of business (2)</w:t>
            </w: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w:t>
            </w:r>
          </w:p>
        </w:tc>
        <w:tc>
          <w:tcPr>
            <w:tcW w:w="10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w:t>
            </w:r>
          </w:p>
        </w:tc>
        <w:tc>
          <w:tcPr>
            <w:tcW w:w="4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0" w:type="dxa"/>
            <w:vAlign w:val="bottom"/>
          </w:tcPr>
          <w:p>
            <w:pPr>
              <w:spacing w:after="0"/>
              <w:rPr>
                <w:sz w:val="21"/>
                <w:szCs w:val="21"/>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60" w:type="dxa"/>
            <w:vAlign w:val="bottom"/>
            <w:vMerge w:val="continue"/>
            <w:shd w:val="clear" w:color="auto" w:fill="CFF0FC"/>
          </w:tcPr>
          <w:p>
            <w:pPr>
              <w:spacing w:after="0"/>
              <w:rPr>
                <w:sz w:val="20"/>
                <w:szCs w:val="20"/>
                <w:color w:val="auto"/>
              </w:rPr>
            </w:pPr>
          </w:p>
        </w:tc>
        <w:tc>
          <w:tcPr>
            <w:tcW w:w="140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w:t>
            </w: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960" w:right="200" w:hanging="358"/>
        <w:spacing w:after="0" w:line="230" w:lineRule="auto"/>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foreign currency exchange gains (losses), net, are generally related to foreign exchange transaction gains and losses from the conversion of the transaction currency to the functional currency, partially offset by the foreign currency forward contract gains and losses.</w:t>
      </w:r>
    </w:p>
    <w:p>
      <w:pPr>
        <w:ind w:left="960" w:hanging="358"/>
        <w:spacing w:after="0"/>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Related to loss on disposal on the sale of our SmarterTravel business during the three months ended June 30, 2020.</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15: SUBSEQUENT EVENTS</w:t>
      </w:r>
    </w:p>
    <w:p>
      <w:pPr>
        <w:spacing w:after="0" w:line="121"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On July 9, 2020, the Company completed the sale of $500 million aggregate principal amount of 7.000% senior notes due 2025 (the “Senior Notes”), pursuant to a purchase agreement, dated July 7, 2020, among the Company, the guarantors party thereto (the “Guarantors”) and the initial purchasers party thereto. The Senior Notes were issued pursuant to an indenture, dated July 9, 2020 (the “Indenture”), among the Company, the Guarantors and Wilmington Trust, National Association, as trustee. The Indenture provides, among other things, that interest will be payable on the Senior Notes on January 15 and July 15 of each year, beginning on January 15, 2021, until their maturity date of July 15, 2025. The Senior Notes are senior unsecured obligations of the Company and will be guaranteed on a senior unsecured basis by each of its existing and future wholly owned domestic restricted subsidiaries that guarantees the credit facility or that guarantees certain of our other indebtedness or indebtedness of a guarantor.</w:t>
      </w:r>
    </w:p>
    <w:p>
      <w:pPr>
        <w:spacing w:after="0" w:line="274"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The Company has the option to redeem all or a portion of the Senior Notes at any time on or after July 15, 2022 at the redemption prices set forth in the Indenture, plus accrued and unpaid interest, if any. The Company may also redeem all or any portion of the Senior Notes at any time prior to July 15, 2022, at a price equal to 100% of the aggregate principal amount thereof plus a make-whole premium and accrued and unpaid interest, if any. In addition, before July 15, 2022, the Company may redeem up to 40% of the aggregate principal amount of the Senior Notes with the net proceeds of certain equity offerings at the redemption price set forth in the Indenture, provided that certain conditions are met. Under certain circumstances, until 120 days after the issue date, the Company may redeem in the aggregate up to 40% of the aggregate principal amount of the Senior Notes in an amount not to exceed the amount of the net cash proceeds of any loan received pursuant to a Regulatory Debt Facility (as defined in the Indenture), so long as at least 60% of the aggregate principal amount of the notes remain outstanding after each such redemption. Subject to certain limitations, in the event of a Change of Control Triggering Event (as defined in the Indenture), the Company will be required to make an offer to purchase the Senior Notes at a price equal to 101% of the aggregate principal amount of the Senior Notes repurchased, plus accrued and unpaid interest, if any, to the date of repurchase.</w:t>
      </w:r>
    </w:p>
    <w:p>
      <w:pPr>
        <w:spacing w:after="0" w:line="168"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Indenture contains covenants that, among other things, restrict the ability of the Company and the ability of certain of its subsidiaries to incur or guarantee additional indebtedness or issue disqualified stock or certain preferred stock; pay dividends and make other distributions or repurchase stock; make certain investments; create or incur liens; sell assets; create restrictions affecting the ability of restricted subsidiaries that are non-guarantors to make distributions, loans or advances or transfer assets to the Company or the guarantors; enter into certain transactions with the Company’s affiliates; designate restricted subsidiaries as unrestricted subsidiaries; and merge, consolidate or transfer or sell all or substantially all of the Company’s assets. These covenants are subject to a number of important exceptions and qualifications.</w:t>
      </w:r>
    </w:p>
    <w:p>
      <w:pPr>
        <w:spacing w:after="0" w:line="17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Indenture provides for customary events of default, which include (subject in certain cases to customary grace and cure periods), among others, nonpayment of principal or interest; breach of other agreements in the indentures; defaults in failure to pay certain other indebtedness; the rendering of judgments to pay certain amounts of money against the Company and certain of its subsidiaries; the failure of certain guarantees to be enforceable; and certain events of bankruptcy or insolvency.</w:t>
      </w:r>
    </w:p>
    <w:p>
      <w:pPr>
        <w:spacing w:after="0" w:line="187"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 xml:space="preserve">In the third quarter of 2020, the Company used all the net proceeds from the Senior Notes, or $490 million, net of approximately $10 million in debt issuances costs, to repay a portion of our 2015 Credit Facility borrowings that existed as of June 30, 2020. Refer to “Note 8: </w:t>
      </w:r>
      <w:r>
        <w:rPr>
          <w:rFonts w:ascii="Arial" w:cs="Arial" w:eastAsia="Arial" w:hAnsi="Arial"/>
          <w:sz w:val="16"/>
          <w:szCs w:val="16"/>
          <w:i w:val="1"/>
          <w:iCs w:val="1"/>
          <w:color w:val="auto"/>
        </w:rPr>
        <w:t>Debt”</w:t>
      </w:r>
      <w:r>
        <w:rPr>
          <w:rFonts w:ascii="Arial" w:cs="Arial" w:eastAsia="Arial" w:hAnsi="Arial"/>
          <w:sz w:val="16"/>
          <w:szCs w:val="16"/>
          <w:color w:val="auto"/>
        </w:rPr>
        <w:t xml:space="preserve"> for further information.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2019.</w:t>
      </w:r>
    </w:p>
    <w:p>
      <w:pPr>
        <w:spacing w:after="0" w:line="63"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this Quarterly Report on Form 10-Q for the three and six months ended June 30, 2020,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37" w:lineRule="exact"/>
        <w:rPr>
          <w:sz w:val="20"/>
          <w:szCs w:val="20"/>
          <w:color w:val="auto"/>
        </w:rPr>
      </w:pPr>
    </w:p>
    <w:p>
      <w:pPr>
        <w:ind w:right="300" w:firstLine="510"/>
        <w:spacing w:after="0" w:line="311" w:lineRule="auto"/>
        <w:rPr>
          <w:sz w:val="20"/>
          <w:szCs w:val="20"/>
          <w:color w:val="auto"/>
        </w:rPr>
      </w:pPr>
      <w:r>
        <w:rPr>
          <w:rFonts w:ascii="Arial" w:cs="Arial" w:eastAsia="Arial" w:hAnsi="Arial"/>
          <w:sz w:val="16"/>
          <w:szCs w:val="16"/>
          <w:color w:val="auto"/>
        </w:rPr>
        <w:t>Tripadvisor is a leading online travel company and our mission is to help people around the world plan, book and experience the perfect trip. We operate a global travel platform that connects the world’s largest audience of prospective travelers with travel partners through rich content, price comparison tools, and online reservation and related services for destinations, accommodations, travel activities and experiences, and restaurants.</w:t>
      </w:r>
    </w:p>
    <w:p>
      <w:pPr>
        <w:spacing w:after="0" w:line="14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Under our flagship brand, Tripadvisor, we launched www.Tripadvisor.com in the U.S. in 2000. Since then, we have launched localized versions of the Tripadvisor website in 48 markets and 28 languages worldwide. Tripadvisor features 867 million reviews and opinions on 8.7 million places to stay, places to eat and things to do – including 1.5 million hotels, inns, B&amp;Bs and specialty lodging, 786,000 rental properties, 4.6 million restaurants, 1.3 million travel activities and experiences worldwide, 500,000 airlines, and 30,000 cruises. Tripadvisor’s rich content and engaged community attract the world’s largest travel audience, based on monthly unique visitors, including 463 million average monthly unique visitors in the third quarter of 2019 during the peak summer travel season.</w:t>
      </w:r>
    </w:p>
    <w:p>
      <w:pPr>
        <w:spacing w:after="0" w:line="192" w:lineRule="exact"/>
        <w:rPr>
          <w:sz w:val="20"/>
          <w:szCs w:val="20"/>
          <w:color w:val="auto"/>
        </w:rPr>
      </w:pPr>
    </w:p>
    <w:p>
      <w:pPr>
        <w:ind w:right="620" w:firstLine="510"/>
        <w:spacing w:after="0" w:line="301" w:lineRule="auto"/>
        <w:rPr>
          <w:sz w:val="20"/>
          <w:szCs w:val="20"/>
          <w:color w:val="auto"/>
        </w:rPr>
      </w:pPr>
      <w:r>
        <w:rPr>
          <w:rFonts w:ascii="Arial" w:cs="Arial" w:eastAsia="Arial" w:hAnsi="Arial"/>
          <w:sz w:val="16"/>
          <w:szCs w:val="16"/>
          <w:color w:val="auto"/>
        </w:rPr>
        <w:t>In addition to the flagship Tripadvisor brand, we own and operate a portfolio of travel media brands and businesses, operating under various websites, including the following: www.bokun.io, www.cruisecritic.com, www.flipkey.com, www.thefork.com (including www.lafourchette.com, www.eltenedor.com, www.bookatable.co.uk, and www.delinski.com), www.helloreco.com, www.holidaylettings.co.uk, www.housetrip.com, www.jetsetter.com, www.niumba.com, www.seatguru.com, www.singleplatform.com, www.vacationhomerentals.com, and www.viator.com.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Financial Summary and Business Trends</w:t>
      </w:r>
    </w:p>
    <w:p>
      <w:pPr>
        <w:spacing w:after="0" w:line="229"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Tripadvisor is the world’s largest online travel site, as measured by average unique monthly visitors. As a result, Tripadvisor represents an attractive platform for travel partners – including hotel chains, independent hoteliers, OTAs, destination marketing organizations, and other travel-related and non-travel related product and service providers – who seek to market and sell their products and services to a global audience. Tripadvisor’s platform and product offerings enable consumers to discover, research and price shop a variety of travel products, including hotels, flights, cruises, cars, vacation rental properties, tours, travel activities and experiences, and restaurants; and book a number of these travel experiences either directly on our websites or mobile apps, or on our travel partners’ websites or mobile apps. Key drivers of our financial results are described below, including current trends affecting our business, and our segment reporting information.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Our Long-Term Growth Strategy</w:t>
      </w:r>
    </w:p>
    <w:p>
      <w:pPr>
        <w:spacing w:after="0" w:line="121"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Phocuswright, an independent travel, tourism and hospitality research firm, estimates the annual global travel market (not including dining) at $1.7 trillion of bookings and we believe that Tripadvisor’s influence in the travel ecosystem remains significant. Our growth strategy aims to increase revenue by deepening customer engagement on our platform by pursuing the following key strategies, including:</w:t>
      </w:r>
    </w:p>
    <w:p>
      <w:pPr>
        <w:spacing w:after="0" w:line="76" w:lineRule="exact"/>
        <w:rPr>
          <w:sz w:val="20"/>
          <w:szCs w:val="20"/>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building products that reduce friction throughout the travel planning and trip-taking journey and delight travelers;</w:t>
      </w:r>
    </w:p>
    <w:p>
      <w:pPr>
        <w:spacing w:after="0" w:line="117"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deepen consumer engagement with our platform (including, but not limited to, membership growth, mobile app engagement and overall repeat usage);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 in technology to further improve our customer and supplier experiences;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deepen travel partner engagement with our platform by expanding the number of products and services we offer;</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 in and grow certain categories where we lead the broader travel market today and/or can leverage unique assets, such as hotel business to business (“B2B”) services, media advertising, experiences and restaurants;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leverage our technological and operational efficiencies;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opportunistically pursue strategic acquisitions.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w:t>
      </w:r>
    </w:p>
    <w:p>
      <w:pPr>
        <w:spacing w:after="0" w:line="121"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The online travel industry in which we operate is large and growing and also remains highly dynamic and competitive. Our overall strategy is to deliver more value to consumers and travel partners in order to generate more monetization on our platform. While we operate with a long-term growth focus, our specific growth objectives and resource allocation strategies can differ in both duration and magnitude within our reportable segments. We describe these dynamics, as well as other trends in our business, below.</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In December 2019, a novel strain of coronavirus (“COVID-19”) was reported in Wuhan, China, and on March 11, 2020 was declared a global pandemic, followed by government travel restrictions and quarantine orders around the globe. The COVID-19 pandemic has caused a significant negative impact on the travel, hospitality, restaurant, and leisure industry and consequently adversely and materially affected our business, results of operations and financial condition during the three and six months ended June 30, 2020. Among other impacts, COVID-19 has negatively impacted global consumer demand and consumers’ ability to travel, thereby resulting in many of our travel partners, particularly hotels, experience providers and restaurants to operate at significantly reduced service levels.</w:t>
      </w:r>
    </w:p>
    <w:p>
      <w:pPr>
        <w:spacing w:after="0" w:line="19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Beginning in late February 2020 and progressively worsening through March 2020, we experienced a significant decline in consumer demand for our products and services as well as an increase in customer cancellations. The adverse impact to our business from COVID-19 intensified in the second half of March, driven by the pandemic’s proliferation and increased governmental restrictions and mandates globally that additionally impacted the travel, hospitality, restaurant, and leisure industry and further dampened consumer demand for our products and services. In the second half of March and throughout April, significant year-over-year revenue declines generally stabilized across the Company’s segments and products. During April 2020 and May 2020, consolidated revenue was approximately 10% of last year’s comparable period and June 2020 revenue was approximately 20% of last year’s comparable period. In addition, while still down significantly year-over-year, monthly unique users, which is reflective of traffic growth trends on our websites, have improved since April 2020. In April, May, and June of 2020, monthly unique users on Tripadvisor websites were approximately 33%, 45%, and 60% of last year’s comparable periods, respectively.</w:t>
      </w:r>
    </w:p>
    <w:p>
      <w:pPr>
        <w:spacing w:after="0" w:line="18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addition, we incurred significant and unanticipated cancellations by travelers related to future travel, accommodations and tour bookings in the post-COVID-19 timeframe, which had been reserved by travelers in the pre-COVID-19 timeframe, including a significant number of bookings recorded as deferred revenue on our consolidated balance sheet as of December 31, 2019. We have been working with travelers and travel partners to address cancellations, re-bookings, and in certain cases we have provided our travel partners extended payment terms, discounts and other incentives. We also have business continuity programs in place to ensure that employees are safe and that our teams continue to function effectively while working remotely. As the COVID-19 pandemic continues to develop, governments, corporations and other authorities may continue to implement restrictions, reinstate restrictions where restrictions were previously lifted, or other policies that continue to adversely impact our business. We also believe the travel industry and our business will continue to be materially and adversely affected while such travel restrictions remain in place. Although we cannot predict with certainty the full impact of the COVID-19 pandemic on our third quarter 2020 financial results, we currently expect that our third quarter 2020 financial results will be negatively impacted to a material degree, in comparison to the same period in 2019.</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32" w:name="page33"/>
    <w:bookmarkEnd w:id="32"/>
    <w:p>
      <w:pPr>
        <w:ind w:right="180" w:firstLine="510"/>
        <w:spacing w:after="0" w:line="275" w:lineRule="auto"/>
        <w:rPr>
          <w:sz w:val="20"/>
          <w:szCs w:val="20"/>
          <w:color w:val="auto"/>
        </w:rPr>
      </w:pPr>
      <w:r>
        <w:rPr>
          <w:rFonts w:ascii="Arial" w:cs="Arial" w:eastAsia="Arial" w:hAnsi="Arial"/>
          <w:sz w:val="17"/>
          <w:szCs w:val="17"/>
          <w:color w:val="auto"/>
        </w:rPr>
        <w:t>The ultimate extent of the COVID-19 pandemic and its impact on travel, regional and global markets, and overall economic activity in currently affected countries or globally is unknown and difficult to predict. Therefore, the extent and duration of the impact of the COVID-19 pandemic on our business over the long term remains largely uncertain and dependent on future developments that cannot be accurately predicted at this time, such as the severity and transmission rate of COVID-19, the timing and availability of a vaccine, the extent and effectiveness of containment actions taken, including mobility and travel restrictions, and the impact of these and other factors on consumer travel behavior.</w:t>
      </w:r>
    </w:p>
    <w:p>
      <w:pPr>
        <w:spacing w:after="0" w:line="176"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In response to the impact of COVID-19, we have taken several steps to further strengthen our financial position and balance sheet, and maintain financial liquidity and flexibility, including restructuring and reducing our ongoing operating expenses, by borrowing funds from our 2015 Credit Facility, amending our 2015 Credit Facility, and issuing $500 million in Senior Notes in July 2020, all of which are described in more detail below.</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 xml:space="preserve">During the three months ended March 31, 2020, we borrowed $700 million from our 2015 Credit Facility. We used these proceeds to reinforce our liquidity position in light of uncertainty in the global markets resulting from the COVID-19 pandemic. In addition, on May 5, 2020, we amended our 2015 Credit Facility, the Second Amendment, to among other things, suspend the leverage ratio covenant for each fiscal quarter ending after the effective date of the Second Amendment and ending prior to September 30, 2021; and replace it with a minimum liquidity covenant, and provide collateral to secure the obligations under the agreement, as well as downsize its capacity to $1.0 billion from $1.2 billion. We believe this additional flexibility will be important given our limited ability to predict our future financial performance due to the uncertainty associated with COVID-19 and the measures implemented in reaction to COVID-19. Refer to “Note 8: </w:t>
      </w:r>
      <w:r>
        <w:rPr>
          <w:rFonts w:ascii="Arial" w:cs="Arial" w:eastAsia="Arial" w:hAnsi="Arial"/>
          <w:sz w:val="17"/>
          <w:szCs w:val="17"/>
          <w:i w:val="1"/>
          <w:iCs w:val="1"/>
          <w:color w:val="auto"/>
        </w:rPr>
        <w:t>Debt”</w:t>
      </w:r>
      <w:r>
        <w:rPr>
          <w:rFonts w:ascii="Arial" w:cs="Arial" w:eastAsia="Arial" w:hAnsi="Arial"/>
          <w:sz w:val="17"/>
          <w:szCs w:val="17"/>
          <w:color w:val="auto"/>
        </w:rPr>
        <w:t xml:space="preserve"> in the notes to our unaudited condensed consolidated financial statements in Item 1 in this Quarterly Report on Form 10-Q for further information about our Second Amendment.</w:t>
      </w:r>
    </w:p>
    <w:p>
      <w:pPr>
        <w:spacing w:after="0" w:line="17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 xml:space="preserve">In addition, on July 9, 2020, the Company completed the sale of $500 million aggregate principal amount of 7.000% senior notes due July 15, 2025 in a private offering. The Indenture pursuant to which the Senior Notes were issued provides, among other things, that interest will be payable on the Senior Notes on January 15 and July 15 of each year, beginning on January 15, 2021, until their maturity date of July 15, 2025. The Senior Notes will be senior unsecured obligations of the Company and will be guaranteed by each of its domestic subsidiaries that guarantees the Company’s 2015 Credit Facility. The Company has subsequently used all the net proceeds of $490 million, net of approximately $10 million in debt issuances costs, to repay a portion of our 2015 Credit Facility borrowings. Refer to “Note 15: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in the notes to our unaudited condensed consolidated financial statements in Item 1 in this Quarterly Report on Form 10-Q for information about our Senior Notes.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Cost Reduction Measures</w:t>
      </w:r>
    </w:p>
    <w:p>
      <w:pPr>
        <w:spacing w:after="0" w:line="225"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During the first quarter of 2020, the Company instituted a cost reduction initiative to preserve cash flows, including targeted workforce reduction measures largely in the Experiences and Dining segment, in addition to optimizing and reducing brand advertising as the Company pivots to leverage newer and expectantly more effective mediums to our historically television-focused campaign.</w:t>
      </w:r>
    </w:p>
    <w:p>
      <w:pPr>
        <w:spacing w:after="0" w:line="184"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In response to the economic impact of the COVID-19 pandemic, the Company instituted additional cost reduction measures during the latter part of the first quarter of 2020, which included the elimination of the majority of discretionary spending, business travel, non-critical vendor relationships, brand advertising, cessation of nearly all new hiring and contingent staff, reduction of targeted employee benefits and the furloughing of over 100 employees. On April 28, 2020, management approved and the Company announced an additional cost reduction initiative in response to the continued economic and financial impacts to the Company as a result of the COVID -19 pandemic, to include the following:</w:t>
      </w:r>
    </w:p>
    <w:p>
      <w:pPr>
        <w:spacing w:after="0" w:line="176" w:lineRule="exact"/>
        <w:rPr>
          <w:sz w:val="20"/>
          <w:szCs w:val="20"/>
          <w:color w:val="auto"/>
        </w:rPr>
      </w:pPr>
    </w:p>
    <w:p>
      <w:pPr>
        <w:ind w:left="740" w:hanging="368"/>
        <w:spacing w:after="0"/>
        <w:tabs>
          <w:tab w:leader="none" w:pos="740" w:val="left"/>
        </w:tabs>
        <w:numPr>
          <w:ilvl w:val="0"/>
          <w:numId w:val="16"/>
        </w:numPr>
        <w:rPr>
          <w:rFonts w:ascii="Arial" w:cs="Arial" w:eastAsia="Arial" w:hAnsi="Arial"/>
          <w:sz w:val="18"/>
          <w:szCs w:val="18"/>
          <w:color w:val="2E2E2E"/>
        </w:rPr>
      </w:pPr>
      <w:r>
        <w:rPr>
          <w:rFonts w:ascii="Arial" w:cs="Arial" w:eastAsia="Arial" w:hAnsi="Arial"/>
          <w:sz w:val="18"/>
          <w:szCs w:val="18"/>
          <w:color w:val="auto"/>
        </w:rPr>
        <w:t>Enacted a workforce reduction eliminating more than 900 employees;</w:t>
      </w:r>
    </w:p>
    <w:p>
      <w:pPr>
        <w:spacing w:after="0" w:line="23" w:lineRule="exact"/>
        <w:rPr>
          <w:rFonts w:ascii="Arial" w:cs="Arial" w:eastAsia="Arial" w:hAnsi="Arial"/>
          <w:sz w:val="18"/>
          <w:szCs w:val="18"/>
          <w:color w:val="2E2E2E"/>
        </w:rPr>
      </w:pPr>
    </w:p>
    <w:p>
      <w:pPr>
        <w:ind w:left="740" w:right="500" w:hanging="368"/>
        <w:spacing w:after="0" w:line="250" w:lineRule="auto"/>
        <w:tabs>
          <w:tab w:leader="none" w:pos="740" w:val="left"/>
        </w:tabs>
        <w:numPr>
          <w:ilvl w:val="0"/>
          <w:numId w:val="16"/>
        </w:numPr>
        <w:rPr>
          <w:rFonts w:ascii="Arial" w:cs="Arial" w:eastAsia="Arial" w:hAnsi="Arial"/>
          <w:sz w:val="18"/>
          <w:szCs w:val="18"/>
          <w:color w:val="2E2E2E"/>
        </w:rPr>
      </w:pPr>
      <w:r>
        <w:rPr>
          <w:rFonts w:ascii="Arial" w:cs="Arial" w:eastAsia="Arial" w:hAnsi="Arial"/>
          <w:sz w:val="18"/>
          <w:szCs w:val="18"/>
          <w:color w:val="auto"/>
        </w:rPr>
        <w:t>Furloughing additional employees bringing the total furloughed employees during March and April 2020 to approximately 850 employees, primarily in our European operations at The Fork; and</w:t>
      </w:r>
    </w:p>
    <w:p>
      <w:pPr>
        <w:ind w:left="740" w:hanging="368"/>
        <w:spacing w:after="0"/>
        <w:tabs>
          <w:tab w:leader="none" w:pos="740" w:val="left"/>
        </w:tabs>
        <w:numPr>
          <w:ilvl w:val="0"/>
          <w:numId w:val="16"/>
        </w:numPr>
        <w:rPr>
          <w:rFonts w:ascii="Arial" w:cs="Arial" w:eastAsia="Arial" w:hAnsi="Arial"/>
          <w:sz w:val="17"/>
          <w:szCs w:val="17"/>
          <w:color w:val="2E2E2E"/>
        </w:rPr>
      </w:pPr>
      <w:r>
        <w:rPr>
          <w:rFonts w:ascii="Arial" w:cs="Arial" w:eastAsia="Arial" w:hAnsi="Arial"/>
          <w:sz w:val="17"/>
          <w:szCs w:val="17"/>
          <w:color w:val="auto"/>
        </w:rPr>
        <w:t>Making targeted reductions of the Company’s office lease portfolio, primarily either through subleasing or allowing property leases to expire.</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2020, the Company had approximately 150 employees who remained furloughed.</w:t>
      </w:r>
    </w:p>
    <w:p>
      <w:pPr>
        <w:spacing w:after="0" w:line="225"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Company incurred total pre-tax restructuring and other related reorganization costs of approximately $33 million and $42 million during the three and six months ended June 30, 2020, respectively, as a result of these measures.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CARES Act Relief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ind w:firstLine="510"/>
        <w:spacing w:after="0" w:line="253" w:lineRule="auto"/>
        <w:rPr>
          <w:sz w:val="20"/>
          <w:szCs w:val="20"/>
          <w:color w:val="auto"/>
        </w:rPr>
      </w:pPr>
      <w:r>
        <w:rPr>
          <w:rFonts w:ascii="Arial" w:cs="Arial" w:eastAsia="Arial" w:hAnsi="Arial"/>
          <w:sz w:val="18"/>
          <w:szCs w:val="18"/>
          <w:color w:val="auto"/>
        </w:rPr>
        <w:t xml:space="preserve">On March 27, 2020, the U.S. government enacted the CARES Act, which among other things, includes provisions relating to refundable payroll tax credits, deferment of employer side social security payments, net operating loss carryback periods, modifications to the net interest deduction limitations and technical corrections to tax depreciation methods for qualified improvement property. Based on our preliminary evaluation of the CARES Act, we qualify for certain employer payroll tax credits and the deferral of payroll and other tax payments in the future, as well as certain income tax related provisions. Most notably, during the three and six months ended June 30, 2020, we recorded an income tax benefit of $5 million and $19 million, respectively, resulting from a loss carryback provision under the CARES Act. In addition, during the three months ended June 30, 2020, we recorded qualified payroll tax credits which reduced our operating expenses on our unaudited condensed consolidated statement of operations by $4 million. Refer to “Note 9: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the notes to our unaudited condensed consolidated financial statements in Item 1 in this Quarterly Report on Form 10-Q for further information.</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2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We operate the Hotels, Media &amp; Platform segment for profit while also driving increased client engagement with – and high-margin media advertising revenue from – the Tripadvisor platform. We seek to achieve this by delivering consumers a holistic product experience and by offering travel partners a diversified number of advertising opportunities.</w:t>
      </w:r>
    </w:p>
    <w:p>
      <w:pPr>
        <w:spacing w:after="0" w:line="184" w:lineRule="exact"/>
        <w:rPr>
          <w:sz w:val="20"/>
          <w:szCs w:val="20"/>
          <w:color w:val="auto"/>
        </w:rPr>
      </w:pPr>
    </w:p>
    <w:p>
      <w:pPr>
        <w:ind w:right="260" w:firstLine="510"/>
        <w:spacing w:after="0" w:line="275" w:lineRule="auto"/>
        <w:rPr>
          <w:sz w:val="20"/>
          <w:szCs w:val="20"/>
          <w:color w:val="auto"/>
        </w:rPr>
      </w:pPr>
      <w:r>
        <w:rPr>
          <w:rFonts w:ascii="Arial" w:cs="Arial" w:eastAsia="Arial" w:hAnsi="Arial"/>
          <w:sz w:val="17"/>
          <w:szCs w:val="17"/>
          <w:color w:val="auto"/>
        </w:rPr>
        <w:t>For consumers, we seek to implement product enhancements that deliver a more engaging and comprehensive hotel shopping experience. This includes providing rich, immersive content – reviews, photos, videos and ratings, among other contributions – as well as increasing the number of travel partners and properties as well as the available hotel supply on our platform. We believe providing consumers tools to discover, research, price shop and book a comprehensive selection of accommodations helps increase brand awareness and brand loyalty and, over time, can result in deeper consumer engagement, more qualified leads delivered to travel partners and greater monetization on our platform.</w:t>
      </w:r>
    </w:p>
    <w:p>
      <w:pPr>
        <w:spacing w:after="0" w:line="1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seek to monetize our influence and achieve revenue growth through hotel-related product improvements, supply and marketing efforts and customer advertising opportunities. We rely heavily on search engines, such as Google, to generate a significant amount of hotel shoppers to our websites, principally through SEO as well as through SEM. We define hotel shoppers as visitors who view either a listing of hotels in a city or on a specific hotel page. Given our ongoing focus on Hotels, Media &amp; Platform profitability, a key ongoing objective is to attract or acquire hotel shoppers at or above our desired marketing return on investment targets. Our business, including the Hotels, Media &amp; Platform segment’s financial results, have been adversely and materially impacted by the COVID-19 pandemic, which was the primary and material driver of this segment’s unfavorable results during the three and six months ended June 30, 2020 as noted in the “COVID-19” discussion above. In addition, during the six months ended June 30, 2020, particularly in the month of January and most of February 2020 (or pre-COVID-19 timeframe) we continued to experience revenue headwinds in our SEO marketing channel, which we believe was impacted by search engines (primarily Google) increasing the prominence of their own hotel products in search results and expect this trend to continue post-COVID-19. However, during the second quarter of 2020, our Hotels, Media &amp; Platform segments noted modest year-over-year performance improvements as noted in the “COVID-19” discussion above.</w:t>
      </w:r>
    </w:p>
    <w:p>
      <w:pPr>
        <w:spacing w:after="0" w:line="182" w:lineRule="exact"/>
        <w:rPr>
          <w:sz w:val="20"/>
          <w:szCs w:val="20"/>
          <w:color w:val="auto"/>
        </w:rPr>
      </w:pPr>
    </w:p>
    <w:p>
      <w:pPr>
        <w:ind w:right="320" w:firstLine="510"/>
        <w:spacing w:after="0" w:line="271" w:lineRule="auto"/>
        <w:rPr>
          <w:sz w:val="20"/>
          <w:szCs w:val="20"/>
          <w:color w:val="auto"/>
        </w:rPr>
      </w:pPr>
      <w:r>
        <w:rPr>
          <w:rFonts w:ascii="Arial" w:cs="Arial" w:eastAsia="Arial" w:hAnsi="Arial"/>
          <w:sz w:val="17"/>
          <w:szCs w:val="17"/>
          <w:color w:val="auto"/>
        </w:rPr>
        <w:t>We believe executing our long-term growth strategy can enable us to deepen customer engagement on our platform, monetize our influence and stabilize – and eventually grow – Hotels, Media &amp; Platform segment revenue. For example, in Tripadvisor-branded display and platform revenue, we enable travel partners to amplify their brand, generate brand impressions, and potentially drive qualified leads and bookings for their businesses. Historically, we have limited both the type and number of display-based advertising opportunities we make available to travel partners, particularly on mobile phone, which, in turn, has limited display-based advertising revenue growth. However, we continue to work on initiatives to better leverage our audience, content, data, travel influence and platform breadth to open up new media advertising opportunities through a more modern, high-powered advertising suite spanning native, video and programmatic solutions. We intend to broaden our solution to a larger set of advertising travel endemic and non-travel endemic advertising partners, including industries such as airlines and finance.</w:t>
      </w:r>
    </w:p>
    <w:p>
      <w:pPr>
        <w:spacing w:after="0" w:line="17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addition, we are focused on initiatives to increase our traffic quality and deepen customer engagement on our platform, including membership growth, personalization, and mobile app initiatives we believe can lead to increased monetization over time in this segment. For example, there remains not only an opportunity to continue to grow our member base, but also to deepen member engagement by making membership more valued, through building communities and leveraging our content to further personalize trip-planning features.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25"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Our Experiences and Dining offering enable us to deliver a more comprehensive consumer experience, which we believe will increase awareness of, loyalty to, and engagement with our products, drive more bookings to Experiences and Dining partners and generate greater revenue and increased profitability on our platform. Given the significant market opportunities in these large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growing categories, as well as competition aiming to provide consumers a similar multimodal experience, we expect to continue to invest to drive bookings and revenue growth.</w:t>
      </w:r>
    </w:p>
    <w:p>
      <w:pPr>
        <w:spacing w:after="0" w:line="170"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During the three and six months ended June 30, 2020, our Experiences and Dining segment’s financial results have been adversely and materially impacted by the COVID-19 pandemic. However, restaurants across European markets saw restrictions ease during the second quarter of 2020, which was met with an increase in consumer demand. By the end of June 2020, restaurant reservations in theFork platform approached volume levels to approximately 50% of that in January and most of February 2020 (or pre-COVID-19 timeframe). We have also begun to explore new initiatives to delight and engage consumers during this pandemic. For example, we began offering virtual tours to our consumers. This is in addition to other recent initiatives, such as the recent rollout of a new payment option in late 2019, which enables consumers to reserve certain experience activities and defer payment until a date no later than two days before the experience date. In addition, we have generally provided our supply partners with accelerated payments to ease their burden during the pandemic.</w:t>
      </w:r>
    </w:p>
    <w:p>
      <w:pPr>
        <w:spacing w:after="0" w:line="19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December 2019, we acquired U.K.-based Bookatable, which offers an online restaurant reservation and booking platform. This further strengthens our position in certain of our existing European markets as well as expands us into new countries, such as the U.K., Germany, Austria, Finland and Norway. TheFork’s online restaurant booking platform, including Bookatable, had approximately 79,000 total bookable restaurants as of June 30, 2020.</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Other is a combination of our Rentals, Flights &amp; Car, Cruises, and Tripadvisor China business units and is not considered a reportable segment. Profits and revenues have declined in the most recent period primarily due to the COVID-19 pandemic, similar to our other business units. We continue to operate these offerings opportunistically as they complement our overall strategic objectives to deliver more value to consumers and travel partners.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During the six months ended June 30, 2020, as discussed above, the Company enacted workforce reductions and furloughs in response to the COVID-19 pandemic. As of June 30, 2020, we had 2,926 employees, which includes furloughed employees and employees that are currently the subject of country-specific consultation processes. Nearly 40% of our current employees are based in the U.S. We believe we have good relationships with our employees, including relationships with employees represented by international works councils or other similar organizations.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Consumers’ travel expenditures have historically followed a seasonal pattern. Correspondingly, travel partners’ advertising investments, and therefore our revenue and profits, have also historically followed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Significant shifts in our business mix or adverse economic conditions could result in future seasonal patterns that are different from historical trends.</w:t>
      </w:r>
    </w:p>
    <w:p>
      <w:pPr>
        <w:spacing w:after="0" w:line="68"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addition, due to the impact of COVID-19 to our business, we did not experience our typical seasonal pattern for revenue and profit during the three months ended June 30, 2020. In addition, cash outflows to travel suppliers related to deferred merchant payables significantly exceeded cash received from travelers during the first six months of 2020, reflecting the decline in consumer demand for our products and cancellations of reservations related to COVID-19, contributing significantly to unfavorable working capital trends and material negative operating cash flow during the six months ended June 30, 2020. It is difficult to forecast the seasonality for the upcoming quarters, given the uncertainty related to the extent and duration of the impact from COVID-19 and the shape and timing of a recovery.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95"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62" w:lineRule="exact"/>
        <w:rPr>
          <w:sz w:val="20"/>
          <w:szCs w:val="20"/>
          <w:color w:val="auto"/>
        </w:rPr>
      </w:pPr>
    </w:p>
    <w:p>
      <w:pPr>
        <w:ind w:left="740" w:right="300" w:hanging="368"/>
        <w:spacing w:after="0" w:line="258"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and/or</w:t>
      </w:r>
    </w:p>
    <w:p>
      <w:pPr>
        <w:spacing w:after="0" w:line="1" w:lineRule="exact"/>
        <w:rPr>
          <w:rFonts w:ascii="Arial" w:cs="Arial" w:eastAsia="Arial" w:hAnsi="Arial"/>
          <w:sz w:val="18"/>
          <w:szCs w:val="18"/>
          <w:color w:val="auto"/>
        </w:rPr>
      </w:pPr>
    </w:p>
    <w:p>
      <w:pPr>
        <w:ind w:left="740" w:right="20" w:hanging="368"/>
        <w:spacing w:after="0" w:line="260"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85"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2019.</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Recoverability of Goodwill</w:t>
      </w:r>
    </w:p>
    <w:p>
      <w:pPr>
        <w:spacing w:after="0" w:line="225"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as of the acquisition date.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 We evaluate our reporting units when changes in our operating structure occur, and if necessary, reassign goodwill using a relative fair value allocation approach.</w:t>
      </w:r>
    </w:p>
    <w:p>
      <w:pPr>
        <w:spacing w:after="0" w:line="178"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 xml:space="preserve">The Company conducted a thorough evaluation of relevant events and circumstances that would materially impact the fair value of each of our reporting units as of June 30, 2020. In addition, the Company considered changes in the composition of its reporting units related to internal restructuring efforts in the second quarter of 2020, which resulted in the Company performing quantitative assessments on any new reporting units. We concluded the estimated fair values were in excess of the carrying values for each new reporting unit. In addition, we performed qualitative assessments on our historical reporting units, which included performing targeted sensitivity analyses on previous quantitative assessments, which included applying hypothetical rate increases to the weighted-average cost of capital used in our income approach analyses given the current COVID-19 environment, and the estimated fair values remained in excess of the carrying values. As part of this evaluation, it was noted that as of June 30, 2020 the Company’s market capitalization remained in excess of its book value. The Company also observed our most recently completed goodwill impairment analyses indicated significant excess fair values over carrying values across the different reporting units. Based on such evaluation, we do not believe it is more likely than not that the fair value of our reporting units are below their respective carrying values as of June 30, 2020. However, we believe the passage of time will provide new information regarding the expected duration and severity of impacts of COVID-19 on the economy as a whole and to our business. The Company’s forecasting process in a COVID-19 environment continues to result in unprecedented challenges, given we are unable to predict the expected duration and severity of impacts of COVID-19 on our business. Accordingly, we believe all of our reporting units are at an elevated risk for impairment in future periods. A prolonged decline in the outlook for future revenue and cash flows or other factors, related to COVID-19 or other events, could result in a determination that a non-cash impairment adjustment is required, which could be material. The Company will continue to monitor events and circumstances that may affect the fair value or carrying value of our reporting units. Refer to “Note 7: </w:t>
      </w:r>
      <w:r>
        <w:rPr>
          <w:rFonts w:ascii="Arial" w:cs="Arial" w:eastAsia="Arial" w:hAnsi="Arial"/>
          <w:sz w:val="16"/>
          <w:szCs w:val="16"/>
          <w:i w:val="1"/>
          <w:iCs w:val="1"/>
          <w:color w:val="auto"/>
        </w:rPr>
        <w:t>Goodwill”</w:t>
      </w:r>
      <w:r>
        <w:rPr>
          <w:rFonts w:ascii="Arial" w:cs="Arial" w:eastAsia="Arial" w:hAnsi="Arial"/>
          <w:sz w:val="16"/>
          <w:szCs w:val="16"/>
          <w:color w:val="auto"/>
        </w:rPr>
        <w:t xml:space="preserve"> in the notes to our unaudited condensed consolidated financial statements in Item 1 in this Quarterly Report on Form 10-Q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New Accounting Pronouncements</w:t>
      </w:r>
    </w:p>
    <w:p>
      <w:pPr>
        <w:spacing w:after="0" w:line="229"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our unaudited condensed consolidated financial statements in Item 1 in this Quarterly Report on Form 10-Q for an overview of new accounting pronouncements that we have adopted in 2020 or that we plan to adopt that have had or may have an impact on our unaudited condensed consolidated financial statements. Notably, in the first quarter of 2020, we adopted the new credit losses guidance, or ASC 326, using the modified retrospective approach and applied the guidance retrospectively at the effective date of January 1, 2020, through a cumulative-effect adjustment to retained-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36" w:name="page37"/>
    <w:bookmarkEnd w:id="36"/>
    <w:p>
      <w:pPr>
        <w:jc w:val="both"/>
        <w:ind w:right="200"/>
        <w:spacing w:after="0" w:line="277" w:lineRule="auto"/>
        <w:rPr>
          <w:sz w:val="20"/>
          <w:szCs w:val="20"/>
          <w:color w:val="auto"/>
        </w:rPr>
      </w:pPr>
      <w:r>
        <w:rPr>
          <w:rFonts w:ascii="Arial" w:cs="Arial" w:eastAsia="Arial" w:hAnsi="Arial"/>
          <w:sz w:val="18"/>
          <w:szCs w:val="18"/>
          <w:color w:val="auto"/>
        </w:rPr>
        <w:t>earnings on our consolidated balance sheet. Under this transition method, we did not update the financial information or provide any disclosures required under the new guidance for dates and periods prior to January 1, 2020.</w:t>
      </w:r>
    </w:p>
    <w:p>
      <w:pPr>
        <w:spacing w:after="0" w:line="170" w:lineRule="exact"/>
        <w:rPr>
          <w:sz w:val="20"/>
          <w:szCs w:val="20"/>
          <w:color w:val="auto"/>
        </w:rPr>
      </w:pPr>
    </w:p>
    <w:p>
      <w:pPr>
        <w:jc w:val="both"/>
        <w:ind w:right="220" w:firstLine="510"/>
        <w:spacing w:after="0" w:line="286" w:lineRule="auto"/>
        <w:rPr>
          <w:sz w:val="20"/>
          <w:szCs w:val="20"/>
          <w:color w:val="auto"/>
        </w:rPr>
      </w:pPr>
      <w:r>
        <w:rPr>
          <w:rFonts w:ascii="Arial" w:cs="Arial" w:eastAsia="Arial" w:hAnsi="Arial"/>
          <w:sz w:val="17"/>
          <w:szCs w:val="17"/>
          <w:color w:val="auto"/>
        </w:rPr>
        <w:t xml:space="preserve">With the exception of the change for the accounting of credit losses as a result of adopting ASC 326, as described above, there have been no other significant changes to our significant accounting policies since December 31, 2019, as described under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in the notes to consolidated financial statements in Item 8 of our Annual Report on Form 10-K for the year ended December 31, 2019.</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percentages)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4"/>
                <w:szCs w:val="14"/>
                <w:b w:val="1"/>
                <w:bCs w:val="1"/>
                <w:color w:val="auto"/>
                <w:w w:val="91"/>
              </w:rPr>
              <w:t>Three months ended June 30,</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w w:val="93"/>
              </w:rPr>
              <w:t>Six months ended June 30,</w:t>
            </w:r>
          </w:p>
        </w:tc>
        <w:tc>
          <w:tcPr>
            <w:tcW w:w="260" w:type="dxa"/>
            <w:vAlign w:val="bottom"/>
          </w:tcPr>
          <w:p>
            <w:pPr>
              <w:spacing w:after="0"/>
              <w:rPr>
                <w:sz w:val="14"/>
                <w:szCs w:val="14"/>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2020 vs.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1"/>
                <w:szCs w:val="11"/>
                <w:color w:val="auto"/>
              </w:rPr>
            </w:pPr>
          </w:p>
        </w:tc>
        <w:tc>
          <w:tcPr>
            <w:tcW w:w="106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w w:val="89"/>
              </w:rPr>
              <w:t>2020 vs. 2019</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2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6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4300" w:type="dxa"/>
            <w:vAlign w:val="bottom"/>
          </w:tcPr>
          <w:p>
            <w:pPr>
              <w:ind w:left="260"/>
              <w:spacing w:after="0"/>
              <w:rPr>
                <w:sz w:val="20"/>
                <w:szCs w:val="20"/>
                <w:color w:val="auto"/>
              </w:rPr>
            </w:pPr>
            <w:r>
              <w:rPr>
                <w:rFonts w:ascii="Arial" w:cs="Arial" w:eastAsia="Arial" w:hAnsi="Arial"/>
                <w:sz w:val="18"/>
                <w:szCs w:val="18"/>
                <w:color w:val="auto"/>
              </w:rPr>
              <w:t>Technology and content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Restructuring and other related reorganization costs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1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gridSpan w:val="2"/>
          </w:tcPr>
          <w:p>
            <w:pPr>
              <w:jc w:val="right"/>
              <w:ind w:right="190"/>
              <w:spacing w:after="0"/>
              <w:rPr>
                <w:sz w:val="20"/>
                <w:szCs w:val="20"/>
                <w:color w:val="auto"/>
              </w:rPr>
            </w:pPr>
            <w:r>
              <w:rPr>
                <w:rFonts w:ascii="Arial" w:cs="Arial" w:eastAsia="Arial" w:hAnsi="Arial"/>
                <w:sz w:val="18"/>
                <w:szCs w:val="18"/>
                <w:color w:val="auto"/>
              </w:rPr>
              <w:t>n.m.</w:t>
            </w: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CFF0FC"/>
              <w:bottom w:val="single" w:sz="8" w:color="CFF0FC"/>
            </w:tcBorders>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n.m.</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Data:</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Adjusted EBITDA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9"/>
                <w:szCs w:val="19"/>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n.m.</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(34)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Pr>
          <w:p>
            <w:pPr>
              <w:spacing w:after="0"/>
              <w:rPr>
                <w:sz w:val="19"/>
                <w:szCs w:val="19"/>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n.m. = </w:t>
      </w:r>
      <w:r>
        <w:rPr>
          <w:rFonts w:ascii="Arial" w:cs="Arial" w:eastAsia="Arial" w:hAnsi="Arial"/>
          <w:sz w:val="14"/>
          <w:szCs w:val="14"/>
          <w:i w:val="1"/>
          <w:iCs w:val="1"/>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i w:val="1"/>
          <w:iCs w:val="1"/>
          <w:color w:val="auto"/>
        </w:rPr>
        <w:t>See “Adjusted EBITDA” discussion below for more information.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Revenue and Segment Information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62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Three months ended June 30,</w:t>
            </w:r>
          </w:p>
        </w:tc>
        <w:tc>
          <w:tcPr>
            <w:tcW w:w="1360" w:type="dxa"/>
            <w:vAlign w:val="bottom"/>
            <w:gridSpan w:val="3"/>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320" w:type="dxa"/>
            <w:vAlign w:val="bottom"/>
            <w:tcBorders>
              <w:bottom w:val="single" w:sz="8" w:color="CFF0FC"/>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w w:val="98"/>
              </w:rPr>
              <w:t>2020 vs. 2019</w:t>
            </w:r>
          </w:p>
        </w:tc>
        <w:tc>
          <w:tcPr>
            <w:tcW w:w="2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w w:val="98"/>
              </w:rPr>
              <w:t>2020 vs. 2019</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Revenue by Segment:</w:t>
            </w:r>
          </w:p>
        </w:tc>
        <w:tc>
          <w:tcPr>
            <w:tcW w:w="620" w:type="dxa"/>
            <w:vAlign w:val="bottom"/>
            <w:shd w:val="clear" w:color="auto" w:fill="CFF0FC"/>
          </w:tcPr>
          <w:p>
            <w:pPr>
              <w:spacing w:after="0"/>
              <w:rPr>
                <w:sz w:val="19"/>
                <w:szCs w:val="19"/>
                <w:color w:val="auto"/>
              </w:rPr>
            </w:pPr>
          </w:p>
        </w:tc>
        <w:tc>
          <w:tcPr>
            <w:tcW w:w="980" w:type="dxa"/>
            <w:vAlign w:val="bottom"/>
            <w:gridSpan w:val="4"/>
            <w:shd w:val="clear" w:color="auto" w:fill="CFF0FC"/>
          </w:tcPr>
          <w:p>
            <w:pPr>
              <w:jc w:val="right"/>
              <w:spacing w:after="0"/>
              <w:rPr>
                <w:sz w:val="20"/>
                <w:szCs w:val="20"/>
                <w:color w:val="auto"/>
              </w:rPr>
            </w:pPr>
            <w:r>
              <w:rPr>
                <w:rFonts w:ascii="Arial" w:cs="Arial" w:eastAsia="Arial" w:hAnsi="Arial"/>
                <w:sz w:val="14"/>
                <w:szCs w:val="14"/>
                <w:b w:val="1"/>
                <w:bCs w:val="1"/>
                <w:color w:val="auto"/>
              </w:rPr>
              <w:t>(in millions)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80" w:type="dxa"/>
            <w:vAlign w:val="bottom"/>
            <w:gridSpan w:val="3"/>
            <w:shd w:val="clear" w:color="auto" w:fill="CFF0FC"/>
          </w:tcPr>
          <w:p>
            <w:pPr>
              <w:jc w:val="right"/>
              <w:ind w:right="394"/>
              <w:spacing w:after="0"/>
              <w:rPr>
                <w:sz w:val="20"/>
                <w:szCs w:val="20"/>
                <w:color w:val="auto"/>
              </w:rPr>
            </w:pPr>
            <w:r>
              <w:rPr>
                <w:rFonts w:ascii="Arial" w:cs="Arial" w:eastAsia="Arial" w:hAnsi="Arial"/>
                <w:sz w:val="14"/>
                <w:szCs w:val="14"/>
                <w:b w:val="1"/>
                <w:bCs w:val="1"/>
                <w:color w:val="auto"/>
              </w:rPr>
              <w:t>(in millions)</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620" w:type="dxa"/>
            <w:vAlign w:val="bottom"/>
          </w:tcPr>
          <w:p>
            <w:pPr>
              <w:jc w:val="right"/>
              <w:ind w:right="436"/>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w:t>
            </w:r>
          </w:p>
        </w:tc>
        <w:tc>
          <w:tcPr>
            <w:tcW w:w="380" w:type="dxa"/>
            <w:vAlign w:val="bottom"/>
          </w:tcPr>
          <w:p>
            <w:pPr>
              <w:spacing w:after="0"/>
              <w:rPr>
                <w:sz w:val="19"/>
                <w:szCs w:val="19"/>
                <w:color w:val="auto"/>
              </w:rPr>
            </w:pPr>
          </w:p>
        </w:tc>
        <w:tc>
          <w:tcPr>
            <w:tcW w:w="660" w:type="dxa"/>
            <w:vAlign w:val="bottom"/>
          </w:tcPr>
          <w:p>
            <w:pPr>
              <w:jc w:val="right"/>
              <w:ind w:right="474"/>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508</w:t>
            </w:r>
          </w:p>
        </w:tc>
        <w:tc>
          <w:tcPr>
            <w:tcW w:w="3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206</w:t>
            </w:r>
          </w:p>
        </w:tc>
        <w:tc>
          <w:tcPr>
            <w:tcW w:w="3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2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(84)%</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8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620" w:type="dxa"/>
            <w:vAlign w:val="bottom"/>
            <w:tcBorders>
              <w:bottom w:val="single" w:sz="8" w:color="auto"/>
            </w:tcBorders>
            <w:shd w:val="clear" w:color="auto" w:fill="CFF0FC"/>
          </w:tcPr>
          <w:p>
            <w:pPr>
              <w:jc w:val="right"/>
              <w:ind w:right="43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3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3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798</w:t>
            </w:r>
          </w:p>
        </w:tc>
        <w:tc>
          <w:tcPr>
            <w:tcW w:w="3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rPr>
              <w:t>Adjusted EBITDA by Segment:</w:t>
            </w: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Hotels, Media &amp; Platform</w:t>
            </w:r>
          </w:p>
        </w:tc>
        <w:tc>
          <w:tcPr>
            <w:tcW w:w="620" w:type="dxa"/>
            <w:vAlign w:val="bottom"/>
            <w:shd w:val="clear" w:color="auto" w:fill="CFF0FC"/>
          </w:tcPr>
          <w:p>
            <w:pPr>
              <w:jc w:val="right"/>
              <w:ind w:right="436"/>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ind w:left="64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4"/>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212</w:t>
            </w:r>
          </w:p>
        </w:tc>
        <w:tc>
          <w:tcPr>
            <w:tcW w:w="3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8"/>
                <w:szCs w:val="18"/>
                <w:color w:val="auto"/>
              </w:rPr>
              <w:t>Experiences &amp; Dining</w:t>
            </w:r>
          </w:p>
        </w:tc>
        <w:tc>
          <w:tcPr>
            <w:tcW w:w="62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1360" w:type="dxa"/>
            <w:vAlign w:val="bottom"/>
            <w:gridSpan w:val="3"/>
          </w:tcPr>
          <w:p>
            <w:pPr>
              <w:ind w:left="64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9"/>
                <w:szCs w:val="19"/>
                <w:color w:val="auto"/>
              </w:rPr>
            </w:pPr>
          </w:p>
        </w:tc>
        <w:tc>
          <w:tcPr>
            <w:tcW w:w="1120" w:type="dxa"/>
            <w:vAlign w:val="bottom"/>
            <w:gridSpan w:val="2"/>
          </w:tcPr>
          <w:p>
            <w:pPr>
              <w:jc w:val="right"/>
              <w:ind w:right="210"/>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6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ind w:left="64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63"/>
        </w:trPr>
        <w:tc>
          <w:tcPr>
            <w:tcW w:w="3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Adjusted EBITDA</w:t>
            </w:r>
          </w:p>
        </w:tc>
        <w:tc>
          <w:tcPr>
            <w:tcW w:w="6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(74)</w:t>
            </w:r>
          </w:p>
        </w:tc>
        <w:tc>
          <w:tcPr>
            <w:tcW w:w="3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Borders>
              <w:bottom w:val="single" w:sz="8" w:color="CFF0FC"/>
            </w:tcBorders>
          </w:tcPr>
          <w:p>
            <w:pPr>
              <w:spacing w:after="0"/>
              <w:rPr>
                <w:sz w:val="22"/>
                <w:szCs w:val="22"/>
                <w:color w:val="auto"/>
              </w:rPr>
            </w:pPr>
          </w:p>
        </w:tc>
        <w:tc>
          <w:tcPr>
            <w:tcW w:w="1360" w:type="dxa"/>
            <w:vAlign w:val="bottom"/>
            <w:tcBorders>
              <w:bottom w:val="single" w:sz="8" w:color="CFF0FC"/>
            </w:tcBorders>
            <w:gridSpan w:val="3"/>
          </w:tcPr>
          <w:p>
            <w:pPr>
              <w:ind w:left="640"/>
              <w:spacing w:after="0"/>
              <w:rPr>
                <w:sz w:val="20"/>
                <w:szCs w:val="20"/>
                <w:color w:val="auto"/>
              </w:rPr>
            </w:pPr>
            <w:r>
              <w:rPr>
                <w:rFonts w:ascii="Arial" w:cs="Arial" w:eastAsia="Arial" w:hAnsi="Arial"/>
                <w:sz w:val="18"/>
                <w:szCs w:val="18"/>
                <w:color w:val="auto"/>
              </w:rPr>
              <w:t>n.m.</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80" w:type="dxa"/>
            <w:vAlign w:val="bottom"/>
            <w:tcBorders>
              <w:bottom w:val="single" w:sz="8" w:color="CFF0FC"/>
            </w:tcBorders>
          </w:tcPr>
          <w:p>
            <w:pPr>
              <w:jc w:val="right"/>
              <w:ind w:right="2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217</w:t>
            </w:r>
          </w:p>
        </w:tc>
        <w:tc>
          <w:tcPr>
            <w:tcW w:w="380" w:type="dxa"/>
            <w:vAlign w:val="bottom"/>
            <w:tcBorders>
              <w:bottom w:val="single" w:sz="8" w:color="CFF0FC"/>
            </w:tcBorders>
          </w:tcPr>
          <w:p>
            <w:pPr>
              <w:spacing w:after="0"/>
              <w:rPr>
                <w:sz w:val="22"/>
                <w:szCs w:val="22"/>
                <w:color w:val="auto"/>
              </w:rPr>
            </w:pPr>
          </w:p>
        </w:tc>
        <w:tc>
          <w:tcPr>
            <w:tcW w:w="124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EBITDA Margin by Segment </w:t>
            </w:r>
            <w:r>
              <w:rPr>
                <w:rFonts w:ascii="Arial" w:cs="Arial" w:eastAsia="Arial" w:hAnsi="Arial"/>
                <w:sz w:val="14"/>
                <w:szCs w:val="14"/>
                <w:color w:val="auto"/>
              </w:rPr>
              <w:t>(2)</w:t>
            </w:r>
            <w:r>
              <w:rPr>
                <w:rFonts w:ascii="Arial" w:cs="Arial" w:eastAsia="Arial" w:hAnsi="Arial"/>
                <w:sz w:val="18"/>
                <w:szCs w:val="18"/>
                <w:color w:val="auto"/>
              </w:rPr>
              <w:t>:</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62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6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2"/>
              </w:rPr>
              <w:t>(271)%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(59)%</w:t>
            </w:r>
          </w:p>
        </w:tc>
        <w:tc>
          <w:tcPr>
            <w:tcW w:w="6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62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xml:space="preserve">n.m. = </w:t>
      </w:r>
      <w:r>
        <w:rPr>
          <w:rFonts w:ascii="Arial" w:cs="Arial" w:eastAsia="Arial" w:hAnsi="Arial"/>
          <w:sz w:val="18"/>
          <w:szCs w:val="18"/>
          <w:i w:val="1"/>
          <w:iCs w:val="1"/>
          <w:color w:val="auto"/>
        </w:rPr>
        <w:t>not meaningful</w:t>
      </w:r>
    </w:p>
    <w:p>
      <w:pPr>
        <w:spacing w:after="0" w:line="225" w:lineRule="exact"/>
        <w:rPr>
          <w:sz w:val="20"/>
          <w:szCs w:val="20"/>
          <w:color w:val="auto"/>
        </w:rPr>
      </w:pPr>
    </w:p>
    <w:p>
      <w:pPr>
        <w:ind w:left="820" w:hanging="367"/>
        <w:spacing w:after="0"/>
        <w:tabs>
          <w:tab w:leader="none" w:pos="8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Other consists of our Rentals, Flights &amp; Car, Cruises, and Tripadvisor China business units and does not constitute a reportable segment.</w:t>
      </w:r>
    </w:p>
    <w:p>
      <w:pPr>
        <w:spacing w:after="0" w:line="1" w:lineRule="exact"/>
        <w:rPr>
          <w:rFonts w:ascii="Arial" w:cs="Arial" w:eastAsia="Arial" w:hAnsi="Arial"/>
          <w:sz w:val="15"/>
          <w:szCs w:val="15"/>
          <w:color w:val="auto"/>
        </w:rPr>
      </w:pPr>
    </w:p>
    <w:p>
      <w:pPr>
        <w:ind w:left="820" w:hanging="367"/>
        <w:spacing w:after="0"/>
        <w:tabs>
          <w:tab w:leader="none" w:pos="8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define “Adjusted EBITDA Margin by Segment” as Adjusted EBITDA by segment divided by revenue by segment.</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117"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Hotels, Media &amp; Platform segment revenue decreased by $216 million and $301 million during the three and six months ended June 30, 2020, respectively, when compared to the same periods in 2019, primarily due to a decrease in our hotel auction revenue driven by the COVID-19 pandemic as discussed above, and to a lesser extent reduced revenue generated through our SEO marketing channel, particularly in the month of January and most of February 2020 (or pre-COVID-19 timeframe), which we believe was impacted by search engines (primarily Google) increasing the prominence of their own hotel products in search results.</w:t>
      </w:r>
    </w:p>
    <w:p>
      <w:pPr>
        <w:spacing w:after="0" w:line="147"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Hotels, Media &amp; Platform segment Adjusted EBITDA decreased $141 million and $192 million during the three and six months ended June 30, 2020, respectively, when compared to the same periods in 2019, primarily due to a decrease in revenue, as noted above, partially offset by reduced television advertising costs, as well as direct selling and marketing expenses related to SEM and other online paid traffic acquisition costs in response to a decline in consumer demand related to COVID-19, and to a lesser extent, a reduction in headcount as a result of workforce reductions.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detailed discussion of the revenue sources within our Hotels, Media &amp; Platform segment: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tcBorders>
              <w:bottom w:val="single" w:sz="8" w:color="auto"/>
            </w:tcBorders>
            <w:gridSpan w:val="5"/>
          </w:tcPr>
          <w:p>
            <w:pPr>
              <w:jc w:val="right"/>
              <w:ind w:right="155"/>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w w:val="95"/>
              </w:rPr>
              <w:t>Six months ended June 30,</w:t>
            </w:r>
          </w:p>
        </w:tc>
        <w:tc>
          <w:tcPr>
            <w:tcW w:w="24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r>
      <w:tr>
        <w:trPr>
          <w:trHeight w:val="155"/>
        </w:trPr>
        <w:tc>
          <w:tcPr>
            <w:tcW w:w="2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2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3"/>
              </w:rPr>
              <w:t>2020 vs. 2019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18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3"/>
              </w:rPr>
              <w:t>2020 vs. 2019</w:t>
            </w:r>
          </w:p>
        </w:tc>
      </w:tr>
      <w:tr>
        <w:trPr>
          <w:trHeight w:val="155"/>
        </w:trPr>
        <w:tc>
          <w:tcPr>
            <w:tcW w:w="2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9"/>
              </w:rPr>
              <w:t>(in millions)</w:t>
            </w: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2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Hotels, Media &amp; Platform:</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Tripadvisor-branded hotels</w:t>
            </w:r>
          </w:p>
        </w:tc>
        <w:tc>
          <w:tcPr>
            <w:tcW w:w="96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(85%)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427</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r>
      <w:tr>
        <w:trPr>
          <w:trHeight w:val="215"/>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Tripadvisor-branded display</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and platform</w:t>
            </w:r>
          </w:p>
        </w:tc>
        <w:tc>
          <w:tcPr>
            <w:tcW w:w="240" w:type="dxa"/>
            <w:vAlign w:val="bottom"/>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4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r>
      <w:tr>
        <w:trPr>
          <w:trHeight w:val="209"/>
        </w:trPr>
        <w:tc>
          <w:tcPr>
            <w:tcW w:w="2300" w:type="dxa"/>
            <w:vAlign w:val="bottom"/>
          </w:tcPr>
          <w:p>
            <w:pPr>
              <w:ind w:left="240"/>
              <w:spacing w:after="0"/>
              <w:rPr>
                <w:sz w:val="20"/>
                <w:szCs w:val="20"/>
                <w:color w:val="auto"/>
              </w:rPr>
            </w:pPr>
            <w:r>
              <w:rPr>
                <w:rFonts w:ascii="Arial" w:cs="Arial" w:eastAsia="Arial" w:hAnsi="Arial"/>
                <w:sz w:val="18"/>
                <w:szCs w:val="18"/>
                <w:color w:val="auto"/>
              </w:rPr>
              <w:t>Total Hotels, Media &amp;</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2300" w:type="dxa"/>
            <w:vAlign w:val="bottom"/>
          </w:tcPr>
          <w:p>
            <w:pPr>
              <w:ind w:left="240"/>
              <w:spacing w:after="0"/>
              <w:rPr>
                <w:sz w:val="20"/>
                <w:szCs w:val="20"/>
                <w:color w:val="auto"/>
              </w:rPr>
            </w:pPr>
            <w:r>
              <w:rPr>
                <w:rFonts w:ascii="Arial" w:cs="Arial" w:eastAsia="Arial" w:hAnsi="Arial"/>
                <w:sz w:val="18"/>
                <w:szCs w:val="18"/>
                <w:color w:val="auto"/>
              </w:rPr>
              <w:t>Platform revenue</w:t>
            </w:r>
          </w:p>
        </w:tc>
        <w:tc>
          <w:tcPr>
            <w:tcW w:w="96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254</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(85%)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508</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r>
      <w:tr>
        <w:trPr>
          <w:trHeight w:val="20"/>
        </w:trPr>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Hotels Revenue</w:t>
      </w:r>
    </w:p>
    <w:p>
      <w:pPr>
        <w:spacing w:after="0" w:line="11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Tripadvisor-branded hotels revenue primarily includes hotel auction revenue, and to a lesser extent hotel B2B revenue, which includes click-based revenue generated from hotel sponsored placements advertising that enable hotels to enhance their visibility on Tripadvisor hotel pages, and subscription-based advertising services that we offer to travel partners. For the three and six months ended June 30, 2020, 82% and 81%, respectively, of our total Hotels, Media &amp; Platform segment revenue was derived from Tripadvisor-branded hotels revenue. For the three and six months ended June 30, 2019, 83% and 84%, respectively, of our total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line="293" w:lineRule="auto"/>
        <w:rPr>
          <w:sz w:val="20"/>
          <w:szCs w:val="20"/>
          <w:color w:val="auto"/>
        </w:rPr>
      </w:pPr>
      <w:r>
        <w:rPr>
          <w:rFonts w:ascii="Arial" w:cs="Arial" w:eastAsia="Arial" w:hAnsi="Arial"/>
          <w:sz w:val="16"/>
          <w:szCs w:val="16"/>
          <w:color w:val="auto"/>
        </w:rPr>
        <w:t>Hotels, Media &amp; Platform segment revenue was derived from Tripadvisor-branded hotels revenue. Tripadvisor-branded hotels revenue decreased $180 million and $259 million during the three and six months ended June 30, 2020, when compared to the same periods in 2019. This decrease was primarily driven by reduced consumer demand as a result of the proliferation of COVID-19, and subsequent widespread travel restrictions and service limitations on travel and supply partners imposed by local and federal governments in response to the COVID-19 pandemic. In addition, particularly in the month of January and most of February 2020 (pre-COVID-19 timeframe), we experienced reduced revenue generated through our SEO marketing channel, which we believe is impacted by search engines (primarily Google) increasing the prominence of their own hotel products in search results.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Display and Platform Revenue</w:t>
      </w:r>
    </w:p>
    <w:p>
      <w:pPr>
        <w:spacing w:after="0" w:line="117"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For the three and six months ended June 30, 2020, 18% and 19%, respectively, of Hotels, Media &amp; Platform segment revenue was derived from our Tripadvisor-branded display and platform revenue, which consists of revenue from display-based advertising across our websites.</w:t>
      </w:r>
    </w:p>
    <w:p>
      <w:pPr>
        <w:spacing w:after="0" w:line="146"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Tripadvisor-branded display-based advertising revenue decreased by $36 million and $42 million during the three and six months ended June 30, 2020, when compared to the same periods in 2019, primarily driven by a decrease in marketing spend from our advertisers due to lack of consumer demand resulting from the impact of the COVID-19 pandemic.</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25"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Experiences &amp; Dining segment revenue decreased by $111 million and $109 million during the three and six months ended June 30, 2020, when compared to the same periods in 2019. Revenue growth in this segment was negatively impacted by a significant reduction in consumer demand as a result of the proliferation of COVID-19; concurrent with many jurisdictions globally adopting laws, rules, regulations or decrees intended to address COVID-19, including implementing various travel restrictions, “shelter in place” or “social distancing” mandates, or restricting access to city centers or popular tourist destinations, restaurants and limiting access to experience offerings in surrounding areas. However, restaurants across many European markets saw restrictions ease during the second quarter of 2020, which was met with an increase in consumer demand. By the end of June 2020, restaurant reservations in theFork approached volume levels to approximately 50% of that in January and most of February 2020 (or pre-COVID-19 timeframe). In addition, this segment’s revenue did benefit from incremental revenue year-over-year of approximately $7 million and $18 million, respectively, during the three and six months ended June 30, 2020 related to our December 2019 acquisitions of Bookatable and SinglePlatform.</w:t>
      </w:r>
    </w:p>
    <w:p>
      <w:pPr>
        <w:spacing w:after="0" w:line="126" w:lineRule="exact"/>
        <w:rPr>
          <w:sz w:val="20"/>
          <w:szCs w:val="20"/>
          <w:color w:val="auto"/>
        </w:rPr>
      </w:pPr>
    </w:p>
    <w:p>
      <w:pPr>
        <w:ind w:right="260" w:firstLine="510"/>
        <w:spacing w:after="0" w:line="296" w:lineRule="auto"/>
        <w:rPr>
          <w:sz w:val="20"/>
          <w:szCs w:val="20"/>
          <w:color w:val="auto"/>
        </w:rPr>
      </w:pPr>
      <w:r>
        <w:rPr>
          <w:rFonts w:ascii="Arial" w:cs="Arial" w:eastAsia="Arial" w:hAnsi="Arial"/>
          <w:sz w:val="16"/>
          <w:szCs w:val="16"/>
          <w:color w:val="auto"/>
        </w:rPr>
        <w:t>Experiences &amp; Dining segment Adjusted EBITDA decreased $45 million and $40 million during the three and six months ended June 30, 2020, when compared to the same periods in 2019, primarily due to a decrease in revenue, as noted above, partially offset by reduced selling and marketing expenses related to SEM and other online paid traffic acquisition costs in response to reduced consumer demand and lack of availability of dine-in restaurants, experiences and tours, as a result of COVID-19, and to a lesser extent, decreased direct costs from credit card payment and other transaction costs due to the reduced revenue as a result of COVID-19 and a reduction in headcount as a result of workforce reductions.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w:t>
      </w:r>
    </w:p>
    <w:p>
      <w:pPr>
        <w:spacing w:after="0" w:line="18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Other revenue, which primarily includes click-based advertising and display-based advertising revenue from our Rentals, Flights, Cars, and Cruises offerings on Tripadvisor websites and Tripadvisor China, decreased by $36 million and $51 million during the three and six months ended June 30, 2020, when compared to the same periods in 2019, primarily due to decreased consumer demand, similar to our other businesses, as a result of the proliferation of COVID-19, and subsequent widespread global travel restrictions and service limitations on travel and supply partners imposed by local and federal governments, and reduced travel partner spend in response to COVID-19.</w:t>
      </w:r>
    </w:p>
    <w:p>
      <w:pPr>
        <w:spacing w:after="0" w:line="188"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Adjusted EBITDA in Other decreased $16 million and $19 million during the three and six months ended June 30, 2020, when compared to the same periods in 2019, primarily due to a decrease in revenue, as described above, partially offset by reduced selling and marketing expenses related to SEM and other online paid traffic acquisition costs in response to a decline in consumer demand related to COVID-19, and a reduction in headcount as a result of workforce reductions.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Consolidated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t>salaries, benefits, stock-based compensation and bonuses for certain customer support personnel who are directly involved in revenue generation.</w:t>
      </w:r>
    </w:p>
    <w:p>
      <w:pPr>
        <w:spacing w:after="0" w:line="200" w:lineRule="exact"/>
        <w:rPr>
          <w:sz w:val="20"/>
          <w:szCs w:val="20"/>
          <w:color w:val="auto"/>
        </w:rPr>
      </w:pP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c>
          <w:tcPr>
            <w:tcW w:w="2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3"/>
              </w:rPr>
              <w:t>2020 vs. 2019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3"/>
              </w:rPr>
              <w:t>2020 vs. 2019</w:t>
            </w:r>
          </w:p>
        </w:tc>
        <w:tc>
          <w:tcPr>
            <w:tcW w:w="0" w:type="dxa"/>
            <w:vAlign w:val="bottom"/>
          </w:tcPr>
          <w:p>
            <w:pPr>
              <w:spacing w:after="0"/>
              <w:rPr>
                <w:sz w:val="1"/>
                <w:szCs w:val="1"/>
                <w:color w:val="auto"/>
              </w:rPr>
            </w:pPr>
          </w:p>
        </w:tc>
      </w:tr>
      <w:tr>
        <w:trPr>
          <w:trHeight w:val="156"/>
        </w:trPr>
        <w:tc>
          <w:tcPr>
            <w:tcW w:w="2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4"/>
          </w:tcPr>
          <w:p>
            <w:pPr>
              <w:jc w:val="right"/>
              <w:ind w:right="467"/>
              <w:spacing w:after="0" w:line="155" w:lineRule="exact"/>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4"/>
          </w:tcPr>
          <w:p>
            <w:pPr>
              <w:jc w:val="right"/>
              <w:ind w:right="410"/>
              <w:spacing w:after="0" w:line="155" w:lineRule="exact"/>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980" w:type="dxa"/>
            <w:vAlign w:val="bottom"/>
            <w:gridSpan w:val="2"/>
            <w:shd w:val="clear" w:color="auto" w:fill="CFF0FC"/>
          </w:tcPr>
          <w:p>
            <w:pPr>
              <w:jc w:val="right"/>
              <w:ind w:right="48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587"/>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2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3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1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8"/>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27</w:t>
            </w:r>
          </w:p>
        </w:tc>
        <w:tc>
          <w:tcPr>
            <w:tcW w:w="3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10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1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16.9%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6.4%</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Cost of revenue decreased $17 million and $19 million during the three and six months ended June 30, 2020, when compared to the same periods in 2019, primarily due to decreased direct costs from credit card payment and other transaction costs in our Experiences &amp; Dining segment in correlation with the reduction in revenue related to COVID-19.</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Selling and marketing expenses primarily consist of direct costs, including traffic generation costs from SEM and other online traffic acquisition costs, syndication costs and affiliate program commissions, social media costs, brand advertising (including television and other offline advertising), promotions and public relations. In addition, our sales and marketing expenses consist of indirect costs such as personnel and overhead expenses, including salaries, commissions, benefits, stock-based compensation, and bonuses for sales, sales support, customer support and marketing employees.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26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 June 30,</w:t>
            </w: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Six months ended June 30,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42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130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w w:val="93"/>
              </w:rPr>
              <w:t>2020 vs. 2019</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3"/>
              </w:rPr>
              <w:t>2020 vs. 2019</w:t>
            </w:r>
          </w:p>
        </w:tc>
        <w:tc>
          <w:tcPr>
            <w:tcW w:w="0" w:type="dxa"/>
            <w:vAlign w:val="bottom"/>
          </w:tcPr>
          <w:p>
            <w:pPr>
              <w:spacing w:after="0"/>
              <w:rPr>
                <w:sz w:val="1"/>
                <w:szCs w:val="1"/>
                <w:color w:val="auto"/>
              </w:rPr>
            </w:pPr>
          </w:p>
        </w:tc>
      </w:tr>
      <w:tr>
        <w:trPr>
          <w:trHeight w:val="156"/>
        </w:trPr>
        <w:tc>
          <w:tcPr>
            <w:tcW w:w="242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4"/>
          </w:tcPr>
          <w:p>
            <w:pPr>
              <w:jc w:val="right"/>
              <w:ind w:right="350"/>
              <w:spacing w:after="0" w:line="155" w:lineRule="exact"/>
              <w:rPr>
                <w:sz w:val="20"/>
                <w:szCs w:val="20"/>
                <w:color w:val="auto"/>
              </w:rPr>
            </w:pPr>
            <w:r>
              <w:rPr>
                <w:rFonts w:ascii="Arial" w:cs="Arial" w:eastAsia="Arial" w:hAnsi="Arial"/>
                <w:sz w:val="14"/>
                <w:szCs w:val="14"/>
                <w:b w:val="1"/>
                <w:bCs w:val="1"/>
                <w:color w:val="auto"/>
              </w:rPr>
              <w:t>(in millions)</w:t>
            </w:r>
          </w:p>
        </w:tc>
        <w:tc>
          <w:tcPr>
            <w:tcW w:w="3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640" w:type="dxa"/>
            <w:vAlign w:val="bottom"/>
            <w:shd w:val="clear" w:color="auto" w:fill="CFF0FC"/>
          </w:tcPr>
          <w:p>
            <w:pPr>
              <w:jc w:val="right"/>
              <w:ind w:right="45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240</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2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6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117</w:t>
            </w:r>
          </w:p>
        </w:tc>
        <w:tc>
          <w:tcPr>
            <w:tcW w:w="32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9"/>
        </w:trPr>
        <w:tc>
          <w:tcPr>
            <w:tcW w:w="2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selling and</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marketing</w:t>
            </w:r>
          </w:p>
        </w:tc>
        <w:tc>
          <w:tcPr>
            <w:tcW w:w="640" w:type="dxa"/>
            <w:vAlign w:val="bottom"/>
            <w:tcBorders>
              <w:bottom w:val="single" w:sz="8" w:color="auto"/>
            </w:tcBorders>
            <w:shd w:val="clear" w:color="auto" w:fill="CFF0FC"/>
          </w:tcPr>
          <w:p>
            <w:pPr>
              <w:jc w:val="right"/>
              <w:ind w:right="45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32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357</w:t>
            </w:r>
          </w:p>
        </w:tc>
        <w:tc>
          <w:tcPr>
            <w:tcW w:w="3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42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4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91.5%</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42.7%</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44.7%</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Direct selling and marketing costs decreased $111 million and $167 million during the three and six months ended June 30, 2020, when compared to the same periods in 2019, primarily due to a decrease in SEM and other online traffic acquisition costs across all our segments and businesses, and television advertising costs driven by our Hotels, Media &amp; Platform segment, as a cost reduction measure in response to the financial impact to the Company and decline in consumer demand caused by the COVID-19 pandemic.</w:t>
      </w:r>
    </w:p>
    <w:p>
      <w:pPr>
        <w:spacing w:after="0" w:line="18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Personnel and overhead costs decreased $15 million and $11 million during the three and six months ended June 30, 2020, when compared to the same periods in 2019, primarily due to decreased personnel and overhead costs across all of our business, as a result of a reduction in headcount related to our cost-reduction measures in response to COVID-19, partially offset by an increase in personnel costs in our Experiences &amp; Dining segment related to additional headcount from our business acquisitions in December 2019.</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25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websites and mobile apps. Other costs include licensing, maintenance expense, computer supplies, telecom costs, content translation and localization costs, and consulting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3"/>
              </w:rPr>
              <w:t>2020 vs. 2019</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3"/>
              </w:rPr>
              <w:t>2020 vs. 2019</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(in millions)</w:t>
            </w: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4"/>
          </w:tcPr>
          <w:p>
            <w:pPr>
              <w:jc w:val="right"/>
              <w:ind w:right="440"/>
              <w:spacing w:after="0" w:line="155" w:lineRule="exact"/>
              <w:rPr>
                <w:sz w:val="20"/>
                <w:szCs w:val="20"/>
                <w:color w:val="auto"/>
              </w:rPr>
            </w:pPr>
            <w:r>
              <w:rPr>
                <w:rFonts w:ascii="Arial" w:cs="Arial" w:eastAsia="Arial" w:hAnsi="Arial"/>
                <w:sz w:val="14"/>
                <w:szCs w:val="14"/>
                <w:b w:val="1"/>
                <w:bCs w:val="1"/>
                <w:color w:val="auto"/>
              </w:rPr>
              <w:t>(in millions)</w:t>
            </w:r>
          </w:p>
        </w:tc>
        <w:tc>
          <w:tcPr>
            <w:tcW w:w="3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980" w:type="dxa"/>
            <w:vAlign w:val="bottom"/>
            <w:gridSpan w:val="2"/>
            <w:shd w:val="clear" w:color="auto" w:fill="CFF0FC"/>
          </w:tcPr>
          <w:p>
            <w:pPr>
              <w:jc w:val="right"/>
              <w:ind w:right="48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(32%)</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131</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gridSpan w:val="3"/>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2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technology and</w:t>
            </w: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content</w:t>
            </w:r>
          </w:p>
        </w:tc>
        <w:tc>
          <w:tcPr>
            <w:tcW w:w="980" w:type="dxa"/>
            <w:vAlign w:val="bottom"/>
            <w:gridSpan w:val="2"/>
            <w:shd w:val="clear" w:color="auto" w:fill="CFF0FC"/>
          </w:tcPr>
          <w:p>
            <w:pPr>
              <w:jc w:val="right"/>
              <w:ind w:right="48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FF0FC"/>
          </w:tcPr>
          <w:p>
            <w:pPr>
              <w:spacing w:after="0"/>
              <w:rPr>
                <w:sz w:val="20"/>
                <w:szCs w:val="20"/>
                <w:color w:val="auto"/>
              </w:rPr>
            </w:pPr>
          </w:p>
        </w:tc>
        <w:tc>
          <w:tcPr>
            <w:tcW w:w="13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148</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10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 of revenue</w:t>
            </w:r>
          </w:p>
        </w:tc>
        <w:tc>
          <w:tcPr>
            <w:tcW w:w="3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86.4%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18.5%</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748"/>
              <w:spacing w:after="0"/>
              <w:rPr>
                <w:sz w:val="20"/>
                <w:szCs w:val="20"/>
                <w:color w:val="auto"/>
              </w:rPr>
            </w:pPr>
            <w:r>
              <w:rPr>
                <w:rFonts w:ascii="Arial" w:cs="Arial" w:eastAsia="Arial" w:hAnsi="Arial"/>
                <w:sz w:val="18"/>
                <w:szCs w:val="18"/>
                <w:color w:val="auto"/>
                <w:w w:val="99"/>
              </w:rPr>
              <w:t>40</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ind w:right="60" w:firstLine="510"/>
        <w:spacing w:after="0" w:line="263" w:lineRule="auto"/>
        <w:rPr>
          <w:sz w:val="20"/>
          <w:szCs w:val="20"/>
          <w:color w:val="auto"/>
        </w:rPr>
      </w:pPr>
      <w:r>
        <w:rPr>
          <w:rFonts w:ascii="Arial" w:cs="Arial" w:eastAsia="Arial" w:hAnsi="Arial"/>
          <w:sz w:val="18"/>
          <w:szCs w:val="18"/>
          <w:color w:val="auto"/>
        </w:rPr>
        <w:t>Technology and content costs decreased $23 million and $28 million during the three and six months ended June 30, 2020, when compared to the same periods in 2019, primarily due to decreased personnel and overhead costs across all our business as a result of a reduction in headcount related to our cost-reduction measures in response to COVID-19.</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 June 30,</w:t>
            </w: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Six months ended June 30,</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3"/>
                <w:szCs w:val="13"/>
                <w:color w:val="auto"/>
              </w:rPr>
            </w:pPr>
          </w:p>
        </w:tc>
        <w:tc>
          <w:tcPr>
            <w:tcW w:w="130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w w:val="93"/>
              </w:rPr>
              <w:t>2020 vs. 2019</w:t>
            </w: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3"/>
              </w:rPr>
              <w:t>2020 vs. 2019</w:t>
            </w: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right"/>
              <w:ind w:right="387"/>
              <w:spacing w:after="0" w:line="155" w:lineRule="exact"/>
              <w:rPr>
                <w:sz w:val="20"/>
                <w:szCs w:val="20"/>
                <w:color w:val="auto"/>
              </w:rPr>
            </w:pPr>
            <w:r>
              <w:rPr>
                <w:rFonts w:ascii="Arial" w:cs="Arial" w:eastAsia="Arial" w:hAnsi="Arial"/>
                <w:sz w:val="14"/>
                <w:szCs w:val="14"/>
                <w:b w:val="1"/>
                <w:bCs w:val="1"/>
                <w:color w:val="auto"/>
              </w:rPr>
              <w:t>(in millions)</w:t>
            </w:r>
          </w:p>
        </w:tc>
        <w:tc>
          <w:tcPr>
            <w:tcW w:w="3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820" w:type="dxa"/>
            <w:vAlign w:val="bottom"/>
            <w:gridSpan w:val="2"/>
            <w:shd w:val="clear" w:color="auto" w:fill="CFF0FC"/>
          </w:tcPr>
          <w:p>
            <w:pPr>
              <w:jc w:val="right"/>
              <w:ind w:right="462"/>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2280" w:type="dxa"/>
            <w:vAlign w:val="bottom"/>
          </w:tcPr>
          <w:p>
            <w:pPr>
              <w:spacing w:after="0"/>
              <w:rPr>
                <w:sz w:val="20"/>
                <w:szCs w:val="20"/>
                <w:color w:val="auto"/>
              </w:rPr>
            </w:pPr>
            <w:r>
              <w:rPr>
                <w:rFonts w:ascii="Arial" w:cs="Arial" w:eastAsia="Arial" w:hAnsi="Arial"/>
                <w:sz w:val="18"/>
                <w:szCs w:val="18"/>
                <w:color w:val="auto"/>
                <w:w w:val="96"/>
              </w:rPr>
              <w:t>Professional service fees and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FF0FC"/>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20" w:type="dxa"/>
            <w:vAlign w:val="bottom"/>
            <w:tcBorders>
              <w:bottom w:val="single" w:sz="8" w:color="CFF0FC"/>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CFF0FC"/>
            </w:tcBorders>
          </w:tcPr>
          <w:p>
            <w:pPr>
              <w:spacing w:after="0"/>
              <w:rPr>
                <w:sz w:val="20"/>
                <w:szCs w:val="20"/>
                <w:color w:val="auto"/>
              </w:rPr>
            </w:pPr>
          </w:p>
        </w:tc>
        <w:tc>
          <w:tcPr>
            <w:tcW w:w="11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9"/>
        </w:trPr>
        <w:tc>
          <w:tcPr>
            <w:tcW w:w="2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general and</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462"/>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3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28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72.9%</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6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11.0%</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General and administrative costs decreased $2 million during the three months ended June 30, 2020 and increased $6 million during the six months ended June 30, 2020, when compared to the same periods in 2019. Personnel and overhead costs decreased $8 million and $7 million during the three and six months ended June 30, 2020, when compared to the same periods in 2019, primarily due to decreased personnel and overhead costs across all our business as a result of a reduction in headcount related to our cost-reduction measures. Professional service fees and other increased $6 million and $13 million during the three and six months ended June 30, 2020, when compared to the same periods in 2019, primarily due to an increase in bad debt expense as a result of COVID-19 impact on our customers.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and amortization of capitalized software and website development costs and right-of-use (“ROU”) assets related to our finance lease. Amortization consists of the amortization of definite-lived intangibles purchased in business acquisitions.</w:t>
      </w:r>
    </w:p>
    <w:p>
      <w:pPr>
        <w:spacing w:after="0" w:line="14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20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20" w:type="dxa"/>
            <w:vAlign w:val="bottom"/>
            <w:gridSpan w:val="3"/>
          </w:tcPr>
          <w:p>
            <w:pPr>
              <w:jc w:val="right"/>
              <w:ind w:right="456"/>
              <w:spacing w:after="0" w:line="155"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660" w:type="dxa"/>
            <w:vAlign w:val="bottom"/>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80" w:type="dxa"/>
            <w:vAlign w:val="bottom"/>
          </w:tcPr>
          <w:p>
            <w:pPr>
              <w:spacing w:after="0"/>
              <w:rPr>
                <w:sz w:val="20"/>
                <w:szCs w:val="20"/>
                <w:color w:val="auto"/>
              </w:rPr>
            </w:pPr>
            <w:r>
              <w:rPr>
                <w:rFonts w:ascii="Arial" w:cs="Arial" w:eastAsia="Arial" w:hAnsi="Arial"/>
                <w:sz w:val="18"/>
                <w:szCs w:val="18"/>
                <w:color w:val="auto"/>
              </w:rPr>
              <w:t>Amortization of intangible</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assets</w:t>
            </w:r>
          </w:p>
        </w:tc>
        <w:tc>
          <w:tcPr>
            <w:tcW w:w="6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80" w:type="dxa"/>
            <w:vAlign w:val="bottom"/>
            <w:shd w:val="clear" w:color="auto" w:fill="CFF0FC"/>
          </w:tcPr>
          <w:p>
            <w:pPr>
              <w:ind w:left="80"/>
              <w:spacing w:after="0"/>
              <w:rPr>
                <w:sz w:val="20"/>
                <w:szCs w:val="20"/>
                <w:color w:val="auto"/>
              </w:rPr>
            </w:pPr>
            <w:r>
              <w:rPr>
                <w:rFonts w:ascii="Arial" w:cs="Arial" w:eastAsia="Arial" w:hAnsi="Arial"/>
                <w:sz w:val="18"/>
                <w:szCs w:val="18"/>
                <w:color w:val="auto"/>
              </w:rPr>
              <w:t>Total depreciation and</w:t>
            </w: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w:t>
            </w:r>
          </w:p>
        </w:tc>
        <w:tc>
          <w:tcPr>
            <w:tcW w:w="66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8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6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54.2%</w:t>
            </w:r>
          </w:p>
        </w:tc>
        <w:tc>
          <w:tcPr>
            <w:tcW w:w="7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7.1%</w:t>
            </w: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Depreciation and amortization increased $2 million and $3 million during the three and six months ended June 30, 2020, when compared to the same periods in 2019, primarily due to increased depreciation related to capitalized software and website development costs, partially offset by the completion of amortization related to certain intangible assets from previous business acquisitions.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1" w:name="page42"/>
    <w:bookmarkEnd w:id="41"/>
    <w:p>
      <w:pPr>
        <w:ind w:left="520"/>
        <w:spacing w:after="0"/>
        <w:rPr>
          <w:sz w:val="20"/>
          <w:szCs w:val="20"/>
          <w:color w:val="auto"/>
        </w:rPr>
      </w:pPr>
      <w:r>
        <w:rPr>
          <w:rFonts w:ascii="Arial" w:cs="Arial" w:eastAsia="Arial" w:hAnsi="Arial"/>
          <w:sz w:val="18"/>
          <w:szCs w:val="18"/>
          <w:b w:val="1"/>
          <w:bCs w:val="1"/>
          <w:i w:val="1"/>
          <w:iCs w:val="1"/>
          <w:color w:val="auto"/>
        </w:rPr>
        <w:t>Restructuring and other related reorganization costs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Restructuring and other related reorganization costs consist primarily of employee severance and related benefits.</w:t>
      </w:r>
    </w:p>
    <w:p>
      <w:pPr>
        <w:sectPr>
          <w:pgSz w:w="11900" w:h="16838" w:orient="portrait"/>
          <w:cols w:equalWidth="0" w:num="1">
            <w:col w:w="11240"/>
          </w:cols>
          <w:pgMar w:left="320" w:top="692" w:right="339" w:bottom="1440" w:gutter="0" w:footer="0" w:header="0"/>
        </w:sectPr>
      </w:pPr>
    </w:p>
    <w:p>
      <w:pPr>
        <w:spacing w:after="0" w:line="145"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Three months ended June 30,</w:t>
      </w:r>
    </w:p>
    <w:p>
      <w:pPr>
        <w:spacing w:after="0" w:line="10" w:lineRule="exact"/>
        <w:rPr>
          <w:sz w:val="20"/>
          <w:szCs w:val="20"/>
          <w:color w:val="auto"/>
        </w:rPr>
      </w:pPr>
    </w:p>
    <w:tbl>
      <w:tblPr>
        <w:tblLayout w:type="fixed"/>
        <w:tblInd w:w="4420" w:type="dxa"/>
        <w:tblCellMar>
          <w:top w:w="0" w:type="dxa"/>
          <w:left w:w="0" w:type="dxa"/>
          <w:bottom w:w="0" w:type="dxa"/>
          <w:right w:w="0" w:type="dxa"/>
        </w:tblCellMar>
      </w:tblPr>
      <w:tr>
        <w:trPr>
          <w:trHeight w:val="156"/>
        </w:trPr>
        <w:tc>
          <w:tcPr>
            <w:tcW w:w="8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178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r>
      <w:tr>
        <w:trPr>
          <w:trHeight w:val="155"/>
        </w:trPr>
        <w:tc>
          <w:tcPr>
            <w:tcW w:w="820" w:type="dxa"/>
            <w:vAlign w:val="bottom"/>
          </w:tcPr>
          <w:p>
            <w:pPr>
              <w:spacing w:after="0"/>
              <w:rPr>
                <w:sz w:val="13"/>
                <w:szCs w:val="13"/>
                <w:color w:val="auto"/>
              </w:rPr>
            </w:pPr>
          </w:p>
        </w:tc>
        <w:tc>
          <w:tcPr>
            <w:tcW w:w="1780" w:type="dxa"/>
            <w:vAlign w:val="bottom"/>
          </w:tcPr>
          <w:p>
            <w:pPr>
              <w:jc w:val="right"/>
              <w:ind w:right="868"/>
              <w:spacing w:after="0" w:line="155" w:lineRule="exact"/>
              <w:rPr>
                <w:sz w:val="20"/>
                <w:szCs w:val="20"/>
                <w:color w:val="auto"/>
              </w:rPr>
            </w:pPr>
            <w:r>
              <w:rPr>
                <w:rFonts w:ascii="Arial" w:cs="Arial" w:eastAsia="Arial" w:hAnsi="Arial"/>
                <w:sz w:val="14"/>
                <w:szCs w:val="14"/>
                <w:b w:val="1"/>
                <w:bCs w:val="1"/>
                <w:color w:val="auto"/>
              </w:rPr>
              <w:t>(in millions)</w:t>
            </w:r>
          </w:p>
        </w:tc>
      </w:tr>
    </w:tbl>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13970</wp:posOffset>
            </wp:positionV>
            <wp:extent cx="1680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7" w:lineRule="exact"/>
        <w:rPr>
          <w:sz w:val="20"/>
          <w:szCs w:val="20"/>
          <w:color w:val="auto"/>
        </w:rPr>
      </w:pPr>
    </w:p>
    <w:p>
      <w:pPr>
        <w:spacing w:after="0"/>
        <w:tabs>
          <w:tab w:leader="none" w:pos="142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6985</wp:posOffset>
            </wp:positionV>
            <wp:extent cx="1680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6"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 millions)</w:t>
      </w:r>
    </w:p>
    <w:p>
      <w:pPr>
        <w:spacing w:after="0" w:line="8" w:lineRule="exact"/>
        <w:rPr>
          <w:sz w:val="20"/>
          <w:szCs w:val="20"/>
          <w:color w:val="auto"/>
        </w:rPr>
      </w:pPr>
    </w:p>
    <w:p>
      <w:pPr>
        <w:sectPr>
          <w:pgSz w:w="11900" w:h="16838" w:orient="portrait"/>
          <w:cols w:equalWidth="0" w:num="2">
            <w:col w:w="7020" w:space="700"/>
            <w:col w:w="3520"/>
          </w:cols>
          <w:pgMar w:left="320" w:top="692" w:right="339" w:bottom="1440" w:gutter="0" w:footer="0" w:header="0"/>
          <w:type w:val="continuous"/>
        </w:sectPr>
      </w:pPr>
    </w:p>
    <w:tbl>
      <w:tblPr>
        <w:tblLayout w:type="fixed"/>
        <w:tblInd w:w="1140" w:type="dxa"/>
        <w:tblCellMar>
          <w:top w:w="0" w:type="dxa"/>
          <w:left w:w="0" w:type="dxa"/>
          <w:bottom w:w="0" w:type="dxa"/>
          <w:right w:w="0" w:type="dxa"/>
        </w:tblCellMar>
      </w:tblPr>
      <w:tr>
        <w:trPr>
          <w:trHeight w:val="207"/>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and other related</w:t>
            </w:r>
          </w:p>
        </w:tc>
        <w:tc>
          <w:tcPr>
            <w:tcW w:w="9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r>
      <w:tr>
        <w:trPr>
          <w:trHeight w:val="230"/>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reorganization costs</w:t>
            </w:r>
          </w:p>
        </w:tc>
        <w:tc>
          <w:tcPr>
            <w:tcW w:w="9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33</w:t>
            </w:r>
          </w:p>
        </w:tc>
        <w:tc>
          <w:tcPr>
            <w:tcW w:w="56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42</w:t>
            </w:r>
          </w:p>
        </w:tc>
        <w:tc>
          <w:tcPr>
            <w:tcW w:w="58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276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9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55.9%</w:t>
            </w:r>
          </w:p>
        </w:tc>
        <w:tc>
          <w:tcPr>
            <w:tcW w:w="56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0.0%</w:t>
            </w:r>
          </w:p>
        </w:tc>
        <w:tc>
          <w:tcPr>
            <w:tcW w:w="920" w:type="dxa"/>
            <w:vAlign w:val="bottom"/>
          </w:tcPr>
          <w:p>
            <w:pPr>
              <w:jc w:val="right"/>
              <w:spacing w:after="0"/>
              <w:rPr>
                <w:sz w:val="20"/>
                <w:szCs w:val="20"/>
                <w:color w:val="auto"/>
              </w:rPr>
            </w:pPr>
            <w:r>
              <w:rPr>
                <w:rFonts w:ascii="Arial" w:cs="Arial" w:eastAsia="Arial" w:hAnsi="Arial"/>
                <w:sz w:val="18"/>
                <w:szCs w:val="18"/>
                <w:color w:val="auto"/>
              </w:rPr>
              <w:t>12.5%</w:t>
            </w: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20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Company incurred pre-tax restructuring and other related reorganization costs of $33 million and $42 million during the three and six months ended June 30, 2020, respectively. The costs consist of employee severance and related benefits. In response to the COVID-19 pandemic, during the second quarter of 2020, the Company committed to restructuring actions intended to reinforce its financial position, reduce its cost structure, and improve operational efficiencies, which resulted in headcount reductions. In addition, we engaged in a smaller scale restructuring action in the first quarter of 2020 to reduce our cost structure and improve our operational efficiencies, which resulted in headcount reductions for which we recognized $9 million in restructuring and other related reorganization costs.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2015 Credit Facility, as well as interest on finance leases.</w:t>
      </w:r>
    </w:p>
    <w:p>
      <w:pPr>
        <w:sectPr>
          <w:pgSz w:w="11900" w:h="16838" w:orient="portrait"/>
          <w:cols w:equalWidth="0" w:num="1">
            <w:col w:w="11240"/>
          </w:cols>
          <w:pgMar w:left="320" w:top="692" w:right="339" w:bottom="1440" w:gutter="0" w:footer="0" w:header="0"/>
          <w:type w:val="continuous"/>
        </w:sectPr>
      </w:pPr>
    </w:p>
    <w:p>
      <w:pPr>
        <w:spacing w:after="0" w:line="67" w:lineRule="exact"/>
        <w:rPr>
          <w:sz w:val="20"/>
          <w:szCs w:val="20"/>
          <w:color w:val="auto"/>
        </w:rPr>
      </w:pPr>
    </w:p>
    <w:p>
      <w:pPr>
        <w:ind w:left="4760"/>
        <w:spacing w:after="0"/>
        <w:rPr>
          <w:sz w:val="20"/>
          <w:szCs w:val="20"/>
          <w:color w:val="auto"/>
        </w:rPr>
      </w:pPr>
      <w:r>
        <w:rPr>
          <w:rFonts w:ascii="Arial" w:cs="Arial" w:eastAsia="Arial" w:hAnsi="Arial"/>
          <w:sz w:val="14"/>
          <w:szCs w:val="14"/>
          <w:b w:val="1"/>
          <w:bCs w:val="1"/>
          <w:color w:val="auto"/>
        </w:rPr>
        <w:t>Three months ended June 30,</w:t>
      </w:r>
    </w:p>
    <w:p>
      <w:pPr>
        <w:spacing w:after="0" w:line="10" w:lineRule="exact"/>
        <w:rPr>
          <w:sz w:val="20"/>
          <w:szCs w:val="20"/>
          <w:color w:val="auto"/>
        </w:rPr>
      </w:pPr>
    </w:p>
    <w:tbl>
      <w:tblPr>
        <w:tblLayout w:type="fixed"/>
        <w:tblInd w:w="4320" w:type="dxa"/>
        <w:tblCellMar>
          <w:top w:w="0" w:type="dxa"/>
          <w:left w:w="0" w:type="dxa"/>
          <w:bottom w:w="0" w:type="dxa"/>
          <w:right w:w="0" w:type="dxa"/>
        </w:tblCellMar>
      </w:tblPr>
      <w:tr>
        <w:trPr>
          <w:trHeight w:val="156"/>
        </w:trPr>
        <w:tc>
          <w:tcPr>
            <w:tcW w:w="86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186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2019</w:t>
            </w:r>
          </w:p>
        </w:tc>
      </w:tr>
      <w:tr>
        <w:trPr>
          <w:trHeight w:val="171"/>
        </w:trPr>
        <w:tc>
          <w:tcPr>
            <w:tcW w:w="860" w:type="dxa"/>
            <w:vAlign w:val="bottom"/>
          </w:tcPr>
          <w:p>
            <w:pPr>
              <w:spacing w:after="0"/>
              <w:rPr>
                <w:sz w:val="14"/>
                <w:szCs w:val="14"/>
                <w:color w:val="auto"/>
              </w:rPr>
            </w:pPr>
          </w:p>
        </w:tc>
        <w:tc>
          <w:tcPr>
            <w:tcW w:w="1860" w:type="dxa"/>
            <w:vAlign w:val="bottom"/>
          </w:tcPr>
          <w:p>
            <w:pPr>
              <w:jc w:val="right"/>
              <w:ind w:right="928"/>
              <w:spacing w:after="0"/>
              <w:rPr>
                <w:sz w:val="20"/>
                <w:szCs w:val="20"/>
                <w:color w:val="auto"/>
              </w:rPr>
            </w:pPr>
            <w:r>
              <w:rPr>
                <w:rFonts w:ascii="Arial" w:cs="Arial" w:eastAsia="Arial" w:hAnsi="Arial"/>
                <w:sz w:val="14"/>
                <w:szCs w:val="14"/>
                <w:b w:val="1"/>
                <w:bCs w:val="1"/>
                <w:color w:val="auto"/>
              </w:rPr>
              <w:t>(in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570039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172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13970</wp:posOffset>
            </wp:positionV>
            <wp:extent cx="17487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7" w:lineRule="exact"/>
        <w:rPr>
          <w:sz w:val="20"/>
          <w:szCs w:val="20"/>
          <w:color w:val="auto"/>
        </w:rPr>
      </w:pPr>
    </w:p>
    <w:p>
      <w:pPr>
        <w:spacing w:after="0"/>
        <w:tabs>
          <w:tab w:leader="none" w:pos="148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14605</wp:posOffset>
            </wp:positionV>
            <wp:extent cx="17487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(in millions)</w:t>
      </w:r>
    </w:p>
    <w:p>
      <w:pPr>
        <w:spacing w:after="0" w:line="15" w:lineRule="exact"/>
        <w:rPr>
          <w:sz w:val="20"/>
          <w:szCs w:val="20"/>
          <w:color w:val="auto"/>
        </w:rPr>
      </w:pPr>
    </w:p>
    <w:p>
      <w:pPr>
        <w:sectPr>
          <w:pgSz w:w="11900" w:h="16838" w:orient="portrait"/>
          <w:cols w:equalWidth="0" w:num="2">
            <w:col w:w="7040" w:space="700"/>
            <w:col w:w="3500"/>
          </w:cols>
          <w:pgMar w:left="320" w:top="692" w:right="339" w:bottom="1440" w:gutter="0" w:footer="0" w:header="0"/>
          <w:type w:val="continuous"/>
        </w:sectPr>
      </w:pPr>
    </w:p>
    <w:p>
      <w:pPr>
        <w:ind w:left="1140"/>
        <w:spacing w:after="0"/>
        <w:tabs>
          <w:tab w:leader="none" w:pos="4300" w:val="left"/>
          <w:tab w:leader="none" w:pos="5360" w:val="left"/>
          <w:tab w:leader="none" w:pos="5760" w:val="left"/>
          <w:tab w:leader="none" w:pos="6860" w:val="left"/>
          <w:tab w:leader="none" w:pos="7240" w:val="left"/>
          <w:tab w:leader="none" w:pos="8340" w:val="left"/>
          <w:tab w:leader="none" w:pos="8720" w:val="left"/>
          <w:tab w:leader="none" w:pos="9840" w:val="left"/>
        </w:tabs>
        <w:rPr>
          <w:sz w:val="20"/>
          <w:szCs w:val="20"/>
          <w:color w:val="auto"/>
        </w:rPr>
      </w:pP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w:t>
        <w:tab/>
        <w:t>$</w:t>
      </w:r>
      <w:r>
        <w:rPr>
          <w:sz w:val="20"/>
          <w:szCs w:val="20"/>
          <w:color w:val="auto"/>
        </w:rPr>
        <w:tab/>
      </w:r>
      <w:r>
        <w:rPr>
          <w:rFonts w:ascii="Arial" w:cs="Arial" w:eastAsia="Arial" w:hAnsi="Arial"/>
          <w:sz w:val="18"/>
          <w:szCs w:val="18"/>
          <w:color w:val="auto"/>
        </w:rPr>
        <w:t>(2)</w:t>
        <w:tab/>
        <w:t>$</w:t>
      </w:r>
      <w:r>
        <w:rPr>
          <w:sz w:val="20"/>
          <w:szCs w:val="20"/>
          <w:color w:val="auto"/>
        </w:rPr>
        <w:tab/>
      </w:r>
      <w:r>
        <w:rPr>
          <w:rFonts w:ascii="Arial" w:cs="Arial" w:eastAsia="Arial" w:hAnsi="Arial"/>
          <w:sz w:val="18"/>
          <w:szCs w:val="18"/>
          <w:color w:val="auto"/>
        </w:rPr>
        <w:t>(9)</w:t>
        <w:tab/>
        <w:t>$</w:t>
      </w:r>
      <w:r>
        <w:rPr>
          <w:sz w:val="20"/>
          <w:szCs w:val="20"/>
          <w:color w:val="auto"/>
        </w:rPr>
        <w:tab/>
      </w:r>
      <w:r>
        <w:rPr>
          <w:rFonts w:ascii="Arial" w:cs="Arial" w:eastAsia="Arial" w:hAnsi="Arial"/>
          <w:sz w:val="18"/>
          <w:szCs w:val="18"/>
          <w:color w:val="auto"/>
        </w:rPr>
        <w:t>(3)</w:t>
      </w:r>
    </w:p>
    <w:p>
      <w:pPr>
        <w:spacing w:after="0" w:line="209"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 xml:space="preserve">Interest expense increased $5 million and $6 million during the three and six months ended June 30, 2020, when compared to the same periods in 2019, primarily due to an increase in interest incurred due to higher average outstanding borrowings on our 2015 Credit Facility during 2020. Refer to “Note 8: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unaudited condensed consolidated financial statements in Item 1 in this Quarterly Report on Form 10-Q for further information.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Interest income primarily consists of interest earned from our money market funds, term deposits and marketable securities, including amortization of discounts and premiums on our marketable securities.</w:t>
      </w:r>
    </w:p>
    <w:p>
      <w:pPr>
        <w:spacing w:after="0" w:line="13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2"/>
              </w:rPr>
              <w:t>Three months ended June 30,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1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5"/>
        </w:trPr>
        <w:tc>
          <w:tcPr>
            <w:tcW w:w="1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40" w:type="dxa"/>
            <w:vAlign w:val="bottom"/>
            <w:gridSpan w:val="2"/>
          </w:tcPr>
          <w:p>
            <w:pPr>
              <w:jc w:val="center"/>
              <w:ind w:right="49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600"/>
              <w:spacing w:after="0" w:line="155" w:lineRule="exact"/>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60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w:t>
            </w:r>
          </w:p>
        </w:tc>
        <w:tc>
          <w:tcPr>
            <w:tcW w:w="100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2</w:t>
            </w:r>
          </w:p>
        </w:tc>
        <w:tc>
          <w:tcPr>
            <w:tcW w:w="4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r>
    </w:tbl>
    <w:p>
      <w:pPr>
        <w:spacing w:after="0" w:line="94" w:lineRule="exact"/>
        <w:rPr>
          <w:sz w:val="20"/>
          <w:szCs w:val="20"/>
          <w:color w:val="auto"/>
        </w:rPr>
      </w:pPr>
    </w:p>
    <w:p>
      <w:pPr>
        <w:jc w:val="both"/>
        <w:ind w:right="60" w:firstLine="510"/>
        <w:spacing w:after="0" w:line="342" w:lineRule="auto"/>
        <w:rPr>
          <w:sz w:val="20"/>
          <w:szCs w:val="20"/>
          <w:color w:val="auto"/>
        </w:rPr>
      </w:pPr>
      <w:r>
        <w:rPr>
          <w:rFonts w:ascii="Arial" w:cs="Arial" w:eastAsia="Arial" w:hAnsi="Arial"/>
          <w:sz w:val="16"/>
          <w:szCs w:val="16"/>
          <w:color w:val="auto"/>
        </w:rPr>
        <w:t>Interest income decreased $4 million and $7 million during the three and six months ended June 30, 2020, when compared to the same periods in 2019, primarily due to both a reduction in average interest rates earned on our investments and lower average invested funds by the Company during 2020.</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Other income (expense), net primarily consists of net foreign exchange gains and losses, gains (losses) and impairments from non-marketable investments, and other non-operating income (expenses).</w:t>
      </w:r>
    </w:p>
    <w:p>
      <w:pPr>
        <w:spacing w:after="0" w:line="13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gridSpan w:val="3"/>
          </w:tcPr>
          <w:p>
            <w:pPr>
              <w:jc w:val="center"/>
              <w:ind w:left="148"/>
              <w:spacing w:after="0"/>
              <w:rPr>
                <w:sz w:val="20"/>
                <w:szCs w:val="20"/>
                <w:color w:val="auto"/>
              </w:rPr>
            </w:pPr>
            <w:r>
              <w:rPr>
                <w:rFonts w:ascii="Arial" w:cs="Arial" w:eastAsia="Arial" w:hAnsi="Arial"/>
                <w:sz w:val="14"/>
                <w:szCs w:val="14"/>
                <w:b w:val="1"/>
                <w:bCs w:val="1"/>
                <w:color w:val="auto"/>
                <w:w w:val="91"/>
              </w:rPr>
              <w:t>Three months ended June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2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5"/>
        </w:trPr>
        <w:tc>
          <w:tcPr>
            <w:tcW w:w="2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20" w:type="dxa"/>
            <w:vAlign w:val="bottom"/>
            <w:gridSpan w:val="2"/>
          </w:tcPr>
          <w:p>
            <w:pPr>
              <w:jc w:val="center"/>
              <w:ind w:right="47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600"/>
              <w:spacing w:after="0" w:line="155" w:lineRule="exact"/>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100" w:type="dxa"/>
            <w:vAlign w:val="bottom"/>
            <w:gridSpan w:val="2"/>
            <w:shd w:val="clear" w:color="auto" w:fill="CFF0FC"/>
          </w:tcPr>
          <w:p>
            <w:pPr>
              <w:jc w:val="right"/>
              <w:ind w:right="58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94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(9)</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bl>
    <w:p>
      <w:pPr>
        <w:jc w:val="both"/>
        <w:ind w:right="80" w:firstLine="510"/>
        <w:spacing w:after="0" w:line="255" w:lineRule="auto"/>
        <w:rPr>
          <w:sz w:val="20"/>
          <w:szCs w:val="20"/>
          <w:color w:val="auto"/>
        </w:rPr>
      </w:pPr>
      <w:r>
        <w:rPr>
          <w:rFonts w:ascii="Arial" w:cs="Arial" w:eastAsia="Arial" w:hAnsi="Arial"/>
          <w:sz w:val="18"/>
          <w:szCs w:val="18"/>
          <w:color w:val="auto"/>
        </w:rPr>
        <w:t>Other income (expense), net decreased $8 million during both the three and six months ended June 30, 2020, when compared to the same periods in 2019, respectively, primarily due to a loss on sale of business of $5 million, an allowance for credit losses of $3 million on a long-term note receivable and net losses from our equity method investment; partially offset by net foreign currency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42" w:name="page43"/>
    <w:bookmarkEnd w:id="42"/>
    <w:p>
      <w:pPr>
        <w:ind w:right="240"/>
        <w:spacing w:after="0" w:line="308" w:lineRule="auto"/>
        <w:rPr>
          <w:sz w:val="20"/>
          <w:szCs w:val="20"/>
          <w:color w:val="auto"/>
        </w:rPr>
      </w:pPr>
      <w:r>
        <w:rPr>
          <w:rFonts w:ascii="Arial" w:cs="Arial" w:eastAsia="Arial" w:hAnsi="Arial"/>
          <w:sz w:val="17"/>
          <w:szCs w:val="17"/>
          <w:color w:val="auto"/>
        </w:rPr>
        <w:t xml:space="preserve">transaction gains as a result of the fluctuation of foreign exchange rates during 2020. Refer to “Note 14: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in the notes to our unaudited condensed consolidated financial statements in Item 1 in this Quarterly Report on Form 10-Q for further information.</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Benefit for Income Taxes</w:t>
      </w:r>
    </w:p>
    <w:p>
      <w:pPr>
        <w:sectPr>
          <w:pgSz w:w="11900" w:h="16838" w:orient="portrait"/>
          <w:cols w:equalWidth="0" w:num="1">
            <w:col w:w="11220"/>
          </w:cols>
          <w:pgMar w:left="320" w:top="368" w:right="359" w:bottom="1440" w:gutter="0" w:footer="0" w:header="0"/>
        </w:sectPr>
      </w:pPr>
    </w:p>
    <w:p>
      <w:pPr>
        <w:spacing w:after="0" w:line="190"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Three months ended June 30,</w:t>
      </w:r>
    </w:p>
    <w:p>
      <w:pPr>
        <w:spacing w:after="0" w:line="10" w:lineRule="exact"/>
        <w:rPr>
          <w:sz w:val="20"/>
          <w:szCs w:val="20"/>
          <w:color w:val="auto"/>
        </w:rPr>
      </w:pPr>
    </w:p>
    <w:tbl>
      <w:tblPr>
        <w:tblLayout w:type="fixed"/>
        <w:tblInd w:w="4240" w:type="dxa"/>
        <w:tblCellMar>
          <w:top w:w="0" w:type="dxa"/>
          <w:left w:w="0" w:type="dxa"/>
          <w:bottom w:w="0" w:type="dxa"/>
          <w:right w:w="0" w:type="dxa"/>
        </w:tblCellMar>
      </w:tblPr>
      <w:tr>
        <w:trPr>
          <w:trHeight w:val="156"/>
        </w:trPr>
        <w:tc>
          <w:tcPr>
            <w:tcW w:w="7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168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2019</w:t>
            </w:r>
          </w:p>
        </w:tc>
      </w:tr>
      <w:tr>
        <w:trPr>
          <w:trHeight w:val="171"/>
        </w:trPr>
        <w:tc>
          <w:tcPr>
            <w:tcW w:w="720" w:type="dxa"/>
            <w:vAlign w:val="bottom"/>
          </w:tcPr>
          <w:p>
            <w:pPr>
              <w:spacing w:after="0"/>
              <w:rPr>
                <w:sz w:val="14"/>
                <w:szCs w:val="14"/>
                <w:color w:val="auto"/>
              </w:rPr>
            </w:pPr>
          </w:p>
        </w:tc>
        <w:tc>
          <w:tcPr>
            <w:tcW w:w="1680" w:type="dxa"/>
            <w:vAlign w:val="bottom"/>
          </w:tcPr>
          <w:p>
            <w:pPr>
              <w:jc w:val="right"/>
              <w:ind w:right="748"/>
              <w:spacing w:after="0"/>
              <w:rPr>
                <w:sz w:val="20"/>
                <w:szCs w:val="20"/>
                <w:color w:val="auto"/>
              </w:rPr>
            </w:pPr>
            <w:r>
              <w:rPr>
                <w:rFonts w:ascii="Arial" w:cs="Arial" w:eastAsia="Arial" w:hAnsi="Arial"/>
                <w:sz w:val="14"/>
                <w:szCs w:val="14"/>
                <w:b w:val="1"/>
                <w:bCs w:val="1"/>
                <w:color w:val="auto"/>
              </w:rPr>
              <w:t>(in millions)</w:t>
            </w: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Six months ended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56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2019</w:t>
            </w:r>
          </w:p>
        </w:tc>
      </w:tr>
      <w:tr>
        <w:trPr>
          <w:trHeight w:val="171"/>
        </w:trPr>
        <w:tc>
          <w:tcPr>
            <w:tcW w:w="680" w:type="dxa"/>
            <w:vAlign w:val="bottom"/>
          </w:tcPr>
          <w:p>
            <w:pPr>
              <w:spacing w:after="0"/>
              <w:rPr>
                <w:sz w:val="14"/>
                <w:szCs w:val="14"/>
                <w:color w:val="auto"/>
              </w:rPr>
            </w:pPr>
          </w:p>
        </w:tc>
        <w:tc>
          <w:tcPr>
            <w:tcW w:w="1560" w:type="dxa"/>
            <w:vAlign w:val="bottom"/>
          </w:tcPr>
          <w:p>
            <w:pPr>
              <w:jc w:val="right"/>
              <w:ind w:right="688"/>
              <w:spacing w:after="0"/>
              <w:rPr>
                <w:sz w:val="20"/>
                <w:szCs w:val="20"/>
                <w:color w:val="auto"/>
              </w:rPr>
            </w:pPr>
            <w:r>
              <w:rPr>
                <w:rFonts w:ascii="Arial" w:cs="Arial" w:eastAsia="Arial" w:hAnsi="Arial"/>
                <w:sz w:val="14"/>
                <w:szCs w:val="14"/>
                <w:b w:val="1"/>
                <w:bCs w:val="1"/>
                <w:color w:val="auto"/>
                <w:w w:val="99"/>
              </w:rPr>
              <w:t>(in millions)</w:t>
            </w:r>
          </w:p>
        </w:tc>
      </w:tr>
    </w:tbl>
    <w:p>
      <w:pPr>
        <w:spacing w:after="0" w:line="1" w:lineRule="exact"/>
        <w:rPr>
          <w:sz w:val="20"/>
          <w:szCs w:val="20"/>
          <w:color w:val="auto"/>
        </w:rPr>
      </w:pPr>
    </w:p>
    <w:p>
      <w:pPr>
        <w:sectPr>
          <w:pgSz w:w="11900" w:h="16838" w:orient="portrait"/>
          <w:cols w:equalWidth="0" w:num="2">
            <w:col w:w="6640" w:space="500"/>
            <w:col w:w="4080"/>
          </w:cols>
          <w:pgMar w:left="320" w:top="368" w:right="359" w:bottom="1440" w:gutter="0" w:footer="0" w:header="0"/>
          <w:type w:val="continuous"/>
        </w:sectPr>
      </w:pPr>
    </w:p>
    <w:tbl>
      <w:tblPr>
        <w:tblLayout w:type="fixed"/>
        <w:tblInd w:w="1700" w:type="dxa"/>
        <w:tblCellMar>
          <w:top w:w="0" w:type="dxa"/>
          <w:left w:w="0" w:type="dxa"/>
          <w:bottom w:w="0" w:type="dxa"/>
          <w:right w:w="0" w:type="dxa"/>
        </w:tblCellMar>
      </w:tblPr>
      <w:tr>
        <w:trPr>
          <w:trHeight w:val="200"/>
        </w:trPr>
        <w:tc>
          <w:tcPr>
            <w:tcW w:w="2360" w:type="dxa"/>
            <w:vAlign w:val="bottom"/>
          </w:tcPr>
          <w:p>
            <w:pPr>
              <w:spacing w:after="0" w:line="200" w:lineRule="exact"/>
              <w:rPr>
                <w:sz w:val="20"/>
                <w:szCs w:val="20"/>
                <w:color w:val="auto"/>
              </w:rPr>
            </w:pPr>
            <w:r>
              <w:rPr>
                <w:rFonts w:ascii="Arial" w:cs="Arial" w:eastAsia="Arial" w:hAnsi="Arial"/>
                <w:sz w:val="18"/>
                <w:szCs w:val="18"/>
                <w:color w:val="auto"/>
                <w:w w:val="99"/>
              </w:rPr>
              <w:t>(Provision) benefit for income</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taxes</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26</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38</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29"/>
        </w:trPr>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Effective tax rate</w:t>
            </w: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14.5%</w:t>
            </w:r>
          </w:p>
        </w:tc>
        <w:tc>
          <w:tcPr>
            <w:tcW w:w="5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50.0%</w:t>
            </w: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r>
    </w:tbl>
    <w:p>
      <w:pPr>
        <w:spacing w:after="0" w:line="20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 xml:space="preserve">We had income tax benefits of $26 million and $38 million for the three and six months ended June 30, 2020, respectively, and income tax expense of $34 million and $41 million for the three and six months ended June 30, 2019, respectively. The decrease in our income tax expense during the three and six months ended June 30, 2020, when compared to the same periods in 2019, was primarily due to significant pretax losses incurred during both the three and six months ended June 30, 2020, respectively, and an income tax benefit of $5 million and $19 million during the three and six months ended June 30, 2020, respectively, from the tax rate differential in tax years applicable to U.S. loss carryforwards that became eligible for carryback under the CARES Act enacted in March 2020, offset by an increase in the recognition of stock-based compensation shortfalls related to the decline in the Company’s stock price during both the three and six months ended June 30, 2020, respectively. Refer to “Note 9: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in the notes to our unaudited condensed consolidated financial statements in Item 1 in this Quarterly Report on Form 10-Q for further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ectPr>
          <w:pgSz w:w="11900" w:h="16838" w:orient="portrait"/>
          <w:cols w:equalWidth="0" w:num="1">
            <w:col w:w="11220"/>
          </w:cols>
          <w:pgMar w:left="320" w:top="368" w:right="359" w:bottom="1440" w:gutter="0" w:footer="0" w:header="0"/>
          <w:type w:val="continuous"/>
        </w:sectPr>
      </w:pPr>
    </w:p>
    <w:p>
      <w:pPr>
        <w:spacing w:after="0" w:line="194"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Three months ended June 30,</w:t>
      </w:r>
    </w:p>
    <w:p>
      <w:pPr>
        <w:spacing w:after="0" w:line="10" w:lineRule="exact"/>
        <w:rPr>
          <w:sz w:val="20"/>
          <w:szCs w:val="20"/>
          <w:color w:val="auto"/>
        </w:rPr>
      </w:pPr>
    </w:p>
    <w:tbl>
      <w:tblPr>
        <w:tblLayout w:type="fixed"/>
        <w:tblInd w:w="4220" w:type="dxa"/>
        <w:tblCellMar>
          <w:top w:w="0" w:type="dxa"/>
          <w:left w:w="0" w:type="dxa"/>
          <w:bottom w:w="0" w:type="dxa"/>
          <w:right w:w="0" w:type="dxa"/>
        </w:tblCellMar>
      </w:tblPr>
      <w:tr>
        <w:trPr>
          <w:trHeight w:val="156"/>
        </w:trPr>
        <w:tc>
          <w:tcPr>
            <w:tcW w:w="74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168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2019</w:t>
            </w:r>
          </w:p>
        </w:tc>
      </w:tr>
      <w:tr>
        <w:trPr>
          <w:trHeight w:val="155"/>
        </w:trPr>
        <w:tc>
          <w:tcPr>
            <w:tcW w:w="740" w:type="dxa"/>
            <w:vAlign w:val="bottom"/>
          </w:tcPr>
          <w:p>
            <w:pPr>
              <w:spacing w:after="0"/>
              <w:rPr>
                <w:sz w:val="13"/>
                <w:szCs w:val="13"/>
                <w:color w:val="auto"/>
              </w:rPr>
            </w:pPr>
          </w:p>
        </w:tc>
        <w:tc>
          <w:tcPr>
            <w:tcW w:w="1680" w:type="dxa"/>
            <w:vAlign w:val="bottom"/>
          </w:tcPr>
          <w:p>
            <w:pPr>
              <w:jc w:val="right"/>
              <w:ind w:right="768"/>
              <w:spacing w:after="0" w:line="155" w:lineRule="exact"/>
              <w:rPr>
                <w:sz w:val="20"/>
                <w:szCs w:val="20"/>
                <w:color w:val="auto"/>
              </w:rPr>
            </w:pPr>
            <w:r>
              <w:rPr>
                <w:rFonts w:ascii="Arial" w:cs="Arial" w:eastAsia="Arial" w:hAnsi="Arial"/>
                <w:sz w:val="14"/>
                <w:szCs w:val="14"/>
                <w:b w:val="1"/>
                <w:bCs w:val="1"/>
                <w:color w:val="auto"/>
              </w:rPr>
              <w:t>(in millions)</w:t>
            </w:r>
          </w:p>
        </w:tc>
      </w:tr>
    </w:tbl>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20955</wp:posOffset>
            </wp:positionV>
            <wp:extent cx="15430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8" w:lineRule="exact"/>
        <w:rPr>
          <w:sz w:val="20"/>
          <w:szCs w:val="20"/>
          <w:color w:val="auto"/>
        </w:rPr>
      </w:pPr>
    </w:p>
    <w:p>
      <w:pPr>
        <w:spacing w:after="0"/>
        <w:tabs>
          <w:tab w:leader="none" w:pos="138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14605</wp:posOffset>
            </wp:positionV>
            <wp:extent cx="15430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p>
    <w:p>
      <w:pPr>
        <w:sectPr>
          <w:pgSz w:w="11900" w:h="16838" w:orient="portrait"/>
          <w:cols w:equalWidth="0" w:num="2">
            <w:col w:w="6640" w:space="680"/>
            <w:col w:w="3900"/>
          </w:cols>
          <w:pgMar w:left="320" w:top="368" w:right="359" w:bottom="1440" w:gutter="0" w:footer="0" w:header="0"/>
          <w:type w:val="continuous"/>
        </w:sectPr>
      </w:pPr>
    </w:p>
    <w:tbl>
      <w:tblPr>
        <w:tblLayout w:type="fixed"/>
        <w:tblInd w:w="1700" w:type="dxa"/>
        <w:tblCellMar>
          <w:top w:w="0" w:type="dxa"/>
          <w:left w:w="0" w:type="dxa"/>
          <w:bottom w:w="0" w:type="dxa"/>
          <w:right w:w="0" w:type="dxa"/>
        </w:tblCellMar>
      </w:tblPr>
      <w:tr>
        <w:trPr>
          <w:trHeight w:val="209"/>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(153)</w:t>
            </w:r>
          </w:p>
        </w:tc>
        <w:tc>
          <w:tcPr>
            <w:tcW w:w="5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34</w:t>
            </w:r>
          </w:p>
        </w:tc>
        <w:tc>
          <w:tcPr>
            <w:tcW w:w="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(169)</w:t>
            </w:r>
          </w:p>
        </w:tc>
        <w:tc>
          <w:tcPr>
            <w:tcW w:w="5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60</w:t>
            </w:r>
          </w:p>
        </w:tc>
      </w:tr>
      <w:tr>
        <w:trPr>
          <w:trHeight w:val="243"/>
        </w:trPr>
        <w:tc>
          <w:tcPr>
            <w:tcW w:w="2300" w:type="dxa"/>
            <w:vAlign w:val="bottom"/>
          </w:tcPr>
          <w:p>
            <w:pPr>
              <w:ind w:left="240"/>
              <w:spacing w:after="0"/>
              <w:rPr>
                <w:sz w:val="20"/>
                <w:szCs w:val="20"/>
                <w:color w:val="auto"/>
              </w:rPr>
            </w:pPr>
            <w:r>
              <w:rPr>
                <w:rFonts w:ascii="Arial" w:cs="Arial" w:eastAsia="Arial" w:hAnsi="Arial"/>
                <w:sz w:val="18"/>
                <w:szCs w:val="18"/>
                <w:color w:val="auto"/>
              </w:rPr>
              <w:t>Net income (loss) margin</w:t>
            </w:r>
          </w:p>
        </w:tc>
        <w:tc>
          <w:tcPr>
            <w:tcW w:w="600" w:type="dxa"/>
            <w:vAlign w:val="bottom"/>
          </w:tcPr>
          <w:p>
            <w:pPr>
              <w:spacing w:after="0"/>
              <w:rPr>
                <w:sz w:val="21"/>
                <w:szCs w:val="21"/>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(259%)</w:t>
            </w:r>
          </w:p>
        </w:tc>
        <w:tc>
          <w:tcPr>
            <w:tcW w:w="5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5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02"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Net income decreased $187 million and $229 million during the three and six months ended June 30, 2020, when compared to the same periods in 2019, primarily due to a decrease in revenue primarily related to the negative impact on the Company’s business related to the COVID-19 pandemic, as described above in “</w:t>
      </w:r>
      <w:r>
        <w:rPr>
          <w:rFonts w:ascii="Arial" w:cs="Arial" w:eastAsia="Arial" w:hAnsi="Arial"/>
          <w:sz w:val="16"/>
          <w:szCs w:val="16"/>
          <w:i w:val="1"/>
          <w:iCs w:val="1"/>
          <w:color w:val="auto"/>
        </w:rPr>
        <w:t>Revenue and Segment Information</w:t>
      </w:r>
      <w:r>
        <w:rPr>
          <w:rFonts w:ascii="Arial" w:cs="Arial" w:eastAsia="Arial" w:hAnsi="Arial"/>
          <w:sz w:val="16"/>
          <w:szCs w:val="16"/>
          <w:color w:val="auto"/>
        </w:rPr>
        <w:t>”, partially offset by a decrease in total costs and expenses, primarily as a result of cost reduction measures initiated by the Company in response to the COVID-19 pandemic, as described above in “</w:t>
      </w:r>
      <w:r>
        <w:rPr>
          <w:rFonts w:ascii="Arial" w:cs="Arial" w:eastAsia="Arial" w:hAnsi="Arial"/>
          <w:sz w:val="16"/>
          <w:szCs w:val="16"/>
          <w:i w:val="1"/>
          <w:iCs w:val="1"/>
          <w:color w:val="auto"/>
        </w:rPr>
        <w:t>Consolidated Expenses</w:t>
      </w:r>
      <w:r>
        <w:rPr>
          <w:rFonts w:ascii="Arial" w:cs="Arial" w:eastAsia="Arial" w:hAnsi="Arial"/>
          <w:sz w:val="16"/>
          <w:szCs w:val="16"/>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To provide investors with additional information regarding our financial results, we also disclose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management and board of directors. We define Adjusted EBITDA as net income (loss) plus: (1) (provision) benefit for income taxes; (2) other income (expense), net; (3) depreciation and amortization; (4) stock-based compensation and other stock-settled obligations; (5) goodwill, long-lived asset and intangible asset impairments; (6) legal reserves and settlements; (7) restructuring and other related reorganization costs; and (8) other non-recurring expenses and income.</w:t>
      </w:r>
    </w:p>
    <w:p>
      <w:pPr>
        <w:spacing w:after="0" w:line="181"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color w:val="auto"/>
        </w:rPr>
        <w:t>Some of these limitations are:</w:t>
      </w:r>
    </w:p>
    <w:p>
      <w:pPr>
        <w:spacing w:after="0" w:line="117" w:lineRule="exact"/>
        <w:rPr>
          <w:sz w:val="20"/>
          <w:szCs w:val="20"/>
          <w:color w:val="auto"/>
        </w:rPr>
      </w:pPr>
    </w:p>
    <w:p>
      <w:pPr>
        <w:ind w:left="1000" w:hanging="358"/>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8" w:lineRule="exact"/>
        <w:rPr>
          <w:rFonts w:ascii="Arial" w:cs="Arial" w:eastAsia="Arial" w:hAnsi="Arial"/>
          <w:sz w:val="17"/>
          <w:szCs w:val="17"/>
          <w:color w:val="auto"/>
        </w:rPr>
      </w:pPr>
    </w:p>
    <w:p>
      <w:pPr>
        <w:ind w:left="1000" w:hanging="35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140" w:lineRule="exact"/>
        <w:rPr>
          <w:rFonts w:ascii="Arial" w:cs="Arial" w:eastAsia="Arial" w:hAnsi="Arial"/>
          <w:sz w:val="16"/>
          <w:szCs w:val="16"/>
          <w:color w:val="auto"/>
        </w:rPr>
      </w:pPr>
    </w:p>
    <w:p>
      <w:pPr>
        <w:ind w:left="1000" w:hanging="358"/>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Adjusted EBITDA does not consider the potentially dilutive impact of stock-based compensation or other stock-settled obligations;</w:t>
      </w:r>
    </w:p>
    <w:p>
      <w:pPr>
        <w:spacing w:after="0" w:line="128" w:lineRule="exact"/>
        <w:rPr>
          <w:rFonts w:ascii="Arial" w:cs="Arial" w:eastAsia="Arial" w:hAnsi="Arial"/>
          <w:sz w:val="17"/>
          <w:szCs w:val="17"/>
          <w:color w:val="auto"/>
        </w:rPr>
      </w:pPr>
    </w:p>
    <w:p>
      <w:pPr>
        <w:ind w:left="1000" w:right="300" w:hanging="358"/>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5" w:lineRule="exact"/>
        <w:rPr>
          <w:rFonts w:ascii="Arial" w:cs="Arial" w:eastAsia="Arial" w:hAnsi="Arial"/>
          <w:sz w:val="18"/>
          <w:szCs w:val="18"/>
          <w:color w:val="auto"/>
        </w:rPr>
      </w:pPr>
    </w:p>
    <w:p>
      <w:pPr>
        <w:ind w:left="1000" w:right="60" w:hanging="35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certain income and expenses not directly tied to the ongoing core operations of our business, such as legal reserves and settlements, restructuring and other related reorganization costs;</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7" w:lineRule="exact"/>
        <w:rPr>
          <w:rFonts w:ascii="Arial" w:cs="Arial" w:eastAsia="Arial" w:hAnsi="Arial"/>
          <w:sz w:val="18"/>
          <w:szCs w:val="18"/>
          <w:color w:val="auto"/>
        </w:rPr>
      </w:pPr>
    </w:p>
    <w:p>
      <w:pPr>
        <w:ind w:left="1000" w:right="180" w:hanging="35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70"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(loss), the most directly comparable financial measure calculated and presented in accordance with GAAP, for the periods presented: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00" w:type="dxa"/>
            <w:vAlign w:val="bottom"/>
            <w:tcBorders>
              <w:bottom w:val="single" w:sz="8" w:color="auto"/>
            </w:tcBorders>
            <w:gridSpan w:val="4"/>
          </w:tcPr>
          <w:p>
            <w:pPr>
              <w:jc w:val="right"/>
              <w:ind w:right="327"/>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w w:val="89"/>
              </w:rPr>
              <w:t>Six months ended 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1"/>
        </w:trPr>
        <w:tc>
          <w:tcPr>
            <w:tcW w:w="3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700" w:type="dxa"/>
            <w:vAlign w:val="bottom"/>
            <w:gridSpan w:val="3"/>
          </w:tcPr>
          <w:p>
            <w:pPr>
              <w:jc w:val="right"/>
              <w:ind w:right="676"/>
              <w:spacing w:after="0" w:line="151" w:lineRule="exact"/>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500" w:type="dxa"/>
            <w:vAlign w:val="bottom"/>
            <w:gridSpan w:val="2"/>
          </w:tcPr>
          <w:p>
            <w:pPr>
              <w:jc w:val="right"/>
              <w:ind w:right="968"/>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(153)</w:t>
            </w:r>
          </w:p>
        </w:tc>
        <w:tc>
          <w:tcPr>
            <w:tcW w:w="1140" w:type="dxa"/>
            <w:vAlign w:val="bottom"/>
          </w:tcPr>
          <w:p>
            <w:pPr>
              <w:jc w:val="right"/>
              <w:ind w:right="987"/>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320" w:type="dxa"/>
            <w:vAlign w:val="bottom"/>
          </w:tcPr>
          <w:p>
            <w:pPr>
              <w:spacing w:after="0"/>
              <w:rPr>
                <w:sz w:val="20"/>
                <w:szCs w:val="20"/>
                <w:color w:val="auto"/>
              </w:rPr>
            </w:pPr>
          </w:p>
        </w:tc>
        <w:tc>
          <w:tcPr>
            <w:tcW w:w="880" w:type="dxa"/>
            <w:vAlign w:val="bottom"/>
          </w:tcPr>
          <w:p>
            <w:pPr>
              <w:jc w:val="right"/>
              <w:ind w:right="696"/>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(169)</w:t>
            </w:r>
          </w:p>
        </w:tc>
        <w:tc>
          <w:tcPr>
            <w:tcW w:w="1160" w:type="dxa"/>
            <w:vAlign w:val="bottom"/>
          </w:tcPr>
          <w:p>
            <w:pPr>
              <w:jc w:val="right"/>
              <w:ind w:right="976"/>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20"/>
                <w:szCs w:val="20"/>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Add: (Benefit) Provision for income taxes</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(26)</w:t>
            </w:r>
          </w:p>
        </w:tc>
        <w:tc>
          <w:tcPr>
            <w:tcW w:w="11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(38)</w:t>
            </w:r>
          </w:p>
        </w:tc>
        <w:tc>
          <w:tcPr>
            <w:tcW w:w="11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Add: Other expense (income), net</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5"/>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Add: Restructuring and other related</w:t>
            </w: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reorganization costs</w:t>
            </w:r>
          </w:p>
        </w:tc>
        <w:tc>
          <w:tcPr>
            <w:tcW w:w="3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Add: Stock-based compensation</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Add: Depreciation and amortization</w:t>
            </w:r>
          </w:p>
        </w:tc>
        <w:tc>
          <w:tcPr>
            <w:tcW w:w="38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Adjusted EBITDA</w:t>
            </w:r>
          </w:p>
        </w:tc>
        <w:tc>
          <w:tcPr>
            <w:tcW w:w="380" w:type="dxa"/>
            <w:vAlign w:val="bottom"/>
          </w:tcPr>
          <w:p>
            <w:pPr>
              <w:spacing w:after="0"/>
              <w:rPr>
                <w:sz w:val="19"/>
                <w:szCs w:val="19"/>
                <w:color w:val="auto"/>
              </w:rPr>
            </w:pPr>
          </w:p>
        </w:tc>
        <w:tc>
          <w:tcPr>
            <w:tcW w:w="1120" w:type="dxa"/>
            <w:vAlign w:val="bottom"/>
            <w:tcBorders>
              <w:bottom w:val="single" w:sz="8" w:color="auto"/>
            </w:tcBorders>
          </w:tcPr>
          <w:p>
            <w:pPr>
              <w:jc w:val="right"/>
              <w:ind w:right="968"/>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9"/>
                <w:szCs w:val="19"/>
                <w:color w:val="auto"/>
              </w:rPr>
            </w:pPr>
          </w:p>
        </w:tc>
        <w:tc>
          <w:tcPr>
            <w:tcW w:w="1140" w:type="dxa"/>
            <w:vAlign w:val="bottom"/>
            <w:tcBorders>
              <w:bottom w:val="single" w:sz="8" w:color="auto"/>
            </w:tcBorders>
          </w:tcPr>
          <w:p>
            <w:pPr>
              <w:jc w:val="right"/>
              <w:ind w:right="98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1160" w:type="dxa"/>
            <w:vAlign w:val="bottom"/>
            <w:tcBorders>
              <w:bottom w:val="single" w:sz="8" w:color="auto"/>
            </w:tcBorders>
          </w:tcPr>
          <w:p>
            <w:pPr>
              <w:jc w:val="right"/>
              <w:ind w:right="9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 xml:space="preserve">For information on our relationship with LTRIP, which may be deemed to beneficially own equity securities representing 58.6% of our voting power as of June 30, 2020, refer to “Note 1: </w:t>
      </w:r>
      <w:r>
        <w:rPr>
          <w:rFonts w:ascii="Arial" w:cs="Arial" w:eastAsia="Arial" w:hAnsi="Arial"/>
          <w:sz w:val="18"/>
          <w:szCs w:val="18"/>
          <w:i w:val="1"/>
          <w:iCs w:val="1"/>
          <w:color w:val="auto"/>
        </w:rPr>
        <w:t>Business Description and Basis of Presentation</w:t>
      </w:r>
      <w:r>
        <w:rPr>
          <w:rFonts w:ascii="Arial" w:cs="Arial" w:eastAsia="Arial" w:hAnsi="Arial"/>
          <w:sz w:val="18"/>
          <w:szCs w:val="18"/>
          <w:color w:val="auto"/>
        </w:rPr>
        <w:t>” in the notes to our unaudited condensed consolidated financial statements in Item 1 in this Quarterly Report on Form 10-Q. We had no related party transactions with LTRIP during the three and six months ended June 30, 2020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0" w:firstLine="510"/>
        <w:spacing w:after="0" w:line="301" w:lineRule="auto"/>
        <w:rPr>
          <w:sz w:val="20"/>
          <w:szCs w:val="20"/>
          <w:color w:val="auto"/>
        </w:rPr>
      </w:pPr>
      <w:r>
        <w:rPr>
          <w:rFonts w:ascii="Arial" w:cs="Arial" w:eastAsia="Arial" w:hAnsi="Arial"/>
          <w:sz w:val="16"/>
          <w:szCs w:val="16"/>
          <w:color w:val="auto"/>
        </w:rPr>
        <w:t xml:space="preserve">Refer to “Note 5: </w:t>
      </w:r>
      <w:r>
        <w:rPr>
          <w:rFonts w:ascii="Arial" w:cs="Arial" w:eastAsia="Arial" w:hAnsi="Arial"/>
          <w:sz w:val="16"/>
          <w:szCs w:val="16"/>
          <w:i w:val="1"/>
          <w:iCs w:val="1"/>
          <w:color w:val="auto"/>
        </w:rPr>
        <w:t>Stock Based Awards and Other Equity Instruments</w:t>
      </w:r>
      <w:r>
        <w:rPr>
          <w:rFonts w:ascii="Arial" w:cs="Arial" w:eastAsia="Arial" w:hAnsi="Arial"/>
          <w:sz w:val="16"/>
          <w:szCs w:val="16"/>
          <w:color w:val="auto"/>
        </w:rPr>
        <w:t>” in the notes to our unaudited condensed consolidated financial statements in Item 1 in this Quarterly Report on Form 10-Q for further information on current year equity award activity, including the issuance of 1,095,027 service-based stock options with a weighted average grant-date fair value per option of $10.11, 4,833,938 primarily service-based RSUs with a weighted average grant-date fair value of $25.20, and 133,194 MSUs with a weighted average grant-date fair value of $28.15 during the six months ended June 30, 2020.</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Our principal source of liquidity is cash flow generated from operations and our liquidity needs can also be met through drawdowns under our 2015 Credit Facility. As of June 30, 2020 and December 31, 2019, we had $698 million and $319 million, respectively, of cash and cash equivalents. As of June 30, 2020, approximately $108 million of our cash and cash equivalents were held by our international subsidiaries outside of the U.S., of which approximately 50% was located in the U.K. As of June 30, 2020, the significant majority of our cash was denominated in U.S. dollars. As of June 30, 2020, we had $553 million of cumulative undistributed earnings in foreign subsidiaries. As a result of the 2017 Tax Act, foreign earnings may now generally be repatriated back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ind w:right="200"/>
        <w:spacing w:after="0" w:line="275" w:lineRule="auto"/>
        <w:rPr>
          <w:sz w:val="20"/>
          <w:szCs w:val="20"/>
          <w:color w:val="auto"/>
        </w:rPr>
      </w:pPr>
      <w:r>
        <w:rPr>
          <w:rFonts w:ascii="Arial" w:cs="Arial" w:eastAsia="Arial" w:hAnsi="Arial"/>
          <w:sz w:val="17"/>
          <w:szCs w:val="17"/>
          <w:color w:val="auto"/>
        </w:rPr>
        <w:t>to the U.S. without incurring U.S. federal income tax. Historically, we have asserted our intention to indefinitely reinvest the cumulative undistributed earnings of our foreign subsidiaries. In response to increased cash requirements in the U.S. related to our declaration of a special cash dividend and other strategic initiatives during the fourth quarter of 2019, we determined that we no longer consider $435 million of these foreign earnings to be indefinitely reinvested. We intend to indefinitely reinvest $118 million of our foreign earnings in our non-US subsidiaries. Determination of the amount of unrecognized deferred income tax liability related to these earnings is not practicable.</w:t>
      </w:r>
    </w:p>
    <w:p>
      <w:pPr>
        <w:spacing w:after="0" w:line="176" w:lineRule="exact"/>
        <w:rPr>
          <w:sz w:val="20"/>
          <w:szCs w:val="20"/>
          <w:color w:val="auto"/>
        </w:rPr>
      </w:pPr>
    </w:p>
    <w:p>
      <w:pPr>
        <w:ind w:right="200" w:firstLine="510"/>
        <w:spacing w:after="0" w:line="301" w:lineRule="auto"/>
        <w:rPr>
          <w:sz w:val="20"/>
          <w:szCs w:val="20"/>
          <w:color w:val="auto"/>
        </w:rPr>
      </w:pPr>
      <w:r>
        <w:rPr>
          <w:rFonts w:ascii="Arial" w:cs="Arial" w:eastAsia="Arial" w:hAnsi="Arial"/>
          <w:sz w:val="16"/>
          <w:szCs w:val="16"/>
          <w:color w:val="auto"/>
        </w:rPr>
        <w:t>As of June 30, 2020, we had outstanding borrowings of $700 million under our 2015 Credit Facility. These funds were drawn down as a precautionary measure to reinforce our liquidity position and preserve financial flexibility in light of current uncertainty in the global markets resulting from COVID-19; given our limited ability to predict our future financial performance due to the uncertain time period government travel restrictions and other implemented measures in reaction to COVID-19 will continue or potentially re-emerge in our key markets, such as the U.S. and Europe.</w:t>
      </w:r>
    </w:p>
    <w:p>
      <w:pPr>
        <w:spacing w:after="0" w:line="15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 xml:space="preserve">On May 5, 2020, we amended our 2015 Credit Facility (“Second Amendment”) to, among other things, suspend the leverage ratio covenant on this facility beginning in the second quarter of 2020 and ending prior to September 30, 2021 (or such earlier date as elected by the Company), the Leverage Covenant Holiday, and replacing it with a minimum liquidity covenant, that requires us to maintain $150 million of unrestricted cash, cash equivalents and short-term investments less deferred merchant payables plus available revolver capacity, which will apply only during the Leverage Covenant Holiday, as well as downsizing its capacity to $1.0 billion from $1.2 billion. The Second Amendment also prohibits the Company from payments and distributions, including share repurchases and dividends, during the Leverage Covenant Holiday. No change was made to the existing maturity date of the 2015 Credit Facility of May 12, 2022. This amendment therefore reduced our available borrowing capacity under the 2015 Credit Facility to $297 million as of June 30, 2020, given our existing borrowings of $700 million, as discussed above, and undrawn standby letters of credit of $3 million as of June 30, 2020. During the Leverage Covenant Holiday, any outstanding or future borrowings under the 2015 Credit Facility will bear interest at LIBOR plus a 2.25% margin with a LIBOR floor of 1% per annum, which as of June 30, 2020, resulted in a borrowing rate of 3.25% per annum. As of June 30, 2020 and December 31, 2019, we were in compliance with our debt covenants. For further discussion of our 2015 Credit Facility, refer to “Note 8: </w:t>
      </w:r>
      <w:r>
        <w:rPr>
          <w:rFonts w:ascii="Arial" w:cs="Arial" w:eastAsia="Arial" w:hAnsi="Arial"/>
          <w:sz w:val="16"/>
          <w:szCs w:val="16"/>
          <w:i w:val="1"/>
          <w:iCs w:val="1"/>
          <w:color w:val="auto"/>
        </w:rPr>
        <w:t>Debt</w:t>
      </w:r>
      <w:r>
        <w:rPr>
          <w:rFonts w:ascii="Arial" w:cs="Arial" w:eastAsia="Arial" w:hAnsi="Arial"/>
          <w:sz w:val="16"/>
          <w:szCs w:val="16"/>
          <w:color w:val="auto"/>
        </w:rPr>
        <w:t>” in the notes to our unaudited condensed consolidated financial statements in Item 1 in this Quarterly Report on Form 10-Q.</w:t>
      </w:r>
    </w:p>
    <w:p>
      <w:pPr>
        <w:spacing w:after="0" w:line="168"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We were party to a $30 million, one-year revolving credit facility with Bank of America (the “Chinese Credit Facility”) as of December 31, 2019. The Company terminated this credit facility in June 2020. We had no outstanding borrowings under this credit facility at the time of termination or at December 31, 2019.</w:t>
      </w:r>
    </w:p>
    <w:p>
      <w:pPr>
        <w:spacing w:after="0" w:line="184"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 xml:space="preserve">On July 9, 2020, the Company completed the sale of $500 million aggregate principal amount of 7.000% senior notes due July 15, 2025 in a private offering. The Indenture pursuant to which the Senior Notes were issued provides, among other things, that interest will be payable on the Senior Notes on January 15 and July 15 of each year, beginning on January 15, 2021, until their maturity date of July 15, 2025. The Senior Notes will be senior unsecured obligations of the Company and will be guaranteed by each of its domestic subsidiaries that guarantees the Company’s 2015 Credit Facility. Subsequently, in July 2020, the Company used the net proceeds from the Senior Notes, or $490 million, net of approximately $10 million in debt issuances costs, to repay a portion of our 2015 Credit Facility borrowings that existed as of June 30, 2020. Refer to “Note 15: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in the notes to our unaudited condensed consolidated financial statements in Item 1 in this Quarterly Report on Form 10-Q for information about our Senior Notes.</w:t>
      </w:r>
    </w:p>
    <w:p>
      <w:pPr>
        <w:spacing w:after="0" w:line="166"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During the six months ended June 30, 2020, we repurchased 4,707,450 shares of our outstanding common stock at an average share price of $24.32 per share, exclusive of fees and commissions, or $115 million in the aggregate under our existing share repurchase program authorized by our Board of Directors. As of June 30, 2020, we had $75 million remaining available to repurchase shares of our common stock under this share repurchase program. As discussed above, the terms of the Company’s Second Amendment currently prohibits the Company from share repurchases during the Leverage Covenant Holiday and the terms of the Indenture impose certain limitations and restrictions on share repurchases.</w:t>
      </w:r>
    </w:p>
    <w:p>
      <w:pPr>
        <w:spacing w:after="0" w:line="176" w:lineRule="exact"/>
        <w:rPr>
          <w:sz w:val="20"/>
          <w:szCs w:val="20"/>
          <w:color w:val="auto"/>
        </w:rPr>
      </w:pPr>
    </w:p>
    <w:p>
      <w:pPr>
        <w:ind w:right="120" w:firstLine="510"/>
        <w:spacing w:after="0" w:line="288" w:lineRule="auto"/>
        <w:rPr>
          <w:sz w:val="20"/>
          <w:szCs w:val="20"/>
          <w:color w:val="auto"/>
        </w:rPr>
      </w:pPr>
      <w:r>
        <w:rPr>
          <w:rFonts w:ascii="Arial" w:cs="Arial" w:eastAsia="Arial" w:hAnsi="Arial"/>
          <w:sz w:val="16"/>
          <w:szCs w:val="16"/>
          <w:color w:val="auto"/>
        </w:rPr>
        <w:t>Our business typically experiences seasonal fluctuations that affect the timing of our annual cash flows related to working capital. In our Experiences business and our Rentals free-to-list model, we generally receive cash from travelers at the time of booking and we record these amounts, net of commissions, on our consolidated balance sheet as deferred merchant payables. We pay the suppliers, or the property rental owners and experience providers, after the travelers’ use. Therefore, we generally receive cash from the traveler prior to paying the supplier and this operating cycle represents a source or use of cash to us. During the first half of the year Rentals and Experiences bookings typically exceed the amount of completed stays and tour-taking, resulting in higher cash flow related to working capital, while during the second half of the year, particularly in the third quarter, this pattern reverses and cash flows from these transactions are typically negative. However, this trend has been impacted in the first half of 2020, as cash outflows to suppliers related to deferred merchant payables significantly exceeded cash received from travelers reflecting the decline in consumer demand for our products and cancellations of reservations due to COVID-19, which may continue into the third quarter of 2020. The ultimate extent of the COVID-19 pandemic and its impact on travel, regional and global markets, and overall economic</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5" w:name="page46"/>
    <w:bookmarkEnd w:id="45"/>
    <w:p>
      <w:pPr>
        <w:ind w:right="100"/>
        <w:spacing w:after="0" w:line="268" w:lineRule="auto"/>
        <w:rPr>
          <w:sz w:val="20"/>
          <w:szCs w:val="20"/>
          <w:color w:val="auto"/>
        </w:rPr>
      </w:pPr>
      <w:r>
        <w:rPr>
          <w:rFonts w:ascii="Arial" w:cs="Arial" w:eastAsia="Arial" w:hAnsi="Arial"/>
          <w:sz w:val="17"/>
          <w:szCs w:val="17"/>
          <w:color w:val="auto"/>
        </w:rPr>
        <w:t>activity in currently affected countries or globally is unknown and impossible to predict with certainty, as such the impacts on our business and cash flows are uncertain at this point in time. Other factors may also impact typical seasonal fluctuations, which include further significant shifts in our business mix or adverse economic conditions unrelated to COVID-19 that could result in future seasonal patterns that are different from historical trends. In addition, new or different payment options offered to our customers could impact the timing of cash flows. For example, we introduced a new payment feature in late 2019, which allows our Experiences customers the option to reserve certain experience activities and defer payment until a date no later than two days before the experience date; as a result, this payment option may affect the timing of our future cash flows.</w:t>
      </w:r>
    </w:p>
    <w:p>
      <w:pPr>
        <w:spacing w:after="0" w:line="1"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We believe that our available cash and cash equivalents, combined with available borrowings from our 2015 credit facility, and in light of our Senior Notes offering in July 2020, will be sufficient to fund our foreseeable working capital requirements, capital expenditures, existing business growth initiatives, debt obligations, lease commitments, and other financial commitments through at least the next twelve months. Our future capital requirements may also include capital needs for acquisitions and/or other expenditures in support of our business strategy, and may potentially reduce our cash balance and/or increase our debt.</w:t>
      </w:r>
    </w:p>
    <w:p>
      <w:pPr>
        <w:spacing w:after="0" w:line="19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addition, our capital requirements may increase due to the impact of COVID-19 which has already resulted in reduced revenues to the Company, and the extent to which it may further impact the ability of our customers to fulfill their payment obligations. Given the uncertainty in the rapidly changing market and economic conditions related to the COVID-19 pandemic, we will continue to evaluate the nature and extent of the impact to our liquidity and capital requirements.</w:t>
      </w:r>
    </w:p>
    <w:p>
      <w:pPr>
        <w:spacing w:after="0" w:line="18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Our cash flows for the six months ended June 30, 2020 and 2019, as reflected in our unaudited condensed consolidated statements of cash flows, are summarized in the following table:</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Six months ended June 30,</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5"/>
        </w:trPr>
        <w:tc>
          <w:tcPr>
            <w:tcW w:w="3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8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08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1900" w:type="dxa"/>
            <w:vAlign w:val="bottom"/>
            <w:gridSpan w:val="2"/>
          </w:tcPr>
          <w:p>
            <w:pPr>
              <w:jc w:val="right"/>
              <w:ind w:right="90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(148)</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9"/>
                <w:szCs w:val="19"/>
                <w:color w:val="auto"/>
              </w:rPr>
            </w:pPr>
          </w:p>
        </w:tc>
      </w:tr>
      <w:tr>
        <w:trPr>
          <w:trHeight w:val="230"/>
        </w:trPr>
        <w:tc>
          <w:tcPr>
            <w:tcW w:w="3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Investing activities</w:t>
            </w:r>
          </w:p>
        </w:tc>
        <w:tc>
          <w:tcPr>
            <w:tcW w:w="8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(34)</w:t>
            </w:r>
          </w:p>
        </w:tc>
        <w:tc>
          <w:tcPr>
            <w:tcW w:w="8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w:t>
            </w:r>
          </w:p>
        </w:tc>
      </w:tr>
      <w:tr>
        <w:trPr>
          <w:trHeight w:val="230"/>
        </w:trPr>
        <w:tc>
          <w:tcPr>
            <w:tcW w:w="308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561</w:t>
            </w:r>
          </w:p>
        </w:tc>
        <w:tc>
          <w:tcPr>
            <w:tcW w:w="8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bl>
    <w:p>
      <w:pPr>
        <w:spacing w:after="0" w:line="20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During the six months ended June 30, 2020, our primary use of cash was in operations, financing activities (including repurchases of our outstanding common stock at an aggregate cost of $115 million under our existing share repurchase program and payment of withholding taxes on net share settlements of our equity awards of $17 million), and investing activities (including capital expenditures incurred during the six months ended June 30,</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2020 of $36 million). This use of cash was funded primarily with cash on hand and cash equivalents, and financing activities, which includes $696 million in borrowings from our 2015 Credit Facility, net of financing costs.</w:t>
      </w:r>
    </w:p>
    <w:p>
      <w:pPr>
        <w:spacing w:after="0" w:line="18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During the six months ended June 30, 2019, our primary use of cash was from operations, financing activities (including payment of withholding taxes on net share settlements of our equity awards of $26 million), and investing activities (including capital expenditures incurred during the six months ended June 30, 2019 of $38 million and cash used of $69 million in purchases of marketable securities). This use of cash was funded primarily with cash on hand and cash equivalents, cash provided by operations, and investing activities, including cash of $20 million generated from maturities of marketable securities.</w:t>
      </w:r>
    </w:p>
    <w:p>
      <w:pPr>
        <w:spacing w:after="0" w:line="18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Net cash used in operating activities for the six months ended June 30, 2020, increased by $511 million when compared to the same period in 2019, primarily due to a decrease in net income of $229 million and increase in use of working capital of $283 million, driven by working capital outflows primarily due to payments to travel suppliers related to deferred merchant payables for completed experiences, tours and rentals which significantly exceeded cash received from consumers as a result of a decline in consumer demand due to COVID-19 and its negative impact on our first half of 2020 bookings. This was partially offset by an increase in cash received from trade receivables, as cash collected primarily from pre-COVID-19 customer invoices for services provided significantly exceeded invoices for services provided to customers in the post-COVID-19 time period, as a result of a decline in consumer demand.</w:t>
      </w:r>
    </w:p>
    <w:p>
      <w:pPr>
        <w:spacing w:after="0" w:line="195"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Net cash used in investing activities for the six months ended June 30, 2020 decreased by $53 million when compared to the same period in 2019, due to a decrease in net cash generated from the purchases and maturities of marketable securities of $49 million and a decrease in capital expenditures of $2 million.</w:t>
      </w:r>
    </w:p>
    <w:p>
      <w:pPr>
        <w:spacing w:after="0" w:line="184"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Net cash provided in financing activities for the six months ended June 30, 2020 increased by $589 million when compared to the same period in 2019, primarily due to borrowings on our 2015 Credit Facility of $696 million, net of financing costs, and a decrease in payment of withholding taxes on net share settlements of equity awards of $9 million during the six months ended June 30, 2020, partially offset by share repurchases of our common stock under our share repurchase program of $115 million during the six months ended June 30,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12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As of June 30, 2020, with the exception of $700 million in borrowing under the 2015 Credit Facility, as discussed above, which was subsequently repaid during the third quarter of 2020, there have been no material changes outside the normal course of business to our contractual obligations and commercial commitments since December 31, 2019.</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As of June 30, 2020, other than our contractual obligations and commercial commitments, we did not have any off-balance sheet arrangements, as defined in Item 303(a)(4)(ii) of Regulation S-K promulgated by the SEC. Refer to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in Part II, Item 7. —Management’s Discussion and Analysis of Financial Condition and Results of Operations of our Annual Report on Form 10-K for the year ended December 31, 2019 for a discussion of our contractual obligations and commercial commitments.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In the ordinary course of business, we are party to regulatory and legal matters, including threats thereof, arising out of our operations. These matters may involve claims involving patent and intellectual property rights (including alleged infringement of third-party intellectual property rights), tax matters (including value-added, excise, transient occupancy and accommodation taxes), regulatory compliance (including competition, consumer matters and data privacy), defamation and other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79"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By virtue of consolidated income tax returns previously filed with Expedia, we are currently under an IRS audit for the 2009, 2010 and short-period 2011 tax years. We are separately under examination by the IRS for the short-period 2011 and 2012 through 2016 tax years, under an employment tax audit by the IRS for the 2015 through 2017 tax years, and have various ongoing audits for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June 30, 2020, no material assessments have resulted, except as noted below regarding our 2009, 2010, and 2011 IRS audit with Expedia and our 2012 and 2013 standalone IRS audit.</w:t>
      </w:r>
    </w:p>
    <w:p>
      <w:pPr>
        <w:spacing w:after="0" w:line="195"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In January 2017 and April 2019, as part of the IRS audit of Expedia, we received Notices of Proposed Adjustment from the IRS for the 2009, 2010, and 2011 tax years. Subsequently, in September 2019, as part of Tripadvisor’s standalone audit, we received Notices of Proposed Adjustment from the IRS for the 2012 and 2013 tax years. These proposed adjustments are related to certain transfer pricing arrangements with our foreign subsidiaries, and would result in an increase to our worldwide income tax expense in an estimated range of $50 million to $60 million at the close of the audit if the IRS prevails. The estimated range takes into consideration competent authority relief and transition tax regulations, and is exclusive of interest,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2013 transactions, if the IRS were to seek transfer pricing adjustments of a similar nature for transactions in subsequent years, we would be subject to significant additional tax liabilities. We have requested competent authority assistance under the Mutual Agreement Procedure (“MAP”) for tax years 2009 through 2013. We expect the competent authorities to present a resolution for the 2009 through 2011 tax years in the near future. Upon receipt, we will assess the resolution provided by the competent authorities as well as its impact on our existing income tax reserves for all open subsequent years.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7" w:name="page48"/>
    <w:bookmarkEnd w:id="47"/>
    <w:p>
      <w:pPr>
        <w:ind w:right="140" w:firstLine="510"/>
        <w:spacing w:after="0" w:line="288" w:lineRule="auto"/>
        <w:rPr>
          <w:sz w:val="20"/>
          <w:szCs w:val="20"/>
          <w:color w:val="auto"/>
        </w:rPr>
      </w:pPr>
      <w:r>
        <w:rPr>
          <w:rFonts w:ascii="Arial" w:cs="Arial" w:eastAsia="Arial" w:hAnsi="Arial"/>
          <w:sz w:val="16"/>
          <w:szCs w:val="16"/>
          <w:color w:val="auto"/>
        </w:rPr>
        <w:t>The Organization for Economic Cooperation and Development (“OECD”) has been working on a Base Erosion and Profit Shifting Project, and issued the Action 1 report in 2015 to address the tax challenges arising from digitalization. Since then, the OECD/G20 Inclusive Framework has issued various guidelines, policy notes, and proposals that if adopted could result in an overhaul of the international taxation system under which our current tax obligations are determined. As the OECD/G20 Inclusive Framework drives toward a consensus long-term solution, several countries have introduced unilateral digital service tax initiatives which impose new types of non-income taxes, including taxes based on a percentage of revenue. The Company is monitoring certain U.S. states and countries in which we do business, such as France, Italy, Spain, and the U.K., which have enacted or proposed similar taxes that will be applicable or are likely to be applicable during 2020. During the six months ended June 30, 2020, we recorded $1 million of digital service tax to general and administrative expense on our unaudited condensed consolidated statement of operations; however we continue to assess the financial impact of new laws relating to digital services and taxation. Further, as additional U.S. states and countries introduce unilateral measures we will continue to monitor developments and determine the financial impact of these initiatives to the Company.</w:t>
      </w:r>
    </w:p>
    <w:p>
      <w:pPr>
        <w:spacing w:after="0" w:line="168"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As a result of the 2017 Tax Act, foreign earnings may now generally be repatriated back to the U.S. without incurring U.S. federal income tax. Historically, we have asserted our intention to indefinitely reinvest the cumulative undistributed earnings of our foreign subsidiaries. In response to increased cash requirements in the U.S. related to our declaration of a special cash dividend and other strategic initiatives during the fourth quarter of 2019, we determined that we no longer consider $435 million of these foreign earnings to be indefinitely reinvested. During the year ended December 31, 2019, we recorded a deferred tax liability of $1 million for the U.S. state income tax and foreign withholding tax liabilities on the cumulative undistributed foreign earnings that are not indefinitely reinvested. We intend to indefinitely reinvest $118 million of our foreign earnings in our non-US subsidiaries. Determination of the amount of unrecognized deferred income tax liability related to these earnings is not practicable.</w:t>
      </w:r>
    </w:p>
    <w:p>
      <w:pPr>
        <w:spacing w:after="0" w:line="177"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 xml:space="preserve">Refer to “Note 9: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unaudited condensed consolidated financial statements in Item 1 in this Quarterly Report on Form 10-Q for further information on potential contingencies, including current audits by the IRS and various other domestic and foreign tax authorities, and other income tax and non-income tax matters.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as a result of the COVID-19 pandemic. The risk of loss can be assessed from the perspective of adverse changes in our future earnings, cash flows, fair values of our assets, and financial condition. Our exposure to market risk, at any point in time, may include risk to our credit facilities and related borrowings, derivative instruments, cash and cash equivalents, short term and long term marketable securities, accounts receivable, intercompany receivables/payables, accounts payable and deferred merchant payables denominated in foreign currencies. We have established policies, procedures and internal processes governing our management of market risks and the use of financial instruments to manage and attempt to mitigate our exposure to such risks.</w:t>
      </w:r>
    </w:p>
    <w:p>
      <w:pPr>
        <w:spacing w:after="0" w:line="178"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 xml:space="preserve">There has been no material change in our market risk profile during the six months ended June 30, 2020, with the exception of the impacts from the COVID-19 pandemic. For a discussion of market conditions and impacts on the Company’s financials resulting from the COVID-19 pandemic, refer to “Note 1: </w:t>
      </w:r>
      <w:r>
        <w:rPr>
          <w:rFonts w:ascii="Arial" w:cs="Arial" w:eastAsia="Arial" w:hAnsi="Arial"/>
          <w:sz w:val="16"/>
          <w:szCs w:val="16"/>
          <w:i w:val="1"/>
          <w:iCs w:val="1"/>
          <w:color w:val="auto"/>
        </w:rPr>
        <w:t>Business Description and Basis of Presentation</w:t>
      </w:r>
      <w:r>
        <w:rPr>
          <w:rFonts w:ascii="Arial" w:cs="Arial" w:eastAsia="Arial" w:hAnsi="Arial"/>
          <w:sz w:val="16"/>
          <w:szCs w:val="16"/>
          <w:color w:val="auto"/>
        </w:rPr>
        <w:t>” in the notes to our unaudited condensed consolidated financial statements in Item 1 in this Quarterly Report on Form 10-Q, and for further information, Part I, Item 2, "</w:t>
      </w:r>
      <w:r>
        <w:rPr>
          <w:rFonts w:ascii="Arial" w:cs="Arial" w:eastAsia="Arial" w:hAnsi="Arial"/>
          <w:sz w:val="16"/>
          <w:szCs w:val="16"/>
          <w:i w:val="1"/>
          <w:iCs w:val="1"/>
          <w:color w:val="auto"/>
        </w:rPr>
        <w:t>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 and to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For additional information about our market risk profile, refer to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in Item 7A. in Part II of our Annual Report on Form 10-K for the year ended December 31, 2019.</w:t>
      </w:r>
    </w:p>
    <w:p>
      <w:pPr>
        <w:spacing w:after="0" w:line="164"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Since the U.K. initiated the process to exit the European Union (“E.U.”), known as Brexit, global markets and foreign exchange rates have experienced increased volatility, especially between the British pound and the U.S. dollar. We have significant operations in both the U.K. and the E.U. Our operations and those of our business partners are highly integrated across the U.K. and the E.U. and are highly dependent on the free flow of labor and goods in those regions. Although the U.K. ceased to be a member of the E.U. on January 31, 2020, the U.K. and E.U. will continue to work on the terms of the departure through a transition period ending December 31, 2020. As a result, there remains significant uncertainty about the future relationship between the U.K. and the E.U. The ongoing uncertainty and potential outcomes could negatively impact our relationships with our employees, business partners and vendors and could negatively impact our financial performance. In addition, uncertainty could continue to adversely affect consumer confidence and spending in the U.K. We could face new regulatory costs and challenges when the U.K. does leave the E.U. and U.K. regulations diverge from those of the E.U. Since the U.K.’s exit from the E.U. and the terms of that exit are uncertain, we are unable to predict the effect Brexit will have on our business and results of operations.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As of June 30, 2020, our management, with the participation of our Chief Executive Officer and President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President and our Chief Financial Officer concluded that, as of June 30, 2020,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380" w:firstLine="510"/>
        <w:spacing w:after="0" w:line="311" w:lineRule="auto"/>
        <w:rPr>
          <w:sz w:val="20"/>
          <w:szCs w:val="20"/>
          <w:color w:val="auto"/>
        </w:rPr>
      </w:pPr>
      <w:r>
        <w:rPr>
          <w:rFonts w:ascii="Arial" w:cs="Arial" w:eastAsia="Arial" w:hAnsi="Arial"/>
          <w:sz w:val="16"/>
          <w:szCs w:val="16"/>
          <w:color w:val="auto"/>
        </w:rPr>
        <w:t>There were no changes to our internal control over financial reporting that occurred during the quarter ended June 30, 2020 that have materially affected, or are reasonably likely to materially affect, our internal control over financial reporting. We have not experienced any material impact to our internal controls over financial reporting despite the fact that most of our employees are working remotely due to the COVID-19 pandemic.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In the ordinary course of business, we are parties to legal proceedings and claims involving alleged infringement of third-party intellectual property rights, defamation and free speech, tax matters, regulatory compliance, personal injury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i w:val="1"/>
          <w:iCs w:val="1"/>
          <w:color w:val="auto"/>
        </w:rPr>
        <w:t>You should consider carefully the risks described below together with all of the other information included in this Quarterly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i w:val="1"/>
          <w:iCs w:val="1"/>
          <w:color w:val="auto"/>
        </w:rPr>
        <w:t>The COVID-19 pandemic has materially and adversely affected, and will likely continue to materially and adversely impact our business and financial performance for the foreseeable future</w:t>
      </w:r>
      <w:r>
        <w:rPr>
          <w:rFonts w:ascii="Arial" w:cs="Arial" w:eastAsia="Arial" w:hAnsi="Arial"/>
          <w:sz w:val="18"/>
          <w:szCs w:val="18"/>
          <w:i w:val="1"/>
          <w:iCs w:val="1"/>
          <w:color w:val="auto"/>
        </w:rPr>
        <w:t>.</w:t>
      </w:r>
    </w:p>
    <w:p>
      <w:pPr>
        <w:spacing w:after="0" w:line="185"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The impact of COVID-19, including increased governmental restrictions and mandates globally, has caused material declines in demand within the travel, hospitality, restaurant and leisure industry that has dampened consumer demand for our products and services, which has adversely and materially affected our business, results of operations and financial condition. We believe the COVID-19 pandemic will continue to lead to disruptions in the global economy, travel industry and our business. The extent of the impact of the COVID-19 pandemic on our business is highly uncertain and difficult to predict, as the response to the pandemic is ongoing, information is rapidly evolving, and the duration and severity of the pandemic are also uncertain and cannot be predicted. We do not have visibility into when these bans will be lifted, nor do we have visibility into the changes to consumer usage patterns on our platform or travel behavior patterns when travel bans and other government restrictions and mandates are lifted. We expect the COVID-19 pandemic and its effects to continue to have a significant adverse impact on our business for the duration of the pandemic and during the subsequent economic recovery, which could be an extended period of time.</w:t>
      </w:r>
    </w:p>
    <w:p>
      <w:pPr>
        <w:spacing w:after="0" w:line="18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Furthermore, capital markets and economies worldwide have also been negatively impacted by the COVID-19 pandemic, and it is possible that it could cause a protracted local and/or global economic recession. Such economic disruption could have a material adverse effect on our business as consumers reduce their discretionary spending. Policymakers around the globe have responded with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fiscal policy actions to support certain areas of the travel industry and economy as a whole. The magnitude and overall effectiveness of these actions remains uncertain.</w:t>
      </w:r>
    </w:p>
    <w:p>
      <w:pPr>
        <w:spacing w:after="0" w:line="17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Company's future results of operations and liquidity could also be adversely impacted by delays in payments of outstanding accounts receivable amounts beyond normal payment terms, travel supplier and restaurant insolvencies, and the impact of any initiatives or programs that the Company may undertake to address financial and operational challenges faced by the Company and its customers. As of the date of issuance of these unaudited condensed consolidated financial statements, the extent to which the COVID-19 pandemic may materially impact the Company's financial condition, liquidity, or results of operations in the future is uncertain.</w:t>
      </w:r>
    </w:p>
    <w:p>
      <w:pPr>
        <w:spacing w:after="0" w:line="18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ultimate extent of the COVID-19 pandemic and its impact on travel and regional and global markets and overall economic activity in currently affected countries or globally is unknown and impossible to predict with certainty. The extent and duration of the impact of COVID-19 on our business over the long term remains largely uncertain and dependent on future developments that cannot be accurately predicted at this time, such as the severity and transmission rate of COVID-19, the extent and effectiveness of containment actions taken, including mobility and travel restrictions, and the impact of these and other factors on travel behavior. Because these events or concerns, and the full impact of their effects, are largely unpredictable, they can dramatically and suddenly affect travel behavior by consumers, and therefore demand for our services and our relationships with travel service providers and other partners, any of which can adversely and materially affect our business, results of operations and financial condition and could cause the market price of our common stock to decline.</w:t>
      </w:r>
    </w:p>
    <w:p>
      <w:pPr>
        <w:spacing w:after="0" w:line="30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Declines or disruptions in the travel industry have had a material adverse impact on the Company’s business, results of operations and financial condition. Increased and/or prolonged government restrictions and regulation, including various travel and mobility restrictions related to COVID-19, could continue to negatively impact our business, results of operations and financial condition and could cause the market price of our common stock to decline.</w:t>
      </w:r>
    </w:p>
    <w:p>
      <w:pPr>
        <w:spacing w:after="0" w:line="295" w:lineRule="exact"/>
        <w:rPr>
          <w:sz w:val="20"/>
          <w:szCs w:val="20"/>
          <w:color w:val="auto"/>
        </w:rPr>
      </w:pPr>
    </w:p>
    <w:p>
      <w:pPr>
        <w:ind w:right="180" w:firstLine="510"/>
        <w:spacing w:after="0" w:line="272" w:lineRule="auto"/>
        <w:rPr>
          <w:sz w:val="20"/>
          <w:szCs w:val="20"/>
          <w:color w:val="auto"/>
        </w:rPr>
      </w:pPr>
      <w:r>
        <w:rPr>
          <w:rFonts w:ascii="Arial" w:cs="Arial" w:eastAsia="Arial" w:hAnsi="Arial"/>
          <w:sz w:val="17"/>
          <w:szCs w:val="17"/>
          <w:color w:val="auto"/>
        </w:rPr>
        <w:t>As a result of the COVID-19 pandemic, we began in late February 2020 to experience, and continue to experience, a significant decline in travel demand and increase in customer cancellations as compared to the similar timeframe in 2019. By the end of February and in March 2020, concerns about COVID-19 had intensified on a global basis and have materially and negatively impacted travel demand (and therefore our business), with widespread travel restrictions imposed by governments and businesses. Many jurisdictions have adopted laws, rules, regulations or decrees intended to address the COVID-19 pandemic, including implementing travel restrictions or restricting access to city centers or popular tourist destinations or limiting accommodation offerings in surrounding areas. Many airlines have also suspended or limited flights. In addition, many jurisdictions have limited social mobility and gathering, which could further negatively impact the services we provide.</w:t>
      </w:r>
    </w:p>
    <w:p>
      <w:pPr>
        <w:spacing w:after="0" w:line="285"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As the COVID-19 pandemic develops, governments, corporations and other authorities may continue to implement restrictions or policies that adversely impact our business, or reinstate similar restrictions or policies, where previously lifted. Similarly, certain health authorities, such as the WHO and the Centers for Disease Control and Prevention, encourage social distancing and generally advise against gathering in public spaces to prevent the spread of COVID-19. We continue to work with our travelers and travel partners to address cancellations, requests for refunds, rebookings and other matters.</w:t>
      </w:r>
    </w:p>
    <w:p>
      <w:pPr>
        <w:spacing w:after="0" w:line="29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If we are unable to continue to attract a significant amount of visitors to our websites and mobile apps, to cost-effectively convert these visitors into revenue-generating users and to continue to engage our users, our revenue, financial results and business could be harmed.</w:t>
      </w:r>
    </w:p>
    <w:p>
      <w:pPr>
        <w:spacing w:after="0" w:line="124"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Our long-term success depends on our continued ability to attract a significant number of visitors to our platforms in a cost-effective manner, to convert those visitors into revenue-generating users, or consumers, and then to continue to engage those consumers throughout the travel planning, booking and trip-taking phases. Our traffic and user engagement could be adversely affected by a number of factors, including but not limited to, increased competition; inability to provide quality content, inventory or supply to our consumers; declines or inefficiencies in traffic acquisition; reduced awareness of our brands; and macroeconomic conditions. Certain of our competitors have advertising campaigns expressly designed to drive traffic directly to their websites, and these campaigns may negatively impact traffic to our site. Our traffic growth could decline over time and our success could become increasingly dependent on our ability to increase levels of user engagement on our platform. There can be no assurances that we will continue to provide content and products in a manner that meets rapidly changing demand. Any failure to obtain and manage content and products in a cost-effective manner that will engage users, or any failure to provide content and products that are perceived as useful, reliable and trustworthy, could adversely affect user experiences and their repeat behavior, reduce traffic to our websites and negatively impact our business and financial performance.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We rely on internet search engines and application marketplaces to drive traffic to our platform, certain providers of which offer products and services that compete directly with our products. If links to our websites and apps are not displayed prominently, traffic to our platform could decline and our business would be negatively affected.</w:t>
      </w:r>
    </w:p>
    <w:p>
      <w:pPr>
        <w:spacing w:after="0" w:line="18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rely heavily on internet search engines to generate a significant amount of traffic to our websites, principally through SEM (i.e., the purchase of travel-related keywords, or paid traffic) as well as through SEO (i.e., free traffic, or organic, search). The number of consumers we attract from search engines to our platform is due in large part to how and where information from, and links to, our websites are displayed on search engine results pages, or SERPs. The display, including rankings, of search results can be affected by a number of factors, many of which are not in our control and may change frequently. Search engines frequently update and change the logic that determines the placement and display of the results of a user’s search, such that the purchased or algorithmic placement of links to our websites can be negatively affected. In addition, a search engine could, for competitive or other purposes, alter its search algorithms or results causing our websites to place lower in search query results. If a major search engine changes its algorithms in a manner that negatively affects the search engine ranking of our websites or those of our travel partners, or if competitive dynamics impact the cost or effectiveness of SEO or SEM in a negative manner, our business and financial performance would be adversely affected. Furthermore, our failure to successfully manage our SEO and SEM strategies and/or other traffic acquisition strategies could result in a substantial decrease in traffic to our websites, as well as increased costs to the extent we replace free traffic with paid traffic.</w:t>
      </w:r>
    </w:p>
    <w:p>
      <w:pPr>
        <w:spacing w:after="0" w:line="182"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In some instances, search and metasearch companies and application marketplaces may change their displays or rankings in order to promote their own competing products or services or the products or services of one or more of our competitors. For example, Google, a significant source of traffic to our website accounting for a substantial portion of the visits to our websites, frequently promotes its own competing products in its web search results, which has negatively impacted placement of references to our company and our website on the SERP. Google’s promotion of its own competing products, or similar actions by Google in the future that have the effect of reducing our prominence or ranking on its search results, could have a substantial negative effect on our business and results of operations.</w:t>
      </w:r>
    </w:p>
    <w:p>
      <w:pPr>
        <w:spacing w:after="0" w:line="192"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We also rely on application marketplaces, or app stores such as Apple’s App Store and Google’s Play, to drive downloads of our applications. In the future, Apple, Google or other marketplace operators may make changes to their marketplaces that make access to our products more difficult. For example, Google has entered various aspects of the online travel market, including by establishing a flight metasearch product and hotel metasearch product as well as reservation functionality. Our applications may receive unfavorable treatment compared to the promotion and placement of competing applications, such as the order in which they appear within marketplaces. Similarly, if problems arise in our relationships with providers of application marketplaces, traffic to our site and our user growth could be harmed.</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derive a substantial portion of our revenue from advertising and any significant reduction in spending by advertisers or redirections of advertising spend could harm our business.</w:t>
      </w:r>
    </w:p>
    <w:p>
      <w:pPr>
        <w:spacing w:after="0" w:line="170"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We derive a substantial portion of our revenue from the sale of advertising, primarily through click-based advertising and, to a lesser extent, display-based and subscription-based advertising. We enter into advertising contracts with our advertising partners; however, the agreement terms are generally limited to legal matters, with campaign details and economics governed by insertion orders, and most of these contracts can be terminated by our partners at will or on short notice. Our ability to grow advertising revenue with our existing or new advertising partners is dependent in large part on our ability to generate revenue for them relative to other alternatives. Advertisers will not continue to do business with us if their investment in such advertising does not generate sales leads, customers, bookings, or revenue and profit on a cost-effective basis. Our ability to provide value to our advertising partners depends on a number of factors, including effectiveness of online advertising, competitiveness of our products, traffic quality, perception of our platform, availability and accuracy of analytics and measurement solutions to demonstrate our value, and macroeconomic conditions, whether in the advertising industry generally, among specific types of marketers or within particular geographies. We cannot guarantee that our current advertisers will fulfill their obligations under existing contracts, continue to advertise beyond the terms of existing contracts or enter into any additional contracts with us.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advertising revenue could be impacted by a number of other factors, including, but not limited to, the following:</w:t>
      </w:r>
    </w:p>
    <w:p>
      <w:pPr>
        <w:spacing w:after="0" w:line="117" w:lineRule="exact"/>
        <w:rPr>
          <w:sz w:val="20"/>
          <w:szCs w:val="20"/>
          <w:color w:val="auto"/>
        </w:rPr>
      </w:pPr>
    </w:p>
    <w:p>
      <w:pPr>
        <w:ind w:left="1000" w:hanging="35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increase or maintain user engagement;</w:t>
      </w:r>
    </w:p>
    <w:p>
      <w:pPr>
        <w:spacing w:after="0" w:line="117" w:lineRule="exact"/>
        <w:rPr>
          <w:rFonts w:ascii="Arial" w:cs="Arial" w:eastAsia="Arial" w:hAnsi="Arial"/>
          <w:sz w:val="18"/>
          <w:szCs w:val="18"/>
          <w:color w:val="auto"/>
        </w:rPr>
      </w:pPr>
    </w:p>
    <w:p>
      <w:pPr>
        <w:ind w:left="1000" w:right="440" w:hanging="35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increase or maintain the quantity and quality of ads shown to consumers, including as a result of technical infrastructure constraints;</w:t>
      </w:r>
    </w:p>
    <w:p>
      <w:pPr>
        <w:spacing w:after="0" w:line="62" w:lineRule="exact"/>
        <w:rPr>
          <w:rFonts w:ascii="Arial" w:cs="Arial" w:eastAsia="Arial" w:hAnsi="Arial"/>
          <w:sz w:val="18"/>
          <w:szCs w:val="18"/>
          <w:color w:val="auto"/>
        </w:rPr>
      </w:pPr>
    </w:p>
    <w:p>
      <w:pPr>
        <w:ind w:left="1000" w:right="620" w:hanging="35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development of technologies that can block the display of our ads or block our ad measurement tools, particularly for advertising displayed on tablets and/or on mobile platforms;</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ad targeting or degree to which consumers opt out of certain types of ad targeting;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ind w:left="1000" w:right="920" w:hanging="35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government actions or legal developments relating to advertising, including legislative and regulatory developments and developments in litigation that limit our ability to deliver or target advertising; and</w:t>
      </w:r>
    </w:p>
    <w:p>
      <w:pPr>
        <w:spacing w:after="0" w:line="62" w:lineRule="exact"/>
        <w:rPr>
          <w:rFonts w:ascii="Arial" w:cs="Arial" w:eastAsia="Arial" w:hAnsi="Arial"/>
          <w:sz w:val="18"/>
          <w:szCs w:val="18"/>
          <w:color w:val="auto"/>
        </w:rPr>
      </w:pPr>
    </w:p>
    <w:p>
      <w:pPr>
        <w:ind w:left="1000" w:right="520" w:hanging="35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macroeconomic conditions, whether in the advertising industry in general or among special types of marketers or within particular geographies.</w:t>
      </w:r>
    </w:p>
    <w:p>
      <w:pPr>
        <w:spacing w:after="0" w:line="170"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The occurrence of any of these or other factors could result in a reduction in demand for our ads, which may reduce the prices we receive for our ads, or cause marketers to stop advertising with us altogether, either of which would negatively affect our revenue and financial results.</w:t>
      </w:r>
    </w:p>
    <w:p>
      <w:pPr>
        <w:spacing w:after="0" w:line="146" w:lineRule="exact"/>
        <w:rPr>
          <w:sz w:val="20"/>
          <w:szCs w:val="20"/>
          <w:color w:val="auto"/>
        </w:rPr>
      </w:pPr>
    </w:p>
    <w:p>
      <w:pPr>
        <w:jc w:val="both"/>
        <w:ind w:right="20" w:firstLine="510"/>
        <w:spacing w:after="0" w:line="279" w:lineRule="auto"/>
        <w:rPr>
          <w:sz w:val="20"/>
          <w:szCs w:val="20"/>
          <w:color w:val="auto"/>
        </w:rPr>
      </w:pPr>
      <w:r>
        <w:rPr>
          <w:rFonts w:ascii="Arial" w:cs="Arial" w:eastAsia="Arial" w:hAnsi="Arial"/>
          <w:sz w:val="17"/>
          <w:szCs w:val="17"/>
          <w:color w:val="auto"/>
        </w:rPr>
        <w:t>Click-based advertising revenue accounts for the majority of our advertising revenue. Our CPC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click-based advertising revenue which would, in turn, have an adverse effect on our business, financial condition and results of operations.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a relatively small number of significant advertising partners and any reduction in spending by or loss of these partners could seriously harm our business.</w:t>
      </w:r>
    </w:p>
    <w:p>
      <w:pPr>
        <w:spacing w:after="0" w:line="170"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We derive a substantial portion of our revenue from a relatively small number of advertising partners and rely significantly on our relationships. For example, for the year ended December 31, 2019, our two most significant advertising partners, Expedia and Booking (and their subsidiaries), accounted for a combined 33% of total revenue. While we enter into master advertising contracts with our partners, as discussed above, most of these contracts can be terminated by our partners at will or on short notice. If any of our significant advertisers were to cease or significantly curtail advertising on our websites, we could experience a rapid decline in our revenue over a relatively short period of time which would have a material impact on our business.</w:t>
      </w:r>
    </w:p>
    <w:p>
      <w:pPr>
        <w:spacing w:after="0" w:line="16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Our business depends on a strong brand and any failure to maintain, protect and enhance our brand could hurt our ability to retain and expand our base of consumers and partners, as well as increase the frequency with which consumers utilize our products and services.</w:t>
      </w:r>
    </w:p>
    <w:p>
      <w:pPr>
        <w:spacing w:after="0" w:line="124"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believe that the strength of our brands (particularly the Tripadvisor brand) has contributed significantly to our success. We also believe that maintaining, protecting and enhancing our brands is critical to expanding our base of consumers, increasing the frequency with which consumers utilize our solutions and attracting advertisers and business partners. Our ability to maintain and protect our brand depends, in part, on our ability to maintain consumer trust in our products and in the quality, integrity, reliability of usefulness of the content and other information found on our platform. For example, if consumers do not view our reviews to be useful and reliable, they may seek other sources to obtain the information they are looking for and may not return to our platform as often in the future, or at all. This would negatively impact our ability to attract and retain consumers and partners and the frequency with which they use our platform. We dedicate significant resources to these goals, primarily through our computer algorithms and teams of moderators that are focused on identifying inappropriate, unreliable or deceptive content. We remove those types of content from our website and, in certain cases, take legal action against individuals or businesses that we believe have engaged in deceptive practices.</w:t>
      </w:r>
    </w:p>
    <w:p>
      <w:pPr>
        <w:spacing w:after="0" w:line="181" w:lineRule="exact"/>
        <w:rPr>
          <w:sz w:val="20"/>
          <w:szCs w:val="20"/>
          <w:color w:val="auto"/>
        </w:rPr>
      </w:pPr>
    </w:p>
    <w:p>
      <w:pPr>
        <w:ind w:right="40" w:firstLine="494"/>
        <w:spacing w:after="0" w:line="289" w:lineRule="auto"/>
        <w:rPr>
          <w:sz w:val="20"/>
          <w:szCs w:val="20"/>
          <w:color w:val="auto"/>
        </w:rPr>
      </w:pPr>
      <w:r>
        <w:rPr>
          <w:rFonts w:ascii="Arial" w:cs="Arial" w:eastAsia="Arial" w:hAnsi="Arial"/>
          <w:sz w:val="16"/>
          <w:szCs w:val="16"/>
          <w:color w:val="auto"/>
        </w:rPr>
        <w:t>Media, legislative, or regulatory scrutiny of our decisions regarding user privacy, content, advertising, and other issues may adversely affect our reputation and brands. Negative publicity about our company, including our content, technology, business practices or strategic plans, could diminish our reputation and confidence in our brand, thereby negatively affecting the use of our products and potentially even our share price. For example, certain media outlets have alleged that we have improperly filtered or screened reviews, that we have not properly verified reviews, or that we manipulate reviews, ranking and ratings in favor of our advertisers against non-advertisers. We expend significant resources to ensure the integrity of our reviews and to ensure that the most relevant reviews are available to our consumers; we do not establish rankings and ratings in favor of our advertisers. Nevertheless, our reputation and brand, the traffic to our platform, our business and potentially even our share price may suffer from negative publicity about our company or if consumers otherwise perceive that our content is manipulated or biased. In addition, regulatory inquiries or investigations require management time and attention and could result in further negative publicity, regardless of their merits or ultimate outcomes.</w:t>
      </w:r>
    </w:p>
    <w:p>
      <w:pPr>
        <w:spacing w:after="0" w:line="166" w:lineRule="exact"/>
        <w:rPr>
          <w:sz w:val="20"/>
          <w:szCs w:val="20"/>
          <w:color w:val="auto"/>
        </w:rPr>
      </w:pPr>
    </w:p>
    <w:p>
      <w:pPr>
        <w:ind w:right="320" w:firstLine="510"/>
        <w:spacing w:after="0" w:line="286" w:lineRule="auto"/>
        <w:rPr>
          <w:sz w:val="20"/>
          <w:szCs w:val="20"/>
          <w:color w:val="auto"/>
        </w:rPr>
      </w:pPr>
      <w:r>
        <w:rPr>
          <w:rFonts w:ascii="Arial" w:cs="Arial" w:eastAsia="Arial" w:hAnsi="Arial"/>
          <w:sz w:val="17"/>
          <w:szCs w:val="17"/>
          <w:color w:val="auto"/>
        </w:rPr>
        <w:t>In addition, unfavorable publicity regarding, for example, our practices relating to privacy and data protection, product changes, competitive pressures, litigation or regulatory activity could adversely affect our reputation with our consumers and our partners. Such negative publicity also could have an adverse effect on the size, engagement, and loyalty of our user base and result in decreased revenue.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2" w:name="page53"/>
    <w:bookmarkEnd w:id="52"/>
    <w:p>
      <w:pPr>
        <w:ind w:right="300"/>
        <w:spacing w:after="0" w:line="277" w:lineRule="auto"/>
        <w:rPr>
          <w:sz w:val="20"/>
          <w:szCs w:val="20"/>
          <w:color w:val="auto"/>
        </w:rPr>
      </w:pPr>
      <w:r>
        <w:rPr>
          <w:rFonts w:ascii="Arial" w:cs="Arial" w:eastAsia="Arial" w:hAnsi="Arial"/>
          <w:sz w:val="18"/>
          <w:szCs w:val="18"/>
          <w:b w:val="1"/>
          <w:bCs w:val="1"/>
          <w:i w:val="1"/>
          <w:iCs w:val="1"/>
          <w:color w:val="auto"/>
        </w:rPr>
        <w:t>Consumer adoption and use of mobile devices creates new challenges. If we are unable to operate effectively on these platforms or our products for such devices are not compelling, our business may be adversely affected.</w:t>
      </w:r>
    </w:p>
    <w:p>
      <w:pPr>
        <w:spacing w:after="0" w:line="18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Widespread adoption of mobile devices, such as the iPhone, Android-enabled smartphones and tablets such as the iPad, coupled with web browsing functionality and development of thousands of useful apps available on these devices, is driving substantial online traffic and commerce to mobile platforms. We have experienced a significant shift of business to mobile platforms and our advertising partners have also experienced a rapid shift of traffic to mobile platforms. We anticipate that the rate of use of these devices will continue to grow. The functionality and user experience associated with these alternative devices, such as a smaller screen size or lack of a screen, may make the use of our platform through such devices more difficult. Our websites and apps, when utilized on mobile phone devices, monetize at a significantly lower rate than desktops and advertising opportunities are more limited on these mobile devices. Additionally, consumer purchasing patterns differ on alternative devices. For example, accommodation reservations made on a mobile device typically are for shorter lengths of stay and are not made as far in advance. Mobile consumers may also be unwilling to download multiple apps from multiple companies providing similar services or contribute high quality content through such devices. As a result, the consumer experience with mobile apps and brand recognition are likely to become increasingly important. We expect that the ways in which consumers engage with our platform will continue to change over time as consumers increasingly engage via alternative devices.</w:t>
      </w:r>
    </w:p>
    <w:p>
      <w:pPr>
        <w:spacing w:after="0" w:line="182"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It is increasingly important for us to develop and maintain effective platforms to drive adoption and user engagement by providing consumers with an appealing, easy-to-use experience. As new devices and platforms are continually being released, it is difficult to predict the problems we may encounter in adapting our products and services to them – and developing competitive new products and services - and we may need to devote significant resources to the creation, support and maintenance of such products. If we are unable to continue to rapidly innovate and create new, user-friendly and differentiated offerings and efficiently and effectively advertise and distribute on these platforms, or if our offerings are not used by consumers, we could lose market share and our business, future growth and results of operations could be adversely affected.</w:t>
      </w:r>
    </w:p>
    <w:p>
      <w:pPr>
        <w:spacing w:after="0" w:line="178"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Our success will also depend on the interoperability of our products with a range of technologies, systems, networks and standards or in creating, maintaining and developing relationships with key participants in related industries, some of which may be our competitors. For example, Google’s Android and Apple’s iPhone are the leading smartphones in the world; therefore, our products need to synergistically function on their respective operating systems in order to create a positive user experience on a mobile device. However, Google could leverage its Android operating system to give its travel services a competitive advantage, either technically or with prominence on its Google Play app store or within its mobile search results. Similarly, Apple obtained a patent for “iTravel,” a mobile app that would allow a traveler to check in for a travel reservation. In addition, Apple’s iPhone operating system includes “Wallet,” a virtual wallet app that holds tickets, boarding passes, coupons and gift cards, and, along with iTravel, may be indicative of Apple’s intent to enter the travel reservations business in some capacity. Apple has substantial market share in the smartphone category and controls integration of offerings, including travel services, into its mobile operating system. Apple also has more experience producing and developing mobile apps and has access to greater resources than we do. Apple may use or expand iTravel, Wallet, Siri (Apple’s voice recognition “concierge” service), Apple Pay (Apple’s mobile payment system) or another mobile app or functionality as a means of entering the travel reservations marketplace. To the extent Google or Apple use their mobile operating systems, app distribution channels or, in the case of Google, search services, to favor their own travel service offerings, there may be an adverse effect on our ability to compete in the mobile space.</w:t>
      </w:r>
    </w:p>
    <w:p>
      <w:pPr>
        <w:spacing w:after="0" w:line="186"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We may not be successful in developing products that operate effectively with these technologies, systems, networks and standards or in creating, maintaining and developing relationships with key participants in related industries. If we experience difficulties or increased costs in integrating our products into alternative devices, or if manufacturers elect not to include our products in their devices, make changes that degrade the functionality of our products, give preferential treatment to competitive products or prevent us from delivering advertising, our user growth and results of operations may be harmed. This risk may be exacerbated by the frequency with which consumers change or upgrade their devices. In the event consumers choose devices that do not already include or support our platform or do not install our products when they change or upgrade their devices, our traffic and user engagement may be harmed.</w:t>
      </w:r>
    </w:p>
    <w:p>
      <w:pPr>
        <w:spacing w:after="0" w:line="195"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In addition, the market for advertising products on mobile and other devices is rapidly evolving. As new devices and platforms are released, consumers may begin consuming content in a manner that is more difficult to monetize. Similarly, as advertising products for mobile and other platforms develop, demand may increase for products that we do not offer or that may alienate our user base, which we must balance against our commitment to prioritizing the quality of user experience over short-term monetization. If we are not able to balance these competing considerations successfully to develop compelling advertising products, advertisers may stop or reduce their advertising with us and we may not be able to generate meaningful revenue from alternative devices despite the expected growth in their usage.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ind w:right="340"/>
        <w:spacing w:after="0" w:line="277" w:lineRule="auto"/>
        <w:rPr>
          <w:sz w:val="20"/>
          <w:szCs w:val="20"/>
          <w:color w:val="auto"/>
        </w:rPr>
      </w:pPr>
      <w:r>
        <w:rPr>
          <w:rFonts w:ascii="Arial" w:cs="Arial" w:eastAsia="Arial" w:hAnsi="Arial"/>
          <w:sz w:val="18"/>
          <w:szCs w:val="18"/>
          <w:b w:val="1"/>
          <w:bCs w:val="1"/>
          <w:i w:val="1"/>
          <w:iCs w:val="1"/>
          <w:color w:val="auto"/>
        </w:rPr>
        <w:t>Declines or disruptions in the economy in general and travel industry, in particular, could adversely affect our businesses, results of operations and financial condition and could cause the market price of our common stock to decline.</w:t>
      </w:r>
    </w:p>
    <w:p>
      <w:pPr>
        <w:spacing w:after="0" w:line="27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Our businesses, results of operations and financial condition, as well as the market price of our common stock, are affected by the health of the global economy generally as well as the travel industry and leisure travel in particular. Sales of travel services tend to decline or grow more slowly during economic downturns and recessions when consumers engage in less discretionary spending, are concerned about unemployment or economic weakness, have reduced access to creditor experience other concerns that reduce their ability or willingness to travel. The global economy may be adversely impacted by unforeseen events beyond our control including incidents of actual or threatened terrorism, regional hostilities or instability, unusual weather patterns, natural disasters, political instability and health concerns (including epidemics or pandemics), defaults on government debt, significant increases in fuel and energy costs, tax increases and other matters that could reduce discretionary spending, tightening of credit markets and declines in consumer confidence. Decreased travel spending could reduce the demand for our services and have a negative impact on our business and results of operations. In addition, the uncertainty of macro-economic factors and their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results of operations and financial condition and could cause the market price of our common stock to decline.</w:t>
      </w:r>
    </w:p>
    <w:p>
      <w:pPr>
        <w:spacing w:after="0" w:line="17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The global outbreak of COVID-19 has adversely affected global business activities and has resulted in significant uncertainty in the global economy and volatility in financial markets, including volatility in the market price of our common stock. The outbreak of communicable diseases, such as COVID-19, or the perception that such an outbreak could occur, has and may continue to result in a widespread public health crisis that could adversely affect the economies and financial markets of many countries, resulting in a decline in the market price of our common stock and an economic downturn and a worldwide recession that would negatively impact the travel industry and leisure travel. In particular, the economic slowdown resulting from the COVID-19 pandemic could result in a prolonged period of increased unemployment and a reduction in available budgets for both business and leisure travelers, which could further result in a significant decline in the amount of tourism and consumer spending and provoke changes in consumer spending habits. This may significantly decrease spending on the services we provide by both business and leisure travelers and have a material adverse impact on our business and results of operations. Additionally, if individual countries or regions experience deteriorating credit and economic conditions and/or significant fluctuations of currency values relative to other currencies, such as the U.S. dollar, it can lead to a negative impact on our foreign denominated net assets, revenues, operating expenses and net income as expressed in U.S. dollars.</w:t>
      </w:r>
    </w:p>
    <w:p>
      <w:pPr>
        <w:spacing w:after="0" w:line="182" w:lineRule="exact"/>
        <w:rPr>
          <w:sz w:val="20"/>
          <w:szCs w:val="20"/>
          <w:color w:val="auto"/>
        </w:rPr>
      </w:pPr>
    </w:p>
    <w:p>
      <w:pPr>
        <w:ind w:right="100" w:firstLine="510"/>
        <w:spacing w:after="0" w:line="253" w:lineRule="auto"/>
        <w:rPr>
          <w:sz w:val="20"/>
          <w:szCs w:val="20"/>
          <w:color w:val="auto"/>
        </w:rPr>
      </w:pPr>
      <w:r>
        <w:rPr>
          <w:rFonts w:ascii="Arial" w:cs="Arial" w:eastAsia="Arial" w:hAnsi="Arial"/>
          <w:sz w:val="18"/>
          <w:szCs w:val="18"/>
          <w:color w:val="auto"/>
        </w:rPr>
        <w:t>In addition, since the U.K. initiated the process to exit the E.U., known as Brexit, global markets and foreign exchange rates have experienced increased volatility, including a decline in the value of the British pound as compared to the U.S. dollar. We have significant operations in both the U.K. and the E.U. Our operations and those of our merchants are highly integrated across the U.K. and the E.U. and are highly dependent on the free flow of labor and goods in those regions. Although the U.K. ceased to be a member of the E.U. on January 31, 2020, the U.K. and the E.U. will continue to work on the terms of the departure through a transition period ending December 31, 2020. As a result, there remains significant uncertainty about the future relationship between the U.K. and the E.U. The ongoing uncertainty and potential outcomes could negatively impact our merchant and customer relationships and results of operations. In addition, uncertainty could continue to adversely affect consumer confidence and spending in the U.K. We could face new regulatory costs and challenges when the final terms of the governing relationships and final U.K. regulations are determined. Since the final terms of that exit and the U.K. regulatory environment are uncertain, we are unable to predict the effect Brexit will have on our business and results of operations.</w:t>
      </w:r>
    </w:p>
    <w:p>
      <w:pPr>
        <w:spacing w:after="0" w:line="194"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Economic downturn and adverse credit market conditions, whether in response to the COVID-19 pandemic, Brexit or other factors, may negatively impact us, as well as our travel partners that sell their services and products through our platform. In addition, our travel partners, especially our smaller or medium sized partners’, access to capital, cost of capital and ability to meet liquidity needs could be adversely affected in a prolonged economic downturn or deterioration in the travel industry, which could further adversely impact our business, financial condition and results of operations. The extent and duration of such impacts remain largely uncertain and dependent on future developments that cannot be accurately predicted at this time, such as the severity and transmission rate of the coronavirus, the extent and effectiveness of containment actions taken and the impact of these and other factors on travel behavior.</w:t>
      </w:r>
    </w:p>
    <w:p>
      <w:pPr>
        <w:spacing w:after="0" w:line="30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operate in an increasingly competitive global environment and our failure to compete effectively could reduce our market share and harm our financial performance.</w:t>
      </w:r>
    </w:p>
    <w:p>
      <w:pPr>
        <w:spacing w:after="0" w:line="170"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We compete in a rapidly evolving and competitive industry. We face competition for content, consumers, advertisers, online travel search and price comparison services, or what is known in the industry as metasearch, and online reservations. We compete globally with both online and offline, established and emerging, providers of travel, lodging, experiences and restaurant reservation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ind w:right="620"/>
        <w:spacing w:after="0" w:line="277" w:lineRule="auto"/>
        <w:rPr>
          <w:sz w:val="20"/>
          <w:szCs w:val="20"/>
          <w:color w:val="auto"/>
        </w:rPr>
      </w:pPr>
      <w:r>
        <w:rPr>
          <w:rFonts w:ascii="Arial" w:cs="Arial" w:eastAsia="Arial" w:hAnsi="Arial"/>
          <w:sz w:val="18"/>
          <w:szCs w:val="18"/>
          <w:color w:val="auto"/>
        </w:rPr>
        <w:t>and related services. The markets for the services we offer are intensely competitive, and current and new competitors can launch new services at a relatively low cost.</w:t>
      </w:r>
    </w:p>
    <w:p>
      <w:pPr>
        <w:spacing w:after="0" w:line="170"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We also compete with different types of companies in the various markets and geographies where we operate, including large and small companies in the travel space as well as broader service providers. More specifically:</w:t>
      </w:r>
    </w:p>
    <w:p>
      <w:pPr>
        <w:spacing w:after="0" w:line="62" w:lineRule="exact"/>
        <w:rPr>
          <w:sz w:val="20"/>
          <w:szCs w:val="20"/>
          <w:color w:val="auto"/>
        </w:rPr>
      </w:pPr>
    </w:p>
    <w:p>
      <w:pPr>
        <w:ind w:left="1000" w:right="160" w:hanging="358"/>
        <w:spacing w:after="0" w:line="296"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our Hotels, Media &amp; Platform segment, we face competition from, and in some cases partner with, the following businesses: OTAs (including Expedia and Booking and many of their respective subsidiaries and operating companies); hotel metasearch providers (including trivago, Kayak and HotelsCombined, subsidiaries of Booking, and Trip.com Group Limited, formerly known as Ctrip.com International, Ltd); large online search, social media, and marketplace platforms and companies (including Google, Facebook, Microsoft’s Bing, Yahoo, Baidu, Alibaba, and Amazon); and traditional offline travel agencies; and global hotel chains seeking to promote direct bookings.</w:t>
      </w:r>
    </w:p>
    <w:p>
      <w:pPr>
        <w:spacing w:after="0" w:line="53" w:lineRule="exact"/>
        <w:rPr>
          <w:rFonts w:ascii="Arial" w:cs="Arial" w:eastAsia="Arial" w:hAnsi="Arial"/>
          <w:sz w:val="16"/>
          <w:szCs w:val="16"/>
          <w:color w:val="auto"/>
        </w:rPr>
      </w:pPr>
    </w:p>
    <w:p>
      <w:pPr>
        <w:jc w:val="both"/>
        <w:ind w:left="1000" w:right="180" w:hanging="358"/>
        <w:spacing w:after="0" w:line="259"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also face competition from different companies with respect to our Experiences &amp; Dining segment. Our Experiences offerings compete with online travel agencies, such as Airbnb, Booking, GetYourGuide and Klook; traditional travel agencies; online travel service providers; and wholesalers, among others. Our Dining offerings compete with other online restaurant reservation services, such as SeatMe (owned by Yelp) and OpenTable (a subsidiary of Booking).</w:t>
      </w:r>
    </w:p>
    <w:p>
      <w:pPr>
        <w:spacing w:after="0" w:line="18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There has been a proliferation of new channels through which service providers can offer accommodations, experiences and restaurant reservations. Metasearch services may lower the cost for new companies to enter the market by providing a distribution channel without the cost of promoting the new entrant’s brand to drive consumers directly to its website. Some of our competitors and potential competitors offer a variety of online services, many of which are used by competitors more frequently than online travel services. In addition, in some cases, our competitors are willing to make little or no profit on a transaction, or offer travel services at a loss, in order to gain market share. Many of our competitors (such as Google, Booking and Trip.com Group Limited) have significantly greater financial, technical, marketing and other resources than us and have more expertise in developing online commerce and facilitating internet traffic as well as large client bases. They also have the ability to leverage other aspects of their business to enable them to compete more effectively against us. For example, Google has entered various aspects of the online travel market, including by establishing a flight metasearch product ("Google Flights") and a hotel metasearch product ("Google Hotel Ads") that are growing rapidly, as well as its "Book on Google" reservation functionality and its Google Trips app.</w:t>
      </w:r>
    </w:p>
    <w:p>
      <w:pPr>
        <w:spacing w:after="0" w:line="185"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 addition, Google and other large, established companies with substantial resources and expertise in developing online commerce and facilitating internet traffic have launched travel or travel-related search, metasearch and/or reservation booking services and may create additional inroads into online travel. Google's travel metasearch services, Google Hotel Ads and Google Flights, are growing rapidly and have achieved significant market share in a relatively short time. In addition, many of our competitors, including online search companies, continue to expand their voice and artificial intelligence capabilities, which may provide them with a competitive advantage in travel. We cannot assure you that we will be able to compete successfully against our current, emerging and future competitors or on platforms that may emerge, or provide differentiated products and services to our traveler base.</w:t>
      </w:r>
    </w:p>
    <w:p>
      <w:pPr>
        <w:spacing w:after="0" w:line="16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We compete with certain companies that we also do business with, including some of our click-based advertising travel partners. The consolidation of our competitors and travel partners, including Expedia (through its acquisitions of Orbitz, Travelocity, and HomeAway) and Booking (through its acquisitions of KAYAK and OpenTable), may affect our relative competitiveness and our travel partner relationships. Competition and consolidation could result in higher traffic acquisition costs, reduced margins on our advertising services, loss of market share, reduced customer traffic to our websites and reduced advertising by travel companies on our websites.</w:t>
      </w:r>
    </w:p>
    <w:p>
      <w:pPr>
        <w:spacing w:after="0" w:line="188"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As the industry shifts towards online travel services and the technology supporting it continues to evolve, including platforms such as mobile phone and tablet computing devices, competition is likely to intensify. Competition in our industry may result in pricing pressure, loss of market share and/or decreased user engagement, any of which could adversely affect our business and financial performance.</w:t>
      </w:r>
    </w:p>
    <w:p>
      <w:pPr>
        <w:spacing w:after="0" w:line="184" w:lineRule="exact"/>
        <w:rPr>
          <w:sz w:val="20"/>
          <w:szCs w:val="20"/>
          <w:color w:val="auto"/>
        </w:rPr>
      </w:pPr>
    </w:p>
    <w:p>
      <w:pPr>
        <w:jc w:val="both"/>
        <w:ind w:right="260" w:firstLine="510"/>
        <w:spacing w:after="0" w:line="259" w:lineRule="auto"/>
        <w:rPr>
          <w:sz w:val="20"/>
          <w:szCs w:val="20"/>
          <w:color w:val="auto"/>
        </w:rPr>
      </w:pPr>
      <w:r>
        <w:rPr>
          <w:rFonts w:ascii="Arial" w:cs="Arial" w:eastAsia="Arial" w:hAnsi="Arial"/>
          <w:sz w:val="18"/>
          <w:szCs w:val="18"/>
          <w:color w:val="auto"/>
        </w:rPr>
        <w:t>Moreover, as the economy and the travel industry recover from the impact of the COVID-19 pandemic, the structure of the travel industry could change in ways that could disadvantage us and benefit certain of our existing competitors or new entrants. If we are unable to successfully adapt to any changes in how the travel industry operates or to changes in the ways in which consumers purchase travel services, our ability to compete, and therefore our business and results of operations, would be adversely affected.</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remain competitive, and any failure to adapt to technological developments or industry trends could harm our businesses.</w:t>
      </w:r>
    </w:p>
    <w:p>
      <w:pPr>
        <w:spacing w:after="0" w:line="170"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depend on the use of sophisticated information technologies and systems for website and mobile apps, supplier connectivity, communications, reservations, payment processing, procurement, customer service and fraud prevention. Our future success depends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5" w:name="page56"/>
    <w:bookmarkEnd w:id="55"/>
    <w:p>
      <w:pPr>
        <w:ind w:right="360"/>
        <w:spacing w:after="0" w:line="257" w:lineRule="auto"/>
        <w:rPr>
          <w:sz w:val="20"/>
          <w:szCs w:val="20"/>
          <w:color w:val="auto"/>
        </w:rPr>
      </w:pPr>
      <w:r>
        <w:rPr>
          <w:rFonts w:ascii="Arial" w:cs="Arial" w:eastAsia="Arial" w:hAnsi="Arial"/>
          <w:sz w:val="18"/>
          <w:szCs w:val="18"/>
          <w:color w:val="auto"/>
        </w:rPr>
        <w:t>on our ability to continuously improve and upgrade our systems and infrastructure to meet rapidly evolving consumer trends and demands while at the same time maintaining the 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consumers.</w:t>
      </w:r>
    </w:p>
    <w:p>
      <w:pPr>
        <w:spacing w:after="0" w:line="188"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In addition, the emergence of alternative devices, such as mobile phones and tablets, and the emergence of niche competitors who may be able to optimize products, services or strategies for such platforms, will require additional investment in technology. New developments in other areas could also make it easier for competitors to enter our markets due to lower up-front technology costs. Technology changes, including new devices, services and home assistants, such as Amazon’s Alexa Voice and Google Home, and developing technologies, such as machine learning and artificial intelligence, could negatively impact our business.</w:t>
      </w:r>
    </w:p>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provide products, services and features that are useful to users, we may not remain competitive, and our business and financial performance could suffer.</w:t>
      </w:r>
    </w:p>
    <w:p>
      <w:pPr>
        <w:spacing w:after="0" w:line="170"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success depends in part on continued innovation to provide products, features and services that make our platform compelling to users and engage our consumers. Our competitors are continually developing innovations in online travel-related services and features. As a result, we are continually working to improve our business model and consumer experience in order to engage our consumers and drive user traffic and conversion rates. We have invested, and expect to continue to invest, significant resources in developing and marketing these innovations. We can give no assurances that the changes we make will yield the benefits we expect and will not have unintended or adverse impacts that we did not anticipate. If we are unable to continue offering innovative products and services and quality features that users want to use, existing consumers may become dissatisfied and use competitors’ offerings and we may be unable to attract additional consumers, which could adversely affect our business and financial performance.</w:t>
      </w:r>
    </w:p>
    <w:p>
      <w:pPr>
        <w:spacing w:after="0" w:line="27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dedication to making the user experience our highest priority may cause us to prioritize rapid innovation and user experience over short-term financial results.</w:t>
      </w:r>
    </w:p>
    <w:p>
      <w:pPr>
        <w:spacing w:after="0" w:line="170"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We strive to create the best experience for our users, providing them with the information, products and tools to enable them to plan, book, and experience the perfect trip. We believe that in doing so we will increase our rates of traffic conversion (i.e., converting users) to clicks and/or bookings, our revenue and, ultimately, our financial performance over the long-term. We have taken actions in the past and may continue to make decisions in the future that have the effect of reducing our short-term revenue or profitability if we believe that the decisions benefit the overall user experience. For example, we may introduce new products or changes to existing products or the user experience that decrease rates of traffic conversion but increases revenue. In addition, our approach of putting users first may negatively impact our relationship with existing or prospective partners. These actions and practices could result in a loss of partners, which in turn could harm our results of operations. The short-term reductions in revenue or profitability could be more severe than we anticipate or these decisions may not produce the long-term benefits that we expect, in which case our user growth and engagement, our relationships with consumers and travel partners, and our business and results of operations could be harmed. In addition, if new or enhanced products fail to engage users or if we are unsuccessful in our effort to monetize these initiatives, we may fail to generate sufficient revenue, profit margin or other value to justify our investments, in which case our business and results of operations would be adversely affected.</w:t>
      </w:r>
    </w:p>
    <w:p>
      <w:pPr>
        <w:spacing w:after="0" w:line="28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are dependent upon the quality of traffic in our network to provide value to our partners, and any failure in our ability to deliver quality traffic and/or the metrics to demonstrate the value of the traffic could have a material adverse effect on the value of our websites to our partners and adversely affect our revenue.</w:t>
      </w:r>
    </w:p>
    <w:p>
      <w:pPr>
        <w:spacing w:after="0" w:line="184"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use technology and processes to monitor the quality of the internet traffic that we deliver to our partners and have identified metrics to demonstrate the quality of that traffic. These metrics are used to not only identify the value of advertising on our website but also to identify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partners. Furthermore, low-quality or invalid traffic may be detrimental to our relationships with partners, and could adversely affect our advertising pricing and revenue.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ind w:right="280"/>
        <w:spacing w:after="0" w:line="277" w:lineRule="auto"/>
        <w:rPr>
          <w:sz w:val="20"/>
          <w:szCs w:val="20"/>
          <w:color w:val="auto"/>
        </w:rPr>
      </w:pPr>
      <w:r>
        <w:rPr>
          <w:rFonts w:ascii="Arial" w:cs="Arial" w:eastAsia="Arial" w:hAnsi="Arial"/>
          <w:sz w:val="18"/>
          <w:szCs w:val="18"/>
          <w:b w:val="1"/>
          <w:bCs w:val="1"/>
          <w:i w:val="1"/>
          <w:iCs w:val="1"/>
          <w:color w:val="auto"/>
        </w:rPr>
        <w:t>We rely on assumptions and estimates and data to calculate certain of our key metrics, and real or perceived inaccuracies in such metrics may harm our reputation and negatively affect our business.</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believe that certain metrics are key to our business. As both the industry in which we operate and our businesses continue to evolve, so too might the metrics by which we evaluate our businesses and the company. In addition, while the calculation of the metrics we use is based on what we believe to be reasonable estimates, our internal tools are not independently verified by a third party and have a number of limitations and, furthermore, our methodologies for tracking these metrics may change over time. For example, a single person may have multiple accounts or browse the internet on multiple browsers or devices, some consumers may restrict our ability to accurately identify them across visits, some mobile apps automatically contact our servers for regular updates with no user action, and we are not always able to capture user information on all of our platforms. As such, the calculations of our unique visitors (or unique users) may not accurately reflect the number of people actually visiting our platforms. We continue to improve upon our tools and methodologies to capture data and believe that our current metrics are accurate; however, the improvement of our tools and methodologies could cause inconsistency between current data and previously reported data, which could confuse investors or lead to questions about the integrity of our data. Also if the internal tools we use to track these metrics under-count or over-count performance or contain algorithm or other technical errors, the data we report may not be accurate. Finally, we may, in the future, identify new or other metrics that enable us to more accurately evaluate our business. Accordingly, readers should not place undue reliance on these metrics.</w:t>
      </w:r>
    </w:p>
    <w:p>
      <w:pPr>
        <w:spacing w:after="0" w:line="2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on the performance of highly skilled personnel and, if we are unable to retain or motivate key personnel or hire, retain and motivate qualified personnel, our business would be harmed.</w:t>
      </w:r>
    </w:p>
    <w:p>
      <w:pPr>
        <w:spacing w:after="0" w:line="1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future success is largely dependent on the talents and efforts of highly skilled individuals. In particular, the contributions of Stephen Kaufer, our co-founder, Chief Executive Officer and President, the contributions of key senior management and the contributions of software engineers and other technology professionals, are critical to our overall management and the success of our business. We cannot ensure that we will be able to retain the services of our existing key personnel and the loss of one or more of our key personnel could seriously harm our business. We do not maintain any key person life insurance policies.</w:t>
      </w:r>
    </w:p>
    <w:p>
      <w:pPr>
        <w:spacing w:after="0" w:line="188"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As of June 30, 2020, the Company had approximately 150 employees who remained furloughed, and reduced (or are in the process of reducing) our headcount by more than 900 employees. This reduction in workforce results in the loss of institutional knowledge, relationships, or expertise for critical roles, which may not be effectively transferred to employees who remain with the Company This reduction could also have a negative impact on employee morale and productivity, make it more difficult to retain valuable key employees that have not been terminated, divert attention from operating our business, create personnel capacity constraints and hamper our ability to grow, develop innovative products and compete, any of which could adversely impact our business and reputation and may impede the Company’s ability to operate or meet strategic objectives. Our continued ability to compete effectively depends on our ability to attract new employees and to retain and motivate existing employees. As travel recovers from the COVID-19 pandemic, we will need to replace some or all of those roles with qualified individuals in the areas of software engineers, developers, product management and development personnel, and other technology professionals, which is typically a time-consuming process. As a global company, we aim to attract quality employees from all over the world, so any restrictions on travel for professional or personal purposes may cause significant disruption to our businesses or negatively affect our ability to attract and retain employees on a global basis. In addition, we compete with both mature and prosperous companies that have far greater financial resources than we do and start-ups and emerging companies that promise short-term growth opportunities and/or other benefits. If we do not succeed in attracting well-qualified employees or retaining or motivating existing employees, our business would be adversely affected.</w:t>
      </w:r>
    </w:p>
    <w:p>
      <w:pPr>
        <w:spacing w:after="0" w:line="2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Acquisitions, investments, significant commercial arrangements and/or new business strategies could disrupt our ongoing business and present new challenges and risks.</w:t>
      </w:r>
    </w:p>
    <w:p>
      <w:pPr>
        <w:spacing w:after="0" w:line="170"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Our success will depend, in part, on our ability to expand our product offerings in order to grow our business in response to changing technologies, user and travel partner demands and competitive pressures. As a result, we have acquired, invested in and/or entered into significant commercial arrangements with a number of new businesses in the past and our future growth may depend, in part, on future acquisitions, investments, commercial arrangements and/or changes in business strategies. Such endeavors may involve significant risks and uncertainties, including, but not limited to, the following:</w:t>
      </w:r>
    </w:p>
    <w:p>
      <w:pPr>
        <w:spacing w:after="0" w:line="80" w:lineRule="exact"/>
        <w:rPr>
          <w:sz w:val="20"/>
          <w:szCs w:val="20"/>
          <w:color w:val="auto"/>
        </w:rPr>
      </w:pPr>
    </w:p>
    <w:p>
      <w:pPr>
        <w:ind w:left="1000" w:right="200" w:hanging="35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Expected and unexpected costs incurred in identifying and pursuing these endeavors, and performing due diligence on potential targets that may or may not be successful;</w:t>
      </w:r>
    </w:p>
    <w:p>
      <w:pPr>
        <w:spacing w:after="0" w:line="62" w:lineRule="exact"/>
        <w:rPr>
          <w:rFonts w:ascii="Arial" w:cs="Arial" w:eastAsia="Arial" w:hAnsi="Arial"/>
          <w:sz w:val="18"/>
          <w:szCs w:val="18"/>
          <w:color w:val="auto"/>
        </w:rPr>
      </w:pPr>
    </w:p>
    <w:p>
      <w:pPr>
        <w:ind w:left="1000" w:right="220" w:hanging="35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of cash resources and incurrence of debt and contingent liabilities in funding these endeavors that may limit other potential uses of our cash, including product development, stock repurchases, and/or dividend payments;</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ind w:left="1000" w:hanging="35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117" w:lineRule="exact"/>
        <w:rPr>
          <w:rFonts w:ascii="Arial" w:cs="Arial" w:eastAsia="Arial" w:hAnsi="Arial"/>
          <w:sz w:val="18"/>
          <w:szCs w:val="18"/>
          <w:color w:val="auto"/>
        </w:rPr>
      </w:pPr>
    </w:p>
    <w:p>
      <w:pPr>
        <w:ind w:left="1000" w:right="40" w:hanging="35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privacy protection systems, information systems or personnel of the company, including the assimilation of corporate cultures;</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implementing and retaining uniform standards, controls, procedures, policies and information systems;</w:t>
      </w:r>
    </w:p>
    <w:p>
      <w:pPr>
        <w:spacing w:after="0" w:line="117" w:lineRule="exact"/>
        <w:rPr>
          <w:rFonts w:ascii="Arial" w:cs="Arial" w:eastAsia="Arial" w:hAnsi="Arial"/>
          <w:sz w:val="18"/>
          <w:szCs w:val="18"/>
          <w:color w:val="auto"/>
        </w:rPr>
      </w:pPr>
    </w:p>
    <w:p>
      <w:pPr>
        <w:ind w:left="1000" w:right="60" w:hanging="35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assumption of known and unknown debt and liabilities of the acquired company, including costs associated with litigation, cybersecurity risks, and other claims relating to the acquired company;</w:t>
      </w:r>
    </w:p>
    <w:p>
      <w:pPr>
        <w:spacing w:after="0" w:line="62" w:lineRule="exact"/>
        <w:rPr>
          <w:rFonts w:ascii="Arial" w:cs="Arial" w:eastAsia="Arial" w:hAnsi="Arial"/>
          <w:sz w:val="18"/>
          <w:szCs w:val="18"/>
          <w:color w:val="auto"/>
        </w:rPr>
      </w:pPr>
    </w:p>
    <w:p>
      <w:pPr>
        <w:ind w:left="1000" w:right="200" w:hanging="35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any company which we have acquired, in which we have invested, or with which we have a commercial arrangement, to achieve anticipated revenues, earnings or cash flows or to retain key management or employees;</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generate adequate returns on acquisitions and investments;</w:t>
      </w:r>
    </w:p>
    <w:p>
      <w:pPr>
        <w:spacing w:after="0" w:line="117" w:lineRule="exact"/>
        <w:rPr>
          <w:rFonts w:ascii="Arial" w:cs="Arial" w:eastAsia="Arial" w:hAnsi="Arial"/>
          <w:sz w:val="18"/>
          <w:szCs w:val="18"/>
          <w:color w:val="auto"/>
        </w:rPr>
      </w:pPr>
    </w:p>
    <w:p>
      <w:pPr>
        <w:ind w:left="1000" w:right="600" w:hanging="358"/>
        <w:spacing w:after="0" w:line="308"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With respect to minority investments, limited management or operational control and reputational risk, which risk is heightened if the controlling person in such case has business interests, strategies or goals that are inconsistent with ours;</w:t>
      </w:r>
    </w:p>
    <w:p>
      <w:pPr>
        <w:spacing w:after="0" w:line="38" w:lineRule="exact"/>
        <w:rPr>
          <w:rFonts w:ascii="Arial" w:cs="Arial" w:eastAsia="Arial" w:hAnsi="Arial"/>
          <w:sz w:val="17"/>
          <w:szCs w:val="17"/>
          <w:color w:val="auto"/>
        </w:rPr>
      </w:pPr>
    </w:p>
    <w:p>
      <w:pPr>
        <w:ind w:left="1000" w:hanging="35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Entrance into markets in which we have no direct prior experience and increased complexity in our business;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Impairment of goodwill or other intangible assets such as trademarks or other intellectual property arising from acquisitions; and</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market reaction to acquisitions.</w:t>
      </w:r>
    </w:p>
    <w:p>
      <w:pPr>
        <w:spacing w:after="0" w:line="225"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have invested, and may in the future invest, in privately-held companies and these investments are currently accounted for using the measurement alternative for equity investments without a readily determinable fair value, which measure these investments at cost while subtracting any impairments, if any, plus or minus changes resulting from observable price changes in orderly transactions for the identical or a similar investment of the same issuer.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 Further, our ability to liquidate any such investments is typically dependent upon some liquidity event, such as a public offering or acquisition, since no public market exists for such securities. Valuations of such privately-held companies are inherently complex and uncertain due to the lack of liquid market for the company’s securities. Moreover, we could lose the full amount of any of our investments and any impairment of our investments could have a material adverse effect on our financial condition and results of operations.</w:t>
      </w:r>
    </w:p>
    <w:p>
      <w:pPr>
        <w:spacing w:after="0" w:line="166"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We cannot assure you that these investments will be successful or that such endeavors will result in the realization of the full benefits of synergies, cost savings, innovation and operational efficiencies that may be possible or that we will achieve these benefits within a reasonable period of time.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brand, results of operations and business could be harmed.</w:t>
      </w:r>
    </w:p>
    <w:p>
      <w:pPr>
        <w:spacing w:after="0" w:line="225" w:lineRule="exact"/>
        <w:rPr>
          <w:sz w:val="20"/>
          <w:szCs w:val="20"/>
          <w:color w:val="auto"/>
        </w:rPr>
      </w:pPr>
    </w:p>
    <w:p>
      <w:pPr>
        <w:ind w:right="180" w:firstLine="510"/>
        <w:spacing w:after="0" w:line="272" w:lineRule="auto"/>
        <w:rPr>
          <w:sz w:val="20"/>
          <w:szCs w:val="20"/>
          <w:color w:val="auto"/>
        </w:rPr>
      </w:pPr>
      <w:r>
        <w:rPr>
          <w:rFonts w:ascii="Arial" w:cs="Arial" w:eastAsia="Arial" w:hAnsi="Arial"/>
          <w:sz w:val="17"/>
          <w:szCs w:val="17"/>
          <w:color w:val="auto"/>
        </w:rPr>
        <w:t>Over the years, we have experienced rapid growth in some areas of our business, including through acquisitions of other businesses and in new international markets. More recently, as a result of the impacts of COVID-19, we will have limited capacity, for a certain period of time, to make these types of investments and that may have a negative impact on our growth in certain markets. Once we are able to resume making these investments and to the extent we make these investments, this growth places substantial demands on management and our operational infrastructure. In addition, as our business matures, we make periodic changes and adjustments to our organization in response to various internal and external considerations, including market opportunities, the competitive landscape, new and enhanced products and acquisitions. These changes may result in a temporary lack of focus or productivity or otherwise impact our business.</w:t>
      </w:r>
    </w:p>
    <w:p>
      <w:pPr>
        <w:spacing w:after="0" w:line="17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To manage our growth, we may need to improve our operational, financial and management systems and processes which may require significant capital expenditures and allocation of valuable management and employee resources.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t>Risks Related to Legal and Regulatory Matters</w:t>
      </w:r>
    </w:p>
    <w:p>
      <w:pPr>
        <w:spacing w:after="0" w:line="3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a global company that operates in many different jurisdictions and these operations expose us to additional risks, which risks increase as our business continues to expand.</w:t>
      </w:r>
    </w:p>
    <w:p>
      <w:pPr>
        <w:spacing w:after="0" w:line="170" w:lineRule="exact"/>
        <w:rPr>
          <w:sz w:val="20"/>
          <w:szCs w:val="20"/>
          <w:color w:val="auto"/>
        </w:rPr>
      </w:pPr>
    </w:p>
    <w:p>
      <w:pPr>
        <w:ind w:right="220" w:firstLine="510"/>
        <w:spacing w:after="0" w:line="279" w:lineRule="auto"/>
        <w:rPr>
          <w:sz w:val="20"/>
          <w:szCs w:val="20"/>
          <w:color w:val="auto"/>
        </w:rPr>
      </w:pPr>
      <w:r>
        <w:rPr>
          <w:rFonts w:ascii="Arial" w:cs="Arial" w:eastAsia="Arial" w:hAnsi="Arial"/>
          <w:sz w:val="17"/>
          <w:szCs w:val="17"/>
          <w:color w:val="auto"/>
        </w:rPr>
        <w:t>We operate in a number of jurisdictions both inside and outside of the U.S. and continue to expand our operations both domestically and internationally. Many regions have different economic conditions, languages, currencies, consumer expectations, legislation, regulatory environments (including labor laws and customs), tax laws, levels of consumer acceptance and use of the internet for commerce and levels of political stability. We are subject to associated risks typical of global businesses, including, but not limited to, the following:</w:t>
      </w:r>
    </w:p>
    <w:p>
      <w:pPr>
        <w:spacing w:after="0" w:line="63" w:lineRule="exact"/>
        <w:rPr>
          <w:sz w:val="20"/>
          <w:szCs w:val="20"/>
          <w:color w:val="auto"/>
        </w:rPr>
      </w:pPr>
    </w:p>
    <w:p>
      <w:pPr>
        <w:jc w:val="both"/>
        <w:ind w:left="1020" w:right="220" w:hanging="334"/>
        <w:spacing w:after="0" w:line="263" w:lineRule="auto"/>
        <w:tabs>
          <w:tab w:leader="none" w:pos="9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additional laws and regulations (including the Foreign Corrupt Practices Act, the U.K. Bribery Act, the EU General Data Protection Regulation (or GDPR) and the California Consumer Privacy Act (or CCPA)), data privacy requirements, labor and employment law, laws regarding advertisements and promotions and anti-competition regulations;</w:t>
      </w:r>
    </w:p>
    <w:p>
      <w:pPr>
        <w:spacing w:after="0" w:line="75" w:lineRule="exact"/>
        <w:rPr>
          <w:rFonts w:ascii="Arial" w:cs="Arial" w:eastAsia="Arial" w:hAnsi="Arial"/>
          <w:sz w:val="18"/>
          <w:szCs w:val="18"/>
          <w:color w:val="auto"/>
        </w:rPr>
      </w:pPr>
    </w:p>
    <w:p>
      <w:pPr>
        <w:ind w:left="980" w:hanging="29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117" w:lineRule="exact"/>
        <w:rPr>
          <w:rFonts w:ascii="Arial" w:cs="Arial" w:eastAsia="Arial" w:hAnsi="Arial"/>
          <w:sz w:val="18"/>
          <w:szCs w:val="18"/>
          <w:color w:val="auto"/>
        </w:rPr>
      </w:pPr>
    </w:p>
    <w:p>
      <w:pPr>
        <w:ind w:left="980" w:hanging="29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117" w:lineRule="exact"/>
        <w:rPr>
          <w:rFonts w:ascii="Arial" w:cs="Arial" w:eastAsia="Arial" w:hAnsi="Arial"/>
          <w:sz w:val="18"/>
          <w:szCs w:val="18"/>
          <w:color w:val="auto"/>
        </w:rPr>
      </w:pPr>
    </w:p>
    <w:p>
      <w:pPr>
        <w:ind w:left="980" w:hanging="29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repatriation of cash as well as restrictions on investments in operations in certain countries;</w:t>
      </w:r>
    </w:p>
    <w:p>
      <w:pPr>
        <w:spacing w:after="0" w:line="117" w:lineRule="exact"/>
        <w:rPr>
          <w:rFonts w:ascii="Arial" w:cs="Arial" w:eastAsia="Arial" w:hAnsi="Arial"/>
          <w:sz w:val="18"/>
          <w:szCs w:val="18"/>
          <w:color w:val="auto"/>
        </w:rPr>
      </w:pPr>
    </w:p>
    <w:p>
      <w:pPr>
        <w:ind w:left="980" w:hanging="29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risk arising from transactions in multiple currencies as well as foreign currency exchange restrictions;</w:t>
      </w:r>
    </w:p>
    <w:p>
      <w:pPr>
        <w:spacing w:after="0" w:line="117" w:lineRule="exact"/>
        <w:rPr>
          <w:rFonts w:ascii="Arial" w:cs="Arial" w:eastAsia="Arial" w:hAnsi="Arial"/>
          <w:sz w:val="18"/>
          <w:szCs w:val="18"/>
          <w:color w:val="auto"/>
        </w:rPr>
      </w:pPr>
    </w:p>
    <w:p>
      <w:pPr>
        <w:ind w:left="980" w:hanging="29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managing staff and operations due to distance, time zones, language and cultural differences;</w:t>
      </w:r>
    </w:p>
    <w:p>
      <w:pPr>
        <w:spacing w:after="0" w:line="117" w:lineRule="exact"/>
        <w:rPr>
          <w:rFonts w:ascii="Arial" w:cs="Arial" w:eastAsia="Arial" w:hAnsi="Arial"/>
          <w:sz w:val="18"/>
          <w:szCs w:val="18"/>
          <w:color w:val="auto"/>
        </w:rPr>
      </w:pPr>
    </w:p>
    <w:p>
      <w:pPr>
        <w:ind w:left="1020" w:right="100" w:hanging="334"/>
        <w:spacing w:after="0" w:line="277" w:lineRule="auto"/>
        <w:tabs>
          <w:tab w:leader="none" w:pos="9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 including uncertainty as a result of local laws and lack of precedent;</w:t>
      </w:r>
    </w:p>
    <w:p>
      <w:pPr>
        <w:spacing w:after="0" w:line="62" w:lineRule="exact"/>
        <w:rPr>
          <w:rFonts w:ascii="Arial" w:cs="Arial" w:eastAsia="Arial" w:hAnsi="Arial"/>
          <w:sz w:val="18"/>
          <w:szCs w:val="18"/>
          <w:color w:val="auto"/>
        </w:rPr>
      </w:pPr>
    </w:p>
    <w:p>
      <w:pPr>
        <w:ind w:left="980" w:hanging="29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or political instability or laws and regulations involving economic or trade prohibitions or sanctions; and</w:t>
      </w:r>
    </w:p>
    <w:p>
      <w:pPr>
        <w:spacing w:after="0" w:line="117" w:lineRule="exact"/>
        <w:rPr>
          <w:rFonts w:ascii="Arial" w:cs="Arial" w:eastAsia="Arial" w:hAnsi="Arial"/>
          <w:sz w:val="18"/>
          <w:szCs w:val="18"/>
          <w:color w:val="auto"/>
        </w:rPr>
      </w:pPr>
    </w:p>
    <w:p>
      <w:pPr>
        <w:ind w:left="980" w:hanging="29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225"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Our strategy includes continued expansion in existing international and new international markets. Many of these markets have different economic conditions, customers, languages, currencies, consumer expectations, levels of consumer acceptance and use of the internet for commerce, legislation, regulatory environments, tax laws and levels of political stability, and we are subject to associated risks typical of international businesses. International markets have strong local competitors with established brands and travel service providers or relationships that may make expansion in certain markets difficult and costly and take more time than anticipated. In addition, compliance with legal, regulatory or tax requirements in multiple jurisdictions places demands on our time and resources, and we may nonetheless experience unforeseen and potentially adverse legal, regulatory or tax consequences. In some markets, legal and other regulatory requirements may prohibit or limit participation by foreign businesses, such as by making foreign ownership or management of internet or travel-related businesses illegal or difficult or may make direct participation in those markets uneconomic, which could make our entry or expansion in those markets difficult or impossible, require that we work with a local partner or result in higher operating costs. If we are unsuccessful in expanding in new and existing markets and effectively managing that expansion, our business and results of operations could be adversely affected. A number of countries are actively pursuing changes to their tax laws applicable to corporate multinationals, such as the recently enacted U.S. tax legislation, Tax Cuts and Jobs Act of 2017 (the “2017 Tax Act”). Foreign governments may enact tax laws that could result in further changes to global taxation and materially affect our financial position and results of operations.</w:t>
      </w:r>
    </w:p>
    <w:p>
      <w:pPr>
        <w:spacing w:after="0" w:line="17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2017 Tax Act resulted in significant changes to the U.S. corporate income tax system. The 2017 Tax Act requires complex computations to be performed that were not previously required in U.S. tax law, significant judgments to be made in interpretation of the provisions of the 2017 Tax Act and significant estimates in calculations, and the preparation and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regularly subject to claims, lawsuits, government investigations, and other proceedings that may result in adverse outcomes.</w:t>
      </w:r>
    </w:p>
    <w:p>
      <w:pPr>
        <w:spacing w:after="0" w:line="237"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We are regularly subject to claims, lawsuits, government investigations and other proceedings involving, among other matters, patent and intellectual property rights (including alleged infringement of third-party intellectual property rights), tax matters (including value-added, excise, transient, occupancy and accommodation taxes), regulatory compliance (including competition and consumer protection matters), defamation and free speech (including intermediary liability and platform immunity challenges), labor and employment matters and commercial disputes.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9" w:name="page60"/>
    <w:bookmarkEnd w:id="59"/>
    <w:p>
      <w:pPr>
        <w:ind w:right="60" w:firstLine="510"/>
        <w:spacing w:after="0" w:line="290" w:lineRule="auto"/>
        <w:rPr>
          <w:sz w:val="20"/>
          <w:szCs w:val="20"/>
          <w:color w:val="auto"/>
        </w:rPr>
      </w:pPr>
      <w:r>
        <w:rPr>
          <w:rFonts w:ascii="Arial" w:cs="Arial" w:eastAsia="Arial" w:hAnsi="Arial"/>
          <w:sz w:val="16"/>
          <w:szCs w:val="16"/>
          <w:color w:val="auto"/>
        </w:rPr>
        <w:t>Such claims, lawsuits, government investigations and proceedings are inherently uncertain and their results cannot be predicted with certainty. Regardless of the outcome, any of these types of legal proceedings could have an adverse impact on us because of legal costs, diversion of management resources, injunctions or damage awards and other factors. Determining reserves for our pending litigation or other legal proceedings is a complex, fact-intensive process that requires significant judgment. It is possible that a resolution of one or more such proceedings could result in substantial damages, fines or penalties that could adversely affect our business, consolidated financial position, results of operations, or cash flows in a particular period. These proceedings could also result in reputational harm, criminal sanctions, consent decrees, the release of confidential information or orders preventing us from offering certain features, functionalities, products, or services, requiring a change in our business practices or other field action, or requiring development of non-infringing or otherwise altered products or technologies. Any of these consequences could adversely affect our business and results of operations.</w:t>
      </w:r>
    </w:p>
    <w:p>
      <w:pPr>
        <w:spacing w:after="0" w:line="2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or financial performance.</w:t>
      </w:r>
    </w:p>
    <w:p>
      <w:pPr>
        <w:spacing w:after="0" w:line="170"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internet and online commerce, internet advertising, consumer protection, intermediary liability, data security and privacy, travel and rental licensing and listing requirements and tax. In some cases, these laws continue to evolve.</w:t>
      </w:r>
    </w:p>
    <w:p>
      <w:pPr>
        <w:spacing w:after="0" w:line="18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For example, there is, and will likely continue to be, an increasing number of laws and regulations pertaining to internet and online commerce that may relate to liability for information retrieved from or transmitted over the internet, online editorial and user-generated content, user privacy, data security, behavioral targeting and online advertising, taxation, liability for third-party activities and the quality of products and services. In addition, the growth and development of online commerce may prompt calls for more stringent consumer protection laws and more aggressive enforcement efforts, which may impose additional burdens on online businesses generally. Also, evolving case law and new legislation involving worker classification, including a new law in California, increase the potential for litigation and government audits in this area and may have ramifications as to how we operate certain segments of our business and our engagement with independent contractors.</w:t>
      </w:r>
    </w:p>
    <w:p>
      <w:pPr>
        <w:spacing w:after="0" w:line="177"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Further, our Rentals business has been and continues to be subject to regulatory developments globally that affect the rental industry and the ability of companies like us to list those rentals online. For example, some states and local jurisdictions, both domestically and internationally, have adopted, or are considering adopting, statutes or ordinances that prohibit property owners and managers from renting certain properties on a short-term basis or otherwise limit their ability to do so, and other states and local jurisdictions may introduce similar regulations. Some states and local jurisdictions also have fair housing or other laws governing whether and how properties may be rented, which they assert apply to vacation rentals. In addition, many homeowners, condominium and neighborhood associations have adopted or are considering adopting rules that prohibit or restrict property owners and managers from short-term rentals. Operating in this dynamic regulatory environment requires significant management attention and financial resources. We cannot assure that our efforts will be successful, and the investment and additional resources required to manage growth will produce the desired levels of revenue or profitability.</w:t>
      </w:r>
    </w:p>
    <w:p>
      <w:pPr>
        <w:spacing w:after="0" w:line="19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also have been subject, and we will likely be subject in the future, to inquiries from time to time from regulatory bodies concerning compliance with consumer protection, competition, tax, data privacy and travel industry-specific laws and regulations. The failure of our businesses to comply with these laws and regulations could result in fines and/or proceedings against us by governmental agencies, regulatory authorities, courts and/or consumers, which if material, could adversely affect our business, financial condition and results of operations. Further, if such laws and regulations are not enforced equally against other competitors in a particular market, our compliance with such laws may put us at a competitive disadvantage vis-à-vis competitors who do not comply with such requirements.</w:t>
      </w:r>
    </w:p>
    <w:p>
      <w:pPr>
        <w:spacing w:after="0" w:line="192"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The promulgation of new laws, rules and regulations, or the new interpretation of existing laws, rules and regulations, in each case that restrict or otherwise unfavorably impact the ability or manner in which we provide services could require us to change certain aspects of our business, operations and commercial relationships to ensure compliance, which could decrease demand for services, reduce revenues, increase costs and/or subject the company to additional liabilities. For example, in 2018, the E.U. adopted GDPR implementing enhanced data protection requirements and, in 2019, the State of California adopted the California Consumer Privacy Act (“CCPA”) implementing privacy rights and consumer protections for California residents. Other jurisdictions have adopted or are contemplating similar legislation. This legislation will continue to change the landscape for the use and protection of data and could increase the cost and complexity of delivering our services. Unfavorable changes could decrease demand for products and services, limit marketing methods and capabilities, impede development of new products, result in negative publicity, require significant management time, increase costs and/or subject us to additional liabilities. Violations of these laws and regulations could result in penalties and/or criminal sanctions against us, our officers or our employees and/or restrictions on the conduct of parts of our business in certain jurisdictions.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0" w:name="page61"/>
    <w:bookmarkEnd w:id="60"/>
    <w:p>
      <w:pPr>
        <w:ind w:firstLine="510"/>
        <w:spacing w:after="0" w:line="270" w:lineRule="auto"/>
        <w:rPr>
          <w:sz w:val="20"/>
          <w:szCs w:val="20"/>
          <w:color w:val="auto"/>
        </w:rPr>
      </w:pPr>
      <w:r>
        <w:rPr>
          <w:rFonts w:ascii="Arial" w:cs="Arial" w:eastAsia="Arial" w:hAnsi="Arial"/>
          <w:sz w:val="17"/>
          <w:szCs w:val="17"/>
          <w:color w:val="auto"/>
        </w:rPr>
        <w:t>Likewise, the SEC, Department of Justice (“DOJ”) and Office of Foreign Assets Controls (“OFAC”), as well as foreign regulatory authorities, have continued to increase the enforcement of economic sanctions and trade regulations, anti-money laundering, and anti-corruption laws, across industries. U.S. economic sanctions relate to transactions with designated foreign countries, including Cuba, Iran, North Korea, Syria and nationals and others of those countries, Ukraine/Russia related sanctions, as well as certain specifically targeted individuals and entities. We believe that our activities comply with OFAC, E.U., U.K. and other regulatory authorities’ economic sanction and trade regulations, as well as anti-money laundering and anti-corruption regulations, including the Foreign Corrupt Practices Act (“FCPA”), the UK Bribery Act and the U.K. Criminal Finances Act. As regulations continue to evolve and regulatory oversight continues to increase, we cannot guarantee that our programs and policies will be deemed compliant by all applicable regulatory authorities. In the event our controls should fail or are found to be out of compliance for other reasons, we could be subject to monetary damages, civil and criminal monetary penalties, litigation and damage to our reputation and the value of our brands.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sure that our intellectual property is protected from copying or use by others, including potential competitors.</w:t>
      </w:r>
    </w:p>
    <w:p>
      <w:pPr>
        <w:spacing w:after="0" w:line="225" w:lineRule="exact"/>
        <w:rPr>
          <w:sz w:val="20"/>
          <w:szCs w:val="20"/>
          <w:color w:val="auto"/>
        </w:rPr>
      </w:pPr>
    </w:p>
    <w:p>
      <w:pPr>
        <w:jc w:val="both"/>
        <w:ind w:right="100" w:firstLine="510"/>
        <w:spacing w:after="0" w:line="301" w:lineRule="auto"/>
        <w:rPr>
          <w:sz w:val="20"/>
          <w:szCs w:val="20"/>
          <w:color w:val="auto"/>
        </w:rPr>
      </w:pPr>
      <w:r>
        <w:rPr>
          <w:rFonts w:ascii="Arial" w:cs="Arial" w:eastAsia="Arial" w:hAnsi="Arial"/>
          <w:sz w:val="16"/>
          <w:szCs w:val="16"/>
          <w:color w:val="auto"/>
        </w:rPr>
        <w:t>Our websites rely on content, brands and technology, much of which is proprietary. We protect our proprietary content, brands and technology by relying on a combination of trademarks, copyrights, trade secrets, patents and confidentiality agreements. Any misappropriation or violation of our rights could have a material adverse effect on our business. Even with these precautions, it may be possible for another party to copy or otherwise obtain and use our proprietary technology, content or brands without authorization or to develop similar technology, content or brands independently.</w:t>
      </w:r>
    </w:p>
    <w:p>
      <w:pPr>
        <w:spacing w:after="0" w:line="15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Effective intellectual property protection is expensive to develop and maintain, both in terms of initial and ongoing registration requirements and expenses and the costs of defending our rights. In addition, effective intellectual property protection may not be available in every jurisdiction in which our services are made available, and policing unauthorized use of our intellectual property is difficult and expensive. Therefore, in certain jurisdictions, we may be unable to protect our intellectual property adequately against unauthorized third-party copying or use, which could adversely affect our business or ability to compete. We cannot be sure that the steps we have taken will prevent misappropriation or infringement of our intellectual property. Furthermore, we may need to go to court or other tribunals or administrative bodies in order to enforce our intellectual property rights, to protect our trade secrets or to determine the validity and scope of the proprietary rights of others. These proceedings might result in substantial costs and diversion of resources and management attention. Our failure to protect our intellectual property in a cost-effective or effective manner could have a material adverse effect on our business and ability to protect our technology, content and brands.</w:t>
      </w:r>
    </w:p>
    <w:p>
      <w:pPr>
        <w:spacing w:after="0" w:line="18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currently license from third parties and incorporate the technologies and content into our websites.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Data Security and Privacy</w:t>
      </w:r>
    </w:p>
    <w:p>
      <w:pPr>
        <w:spacing w:after="0" w:line="3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processing, storage and use of personal information and other data subjects us to additional laws and regulations and failure to comply with those laws and regulations could give rise to liabilities.</w:t>
      </w:r>
    </w:p>
    <w:p>
      <w:pPr>
        <w:spacing w:after="0" w:line="170"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We collect, process, store and transmit data, including personal information, for our consumers and our workforce. As a result, we are subject to a variety of laws in the U.S. and abroad regarding privacy and the storing, sharing, use, processing, disclosure and protection of personal information, the scope of which are changing, subject to differing interpretations, and may be inconsistent between countries or conflict with other existing laws. In addition, the security of data when engaging in electronic commerce is essential to maintaining consumer and travel service provider confidence in our services. 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in the U.S. Various U.S. courts are also considering the applicability of existing federal and state statutes, including computer trespass and wiretapping laws, to the collection and exchange of information online.</w:t>
      </w:r>
    </w:p>
    <w:p>
      <w:pPr>
        <w:spacing w:after="0" w:line="194"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In addition, we are subject to legislation intended to enhance the privacy and security of personal data, including credit card information (such as GDPR, the CCPA and other country specific data protection laws). There are a number of proposals for data privacy laws pending or proposed in other jurisdictions, including at both the state and federal levels of the U.S. as well as internationally. Implementing and complying with these laws and regulations may be more costly or take longer than we anticipate, or could otherwise affect our business operations. We strive to comply with all applicable laws, policies, legal obligations and industry codes of conduct relating to privacy and data protection. Any failure or perceived failure by us to comply with our privacy policies,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1" w:name="page62"/>
    <w:bookmarkEnd w:id="61"/>
    <w:p>
      <w:pPr>
        <w:ind w:right="340"/>
        <w:spacing w:after="0" w:line="311" w:lineRule="auto"/>
        <w:rPr>
          <w:sz w:val="20"/>
          <w:szCs w:val="20"/>
          <w:color w:val="auto"/>
        </w:rPr>
      </w:pPr>
      <w:r>
        <w:rPr>
          <w:rFonts w:ascii="Arial" w:cs="Arial" w:eastAsia="Arial" w:hAnsi="Arial"/>
          <w:sz w:val="16"/>
          <w:szCs w:val="16"/>
          <w:color w:val="auto"/>
        </w:rPr>
        <w:t>privacy-related obligations to consumers or other third parties, or privacy-related legal obligations, may result in governmental enforcement actions, including, for example, fines and/or penalties, compliance orders, litigation or public statements that could harm our reputation and cause our users and travel partners to lose trust in us, any of which could have an adverse effect on our business, brand, market share and results of operations.</w:t>
      </w:r>
    </w:p>
    <w:p>
      <w:pPr>
        <w:spacing w:after="0" w:line="2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processing credit card and other payment transactions and failure to manage those risks may subject us to fines, penalties and additional costs and could have a negative impact on our business.</w:t>
      </w:r>
    </w:p>
    <w:p>
      <w:pPr>
        <w:spacing w:after="0" w:line="170"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accept payments from consumers and travel partners using a variety of methods, including credit card, debit card, direct debit from a customer’s bank account, and invoicing. For existing and future payment options we offer to our customers, we may become subject to additional regulations and compliance requirements (including obligations to implement enhanced authentication processes). These regulations and/or requirements could result in significant costs and reduce the ease of use of our payment products and yet may still be susceptible to fraudulent activity. In addition, we may be held liable for accepting fraudulent credit cards on our websites as well as other payment disputes with our customers. For certain payment methods, including credit and debit cards, we pay interchange and other fees, which may increase over time and raise our operating costs and lower profitability. We rely on third parties to provide certain payment methods and payment processing services, including the processing of credit cards and debit cards. In each case, our business could be disrupted if these companies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card issuing banks’ costs, subject to fines and higher transaction fees, and/or lose our ability to accept credit and debit card payments, process electronic funds transfers, or facilitate other types of online payments. We are also subject to a number of other laws and regulations relating to payments, money laundering, international money transfers, privacy and information security, and electronic fund transfers. If we were found to be in violation of applicable laws or regulations, we could be subject to additional requirements and civil and criminal penalties, or forced to cease providing certain services.</w:t>
      </w:r>
    </w:p>
    <w:p>
      <w:pPr>
        <w:spacing w:after="0" w:line="200" w:lineRule="exact"/>
        <w:rPr>
          <w:sz w:val="20"/>
          <w:szCs w:val="20"/>
          <w:color w:val="auto"/>
        </w:rPr>
      </w:pPr>
    </w:p>
    <w:p>
      <w:pPr>
        <w:spacing w:after="0" w:line="295" w:lineRule="exact"/>
        <w:rPr>
          <w:sz w:val="20"/>
          <w:szCs w:val="20"/>
          <w:color w:val="auto"/>
        </w:rPr>
      </w:pPr>
    </w:p>
    <w:p>
      <w:pPr>
        <w:ind w:right="640"/>
        <w:spacing w:after="0" w:line="381" w:lineRule="auto"/>
        <w:rPr>
          <w:sz w:val="20"/>
          <w:szCs w:val="20"/>
          <w:color w:val="auto"/>
        </w:rPr>
      </w:pPr>
      <w:r>
        <w:rPr>
          <w:rFonts w:ascii="Arial" w:cs="Arial" w:eastAsia="Arial" w:hAnsi="Arial"/>
          <w:sz w:val="15"/>
          <w:szCs w:val="15"/>
          <w:b w:val="1"/>
          <w:bCs w:val="1"/>
          <w:i w:val="1"/>
          <w:iCs w:val="1"/>
          <w:color w:val="auto"/>
        </w:rPr>
        <w:t>System security issues, data protection breaches, cyberattacks and system outage issues could disrupt our operations or services provided to our consumers, and any such disruption could damage our reputation and adversely affect our business, financial results and stock price.</w:t>
      </w:r>
    </w:p>
    <w:p>
      <w:pPr>
        <w:spacing w:after="0" w:line="100"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Our reputation and ability to attract, retain and service our consumers and travel partners is dependent upon the reliable performance and security of our computer systems, workforce and those of third parties we utilize in our operations. Significant security issues, data breaches, cyberattacks and outages, interruptions or delays, in our systems or third party systems upon which we rely, could impair our ability to display content or process transactions and significantly harm our business. Breaches of our security measures or the accidental loss, inadvertent disclosure or unapproved dissemination of proprietary information or sensitive or confidential data about us, our consumers or our travel partners, could expose us, our consumers and travel partners to a risk of loss or misuse of this information, damage our brand and reputation or otherwise harm our business and financial performance and result in government enforcement actions and litigation and potential liability for us.</w:t>
      </w:r>
    </w:p>
    <w:p>
      <w:pPr>
        <w:spacing w:after="0" w:line="177" w:lineRule="exact"/>
        <w:rPr>
          <w:sz w:val="20"/>
          <w:szCs w:val="20"/>
          <w:color w:val="auto"/>
        </w:rPr>
      </w:pPr>
    </w:p>
    <w:p>
      <w:pPr>
        <w:ind w:right="200" w:firstLine="510"/>
        <w:spacing w:after="0" w:line="293" w:lineRule="auto"/>
        <w:rPr>
          <w:sz w:val="20"/>
          <w:szCs w:val="20"/>
          <w:color w:val="auto"/>
        </w:rPr>
      </w:pPr>
      <w:r>
        <w:rPr>
          <w:rFonts w:ascii="Arial" w:cs="Arial" w:eastAsia="Arial" w:hAnsi="Arial"/>
          <w:sz w:val="16"/>
          <w:szCs w:val="16"/>
          <w:color w:val="auto"/>
        </w:rPr>
        <w:t>Computer programmers and hackers also may be able to develop and deploy viruses, worms, ransomware and other malicious software programs that attack our products or otherwise exploit any security vulnerabilities of our products, or attempt to fraudulently induce our employees, consumers, or others to disclose passwords or other sensitive information or unwittingly provide access to our systems or data. In addition, sophisticated hardware and operating system software and applications that we produce or procure from third parties may contain defects in design or manufacture, including “bugs” and other problems that could unexpectedly interfere with the operation of the system. We may need to expend significant resources to protect against security breaches or to investigate and address problems caused by cyber or other security problems.</w:t>
      </w:r>
    </w:p>
    <w:p>
      <w:pPr>
        <w:spacing w:after="0" w:line="164"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may be unable to proactively address these techniques or to implement adequate preventive measures and our efforts to address these problems may not be successful and could result in interruptions, delays, cessation of service and loss of existing or potential customers that may impede our sales, manufacturing, distribution or other critical functions. Failure to adequately protect against attacks or intrusions, whether for our own systems or systems of vendors, could expose us to security breaches that could have an adverse impact on our financial performance. The costs of enhancing infrastructure to attain improved stability and redundancy may be time consuming and expensive and may require resources and expertise that are difficult to obtain. In addition, to the extent that we do experience a data breach, remediation may be costly and we may not have adequate insurance to cover such costs.</w:t>
      </w:r>
    </w:p>
    <w:p>
      <w:pPr>
        <w:spacing w:after="0" w:line="16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Much of our business is conducted with third party partners and vendors, including, for example, marketing agencies and SaaS providers. A security breach at such third party could be perceived by consumers as a security breach of our systems and could result in negative publicity or damage our reputation, expose us to risk of loss or litigation and possible liability and subject us to regulatory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2" w:name="page63"/>
    <w:bookmarkEnd w:id="62"/>
    <w:p>
      <w:pPr>
        <w:ind w:right="200"/>
        <w:spacing w:after="0" w:line="277" w:lineRule="auto"/>
        <w:rPr>
          <w:sz w:val="20"/>
          <w:szCs w:val="20"/>
          <w:color w:val="auto"/>
        </w:rPr>
      </w:pPr>
      <w:r>
        <w:rPr>
          <w:rFonts w:ascii="Arial" w:cs="Arial" w:eastAsia="Arial" w:hAnsi="Arial"/>
          <w:sz w:val="18"/>
          <w:szCs w:val="18"/>
          <w:color w:val="auto"/>
        </w:rPr>
        <w:t>penalties and sanctions. In addition, such incidents may also result in a decline in our active user base or engagement levels. Finally, failure of such third parties to comply with applicable disclosure requirements could expose us to liability.</w:t>
      </w:r>
    </w:p>
    <w:p>
      <w:pPr>
        <w:spacing w:after="0" w:line="170"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We have acquired a number of companies over the years and may continue to do so in the future. As a result of these acquisitions, we may increase the volume of personal data that we collect, store, process and transmit. While we make significant efforts to address any information security issues and personal data protection issues with respect to our acquisitions, we may still inherit such risks when we integrate the acquired businesses.</w:t>
      </w:r>
    </w:p>
    <w:p>
      <w:pPr>
        <w:spacing w:after="0" w:line="149"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Media coverage of data breaches and consumer rights has escalated, in part because of the increased number of enforcement actions, investigations and lawsuits. Security breaches could result in negative publicity, damage to reputation, exposure to risk of loss or litigation and possible liability due to regulatory penalties and sanctions. As this focus and attention on privacy and data protection increases, we also risk exposure to potential liabilities and costs resulting from the compliance with, or any failure to comply with, applicable legal requirements, conflicts among these legal requirements or differences in approaches to privacy and security. Security breaches could also cause travelers and potential consumers to lose confidence in our data security, which would have a negative effect on the value of our brand.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Evolving guidance on use of "cookies" and similar technology could negatively impact the way we do business.</w:t>
      </w:r>
    </w:p>
    <w:p>
      <w:pPr>
        <w:spacing w:after="0" w:line="225"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 xml:space="preserve">A "cookie" is a text file that is stored on a user's web browser by a website. Cookies are common tools used by thousands of websites, including ours, to, among other things, store or gather information (e.g., remember log-on details so a user does not have to re-enter them when revisiting a website), market to consumers, improve site security and enhance the user experience on a website. Cookies and similar tracking technologies are valuable tools for websites and apps like ours to improve the customer experience and increase conversion on their websites. Many countries have adopted data protection laws that introduce regulations governing the use of </w:t>
      </w:r>
      <w:r>
        <w:rPr>
          <w:rFonts w:ascii="Arial" w:cs="Arial" w:eastAsia="Arial" w:hAnsi="Arial"/>
          <w:sz w:val="16"/>
          <w:szCs w:val="16"/>
          <w:color w:val="auto"/>
          <w:strike w:val="1"/>
        </w:rPr>
        <w:t>"</w:t>
      </w:r>
      <w:r>
        <w:rPr>
          <w:rFonts w:ascii="Arial" w:cs="Arial" w:eastAsia="Arial" w:hAnsi="Arial"/>
          <w:sz w:val="16"/>
          <w:szCs w:val="16"/>
          <w:color w:val="auto"/>
        </w:rPr>
        <w:t>cookies and other similar tracking technologies</w:t>
      </w:r>
      <w:r>
        <w:rPr>
          <w:rFonts w:ascii="Arial" w:cs="Arial" w:eastAsia="Arial" w:hAnsi="Arial"/>
          <w:sz w:val="16"/>
          <w:szCs w:val="16"/>
          <w:color w:val="auto"/>
          <w:strike w:val="1"/>
        </w:rPr>
        <w:t>"</w:t>
      </w:r>
      <w:r>
        <w:rPr>
          <w:rFonts w:ascii="Arial" w:cs="Arial" w:eastAsia="Arial" w:hAnsi="Arial"/>
          <w:sz w:val="16"/>
          <w:szCs w:val="16"/>
          <w:color w:val="auto"/>
        </w:rPr>
        <w:t xml:space="preserve"> by websites and app developers servicing consumers. To the extent any such regulations require "opt-in" or “affirmative” consent before certain cookies or trackers can be placed on a user's device or the ability of users to “opt-out” or control their preferences, our ability to serve certain customers in the manner we currently do, including with respect to retargeting or personalized advertising, might be adversely affected and our ability to continue to improve and optimize performance on our websites might be impaired, either of which could negatively affect a consumer's experience using our services and our business, market share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Financial and Tax Matters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22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are currently party to a credit agreement with respect to a $1.0 billion revolving credit facility maturing in May 2022 (the “2015 Credit Facility”). Pursuant to a recent amendment to the 2015 Credit Facility, we have agreed to pledge all of our assets, including the equity interests of our subsidiaries. In addition, this agreement includes restrictive covenants that may impact the way we manage our business and may limit our ability to secure significant additional financing in the future on favorable terms. Our ability to secure additional financing and satisfy our financial obligations will depend upon our future operating performance, which is subject to then prevailing general economic and credit market conditions, and financial, business and other factors, many of which are beyond our control. There can be no assurance that sufficient financing will be available, at all or on reasonably acceptable terms.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could adversely affect our business and financial condition.</w:t>
      </w:r>
    </w:p>
    <w:p>
      <w:pPr>
        <w:spacing w:after="0" w:line="225"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During the six months ended June 30, 2020, the Company borrowed $700 million under our 2015 Credit Facility. On July 9, 2020, we completed the sale of $500 million aggregate principal amount of 7.000% Senior Notes due 2025. The Company has subsequently used all the net proceeds from the Senior Notes, or $490 million, net of approximately $10 million in debt issuances costs, to repay a portion of our 2015 Credit Facility borrowings that existed as of June 30, 2020. We intend to use the amounts available under our 2015 Credit Facility to reinforce our liquidity position and provide financial flexibility in light of current uncertainty in the global markets resulting from the COVID-19 pandemic. We are subject to risks relating to our potential indebtedness that include:</w:t>
      </w:r>
    </w:p>
    <w:p>
      <w:pPr>
        <w:spacing w:after="0" w:line="192" w:lineRule="exact"/>
        <w:rPr>
          <w:sz w:val="20"/>
          <w:szCs w:val="20"/>
          <w:color w:val="auto"/>
        </w:rPr>
      </w:pPr>
    </w:p>
    <w:p>
      <w:pPr>
        <w:ind w:left="1000" w:hanging="35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jc w:val="both"/>
        <w:ind w:left="1000" w:right="40" w:hanging="358"/>
        <w:spacing w:after="0" w:line="342"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15" w:lineRule="exact"/>
        <w:rPr>
          <w:rFonts w:ascii="Arial" w:cs="Arial" w:eastAsia="Arial" w:hAnsi="Arial"/>
          <w:sz w:val="16"/>
          <w:szCs w:val="16"/>
          <w:color w:val="auto"/>
        </w:rPr>
      </w:pPr>
    </w:p>
    <w:p>
      <w:pPr>
        <w:ind w:left="1000" w:hanging="35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Making it more difficult for us to optimally capitalize and manage the cash flow for our businesses;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ind w:left="1000" w:hanging="35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Possibly placing us at a competitive disadvantage compared to our competitors that have less debt;</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our ability to borrow additional funds or to borrow funds at rates or on other terms that we find acceptable; and</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Exposing us to the risk of increased interest rates because our outstanding debt is expected to be subject to variable rates of interest.</w:t>
      </w:r>
    </w:p>
    <w:p>
      <w:pPr>
        <w:spacing w:after="0" w:line="23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it is possible that we may need to incur additional indebtedness in the future in the ordinary course of business. The terms of our 2015 Credit Facility and the Indenture pursuant to which we issued the Senior Notes both allow us to incur additional debt subject to certain limitations and approvals; however, pursuant to a recent amendment to the 2015 Credit Facility, we have pledged our assets and the equity interests of our subsidiaries. As a result, there is no assurance that additional financing will be available to us on terms favorable to us, if at all. In addition, if new debt is added to the then existing debt levels, the risks described above could intensify.</w:t>
      </w:r>
    </w:p>
    <w:p>
      <w:pPr>
        <w:spacing w:after="0" w:line="29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Our 2015 Credit Facility, as amended, requires us to meet certain financial covenants and our 2015 Credit Facility and the Indenture impose certain negative covenants on the Company and our operations. The failure to meet these financial covenants and comply with these covenants could have a material adverse effect on our ability to operate our business, meet us.</w:t>
      </w:r>
    </w:p>
    <w:p>
      <w:pPr>
        <w:spacing w:after="0" w:line="184" w:lineRule="exact"/>
        <w:rPr>
          <w:sz w:val="20"/>
          <w:szCs w:val="20"/>
          <w:color w:val="auto"/>
        </w:rPr>
      </w:pPr>
    </w:p>
    <w:p>
      <w:pPr>
        <w:ind w:right="240" w:firstLine="510"/>
        <w:spacing w:after="0" w:line="342" w:lineRule="auto"/>
        <w:rPr>
          <w:sz w:val="20"/>
          <w:szCs w:val="20"/>
          <w:color w:val="auto"/>
        </w:rPr>
      </w:pPr>
      <w:r>
        <w:rPr>
          <w:rFonts w:ascii="Arial" w:cs="Arial" w:eastAsia="Arial" w:hAnsi="Arial"/>
          <w:sz w:val="16"/>
          <w:szCs w:val="16"/>
          <w:color w:val="auto"/>
        </w:rPr>
        <w:t>We are party to a credit agreement providing for our 2015 Credit Facility, which facility was recently amended. We are also party to an Indenture that governs our Senior Notes. These agreements contain various covenants, including those that limit our ability to, among other things:</w:t>
      </w:r>
    </w:p>
    <w:p>
      <w:pPr>
        <w:spacing w:after="0" w:line="16" w:lineRule="exact"/>
        <w:rPr>
          <w:sz w:val="20"/>
          <w:szCs w:val="20"/>
          <w:color w:val="auto"/>
        </w:rPr>
      </w:pPr>
    </w:p>
    <w:p>
      <w:pPr>
        <w:ind w:left="1000" w:hanging="35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 share repurchases;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22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addition, our 2015 Credit Facility requires that we meet certain financial tests, including a minimum liquidity threshold and/or leverage ratio test. These covenants may limit our ability to optimally operate our business. Any failure to comply with the restrictions of our 2015 Credit Facility or our Senior Notes may result in an event of default under the agreements governing such debt instruments. Such default may allow the creditors to accelerate the debt incurred thereunder. In addition, lenders under the 2015 Credit Facility may be able to terminate any commitments they had made to supply us with further funds (including periodic rollovers of existing borrowings).</w:t>
      </w:r>
    </w:p>
    <w:p>
      <w:pPr>
        <w:spacing w:after="0" w:line="18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 connection with the recent amendment and as collateral to secure our obligations under the 2015 Credit Facility, we have pledged, and granted security interests and liens in and on, substantially all of our respective tangible and intangible assets (including accounts receivable, contract rights and other general intangibles, intellectual property, inventory, equipment, goods, instruments and equity interests and other investment property, and intercompany indebtedness), in each case, subject to customary exceptions. These pledges and liens could limit our ability to obtain additional financing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will fluctuate from quarter to quarter and are difficult to predict.</w:t>
      </w:r>
    </w:p>
    <w:p>
      <w:pPr>
        <w:spacing w:after="0" w:line="22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quarterly financial results have fluctuated in the past and will likely fluctuate in the future. Additionally, we have limited operating history with the current scale of our business, which means it is difficult to forecast our financial results. As a result, you should not rely upon our quarterly financial results as indicators of future performance. Our financial results in any given quarter can be influenced by numerous factors, many of which we are unable to predict or are outside of our control, including:</w:t>
      </w:r>
    </w:p>
    <w:p>
      <w:pPr>
        <w:spacing w:after="0" w:line="79" w:lineRule="exact"/>
        <w:rPr>
          <w:sz w:val="20"/>
          <w:szCs w:val="20"/>
          <w:color w:val="auto"/>
        </w:rPr>
      </w:pPr>
    </w:p>
    <w:p>
      <w:pPr>
        <w:ind w:left="1000" w:hanging="35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and grow our user base and to increase user engagement;</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 in marketing, sales and other operation expenses that we will incur to grow and expand our operations and to remain competitive;</w:t>
      </w:r>
    </w:p>
    <w:p>
      <w:pPr>
        <w:spacing w:after="0" w:line="140" w:lineRule="exact"/>
        <w:rPr>
          <w:rFonts w:ascii="Arial" w:cs="Arial" w:eastAsia="Arial" w:hAnsi="Arial"/>
          <w:sz w:val="16"/>
          <w:szCs w:val="16"/>
          <w:color w:val="auto"/>
        </w:rPr>
      </w:pPr>
    </w:p>
    <w:p>
      <w:pPr>
        <w:ind w:left="1000" w:right="460" w:hanging="35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the marketing spend of our travel partners due to seasonality, episodic global or regional events (such as the COVID-19 pandemic) or other factors;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64" w:name="page65"/>
    <w:bookmarkEnd w:id="64"/>
    <w:p>
      <w:pPr>
        <w:ind w:left="1000" w:hanging="35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pricing of our ads and other products;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User behavior or product changes that may reduce traffic to features or products that we successfully monetize;</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System failure or outages, which would prevent us from serving ads for any period of time;</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Breaches of security or privacy and the costs associated with any such breaches and remediation;</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Fees paid to third parties for content or promotion of our products and services;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litigation judgments, settlement or other litigation related costs;</w:t>
      </w:r>
    </w:p>
    <w:p>
      <w:pPr>
        <w:spacing w:after="0" w:line="117" w:lineRule="exact"/>
        <w:rPr>
          <w:rFonts w:ascii="Arial" w:cs="Arial" w:eastAsia="Arial" w:hAnsi="Arial"/>
          <w:sz w:val="18"/>
          <w:szCs w:val="18"/>
          <w:color w:val="auto"/>
        </w:rPr>
      </w:pPr>
    </w:p>
    <w:p>
      <w:pPr>
        <w:ind w:left="1000" w:right="260" w:hanging="35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and data protection, or engagement by government regulators, including final orders or consent decrees;</w:t>
      </w:r>
    </w:p>
    <w:p>
      <w:pPr>
        <w:spacing w:after="0" w:line="62" w:lineRule="exact"/>
        <w:rPr>
          <w:rFonts w:ascii="Arial" w:cs="Arial" w:eastAsia="Arial" w:hAnsi="Arial"/>
          <w:sz w:val="18"/>
          <w:szCs w:val="18"/>
          <w:color w:val="auto"/>
        </w:rPr>
      </w:pPr>
    </w:p>
    <w:p>
      <w:pPr>
        <w:ind w:left="1000" w:right="200" w:hanging="35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changes in tax laws, which are recorded in the period enacted and may significantly affect our effective income tax rates and non-income taxes;</w:t>
      </w:r>
    </w:p>
    <w:p>
      <w:pPr>
        <w:spacing w:after="0" w:line="62" w:lineRule="exact"/>
        <w:rPr>
          <w:rFonts w:ascii="Arial" w:cs="Arial" w:eastAsia="Arial" w:hAnsi="Arial"/>
          <w:sz w:val="18"/>
          <w:szCs w:val="18"/>
          <w:color w:val="auto"/>
        </w:rPr>
      </w:pPr>
    </w:p>
    <w:p>
      <w:pPr>
        <w:ind w:left="1000" w:right="200" w:hanging="35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 obligations that may arise from resolutions of tax examinations, including the examinations we are currently under that may materially differ from the amounts we have anticipated;</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Fluctuations in currency exchange rates and changes in the proportion of our revenue and expenses denominated in foreign currencies;</w:t>
      </w:r>
    </w:p>
    <w:p>
      <w:pPr>
        <w:spacing w:after="0" w:line="128" w:lineRule="exact"/>
        <w:rPr>
          <w:rFonts w:ascii="Arial" w:cs="Arial" w:eastAsia="Arial" w:hAnsi="Arial"/>
          <w:sz w:val="17"/>
          <w:szCs w:val="17"/>
          <w:color w:val="auto"/>
        </w:rPr>
      </w:pPr>
    </w:p>
    <w:p>
      <w:pPr>
        <w:ind w:left="1000" w:hanging="35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U.S. generally accepted accounting principles; and</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global business and macroeconomic conditions.</w:t>
      </w:r>
    </w:p>
    <w:p>
      <w:pPr>
        <w:spacing w:after="0" w:line="3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170"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Nasdaq or any other securities exchange on which we are then listed.</w:t>
      </w:r>
    </w:p>
    <w:p>
      <w:pPr>
        <w:spacing w:after="0" w:line="2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effective income tax rate is impacted by a number of factors that could have a material impact on our financial results and could increase the volatility of those results.</w:t>
      </w:r>
    </w:p>
    <w:p>
      <w:pPr>
        <w:spacing w:after="0" w:line="170"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Due to the global nature of our business, we are subject to income taxes in the U.S. and other foreign jurisdictions. In the event we incur net income in certain jurisdictions but incur losses in other jurisdictions, we generally cannot offset the income from one jurisdiction with the loss from another. This lack of flexibility could affect our effective income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w:t>
      </w:r>
    </w:p>
    <w:p>
      <w:pPr>
        <w:spacing w:after="0" w:line="161"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believe our tax estimates are reasonable. However, we are routinely under audit by federal, state and foreign taxing authorities. The taxing authorities of jurisdictions in which we operate may challenge our methodologies for valuing developed technology or intercompany arrangements, including our transfer pricing, or determine that the manner in which we operate our business does not achieve the intended tax consequences, which would affect our effective income tax rate and harm our financial position and results of operations. As we operate in numerous taxing jurisdictions, the application of tax laws can also be subject to diverging and sometimes conflicting interpretations by taxing authorities of these jurisdictions. It is not uncommon for taxing authorities of different countries to have conflicting views, for instance, with respect to, among other things, the manner in which the arm’s length standard is applied for transfer pricing purposes, or with respect to the valuation of intellectual property. For example, the OECD has recently recommended changes to numerous long-standing international tax principles. If countries amend their tax laws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5" w:name="page66"/>
    <w:bookmarkEnd w:id="65"/>
    <w:p>
      <w:pPr>
        <w:ind w:right="400"/>
        <w:spacing w:after="0" w:line="277" w:lineRule="auto"/>
        <w:rPr>
          <w:sz w:val="20"/>
          <w:szCs w:val="20"/>
          <w:color w:val="auto"/>
        </w:rPr>
      </w:pPr>
      <w:r>
        <w:rPr>
          <w:rFonts w:ascii="Arial" w:cs="Arial" w:eastAsia="Arial" w:hAnsi="Arial"/>
          <w:sz w:val="18"/>
          <w:szCs w:val="18"/>
          <w:color w:val="auto"/>
        </w:rPr>
        <w:t>adopt certain parts of the OECD guidelines, this may increase tax uncertainty and may adversely impact our tax liabilities. Any of these changes could affect our financial performance.</w:t>
      </w:r>
    </w:p>
    <w:p>
      <w:pPr>
        <w:spacing w:after="0" w:line="170"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 final determination of audits could be materially different from our income tax provisions and accruals and could have a material effect on our financial position, results of operations, or cash flows in the period or periods for which that determination is made. Also, our future effective income tax rates could be affected by changes in the mix of earnings in countries with differing statutory tax rates, changes in the valuation of deferred tax assets or changes in tax laws or their interpretation. If our effective income tax rates were to increase, our results of operations and cash flows would be adversely affected.</w:t>
      </w:r>
    </w:p>
    <w:p>
      <w:pPr>
        <w:spacing w:after="0" w:line="188" w:lineRule="exact"/>
        <w:rPr>
          <w:sz w:val="20"/>
          <w:szCs w:val="20"/>
          <w:color w:val="auto"/>
        </w:rPr>
      </w:pPr>
    </w:p>
    <w:p>
      <w:pPr>
        <w:jc w:val="both"/>
        <w:ind w:right="100" w:firstLine="510"/>
        <w:spacing w:after="0" w:line="259" w:lineRule="auto"/>
        <w:rPr>
          <w:sz w:val="20"/>
          <w:szCs w:val="20"/>
          <w:color w:val="auto"/>
        </w:rPr>
      </w:pPr>
      <w:r>
        <w:rPr>
          <w:rFonts w:ascii="Arial" w:cs="Arial" w:eastAsia="Arial" w:hAnsi="Arial"/>
          <w:sz w:val="18"/>
          <w:szCs w:val="18"/>
          <w:color w:val="auto"/>
        </w:rPr>
        <w:t>The income tax effects of the accounting for share-based compensation may significantly impact our effective income tax rate. In periods in which our stock price is higher than the grant-date price of the share-based compensation awards vesting in that period, we will recognize excess tax benefits that will increase our income tax benefit. In periods in which our stock price is lower than the grant-date price of the share-based compensation awards vesting in that period, our tax benefit will decrease.</w:t>
      </w:r>
    </w:p>
    <w:p>
      <w:pPr>
        <w:spacing w:after="0" w:line="29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Application of U.S. state and local or international tax laws, changes in tax laws or tax rulings, or the examination of our tax positions, could materially affect our financial position and results of operations.</w:t>
      </w:r>
    </w:p>
    <w:p>
      <w:pPr>
        <w:spacing w:after="0" w:line="170" w:lineRule="exact"/>
        <w:rPr>
          <w:sz w:val="20"/>
          <w:szCs w:val="20"/>
          <w:color w:val="auto"/>
        </w:rPr>
      </w:pPr>
    </w:p>
    <w:p>
      <w:pPr>
        <w:ind w:right="140" w:firstLine="510"/>
        <w:spacing w:after="0" w:line="253" w:lineRule="auto"/>
        <w:rPr>
          <w:sz w:val="20"/>
          <w:szCs w:val="20"/>
          <w:color w:val="auto"/>
        </w:rPr>
      </w:pPr>
      <w:r>
        <w:rPr>
          <w:rFonts w:ascii="Arial" w:cs="Arial" w:eastAsia="Arial" w:hAnsi="Arial"/>
          <w:sz w:val="18"/>
          <w:szCs w:val="18"/>
          <w:color w:val="auto"/>
        </w:rPr>
        <w:t>As an international business, we are subject to income taxes and non-income-based taxes in the U.S. and various other international jurisdictions. 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due to economic and political conditions, tax rates and tax regimes in various jurisdictions may be subject to significant change and the tax benefits that we intend to eventually derive could be undermined due to changing tax laws. Governments are increasingly focused on ways to increase tax revenues, which has contributed to an increase in audit activity, more aggressive positions taken by tax authorities and an increase in tax legislation. Any such additional taxes or other assessments may be in excess of our current tax provisions or may require us to modify our business practices in order to reduce our exposure to additional taxes going forward, any of which could have a material adverse effect on our business, results of operations and financial condition.</w:t>
      </w:r>
    </w:p>
    <w:p>
      <w:pPr>
        <w:spacing w:after="0" w:line="19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2017 Tax Act has resulted in significant changes to the U.S. corporate income tax system. The tax law changes by the 2017 Tax Act are broad and complex and there are still uncertainties about how the 2017 Tax Act will be interpreted at both the U.S. federal and state levels. The U.S. Treasury Department, the IRS and other standard-setting bodies could interpret or issue guidance on how provisions of the 2017 Tax Act will be applied or otherwise administered that is different from our interpretation. This could materially change the taxes that we have recorded since 2017, and the expected future impact of the 2017 Tax Act on our business.</w:t>
      </w:r>
    </w:p>
    <w:p>
      <w:pPr>
        <w:spacing w:after="0" w:line="188"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 xml:space="preserve">On March 27, 2020, the CARES Act was enacted. The CARES Act is an emergency economic stimulus package in response to the COVID-19 pandemic, which among other things contains numerous income tax provisions. Some of these tax provisions are expected to be effective retroactively for years ending before the date of enactment. In addition to benefitting from the net operating loss carryback provisions as described in “Note 9: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in the notes to our unaudited condensed consolidated financial statements in Item 1 in this Quarterly Report on Form 10-Q, we also anticipate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benefitting from modifications to the net interest deduction limitations, the technical correction for qualified leasehold improvements, which changes 39-year property to 15-year property, eligible for 100% tax bonus depreciation, and potentially other provisions within the CARES Act.</w:t>
      </w:r>
    </w:p>
    <w:p>
      <w:pPr>
        <w:spacing w:after="0" w:line="16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OECD has been working on a Base Erosion and Profit Shifting Project, and issued the Action 1 report in 2015 to address the tax challenges arising from digitalization. Since then, the OECD/G20 Inclusive Framework has issued various guidelines, policy notes, and proposals that if adopted could result in an overhaul of the international taxation system under which our current tax obligations are determined. As the OECD/G20 Inclusive Framework drives toward a consensus long-term solution, several countries have introduced unilateral digital service tax initiatives which impose new types of non-income taxes, including taxes based on a percentage of revenue. The Company is monitoring certain U.S. states and countries in which we do business, such as France, Italy, Spain, and the U.K., which have enacted or proposed similar taxes that will be applicable or are likely to be applicable during 2020. We recorded an estimate of $1 million for digital service tax to general and administrative expense on our unaudited condensed consolidated statement of operations during the six months ended June 30, 2020, however we continue to assess the financial impact of these new laws. Further, as additional U.S. states and countries introduce unilateral measures we will continue to monitor developments and determine the financial impact of these initiatives to the Company.</w:t>
      </w:r>
    </w:p>
    <w:p>
      <w:pPr>
        <w:spacing w:after="0" w:line="18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Any changes to international tax laws, including new definitions of permanent establishment, could affect the tax treatment of our foreign earnings and adversely impact our effective income tax rate. Further, changes to tax laws and additional reporting requirements could increase the complexity, burden and cost of compliance. Due to the large and expanding scale of our international business activities, any changes in U.S. or international taxation of our activities or the combined effect of tax laws in multiple jurisdictions may increase our worldwide effective income tax rate, increase the complexity and costs associated with tax compliance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(especially if changes are implemented or interpreted inconsistently across tax jurisdictions) and adversely affect our cash flows and results of operations.</w:t>
      </w:r>
    </w:p>
    <w:p>
      <w:pPr>
        <w:spacing w:after="0" w:line="24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addition, the taxing authorities in the U.S. and other jurisdictions where we do business regularly examine our income and other tax returns as well as the tax returns of Expedia, our former parent. The ultimate outcome of these examinations (including the IRS audit described below) cannot be predicted with certainty. Should the IRS or other taxing authorities assess additional taxes as a result of examinations, we may be required to record charges to our operations, which could harm our operating results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the tax treatment of companies engaged in e-commerce may adversely affect the commercial use of our sites and our financial results.</w:t>
      </w:r>
    </w:p>
    <w:p>
      <w:pPr>
        <w:spacing w:after="0" w:line="248" w:lineRule="exact"/>
        <w:rPr>
          <w:sz w:val="20"/>
          <w:szCs w:val="20"/>
          <w:color w:val="auto"/>
        </w:rPr>
      </w:pPr>
    </w:p>
    <w:p>
      <w:pPr>
        <w:ind w:firstLine="499"/>
        <w:spacing w:after="0" w:line="286" w:lineRule="auto"/>
        <w:rPr>
          <w:sz w:val="20"/>
          <w:szCs w:val="20"/>
          <w:color w:val="auto"/>
        </w:rPr>
      </w:pPr>
      <w:r>
        <w:rPr>
          <w:rFonts w:ascii="Arial" w:cs="Arial" w:eastAsia="Arial" w:hAnsi="Arial"/>
          <w:sz w:val="16"/>
          <w:szCs w:val="16"/>
          <w:color w:val="auto"/>
        </w:rPr>
        <w:t>Due to the global nature of the internet, it is possible that various states or foreign countries might attempt to levy additional or new sales, income or other taxes relating to our activities. Tax authorities at the international, federal, state and local levels are currently reviewing the appropriate treatment of companies engaged in e-commerce. For example, Congress is considering various approaches to legislation that would require companies engaged in e-commerce to collect sales tax on internet revenue and a growing number of U.S. states and certain foreign jurisdictions have adopted or are considering proposals to impose obligations on remote sellers and online marketplaces to collect taxes on their behalf. Additionally, the U.S. Supreme Court’s ruling in South Dakota v. Wayfair Inc., in which a Court reversed longstanding precedent that remote sellers are not required to collect state and local sales taxes, may have an adverse impact on our business. Also, as described in more detail above, certain U.S. states and countries in which we do business, such as France, Italy, Spain, and the U.K., have enacted or proposed digital services tax initiatives. New or revised international, federal, state or local tax regulations or court decisions may subject us or our customers to additional sales, occupancy, income and other taxes. We cannot predict the effect of these and other attempts to impose sales, income or other taxes on e-commerce. New or revised taxes and, in particular, sales taxes, occupancy taxes, value added taxes (“VAT”), and similar taxes would likely increase the cost of doing business online and decrease the attractiveness of selling products and services over the Internet. New taxes could also create significant increases in internal costs necessary to capture data and collect and remit taxes. Any of these events could have a material adverse effect on our business, financial condition and operating results.</w:t>
      </w:r>
    </w:p>
    <w:p>
      <w:pPr>
        <w:spacing w:after="0" w:line="17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occupancy, VAT or similar taxes, and we could be subject to liability with respect to past or future sales, which could adversely affect our operating results.</w:t>
      </w:r>
    </w:p>
    <w:p>
      <w:pPr>
        <w:spacing w:after="0" w:line="124" w:lineRule="exact"/>
        <w:rPr>
          <w:sz w:val="20"/>
          <w:szCs w:val="20"/>
          <w:color w:val="auto"/>
        </w:rPr>
      </w:pPr>
    </w:p>
    <w:p>
      <w:pPr>
        <w:ind w:right="100" w:firstLine="499"/>
        <w:spacing w:after="0" w:line="270" w:lineRule="auto"/>
        <w:rPr>
          <w:sz w:val="20"/>
          <w:szCs w:val="20"/>
          <w:color w:val="auto"/>
        </w:rPr>
      </w:pPr>
      <w:r>
        <w:rPr>
          <w:rFonts w:ascii="Arial" w:cs="Arial" w:eastAsia="Arial" w:hAnsi="Arial"/>
          <w:sz w:val="17"/>
          <w:szCs w:val="17"/>
          <w:color w:val="auto"/>
        </w:rPr>
        <w:t>We do not collect and remit sales and use, occupancy, VAT or similar taxes in all jurisdictions in which we have sales, based on our belief that such taxes are not applicable or legally required. Several states and other taxing jurisdictions have presented or threatened us with assessments, alleging that we are required to collect and remit certain taxes there. While we do not believe that we are subject to such taxes and intend to vigorously defend our position in these cases, we cannot be sure of the outcome of our discussions and/or appeals with these states or cases that are pending in the courts. In the event of an adverse outcome, we could face assessments for additional time periods since the last assessments we received, plus any additional interest and penalties. We also expect additional jurisdictions may make similar assessments or pass similar new laws in the future, and any of the jurisdictions where we have sales may apply more rigorous enforcement efforts or take more aggressive positions in the future that could result in greater tax liability allegations. Such tax assessments, penalties and interest or future requirements may materially adversely affect our business, financial condition and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be subject to significant potential tax liabilities in connection with the Spin-Off.</w:t>
      </w:r>
    </w:p>
    <w:p>
      <w:pPr>
        <w:spacing w:after="0" w:line="225"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Under the Tax Sharing Agreement between us and Expedia entered into in connection with the Spin-Off,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w:t>
      </w:r>
    </w:p>
    <w:p>
      <w:pPr>
        <w:spacing w:after="0" w:line="164"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continue to be responsible for potential tax liabilities in connection with consolidated income tax returns filed with Expedia prior to or in connection with the Spin-Off. By virtue of previously filed consolidated tax returns with Expedia, we are currently under IRS audit for the 2009, 2010, and 2011 tax years. In connection with that audit, we received, in January 2017 and April 2019, Notices of Proposed Adjustment from the IRS for the 2009, 2010, and 2011 tax years, which would result in an increase in our worldwide income tax expense. For the pre Spin-Off years, the proposed adjustments would result in an increase to our worldwide income tax expense in an estimated range totaling $25 million to $30 million, after consideration of competent authority relief, and would be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7" w:name="page68"/>
    <w:bookmarkEnd w:id="67"/>
    <w:p>
      <w:pPr>
        <w:ind w:right="300"/>
        <w:spacing w:after="0" w:line="259" w:lineRule="auto"/>
        <w:rPr>
          <w:sz w:val="20"/>
          <w:szCs w:val="20"/>
          <w:color w:val="auto"/>
        </w:rPr>
      </w:pPr>
      <w:r>
        <w:rPr>
          <w:rFonts w:ascii="Arial" w:cs="Arial" w:eastAsia="Arial" w:hAnsi="Arial"/>
          <w:sz w:val="18"/>
          <w:szCs w:val="18"/>
          <w:color w:val="auto"/>
        </w:rPr>
        <w:t>subject to significant interest. We have requested competent authority assistance under the Mutual Agreement Procedure (“MAP”) for tax years 2009 through 2013. We expect the competent authorities to present a resolution for the 2009 through 2011 tax years in the near future. Upon receipt, we will assess the resolution provided by the competent authorities as well as its impact on our existing income tax reserves for all open subsequent years. The outcome of these matters or any other audits could subject us to significant tax liabilities.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fluctuation in foreign currency exchange risk.</w:t>
      </w:r>
    </w:p>
    <w:p>
      <w:pPr>
        <w:spacing w:after="0" w:line="225"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conduct a significant and growing portion of our business outside the U.S. but report our results in U.S. dollars. As a result, we face exposure to movements in foreign currency exchange rates, particularly those related to the Euro, British pound, and Australian dollar. These exposures include, but are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 For example, Brexit caused significant volatility in currency exchange rates, especially between the U.S. dollar and the British pound. Continued uncertainty regarding the final terms of Brexit may result in future exchange rate volatility. In addition, in the event that one or more European countries were to replace the Euro with another currency, our sales into such countries, or into Europe generally, would likely be adversely affected until stable exchange rates are established. Accordingly, fluctuations in foreign currency exchange rates, such as the strengthening of the U.S. dollar against the Euro or the British pound, could adversely affect our net revenue growth in future periods.</w:t>
      </w:r>
    </w:p>
    <w:p>
      <w:pPr>
        <w:spacing w:after="0" w:line="166"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Depending on the size of the exposures and the relative movements of exchange rates, if we were to choose not to hedge or were to fail to hedge effectively our exposure, we could experience a material adverse effect on our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We hedge certain short-term foreign currency exposures with the purchase of forward exchange contracts. These forward exchange contracts only help mitigate the impact of changes in foreign currency rates that occur during the term of the related contract period and carry risks of counter-party failure. There can be no assurance that our forward exchange contracts will have their intended effects.</w:t>
      </w:r>
    </w:p>
    <w:p>
      <w:pPr>
        <w:spacing w:after="0" w:line="17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Significant fluctuations in foreign currency exchange rates can affect consumer travel behavior. Volatility in foreign currency exchange rates and its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Common Stock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Tripadvisor Holdings, Inc. currently is a controlling stockholder.</w:t>
      </w:r>
    </w:p>
    <w:p>
      <w:pPr>
        <w:spacing w:after="0" w:line="225" w:lineRule="exact"/>
        <w:rPr>
          <w:sz w:val="20"/>
          <w:szCs w:val="20"/>
          <w:color w:val="auto"/>
        </w:rPr>
      </w:pPr>
    </w:p>
    <w:p>
      <w:pPr>
        <w:ind w:right="160" w:firstLine="510"/>
        <w:spacing w:after="0" w:line="270" w:lineRule="auto"/>
        <w:rPr>
          <w:sz w:val="20"/>
          <w:szCs w:val="20"/>
          <w:color w:val="auto"/>
        </w:rPr>
      </w:pPr>
      <w:r>
        <w:rPr>
          <w:rFonts w:ascii="Arial" w:cs="Arial" w:eastAsia="Arial" w:hAnsi="Arial"/>
          <w:sz w:val="17"/>
          <w:szCs w:val="17"/>
          <w:color w:val="auto"/>
        </w:rPr>
        <w:t>Liberty Tripadvisor Holdings, Inc., or LTRIP,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including but not limited to, corporate transactions such as mergers, business combinations or dispositions of assets, the authorization or issuance of new equity or debt securities and determinations with respect to our business direction and policies. Our Chairman, Gregory Maffei, and Directors Greg O’Hara and Albert Rosenthaler, also serve as officers and directors of LTRIP. LTRIP may have interests that differ from those of our other stockholders and may vote in a way with which our other stockholders may not agree or that may be adverse to other stockholders’ interests. LTRIP is not restricted from investing in other businesses involving or related to our business. LTRIP’s control of us, as well as the existing provisions of our organizational documents and Delaware law, may discourage or prevent a change of control that might otherwise be beneficial, which may reduce the market price of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225"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Our stock price has experienced, and could continue to experience in the future, substantial volatility. The market price of our common stock is affected by a number of factors, including the risk factors described in this section and other factors beyond our control. Factors affecting the trading price of our common stock could include:</w:t>
      </w:r>
    </w:p>
    <w:p>
      <w:pPr>
        <w:spacing w:after="0" w:line="76" w:lineRule="exact"/>
        <w:rPr>
          <w:sz w:val="20"/>
          <w:szCs w:val="20"/>
          <w:color w:val="auto"/>
        </w:rPr>
      </w:pPr>
    </w:p>
    <w:p>
      <w:pPr>
        <w:ind w:left="1000" w:hanging="35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8" w:name="page69"/>
    <w:bookmarkEnd w:id="68"/>
    <w:p>
      <w:pPr>
        <w:ind w:left="1000" w:hanging="35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meet market expectations;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7" w:lineRule="exact"/>
        <w:rPr>
          <w:rFonts w:ascii="Arial" w:cs="Arial" w:eastAsia="Arial" w:hAnsi="Arial"/>
          <w:sz w:val="18"/>
          <w:szCs w:val="18"/>
          <w:color w:val="auto"/>
        </w:rPr>
      </w:pPr>
    </w:p>
    <w:p>
      <w:pPr>
        <w:ind w:left="1000" w:right="480" w:hanging="35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Repurchases of our common stock pursuant to our share repurchase program which could also cause our stock price to be higher than it would be in the absence of such a program and could potentially reduce the market liquidity for our stock;</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in our industry, including changes in governmental regulations; and</w:t>
      </w:r>
    </w:p>
    <w:p>
      <w:pPr>
        <w:spacing w:after="0" w:line="117" w:lineRule="exact"/>
        <w:rPr>
          <w:rFonts w:ascii="Arial" w:cs="Arial" w:eastAsia="Arial" w:hAnsi="Arial"/>
          <w:sz w:val="18"/>
          <w:szCs w:val="18"/>
          <w:color w:val="auto"/>
        </w:rPr>
      </w:pPr>
    </w:p>
    <w:p>
      <w:pPr>
        <w:ind w:left="1000" w:right="460" w:hanging="35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related to our operating performance or the operating performance of our competitors.</w:t>
      </w:r>
    </w:p>
    <w:p>
      <w:pPr>
        <w:spacing w:after="0" w:line="170"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foreign currency exchange fluctuations, may negatively impact the market price of our common stock regardless of our actual operating performance.</w:t>
      </w:r>
    </w:p>
    <w:p>
      <w:pPr>
        <w:spacing w:after="0" w:line="265"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146"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62" w:lineRule="exact"/>
        <w:rPr>
          <w:sz w:val="20"/>
          <w:szCs w:val="20"/>
          <w:color w:val="auto"/>
        </w:rPr>
      </w:pPr>
    </w:p>
    <w:p>
      <w:pPr>
        <w:ind w:left="1000" w:hanging="35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17" w:lineRule="exact"/>
        <w:rPr>
          <w:rFonts w:ascii="Arial" w:cs="Arial" w:eastAsia="Arial" w:hAnsi="Arial"/>
          <w:sz w:val="18"/>
          <w:szCs w:val="18"/>
          <w:color w:val="auto"/>
        </w:rPr>
      </w:pPr>
    </w:p>
    <w:p>
      <w:pPr>
        <w:ind w:left="1000" w:right="680" w:hanging="35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62" w:lineRule="exact"/>
        <w:rPr>
          <w:rFonts w:ascii="Arial" w:cs="Arial" w:eastAsia="Arial" w:hAnsi="Arial"/>
          <w:sz w:val="18"/>
          <w:szCs w:val="18"/>
          <w:color w:val="auto"/>
        </w:rPr>
      </w:pPr>
    </w:p>
    <w:p>
      <w:pPr>
        <w:ind w:left="1000" w:right="540" w:hanging="35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70"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We currently rely on the controlled company exemption for certain of the above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pay regular quarterly or annual cash dividends on our stock.</w:t>
      </w:r>
    </w:p>
    <w:p>
      <w:pPr>
        <w:spacing w:after="0" w:line="225"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Although the Company's Board of Directors declared, on November 1, 2019, a special cash dividend of $3.50 per share, or approximately $488 million in the aggregate, we do not pay regular quarterly or annual cash dividends. Any determination to pay dividends in the future will be at the discretion of our Board of Directors and will depend on our results of operations, earnings, capital requirements, financial condition, future prospects, contractual restrictions and other factors deemed relevant by our Board of Directors. Therefore, investors should not rely on regular quarterly or annual dividend income from shares of our common stock and investors should not rely on special dividends with any regularity or at all. Investors should rely on sales of their common stock after price appreciation, which may never occur, as the only way to realize future gains on their investments.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of shares of our common stock in the public market, or the perception that such sales may occur, may depress our stock price.</w:t>
      </w:r>
    </w:p>
    <w:p>
      <w:pPr>
        <w:spacing w:after="0" w:line="248" w:lineRule="exact"/>
        <w:rPr>
          <w:sz w:val="20"/>
          <w:szCs w:val="20"/>
          <w:color w:val="auto"/>
        </w:rPr>
      </w:pPr>
    </w:p>
    <w:p>
      <w:pPr>
        <w:ind w:right="220" w:firstLine="510"/>
        <w:spacing w:after="0" w:line="291" w:lineRule="auto"/>
        <w:rPr>
          <w:sz w:val="20"/>
          <w:szCs w:val="20"/>
          <w:color w:val="auto"/>
        </w:rPr>
      </w:pPr>
      <w:r>
        <w:rPr>
          <w:rFonts w:ascii="Arial" w:cs="Arial" w:eastAsia="Arial" w:hAnsi="Arial"/>
          <w:sz w:val="16"/>
          <w:szCs w:val="16"/>
          <w:color w:val="auto"/>
        </w:rPr>
        <w:t>Sales of substantial amounts of our common stock in the public market, particularly sales by our directors, officers, employees and significant stockholders, or the perception that these sales might occur, could depress the market price of our common stock and could impact our ability to raise capital through the sale of additional equity securities. In addition, certain stockholders have rights, subject to some conditions, to require us to file registration statements covering their shares or to include their shares in registration statements that we may file for ourselves or other stockholders. If LTRIP or some other stockholder sells substantial amounts of our common stock in the public market, or if there is a perception in the public market that LTRIP might sell 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9" w:name="page70"/>
    <w:bookmarkEnd w:id="69"/>
    <w:p>
      <w:pPr>
        <w:ind w:right="20"/>
        <w:spacing w:after="0" w:line="263"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certificate of incorporation and bylaws contain provisions that could delay or prevent a change of control of our company or changes 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that our stockholders might consider favorable. These provisions include:</w:t>
      </w:r>
    </w:p>
    <w:p>
      <w:pPr>
        <w:spacing w:after="0" w:line="103" w:lineRule="exact"/>
        <w:rPr>
          <w:sz w:val="20"/>
          <w:szCs w:val="20"/>
          <w:color w:val="auto"/>
        </w:rPr>
      </w:pPr>
    </w:p>
    <w:p>
      <w:pPr>
        <w:ind w:left="1000" w:hanging="358"/>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Authorization and issuance of Class B common stock that entitles holders to ten votes per share;</w:t>
      </w:r>
    </w:p>
    <w:p>
      <w:pPr>
        <w:spacing w:after="0" w:line="117" w:lineRule="exact"/>
        <w:rPr>
          <w:rFonts w:ascii="Arial" w:cs="Arial" w:eastAsia="Arial" w:hAnsi="Arial"/>
          <w:sz w:val="18"/>
          <w:szCs w:val="18"/>
          <w:color w:val="auto"/>
        </w:rPr>
      </w:pPr>
    </w:p>
    <w:p>
      <w:pPr>
        <w:ind w:left="1000" w:right="640" w:hanging="35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Authorization of the issuance of preferred stock which can be created and issued by the Board of Directors without prior stockholder approval, with rights senior to those of our common stock;</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Prohibiting our stockholders from filling board vacancies or calling special stockholder meetings; and</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Limiting who may call special meetings of stockholders.</w:t>
      </w:r>
    </w:p>
    <w:p>
      <w:pPr>
        <w:spacing w:after="0" w:line="225"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During the quarter ended June 30, 2020,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On January 31, 2018, Tripadvisor’s Board of Directors authorized up to $250 million of share repurchases. Our Board of Directors authorized and directed management, working with the Executive Committee of our Board of Directors, to affect the share repurchase program in compliance with applicable legal requirements. On November 1, 2019, our Board of Directors authorized the repurchase of an additional $100 million in shares of our common stock under our existing share repurchase program. This repurchase program has no expiration date but may be suspended or terminated by our Board of Directors at any time. The Company did not repurchase any shares of outstanding common stock during the three months ended June 30, 2020 under the share repurchase program. During the six months ended June 30, 2020, we repurchased 4,707,450 shares of our outstanding common stock at an average share price of $24.32 per share, exclusive of fees and commissions, or $115 million in the aggregate. As of June 30, 2020, we had $75 million remaining available to repurchase shares of our common stock under this share repurchase program.</w:t>
      </w:r>
    </w:p>
    <w:p>
      <w:pPr>
        <w:spacing w:after="0" w:line="165"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 xml:space="preserve">While the Board of Directors has not suspended or terminated the share repurchase program, the terms of our Second Amendment currently prohibit the Company from engaging in share repurchases and the terms of our Indenture impose certain limitations and restrictions on share repurchases. Refer to “Note 8: </w:t>
      </w:r>
      <w:r>
        <w:rPr>
          <w:rFonts w:ascii="Arial" w:cs="Arial" w:eastAsia="Arial" w:hAnsi="Arial"/>
          <w:sz w:val="17"/>
          <w:szCs w:val="17"/>
          <w:i w:val="1"/>
          <w:iCs w:val="1"/>
          <w:color w:val="auto"/>
        </w:rPr>
        <w:t>Debt</w:t>
      </w:r>
      <w:r>
        <w:rPr>
          <w:rFonts w:ascii="Arial" w:cs="Arial" w:eastAsia="Arial" w:hAnsi="Arial"/>
          <w:sz w:val="17"/>
          <w:szCs w:val="17"/>
          <w:color w:val="auto"/>
        </w:rPr>
        <w:t xml:space="preserve">” in the notes to our unaudited condensed consolidated financial statements in Item 1 in this Quarterly Report on Form 10-Q for further information about our Second Amendment and Note 15: </w:t>
      </w:r>
      <w:r>
        <w:rPr>
          <w:rFonts w:ascii="Arial" w:cs="Arial" w:eastAsia="Arial" w:hAnsi="Arial"/>
          <w:sz w:val="17"/>
          <w:szCs w:val="17"/>
          <w:i w:val="1"/>
          <w:iCs w:val="1"/>
          <w:color w:val="auto"/>
        </w:rPr>
        <w:t>Subsequent Events</w:t>
      </w:r>
      <w:r>
        <w:rPr>
          <w:rFonts w:ascii="Arial" w:cs="Arial" w:eastAsia="Arial" w:hAnsi="Arial"/>
          <w:sz w:val="17"/>
          <w:szCs w:val="17"/>
          <w:color w:val="auto"/>
        </w:rPr>
        <w:t>” in the notes to our unaudited condensed consolidated financial statements in Item 1 in this Quarterly Report on Form 10-Q for further information about the Indenture.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60" w:firstLine="584"/>
        <w:spacing w:after="0" w:line="291" w:lineRule="auto"/>
        <w:rPr>
          <w:sz w:val="20"/>
          <w:szCs w:val="20"/>
          <w:color w:val="auto"/>
        </w:rPr>
      </w:pPr>
      <w:r>
        <w:rPr>
          <w:rFonts w:ascii="Arial" w:cs="Arial" w:eastAsia="Arial" w:hAnsi="Arial"/>
          <w:sz w:val="16"/>
          <w:szCs w:val="16"/>
          <w:color w:val="auto"/>
        </w:rPr>
        <w:t>On July 9, 2020, the Company completed the sale of $500 million aggregate principal amount of 7.000% senior notes due 2025 (the “Senior Notes”), pursuant to a purchase agreement, dated July 7, 2020, among the Company, the guarantors party thereto (the “Guarantors”) and the initial purchasers party thereto. The Senior Notes were issued pursuant to an indenture, dated July 9, 2020 (the “Indenture”), among the Company, the Guarantors and Wilmington Trust, National Association, as trustee. The Indenture provides, among other things, that interest will be payable on the Senior Notes on January 15 and July 15 of each year, beginning on January 15, 2021, until the maturity date of July 15, 2025. The Senior Notes are senior unsecured obligations of the Company and will be guaranteed on a senior unsecured basis by each of its existing and future wholly owned domestic restricted subsidiaries that guarantees the credit facility or that guarantees certain of our other indebtedness or indebtedness of a guarantor.</w:t>
      </w:r>
    </w:p>
    <w:p>
      <w:pPr>
        <w:spacing w:after="0" w:line="166" w:lineRule="exact"/>
        <w:rPr>
          <w:sz w:val="20"/>
          <w:szCs w:val="20"/>
          <w:color w:val="auto"/>
        </w:rPr>
      </w:pPr>
    </w:p>
    <w:p>
      <w:pPr>
        <w:ind w:firstLine="578"/>
        <w:spacing w:after="0" w:line="288" w:lineRule="auto"/>
        <w:rPr>
          <w:sz w:val="20"/>
          <w:szCs w:val="20"/>
          <w:color w:val="auto"/>
        </w:rPr>
      </w:pPr>
      <w:r>
        <w:rPr>
          <w:rFonts w:ascii="Arial" w:cs="Arial" w:eastAsia="Arial" w:hAnsi="Arial"/>
          <w:sz w:val="16"/>
          <w:szCs w:val="16"/>
          <w:color w:val="auto"/>
        </w:rPr>
        <w:t>The Company has the option to redeem all or a portion of the Senior Notes at any time on or after July 15, 2022 at the redemption prices set forth in the Indenture, plus accrued and unpaid interest, if any. The Company may also redeem all or any portion of the Senior Notes at any time prior to July 15, 2022, at a price equal to 100% of the aggregate principal amount thereof plus a make-whole premium and accrued and unpaid interest, if any. In addition, before July 15, 2022, the Company may redeem up to 40% of the aggregate principal amount of the Senior Notes with the net proceeds of certain equity offerings at the redemption price set forth in the Indenture, provided that certain conditions are met. Under certain circumstances, until 120 days after the issue date, the Company may redeem in the aggregate up to 40% of the aggregate principal amount of the Senior Notes in an amount not to exceed the amount of the net cash proceeds of any loan received pursuant to a Regulatory Debt Facility (as defined in the Indenture), so long as at least 60% of the aggregate principal amount of the notes remain outstanding after each such redemption. Subject to certain limitations, in the event of a Change of Control Triggering Event (as defined in the Indenture), the Company will be required to make an offer to purchase the Senior Notes at a price equal to 101% of the aggregate principal amount of the Senior Notes repurchased, plus accrued and unpaid interest, if any, to the date of repurchase.</w:t>
      </w:r>
    </w:p>
    <w:p>
      <w:pPr>
        <w:spacing w:after="0" w:line="168" w:lineRule="exact"/>
        <w:rPr>
          <w:sz w:val="20"/>
          <w:szCs w:val="20"/>
          <w:color w:val="auto"/>
        </w:rPr>
      </w:pPr>
    </w:p>
    <w:p>
      <w:pPr>
        <w:ind w:right="100" w:firstLine="578"/>
        <w:spacing w:after="0" w:line="273" w:lineRule="auto"/>
        <w:rPr>
          <w:sz w:val="20"/>
          <w:szCs w:val="20"/>
          <w:color w:val="auto"/>
        </w:rPr>
      </w:pPr>
      <w:r>
        <w:rPr>
          <w:rFonts w:ascii="Arial" w:cs="Arial" w:eastAsia="Arial" w:hAnsi="Arial"/>
          <w:sz w:val="17"/>
          <w:szCs w:val="17"/>
          <w:color w:val="auto"/>
        </w:rPr>
        <w:t>The Indenture contains covenants that, among other things, restrict the ability of the Company and the ability of certain of its subsidiaries to incur or guarantee additional indebtedness or issue disqualified stock or certain preferred stock; pay dividends and make other distributions or repurchase stock; make certain investments; create or incur liens; sell assets; create restrictions affecting the ability of restricted subsidiaries that are non-guarantors to make distributions, loans or advances or transfer assets to the Company or the guarantors; enter into certain transactions with the Company’s affiliates; designate restricted subsidiaries as unrestricted subsidiaries; and merge, consolidate or transfer or sell all or substantially all of the Company’s assets. These covenants are subject to a number of important exceptions and qualifications.</w:t>
      </w:r>
    </w:p>
    <w:p>
      <w:pPr>
        <w:spacing w:after="0" w:line="178" w:lineRule="exact"/>
        <w:rPr>
          <w:sz w:val="20"/>
          <w:szCs w:val="20"/>
          <w:color w:val="auto"/>
        </w:rPr>
      </w:pPr>
    </w:p>
    <w:p>
      <w:pPr>
        <w:ind w:firstLine="578"/>
        <w:spacing w:after="0" w:line="259" w:lineRule="auto"/>
        <w:rPr>
          <w:sz w:val="20"/>
          <w:szCs w:val="20"/>
          <w:color w:val="auto"/>
        </w:rPr>
      </w:pPr>
      <w:r>
        <w:rPr>
          <w:rFonts w:ascii="Arial" w:cs="Arial" w:eastAsia="Arial" w:hAnsi="Arial"/>
          <w:sz w:val="18"/>
          <w:szCs w:val="18"/>
          <w:color w:val="auto"/>
        </w:rPr>
        <w:t>The Indenture provides for customary events of default, which include (subject in certain cases to customary grace and cure periods), among others, nonpayment of principal or interest; breach of other agreements in the indentures; defaults in failure to pay certain other indebtedness; the rendering of judgments to pay certain amounts of money against the Company and certain of its subsidiaries; the failure of certain guarantees to be enforceable; and certain events of bankruptcy or insolvency.</w:t>
      </w:r>
    </w:p>
    <w:p>
      <w:pPr>
        <w:spacing w:after="0" w:line="214"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The foregoing description of the Senior Notes does not purport to be complete and is qualified in its entirety by reference to the full text of the Senior Notes referenced as Exhibit 4.2 to this Quarterly Report on Form 10-Q.</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80" w:type="dxa"/>
            <w:vAlign w:val="bottom"/>
            <w:gridSpan w:val="6"/>
            <w:vMerge w:val="restart"/>
          </w:tcPr>
          <w:p>
            <w:pPr>
              <w:ind w:left="1960"/>
              <w:spacing w:after="0"/>
              <w:rPr>
                <w:sz w:val="20"/>
                <w:szCs w:val="20"/>
                <w:color w:val="auto"/>
              </w:rPr>
            </w:pPr>
            <w:r>
              <w:rPr>
                <w:rFonts w:ascii="Arial" w:cs="Arial" w:eastAsia="Arial" w:hAnsi="Arial"/>
                <w:sz w:val="14"/>
                <w:szCs w:val="14"/>
                <w:b w:val="1"/>
                <w:bCs w:val="1"/>
                <w:color w:val="auto"/>
              </w:rPr>
              <w:t>Exhibit Description</w:t>
            </w:r>
          </w:p>
        </w:tc>
        <w:tc>
          <w:tcPr>
            <w:tcW w:w="1300" w:type="dxa"/>
            <w:vAlign w:val="bottom"/>
            <w:gridSpan w:val="4"/>
          </w:tcPr>
          <w:p>
            <w:pPr>
              <w:ind w:left="140"/>
              <w:spacing w:after="0"/>
              <w:rPr>
                <w:sz w:val="20"/>
                <w:szCs w:val="20"/>
                <w:color w:val="auto"/>
              </w:rPr>
            </w:pPr>
            <w:r>
              <w:rPr>
                <w:rFonts w:ascii="Arial" w:cs="Arial" w:eastAsia="Arial" w:hAnsi="Arial"/>
                <w:sz w:val="14"/>
                <w:szCs w:val="14"/>
                <w:b w:val="1"/>
                <w:bCs w:val="1"/>
                <w:color w:val="auto"/>
              </w:rPr>
              <w:t>Filed</w:t>
            </w:r>
          </w:p>
        </w:tc>
        <w:tc>
          <w:tcPr>
            <w:tcW w:w="2220" w:type="dxa"/>
            <w:vAlign w:val="bottom"/>
            <w:gridSpan w:val="5"/>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42"/>
        </w:trPr>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No.</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80" w:type="dxa"/>
            <w:vAlign w:val="bottom"/>
            <w:gridSpan w:val="6"/>
            <w:vMerge w:val="continue"/>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Herewith</w:t>
            </w:r>
          </w:p>
        </w:tc>
        <w:tc>
          <w:tcPr>
            <w:tcW w:w="500" w:type="dxa"/>
            <w:vAlign w:val="bottom"/>
            <w:tcBorders>
              <w:top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7"/>
              </w:rPr>
              <w:t>Form</w:t>
            </w: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SEC File No.</w:t>
            </w:r>
          </w:p>
        </w:tc>
        <w:tc>
          <w:tcPr>
            <w:tcW w:w="580" w:type="dxa"/>
            <w:vAlign w:val="bottom"/>
            <w:tcBorders>
              <w:top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8"/>
              </w:rPr>
              <w:t>Exhibit</w:t>
            </w: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69"/>
        </w:trPr>
        <w:tc>
          <w:tcPr>
            <w:tcW w:w="6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20" w:type="dxa"/>
            <w:vAlign w:val="bottom"/>
            <w:tcBorders>
              <w:top w:val="single" w:sz="8" w:color="auto"/>
            </w:tcBorders>
            <w:gridSpan w:val="7"/>
          </w:tcPr>
          <w:p>
            <w:pPr>
              <w:spacing w:after="0" w:line="169" w:lineRule="exact"/>
              <w:rPr>
                <w:rFonts w:ascii="Arial" w:cs="Arial" w:eastAsia="Arial" w:hAnsi="Arial"/>
                <w:sz w:val="18"/>
                <w:szCs w:val="18"/>
                <w:color w:val="0000EE"/>
                <w:w w:val="97"/>
              </w:rPr>
            </w:pPr>
            <w:hyperlink r:id="rId100">
              <w:r>
                <w:rPr>
                  <w:rFonts w:ascii="Arial" w:cs="Arial" w:eastAsia="Arial" w:hAnsi="Arial"/>
                  <w:sz w:val="18"/>
                  <w:szCs w:val="18"/>
                  <w:color w:val="0000EE"/>
                  <w:w w:val="97"/>
                </w:rPr>
                <w:t>Indenture, dated July 9, 2020, among Tripadvisor, Inc., the guarantors party thereto and</w:t>
              </w:r>
            </w:hyperlink>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80" w:type="dxa"/>
            <w:vAlign w:val="bottom"/>
          </w:tcPr>
          <w:p>
            <w:pPr>
              <w:spacing w:after="0"/>
              <w:rPr>
                <w:sz w:val="14"/>
                <w:szCs w:val="14"/>
                <w:color w:val="auto"/>
              </w:rPr>
            </w:pPr>
          </w:p>
        </w:tc>
        <w:tc>
          <w:tcPr>
            <w:tcW w:w="8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w w:val="90"/>
              </w:rPr>
              <w:t>001-35362</w:t>
            </w:r>
          </w:p>
        </w:tc>
        <w:tc>
          <w:tcPr>
            <w:tcW w:w="100" w:type="dxa"/>
            <w:vAlign w:val="bottom"/>
          </w:tcPr>
          <w:p>
            <w:pPr>
              <w:spacing w:after="0"/>
              <w:rPr>
                <w:sz w:val="14"/>
                <w:szCs w:val="14"/>
                <w:color w:val="auto"/>
              </w:rPr>
            </w:pPr>
          </w:p>
        </w:tc>
        <w:tc>
          <w:tcPr>
            <w:tcW w:w="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7/9/20</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Wilmington Trust, National Association, as trustee.</w:t>
              </w:r>
            </w:hyperlink>
          </w:p>
        </w:tc>
        <w:tc>
          <w:tcPr>
            <w:tcW w:w="2580" w:type="dxa"/>
            <w:vAlign w:val="bottom"/>
            <w:tcBorders>
              <w:top w:val="single" w:sz="8" w:color="0000EE"/>
            </w:tcBorders>
          </w:tcPr>
          <w:p>
            <w:pPr>
              <w:spacing w:after="0"/>
              <w:rPr>
                <w:sz w:val="17"/>
                <w:szCs w:val="17"/>
                <w:color w:val="auto"/>
              </w:rPr>
            </w:pPr>
          </w:p>
        </w:tc>
        <w:tc>
          <w:tcPr>
            <w:tcW w:w="66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6940" w:type="dxa"/>
            <w:vAlign w:val="bottom"/>
            <w:gridSpan w:val="9"/>
          </w:tcPr>
          <w:p>
            <w:pPr>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Form of the Senior Notes (included in Exhibit 4.1)</w:t>
              </w:r>
            </w:hyperlink>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820" w:type="dxa"/>
            <w:vAlign w:val="bottom"/>
          </w:tcPr>
          <w:p>
            <w:pPr>
              <w:ind w:left="20"/>
              <w:spacing w:after="0"/>
              <w:rPr>
                <w:sz w:val="20"/>
                <w:szCs w:val="20"/>
                <w:color w:val="auto"/>
              </w:rPr>
            </w:pPr>
            <w:r>
              <w:rPr>
                <w:rFonts w:ascii="Arial" w:cs="Arial" w:eastAsia="Arial" w:hAnsi="Arial"/>
                <w:sz w:val="18"/>
                <w:szCs w:val="18"/>
                <w:color w:val="auto"/>
                <w:w w:val="90"/>
              </w:rPr>
              <w:t>001-35362</w:t>
            </w:r>
          </w:p>
        </w:tc>
        <w:tc>
          <w:tcPr>
            <w:tcW w:w="10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7/9/20</w:t>
            </w:r>
          </w:p>
        </w:tc>
        <w:tc>
          <w:tcPr>
            <w:tcW w:w="0" w:type="dxa"/>
            <w:vAlign w:val="bottom"/>
          </w:tcPr>
          <w:p>
            <w:pPr>
              <w:spacing w:after="0"/>
              <w:rPr>
                <w:sz w:val="1"/>
                <w:szCs w:val="1"/>
                <w:color w:val="auto"/>
              </w:rPr>
            </w:pPr>
          </w:p>
        </w:tc>
      </w:tr>
      <w:tr>
        <w:trPr>
          <w:trHeight w:val="297"/>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65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Certification of the Chief Executive Officer pursuant to Section 302 of the Sarbanes-Oxley</w:t>
              </w:r>
            </w:hyperlink>
          </w:p>
        </w:tc>
        <w:tc>
          <w:tcPr>
            <w:tcW w:w="40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82"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Act of 2002</w:t>
              </w:r>
            </w:hyperlink>
          </w:p>
        </w:tc>
        <w:tc>
          <w:tcPr>
            <w:tcW w:w="6080" w:type="dxa"/>
            <w:vAlign w:val="bottom"/>
            <w:gridSpan w:val="6"/>
          </w:tcPr>
          <w:p>
            <w:pPr>
              <w:spacing w:after="0"/>
              <w:rPr>
                <w:sz w:val="17"/>
                <w:szCs w:val="17"/>
                <w:color w:val="auto"/>
              </w:rPr>
            </w:pPr>
          </w:p>
        </w:tc>
        <w:tc>
          <w:tcPr>
            <w:tcW w:w="1300" w:type="dxa"/>
            <w:vAlign w:val="bottom"/>
            <w:gridSpan w:val="4"/>
          </w:tcPr>
          <w:p>
            <w:pPr>
              <w:ind w:left="320"/>
              <w:spacing w:after="0" w:line="182" w:lineRule="exact"/>
              <w:rPr>
                <w:sz w:val="20"/>
                <w:szCs w:val="20"/>
                <w:color w:val="auto"/>
              </w:rPr>
            </w:pPr>
            <w:r>
              <w:rPr>
                <w:rFonts w:ascii="Arial" w:cs="Arial" w:eastAsia="Arial" w:hAnsi="Arial"/>
                <w:sz w:val="18"/>
                <w:szCs w:val="18"/>
                <w:color w:val="auto"/>
              </w:rPr>
              <w:t>X</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68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Certification of the Chief Financial Officer pursuant to Section 302 of the Sarbanes-Oxley Act</w:t>
              </w:r>
            </w:hyperlink>
          </w:p>
        </w:tc>
        <w:tc>
          <w:tcPr>
            <w:tcW w:w="14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82"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of 2002</w:t>
              </w:r>
            </w:hyperlink>
          </w:p>
        </w:tc>
        <w:tc>
          <w:tcPr>
            <w:tcW w:w="6380" w:type="dxa"/>
            <w:vAlign w:val="bottom"/>
            <w:gridSpan w:val="7"/>
          </w:tcPr>
          <w:p>
            <w:pPr>
              <w:spacing w:after="0"/>
              <w:rPr>
                <w:sz w:val="17"/>
                <w:szCs w:val="17"/>
                <w:color w:val="auto"/>
              </w:rPr>
            </w:pPr>
          </w:p>
        </w:tc>
        <w:tc>
          <w:tcPr>
            <w:tcW w:w="1300" w:type="dxa"/>
            <w:vAlign w:val="bottom"/>
            <w:gridSpan w:val="4"/>
          </w:tcPr>
          <w:p>
            <w:pPr>
              <w:ind w:left="320"/>
              <w:spacing w:after="0" w:line="182" w:lineRule="exact"/>
              <w:rPr>
                <w:sz w:val="20"/>
                <w:szCs w:val="20"/>
                <w:color w:val="auto"/>
              </w:rPr>
            </w:pPr>
            <w:r>
              <w:rPr>
                <w:rFonts w:ascii="Arial" w:cs="Arial" w:eastAsia="Arial" w:hAnsi="Arial"/>
                <w:sz w:val="18"/>
                <w:szCs w:val="18"/>
                <w:color w:val="auto"/>
              </w:rPr>
              <w:t>X</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65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Certification of the Chief Executive Officer pursuant to Section 906 of the Sarbanes-Oxley</w:t>
              </w:r>
            </w:hyperlink>
          </w:p>
        </w:tc>
        <w:tc>
          <w:tcPr>
            <w:tcW w:w="40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82"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Act of 2002</w:t>
              </w:r>
            </w:hyperlink>
          </w:p>
        </w:tc>
        <w:tc>
          <w:tcPr>
            <w:tcW w:w="6080" w:type="dxa"/>
            <w:vAlign w:val="bottom"/>
            <w:gridSpan w:val="6"/>
          </w:tcPr>
          <w:p>
            <w:pPr>
              <w:spacing w:after="0"/>
              <w:rPr>
                <w:sz w:val="17"/>
                <w:szCs w:val="17"/>
                <w:color w:val="auto"/>
              </w:rPr>
            </w:pPr>
          </w:p>
        </w:tc>
        <w:tc>
          <w:tcPr>
            <w:tcW w:w="1300" w:type="dxa"/>
            <w:vAlign w:val="bottom"/>
            <w:gridSpan w:val="4"/>
          </w:tcPr>
          <w:p>
            <w:pPr>
              <w:ind w:left="320"/>
              <w:spacing w:after="0" w:line="182" w:lineRule="exact"/>
              <w:rPr>
                <w:sz w:val="20"/>
                <w:szCs w:val="20"/>
                <w:color w:val="auto"/>
              </w:rPr>
            </w:pPr>
            <w:r>
              <w:rPr>
                <w:rFonts w:ascii="Arial" w:cs="Arial" w:eastAsia="Arial" w:hAnsi="Arial"/>
                <w:sz w:val="18"/>
                <w:szCs w:val="18"/>
                <w:color w:val="auto"/>
              </w:rPr>
              <w:t>X</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68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Certification of the Chief Financial Officer pursuant to Section 906 of the Sarbanes-Oxley Act</w:t>
              </w:r>
            </w:hyperlink>
          </w:p>
        </w:tc>
        <w:tc>
          <w:tcPr>
            <w:tcW w:w="14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82"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of 2002</w:t>
              </w:r>
            </w:hyperlink>
          </w:p>
        </w:tc>
        <w:tc>
          <w:tcPr>
            <w:tcW w:w="6380" w:type="dxa"/>
            <w:vAlign w:val="bottom"/>
            <w:gridSpan w:val="7"/>
          </w:tcPr>
          <w:p>
            <w:pPr>
              <w:spacing w:after="0"/>
              <w:rPr>
                <w:sz w:val="17"/>
                <w:szCs w:val="17"/>
                <w:color w:val="auto"/>
              </w:rPr>
            </w:pPr>
          </w:p>
        </w:tc>
        <w:tc>
          <w:tcPr>
            <w:tcW w:w="1300" w:type="dxa"/>
            <w:vAlign w:val="bottom"/>
            <w:gridSpan w:val="4"/>
          </w:tcPr>
          <w:p>
            <w:pPr>
              <w:ind w:left="320"/>
              <w:spacing w:after="0" w:line="182" w:lineRule="exact"/>
              <w:rPr>
                <w:sz w:val="20"/>
                <w:szCs w:val="20"/>
                <w:color w:val="auto"/>
              </w:rPr>
            </w:pPr>
            <w:r>
              <w:rPr>
                <w:rFonts w:ascii="Arial" w:cs="Arial" w:eastAsia="Arial" w:hAnsi="Arial"/>
                <w:sz w:val="18"/>
                <w:szCs w:val="18"/>
                <w:color w:val="auto"/>
              </w:rPr>
              <w:t>X</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68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6940" w:type="dxa"/>
            <w:vAlign w:val="bottom"/>
            <w:gridSpan w:val="9"/>
          </w:tcPr>
          <w:p>
            <w:pPr>
              <w:spacing w:after="0"/>
              <w:rPr>
                <w:sz w:val="20"/>
                <w:szCs w:val="20"/>
                <w:color w:val="auto"/>
              </w:rPr>
            </w:pPr>
            <w:r>
              <w:rPr>
                <w:rFonts w:ascii="Arial" w:cs="Arial" w:eastAsia="Arial" w:hAnsi="Arial"/>
                <w:sz w:val="18"/>
                <w:szCs w:val="18"/>
                <w:color w:val="auto"/>
                <w:w w:val="95"/>
              </w:rPr>
              <w:t>Inline XBRL Instance Document - the instance document does not appear in the Interactive</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40" w:type="dxa"/>
            <w:vAlign w:val="bottom"/>
            <w:gridSpan w:val="9"/>
          </w:tcPr>
          <w:p>
            <w:pPr>
              <w:spacing w:after="0"/>
              <w:rPr>
                <w:sz w:val="20"/>
                <w:szCs w:val="20"/>
                <w:color w:val="auto"/>
              </w:rPr>
            </w:pPr>
            <w:r>
              <w:rPr>
                <w:rFonts w:ascii="Arial" w:cs="Arial" w:eastAsia="Arial" w:hAnsi="Arial"/>
                <w:sz w:val="18"/>
                <w:szCs w:val="18"/>
                <w:color w:val="auto"/>
              </w:rPr>
              <w:t>Data File because its XBRL tags are embedded within the Inline XBRL document.</w:t>
            </w:r>
          </w:p>
        </w:tc>
        <w:tc>
          <w:tcPr>
            <w:tcW w:w="130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00" w:type="dxa"/>
            <w:vAlign w:val="bottom"/>
          </w:tcPr>
          <w:p>
            <w:pPr>
              <w:spacing w:after="0"/>
              <w:rPr>
                <w:sz w:val="24"/>
                <w:szCs w:val="24"/>
                <w:color w:val="auto"/>
              </w:rPr>
            </w:pPr>
          </w:p>
        </w:tc>
        <w:tc>
          <w:tcPr>
            <w:tcW w:w="694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130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0" w:type="dxa"/>
            <w:vAlign w:val="bottom"/>
          </w:tcPr>
          <w:p>
            <w:pPr>
              <w:spacing w:after="0"/>
              <w:rPr>
                <w:sz w:val="24"/>
                <w:szCs w:val="24"/>
                <w:color w:val="auto"/>
              </w:rPr>
            </w:pPr>
          </w:p>
        </w:tc>
        <w:tc>
          <w:tcPr>
            <w:tcW w:w="694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30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00" w:type="dxa"/>
            <w:vAlign w:val="bottom"/>
          </w:tcPr>
          <w:p>
            <w:pPr>
              <w:spacing w:after="0"/>
              <w:rPr>
                <w:sz w:val="24"/>
                <w:szCs w:val="24"/>
                <w:color w:val="auto"/>
              </w:rPr>
            </w:pPr>
          </w:p>
        </w:tc>
        <w:tc>
          <w:tcPr>
            <w:tcW w:w="694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30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0" w:type="dxa"/>
            <w:vAlign w:val="bottom"/>
          </w:tcPr>
          <w:p>
            <w:pPr>
              <w:spacing w:after="0"/>
              <w:rPr>
                <w:sz w:val="24"/>
                <w:szCs w:val="24"/>
                <w:color w:val="auto"/>
              </w:rPr>
            </w:pPr>
          </w:p>
        </w:tc>
        <w:tc>
          <w:tcPr>
            <w:tcW w:w="694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30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100" w:type="dxa"/>
            <w:vAlign w:val="bottom"/>
          </w:tcPr>
          <w:p>
            <w:pPr>
              <w:spacing w:after="0"/>
              <w:rPr>
                <w:sz w:val="24"/>
                <w:szCs w:val="24"/>
                <w:color w:val="auto"/>
              </w:rPr>
            </w:pPr>
          </w:p>
        </w:tc>
        <w:tc>
          <w:tcPr>
            <w:tcW w:w="694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30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6940" w:type="dxa"/>
            <w:vAlign w:val="bottom"/>
            <w:gridSpan w:val="9"/>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300" w:type="dxa"/>
            <w:vAlign w:val="bottom"/>
            <w:gridSpan w:val="4"/>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a management contract or a compensatory plan, contract or arrangement.</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381" w:lineRule="exact"/>
        <w:rPr>
          <w:rFonts w:ascii="Arial" w:cs="Arial" w:eastAsia="Arial" w:hAnsi="Arial"/>
          <w:sz w:val="18"/>
          <w:szCs w:val="18"/>
          <w:i w:val="1"/>
          <w:iCs w:val="1"/>
          <w:color w:val="auto"/>
        </w:rPr>
      </w:pPr>
    </w:p>
    <w:p>
      <w:pPr>
        <w:ind w:left="5540"/>
        <w:spacing w:after="0"/>
        <w:rPr>
          <w:rFonts w:ascii="Arial" w:cs="Arial" w:eastAsia="Arial" w:hAnsi="Arial"/>
          <w:sz w:val="18"/>
          <w:szCs w:val="18"/>
          <w:i w:val="1"/>
          <w:iCs w:val="1"/>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spacing w:after="0"/>
              <w:rPr>
                <w:sz w:val="20"/>
                <w:szCs w:val="20"/>
                <w:color w:val="auto"/>
              </w:rPr>
            </w:pPr>
            <w:r>
              <w:rPr>
                <w:rFonts w:ascii="Arial" w:cs="Arial" w:eastAsia="Arial" w:hAnsi="Arial"/>
                <w:sz w:val="18"/>
                <w:szCs w:val="18"/>
                <w:color w:val="auto"/>
              </w:rPr>
              <w:t>Tripadvisor, Inc.</w:t>
            </w:r>
          </w:p>
        </w:tc>
        <w:tc>
          <w:tcPr>
            <w:tcW w:w="3140" w:type="dxa"/>
            <w:vAlign w:val="bottom"/>
          </w:tcPr>
          <w:p>
            <w:pPr>
              <w:spacing w:after="0"/>
              <w:rPr>
                <w:sz w:val="20"/>
                <w:szCs w:val="20"/>
                <w:color w:val="auto"/>
              </w:rPr>
            </w:pPr>
          </w:p>
        </w:tc>
      </w:tr>
      <w:tr>
        <w:trPr>
          <w:trHeight w:val="472"/>
        </w:trPr>
        <w:tc>
          <w:tcPr>
            <w:tcW w:w="1340" w:type="dxa"/>
            <w:vAlign w:val="bottom"/>
            <w:gridSpan w:val="2"/>
          </w:tcPr>
          <w:p>
            <w:pPr>
              <w:spacing w:after="0"/>
              <w:rPr>
                <w:sz w:val="20"/>
                <w:szCs w:val="20"/>
                <w:color w:val="auto"/>
              </w:rPr>
            </w:pPr>
            <w:r>
              <w:rPr>
                <w:rFonts w:ascii="Arial" w:cs="Arial" w:eastAsia="Arial" w:hAnsi="Arial"/>
                <w:sz w:val="18"/>
                <w:szCs w:val="18"/>
                <w:color w:val="auto"/>
              </w:rPr>
              <w:t>By:</w:t>
            </w:r>
          </w:p>
        </w:tc>
        <w:tc>
          <w:tcPr>
            <w:tcW w:w="3140" w:type="dxa"/>
            <w:vAlign w:val="bottom"/>
          </w:tcPr>
          <w:p>
            <w:pPr>
              <w:jc w:val="center"/>
              <w:ind w:right="870"/>
              <w:spacing w:after="0"/>
              <w:rPr>
                <w:sz w:val="20"/>
                <w:szCs w:val="20"/>
                <w:color w:val="auto"/>
              </w:rPr>
            </w:pPr>
            <w:r>
              <w:rPr>
                <w:rFonts w:ascii="Arial" w:cs="Arial" w:eastAsia="Arial" w:hAnsi="Arial"/>
                <w:sz w:val="18"/>
                <w:szCs w:val="18"/>
                <w:color w:val="auto"/>
                <w:w w:val="86"/>
              </w:rPr>
              <w:t>/s/ Ernst Teunissen</w:t>
            </w:r>
          </w:p>
        </w:tc>
      </w:tr>
      <w:tr>
        <w:trPr>
          <w:trHeight w:val="191"/>
        </w:trPr>
        <w:tc>
          <w:tcPr>
            <w:tcW w:w="3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tcPr>
          <w:p>
            <w:pPr>
              <w:jc w:val="center"/>
              <w:ind w:right="870"/>
              <w:spacing w:after="0" w:line="191" w:lineRule="exact"/>
              <w:rPr>
                <w:sz w:val="20"/>
                <w:szCs w:val="20"/>
                <w:color w:val="auto"/>
              </w:rPr>
            </w:pPr>
            <w:r>
              <w:rPr>
                <w:rFonts w:ascii="Arial" w:cs="Arial" w:eastAsia="Arial" w:hAnsi="Arial"/>
                <w:sz w:val="18"/>
                <w:szCs w:val="18"/>
                <w:b w:val="1"/>
                <w:bCs w:val="1"/>
                <w:color w:val="auto"/>
                <w:w w:val="87"/>
              </w:rPr>
              <w:t>Ernst Teunissen</w:t>
            </w:r>
          </w:p>
        </w:tc>
      </w:tr>
      <w:tr>
        <w:trPr>
          <w:trHeight w:val="234"/>
        </w:trPr>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40" w:type="dxa"/>
            <w:vAlign w:val="bottom"/>
          </w:tcPr>
          <w:p>
            <w:pPr>
              <w:jc w:val="center"/>
              <w:ind w:right="870"/>
              <w:spacing w:after="0"/>
              <w:rPr>
                <w:sz w:val="20"/>
                <w:szCs w:val="20"/>
                <w:color w:val="auto"/>
              </w:rPr>
            </w:pPr>
            <w:r>
              <w:rPr>
                <w:rFonts w:ascii="Arial" w:cs="Arial" w:eastAsia="Arial" w:hAnsi="Arial"/>
                <w:sz w:val="18"/>
                <w:szCs w:val="18"/>
                <w:b w:val="1"/>
                <w:bCs w:val="1"/>
                <w:color w:val="auto"/>
                <w:w w:val="93"/>
              </w:rPr>
              <w:t>Chief Financial Officer</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By:</w:t>
            </w:r>
          </w:p>
        </w:tc>
        <w:tc>
          <w:tcPr>
            <w:tcW w:w="3140" w:type="dxa"/>
            <w:vAlign w:val="bottom"/>
          </w:tcPr>
          <w:p>
            <w:pPr>
              <w:jc w:val="center"/>
              <w:ind w:right="870"/>
              <w:spacing w:after="0"/>
              <w:rPr>
                <w:sz w:val="20"/>
                <w:szCs w:val="20"/>
                <w:color w:val="auto"/>
              </w:rPr>
            </w:pPr>
            <w:r>
              <w:rPr>
                <w:rFonts w:ascii="Arial" w:cs="Arial" w:eastAsia="Arial" w:hAnsi="Arial"/>
                <w:sz w:val="18"/>
                <w:szCs w:val="18"/>
                <w:color w:val="auto"/>
                <w:w w:val="92"/>
              </w:rPr>
              <w:t>/s/ Geoffrey Gouvalaris</w:t>
            </w:r>
          </w:p>
        </w:tc>
      </w:tr>
      <w:tr>
        <w:trPr>
          <w:trHeight w:val="191"/>
        </w:trPr>
        <w:tc>
          <w:tcPr>
            <w:tcW w:w="3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tcPr>
          <w:p>
            <w:pPr>
              <w:jc w:val="center"/>
              <w:ind w:right="870"/>
              <w:spacing w:after="0" w:line="191" w:lineRule="exact"/>
              <w:rPr>
                <w:sz w:val="20"/>
                <w:szCs w:val="20"/>
                <w:color w:val="auto"/>
              </w:rPr>
            </w:pPr>
            <w:r>
              <w:rPr>
                <w:rFonts w:ascii="Arial" w:cs="Arial" w:eastAsia="Arial" w:hAnsi="Arial"/>
                <w:sz w:val="18"/>
                <w:szCs w:val="18"/>
                <w:b w:val="1"/>
                <w:bCs w:val="1"/>
                <w:color w:val="auto"/>
                <w:w w:val="91"/>
              </w:rPr>
              <w:t>Geoffrey Gouvalaris</w:t>
            </w:r>
          </w:p>
        </w:tc>
      </w:tr>
      <w:tr>
        <w:trPr>
          <w:trHeight w:val="234"/>
        </w:trPr>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4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Chief Accounting Officer</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August 6, 2020</w:t>
            </w:r>
          </w:p>
        </w:tc>
        <w:tc>
          <w:tcPr>
            <w:tcW w:w="3140" w:type="dxa"/>
            <w:vAlign w:val="bottom"/>
          </w:tcPr>
          <w:p>
            <w:pPr>
              <w:spacing w:after="0"/>
              <w:rPr>
                <w:sz w:val="24"/>
                <w:szCs w:val="24"/>
                <w:color w:val="auto"/>
              </w:rPr>
            </w:pPr>
          </w:p>
        </w:tc>
      </w:tr>
    </w:tbl>
    <w:p>
      <w:pPr>
        <w:spacing w:after="0" w:line="20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860"/>
          </w:cols>
          <w:pgMar w:left="320" w:top="364" w:right="71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117"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2020 of TripAdvisor,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August 6,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117"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2020 of TripAdvisor,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August 6,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June 30, 2020, as filed with the Securities and Exchange Commission on the date hereof (the “Report”), I, Stephen Kaufer, Chief Executive Officer of the Company, certify, pursuant to Section 906 of the Sarbanes-Oxley Act of 2002, 18 U.S.C. Section 1350, that:</w:t>
      </w:r>
    </w:p>
    <w:p>
      <w:pPr>
        <w:spacing w:after="0" w:line="76" w:lineRule="exact"/>
        <w:rPr>
          <w:sz w:val="20"/>
          <w:szCs w:val="20"/>
          <w:color w:val="auto"/>
        </w:rPr>
      </w:pPr>
    </w:p>
    <w:p>
      <w:pPr>
        <w:ind w:left="500" w:right="40" w:hanging="49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August 6,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June 30, 2020, as filed with the Securities and Exchange Commission on the date hereof (the “Report”), I, Ernst Teunissen, Chief Financial Officer of the Company, certify, pursuant to Section 906 of the Sarbanes-Oxley Act of 2002, 18 U.S.C. Section 1350, that:</w:t>
      </w:r>
    </w:p>
    <w:p>
      <w:pPr>
        <w:spacing w:after="0" w:line="76" w:lineRule="exact"/>
        <w:rPr>
          <w:sz w:val="20"/>
          <w:szCs w:val="20"/>
          <w:color w:val="auto"/>
        </w:rPr>
      </w:pPr>
    </w:p>
    <w:p>
      <w:pPr>
        <w:ind w:left="500" w:right="40" w:hanging="49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August 6,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2"/>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1" Type="http://schemas.openxmlformats.org/officeDocument/2006/relationships/image" Target="media/image93.png"/><Relationship Id="rId100" Type="http://schemas.openxmlformats.org/officeDocument/2006/relationships/hyperlink" Target="http://www.sec.gov/Archives/edgar/data/1526520/000156459020032136/trip-ex41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2020-08-06T16:06:54Z</dcterms:created>
  <dcterms:modified xsi:type="dcterms:W3CDTF">2020-08-06T16:06:54Z</dcterms:modified>
</cp:coreProperties>
</file>