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156845</wp:posOffset>
            </wp:positionH>
            <wp:positionV relativeFrom="page">
              <wp:posOffset>317500</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351790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2793365</wp:posOffset>
            </wp:positionH>
            <wp:positionV relativeFrom="paragraph">
              <wp:posOffset>62230</wp:posOffset>
            </wp:positionV>
            <wp:extent cx="167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2793365</wp:posOffset>
            </wp:positionH>
            <wp:positionV relativeFrom="paragraph">
              <wp:posOffset>78105</wp:posOffset>
            </wp:positionV>
            <wp:extent cx="1670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133" w:lineRule="exact"/>
        <w:rPr>
          <w:sz w:val="24"/>
          <w:szCs w:val="24"/>
          <w:color w:val="auto"/>
        </w:rPr>
      </w:pPr>
    </w:p>
    <w:p>
      <w:pPr>
        <w:ind w:left="600" w:hanging="593"/>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 w:lineRule="exact"/>
        <w:rPr>
          <w:sz w:val="24"/>
          <w:szCs w:val="24"/>
          <w:color w:val="auto"/>
        </w:rPr>
      </w:pPr>
    </w:p>
    <w:p>
      <w:pPr>
        <w:ind w:left="600" w:hanging="593"/>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3" w:lineRule="exact"/>
        <w:rPr>
          <w:sz w:val="24"/>
          <w:szCs w:val="24"/>
          <w:color w:val="auto"/>
        </w:rPr>
      </w:pPr>
    </w:p>
    <w:p>
      <w:pPr>
        <w:ind w:left="438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 w:lineRule="exact"/>
        <w:rPr>
          <w:sz w:val="24"/>
          <w:szCs w:val="24"/>
          <w:color w:val="auto"/>
        </w:rPr>
      </w:pPr>
    </w:p>
    <w:p>
      <w:pPr>
        <w:ind w:left="4620"/>
        <w:spacing w:after="0"/>
        <w:rPr>
          <w:sz w:val="20"/>
          <w:szCs w:val="20"/>
          <w:color w:val="auto"/>
        </w:rPr>
      </w:pPr>
      <w:r>
        <w:rPr>
          <w:rFonts w:ascii="Arial" w:cs="Arial" w:eastAsia="Arial" w:hAnsi="Arial"/>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2793365</wp:posOffset>
            </wp:positionH>
            <wp:positionV relativeFrom="paragraph">
              <wp:posOffset>56515</wp:posOffset>
            </wp:positionV>
            <wp:extent cx="1670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81" w:lineRule="exact"/>
        <w:rPr>
          <w:sz w:val="24"/>
          <w:szCs w:val="24"/>
          <w:color w:val="auto"/>
        </w:rPr>
      </w:pPr>
    </w:p>
    <w:tbl>
      <w:tblPr>
        <w:tblLayout w:type="fixed"/>
        <w:tblInd w:w="600" w:type="dxa"/>
        <w:tblCellMar>
          <w:top w:w="0" w:type="dxa"/>
          <w:left w:w="0" w:type="dxa"/>
          <w:bottom w:w="0" w:type="dxa"/>
          <w:right w:w="0" w:type="dxa"/>
        </w:tblCellMar>
      </w:tblPr>
      <w:tr>
        <w:trPr>
          <w:trHeight w:val="389"/>
        </w:trPr>
        <w:tc>
          <w:tcPr>
            <w:tcW w:w="6700" w:type="dxa"/>
            <w:vAlign w:val="bottom"/>
            <w:gridSpan w:val="3"/>
          </w:tcPr>
          <w:p>
            <w:pPr>
              <w:jc w:val="center"/>
              <w:ind w:left="3464"/>
              <w:spacing w:after="0"/>
              <w:rPr>
                <w:sz w:val="20"/>
                <w:szCs w:val="20"/>
                <w:color w:val="auto"/>
              </w:rPr>
            </w:pPr>
            <w:r>
              <w:rPr>
                <w:rFonts w:ascii="Arial" w:cs="Arial" w:eastAsia="Arial" w:hAnsi="Arial"/>
                <w:sz w:val="32"/>
                <w:szCs w:val="32"/>
                <w:b w:val="1"/>
                <w:bCs w:val="1"/>
                <w:color w:val="auto"/>
              </w:rPr>
              <w:t>TRIPADVISOR, INC.</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700" w:type="dxa"/>
            <w:vAlign w:val="bottom"/>
            <w:gridSpan w:val="3"/>
          </w:tcPr>
          <w:p>
            <w:pPr>
              <w:jc w:val="center"/>
              <w:ind w:left="3444"/>
              <w:spacing w:after="0"/>
              <w:rPr>
                <w:sz w:val="20"/>
                <w:szCs w:val="20"/>
                <w:color w:val="auto"/>
              </w:rPr>
            </w:pPr>
            <w:r>
              <w:rPr>
                <w:rFonts w:ascii="Arial" w:cs="Arial" w:eastAsia="Arial" w:hAnsi="Arial"/>
                <w:sz w:val="13"/>
                <w:szCs w:val="13"/>
                <w:b w:val="1"/>
                <w:bCs w:val="1"/>
                <w:color w:val="auto"/>
                <w:w w:val="91"/>
              </w:rPr>
              <w:t>(Exact name of registrant as specified in its charter)</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800" w:type="dxa"/>
            <w:vAlign w:val="bottom"/>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700" w:type="dxa"/>
            <w:vAlign w:val="bottom"/>
            <w:gridSpan w:val="3"/>
          </w:tcPr>
          <w:p>
            <w:pPr>
              <w:jc w:val="center"/>
              <w:ind w:right="2280"/>
              <w:spacing w:after="0"/>
              <w:rPr>
                <w:sz w:val="20"/>
                <w:szCs w:val="20"/>
                <w:color w:val="auto"/>
              </w:rPr>
            </w:pPr>
            <w:r>
              <w:rPr>
                <w:rFonts w:ascii="Arial" w:cs="Arial" w:eastAsia="Arial" w:hAnsi="Arial"/>
                <w:sz w:val="14"/>
                <w:szCs w:val="14"/>
                <w:b w:val="1"/>
                <w:bCs w:val="1"/>
                <w:color w:val="auto"/>
                <w:w w:val="94"/>
              </w:rPr>
              <w:t>Delaware</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3"/>
              </w:rPr>
              <w:t>80-0743202</w:t>
            </w:r>
          </w:p>
        </w:tc>
        <w:tc>
          <w:tcPr>
            <w:tcW w:w="0" w:type="dxa"/>
            <w:vAlign w:val="bottom"/>
          </w:tcPr>
          <w:p>
            <w:pPr>
              <w:spacing w:after="0"/>
              <w:rPr>
                <w:sz w:val="1"/>
                <w:szCs w:val="1"/>
                <w:color w:val="auto"/>
              </w:rPr>
            </w:pPr>
          </w:p>
        </w:tc>
      </w:tr>
      <w:tr>
        <w:trPr>
          <w:trHeight w:val="147"/>
        </w:trPr>
        <w:tc>
          <w:tcPr>
            <w:tcW w:w="6700" w:type="dxa"/>
            <w:vAlign w:val="bottom"/>
            <w:gridSpan w:val="3"/>
          </w:tcPr>
          <w:p>
            <w:pPr>
              <w:jc w:val="center"/>
              <w:ind w:right="2300"/>
              <w:spacing w:after="0" w:line="147" w:lineRule="exact"/>
              <w:rPr>
                <w:sz w:val="20"/>
                <w:szCs w:val="20"/>
                <w:color w:val="auto"/>
              </w:rPr>
            </w:pPr>
            <w:r>
              <w:rPr>
                <w:rFonts w:ascii="Arial" w:cs="Arial" w:eastAsia="Arial" w:hAnsi="Arial"/>
                <w:sz w:val="13"/>
                <w:szCs w:val="13"/>
                <w:b w:val="1"/>
                <w:bCs w:val="1"/>
                <w:color w:val="auto"/>
                <w:w w:val="94"/>
              </w:rPr>
              <w:t>(State or other jurisdiction of</w:t>
            </w:r>
          </w:p>
        </w:tc>
        <w:tc>
          <w:tcPr>
            <w:tcW w:w="260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64"/>
        </w:trPr>
        <w:tc>
          <w:tcPr>
            <w:tcW w:w="6700" w:type="dxa"/>
            <w:vAlign w:val="bottom"/>
            <w:gridSpan w:val="3"/>
          </w:tcPr>
          <w:p>
            <w:pPr>
              <w:jc w:val="center"/>
              <w:ind w:right="2280"/>
              <w:spacing w:after="0"/>
              <w:rPr>
                <w:sz w:val="20"/>
                <w:szCs w:val="20"/>
                <w:color w:val="auto"/>
              </w:rPr>
            </w:pPr>
            <w:r>
              <w:rPr>
                <w:rFonts w:ascii="Arial" w:cs="Arial" w:eastAsia="Arial" w:hAnsi="Arial"/>
                <w:sz w:val="13"/>
                <w:szCs w:val="13"/>
                <w:b w:val="1"/>
                <w:bCs w:val="1"/>
                <w:color w:val="auto"/>
                <w:w w:val="93"/>
              </w:rPr>
              <w:t>incorporation or organization)</w:t>
            </w:r>
          </w:p>
        </w:tc>
        <w:tc>
          <w:tcPr>
            <w:tcW w:w="2600" w:type="dxa"/>
            <w:vAlign w:val="bottom"/>
          </w:tcPr>
          <w:p>
            <w:pPr>
              <w:jc w:val="center"/>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147"/>
        </w:trPr>
        <w:tc>
          <w:tcPr>
            <w:tcW w:w="3800" w:type="dxa"/>
            <w:vAlign w:val="bottom"/>
          </w:tcPr>
          <w:p>
            <w:pPr>
              <w:spacing w:after="0"/>
              <w:rPr>
                <w:sz w:val="12"/>
                <w:szCs w:val="12"/>
                <w:color w:val="auto"/>
              </w:rPr>
            </w:pPr>
          </w:p>
        </w:tc>
        <w:tc>
          <w:tcPr>
            <w:tcW w:w="29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400 1</w:t>
            </w:r>
            <w:r>
              <w:rPr>
                <w:rFonts w:ascii="Arial" w:cs="Arial" w:eastAsia="Arial" w:hAnsi="Arial"/>
                <w:sz w:val="12"/>
                <w:szCs w:val="12"/>
                <w:b w:val="1"/>
                <w:bCs w:val="1"/>
                <w:color w:val="auto"/>
                <w:w w:val="89"/>
              </w:rPr>
              <w:t>st</w:t>
            </w:r>
            <w:r>
              <w:rPr>
                <w:rFonts w:ascii="Arial" w:cs="Arial" w:eastAsia="Arial" w:hAnsi="Arial"/>
                <w:sz w:val="14"/>
                <w:szCs w:val="14"/>
                <w:b w:val="1"/>
                <w:bCs w:val="1"/>
                <w:color w:val="auto"/>
                <w:w w:val="89"/>
              </w:rPr>
              <w:t xml:space="preserve"> Avenue</w:t>
            </w: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rPr>
                <w:sz w:val="13"/>
                <w:szCs w:val="13"/>
                <w:color w:val="auto"/>
              </w:rPr>
            </w:pPr>
          </w:p>
        </w:tc>
        <w:tc>
          <w:tcPr>
            <w:tcW w:w="290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4"/>
              </w:rPr>
              <w:t>Needham, MA 02494</w:t>
            </w: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00" w:type="dxa"/>
            <w:vAlign w:val="bottom"/>
            <w:gridSpan w:val="3"/>
          </w:tcPr>
          <w:p>
            <w:pPr>
              <w:jc w:val="center"/>
              <w:ind w:left="3464"/>
              <w:spacing w:after="0"/>
              <w:rPr>
                <w:sz w:val="20"/>
                <w:szCs w:val="20"/>
                <w:color w:val="auto"/>
              </w:rPr>
            </w:pPr>
            <w:r>
              <w:rPr>
                <w:rFonts w:ascii="Arial" w:cs="Arial" w:eastAsia="Arial" w:hAnsi="Arial"/>
                <w:sz w:val="13"/>
                <w:szCs w:val="13"/>
                <w:b w:val="1"/>
                <w:bCs w:val="1"/>
                <w:color w:val="auto"/>
                <w:w w:val="92"/>
              </w:rPr>
              <w:t>(Address of principal executive office) (Zip Code)</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700" w:type="dxa"/>
            <w:vAlign w:val="bottom"/>
            <w:gridSpan w:val="3"/>
          </w:tcPr>
          <w:p>
            <w:pPr>
              <w:jc w:val="center"/>
              <w:ind w:left="3464"/>
              <w:spacing w:after="0" w:line="151" w:lineRule="exact"/>
              <w:rPr>
                <w:sz w:val="20"/>
                <w:szCs w:val="20"/>
                <w:color w:val="auto"/>
              </w:rPr>
            </w:pPr>
            <w:r>
              <w:rPr>
                <w:rFonts w:ascii="Arial" w:cs="Arial" w:eastAsia="Arial" w:hAnsi="Arial"/>
                <w:sz w:val="14"/>
                <w:szCs w:val="14"/>
                <w:b w:val="1"/>
                <w:bCs w:val="1"/>
                <w:color w:val="auto"/>
                <w:w w:val="90"/>
              </w:rPr>
              <w:t>Registrant’s telephone number, including area code:</w:t>
            </w:r>
          </w:p>
        </w:tc>
        <w:tc>
          <w:tcPr>
            <w:tcW w:w="2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420" w:type="dxa"/>
            <w:vAlign w:val="bottom"/>
            <w:gridSpan w:val="2"/>
          </w:tcPr>
          <w:p>
            <w:pPr>
              <w:jc w:val="center"/>
              <w:ind w:left="3724"/>
              <w:spacing w:after="0"/>
              <w:rPr>
                <w:sz w:val="20"/>
                <w:szCs w:val="20"/>
                <w:color w:val="auto"/>
              </w:rPr>
            </w:pPr>
            <w:r>
              <w:rPr>
                <w:rFonts w:ascii="Arial" w:cs="Arial" w:eastAsia="Arial" w:hAnsi="Arial"/>
                <w:sz w:val="14"/>
                <w:szCs w:val="14"/>
                <w:b w:val="1"/>
                <w:bCs w:val="1"/>
                <w:color w:val="auto"/>
                <w:w w:val="93"/>
              </w:rPr>
              <w:t>(781) 800-5000</w:t>
            </w:r>
          </w:p>
        </w:tc>
        <w:tc>
          <w:tcPr>
            <w:tcW w:w="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800" w:type="dxa"/>
            <w:vAlign w:val="bottom"/>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28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9300" w:type="dxa"/>
            <w:vAlign w:val="bottom"/>
            <w:gridSpan w:val="4"/>
          </w:tcPr>
          <w:p>
            <w:pPr>
              <w:jc w:val="center"/>
              <w:ind w:left="864"/>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0" w:type="dxa"/>
            <w:vAlign w:val="bottom"/>
          </w:tcPr>
          <w:p>
            <w:pPr>
              <w:spacing w:after="0"/>
              <w:rPr>
                <w:sz w:val="1"/>
                <w:szCs w:val="1"/>
                <w:color w:val="auto"/>
              </w:rPr>
            </w:pPr>
          </w:p>
        </w:tc>
      </w:tr>
      <w:tr>
        <w:trPr>
          <w:trHeight w:val="176"/>
        </w:trPr>
        <w:tc>
          <w:tcPr>
            <w:tcW w:w="6700" w:type="dxa"/>
            <w:vAlign w:val="bottom"/>
            <w:gridSpan w:val="3"/>
          </w:tcPr>
          <w:p>
            <w:pPr>
              <w:jc w:val="center"/>
              <w:ind w:right="2300"/>
              <w:spacing w:after="0"/>
              <w:rPr>
                <w:sz w:val="20"/>
                <w:szCs w:val="20"/>
                <w:color w:val="auto"/>
              </w:rPr>
            </w:pPr>
            <w:r>
              <w:rPr>
                <w:rFonts w:ascii="Arial" w:cs="Arial" w:eastAsia="Arial" w:hAnsi="Arial"/>
                <w:sz w:val="13"/>
                <w:szCs w:val="13"/>
                <w:b w:val="1"/>
                <w:bCs w:val="1"/>
                <w:color w:val="auto"/>
                <w:w w:val="89"/>
              </w:rPr>
              <w:t>Title of each class:</w:t>
            </w:r>
          </w:p>
        </w:tc>
        <w:tc>
          <w:tcPr>
            <w:tcW w:w="2600" w:type="dxa"/>
            <w:vAlign w:val="bottom"/>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c>
          <w:tcPr>
            <w:tcW w:w="0" w:type="dxa"/>
            <w:vAlign w:val="bottom"/>
          </w:tcPr>
          <w:p>
            <w:pPr>
              <w:spacing w:after="0"/>
              <w:rPr>
                <w:sz w:val="1"/>
                <w:szCs w:val="1"/>
                <w:color w:val="auto"/>
              </w:rPr>
            </w:pPr>
          </w:p>
        </w:tc>
      </w:tr>
      <w:tr>
        <w:trPr>
          <w:trHeight w:val="185"/>
        </w:trPr>
        <w:tc>
          <w:tcPr>
            <w:tcW w:w="6700" w:type="dxa"/>
            <w:vAlign w:val="bottom"/>
            <w:gridSpan w:val="3"/>
          </w:tcPr>
          <w:p>
            <w:pPr>
              <w:jc w:val="center"/>
              <w:ind w:right="2300"/>
              <w:spacing w:after="0"/>
              <w:rPr>
                <w:sz w:val="20"/>
                <w:szCs w:val="20"/>
                <w:color w:val="auto"/>
              </w:rPr>
            </w:pPr>
            <w:r>
              <w:rPr>
                <w:rFonts w:ascii="Arial" w:cs="Arial" w:eastAsia="Arial" w:hAnsi="Arial"/>
                <w:sz w:val="14"/>
                <w:szCs w:val="14"/>
                <w:b w:val="1"/>
                <w:bCs w:val="1"/>
                <w:color w:val="auto"/>
                <w:w w:val="91"/>
              </w:rPr>
              <w:t>Common Stock, $0.001 par value</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c>
          <w:tcPr>
            <w:tcW w:w="0" w:type="dxa"/>
            <w:vAlign w:val="bottom"/>
          </w:tcPr>
          <w:p>
            <w:pPr>
              <w:spacing w:after="0"/>
              <w:rPr>
                <w:sz w:val="1"/>
                <w:szCs w:val="1"/>
                <w:color w:val="auto"/>
              </w:rPr>
            </w:pPr>
          </w:p>
        </w:tc>
      </w:tr>
      <w:tr>
        <w:trPr>
          <w:trHeight w:val="187"/>
        </w:trPr>
        <w:tc>
          <w:tcPr>
            <w:tcW w:w="9300" w:type="dxa"/>
            <w:vAlign w:val="bottom"/>
            <w:gridSpan w:val="4"/>
          </w:tcPr>
          <w:p>
            <w:pPr>
              <w:jc w:val="center"/>
              <w:ind w:left="844"/>
              <w:spacing w:after="0"/>
              <w:rPr>
                <w:sz w:val="20"/>
                <w:szCs w:val="20"/>
                <w:color w:val="auto"/>
              </w:rPr>
            </w:pPr>
            <w:r>
              <w:rPr>
                <w:rFonts w:ascii="Arial" w:cs="Arial" w:eastAsia="Arial" w:hAnsi="Arial"/>
                <w:sz w:val="14"/>
                <w:szCs w:val="14"/>
                <w:b w:val="1"/>
                <w:bCs w:val="1"/>
                <w:color w:val="auto"/>
                <w:w w:val="90"/>
              </w:rPr>
              <w:t>Securities registered pursuant to Section 12(g) of the Act: None</w:t>
            </w:r>
          </w:p>
        </w:tc>
        <w:tc>
          <w:tcPr>
            <w:tcW w:w="0" w:type="dxa"/>
            <w:vAlign w:val="bottom"/>
          </w:tcPr>
          <w:p>
            <w:pPr>
              <w:spacing w:after="0"/>
              <w:rPr>
                <w:sz w:val="1"/>
                <w:szCs w:val="1"/>
                <w:color w:val="auto"/>
              </w:rPr>
            </w:pPr>
          </w:p>
        </w:tc>
      </w:tr>
      <w:tr>
        <w:trPr>
          <w:trHeight w:val="65"/>
        </w:trPr>
        <w:tc>
          <w:tcPr>
            <w:tcW w:w="38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60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4"/>
        </w:trPr>
        <w:tc>
          <w:tcPr>
            <w:tcW w:w="6700" w:type="dxa"/>
            <w:vAlign w:val="bottom"/>
            <w:gridSpan w:val="3"/>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gridSpan w:val="3"/>
          </w:tcPr>
          <w:p>
            <w:pPr>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w:t>
            </w:r>
          </w:p>
        </w:tc>
        <w:tc>
          <w:tcPr>
            <w:tcW w:w="26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20" w:firstLine="598"/>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60" w:firstLine="598"/>
        <w:spacing w:after="0" w:line="251"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0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3" w:lineRule="exact"/>
        <w:rPr>
          <w:sz w:val="24"/>
          <w:szCs w:val="24"/>
          <w:color w:val="auto"/>
        </w:rPr>
      </w:pPr>
    </w:p>
    <w:p>
      <w:pPr>
        <w:ind w:right="180" w:firstLine="598"/>
        <w:spacing w:after="0" w:line="179"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ind w:right="560" w:firstLine="598"/>
        <w:spacing w:after="0" w:line="27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9"/>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78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4"/>
        </w:trPr>
        <w:tc>
          <w:tcPr>
            <w:tcW w:w="2240" w:type="dxa"/>
            <w:vAlign w:val="bottom"/>
          </w:tcPr>
          <w:p>
            <w:pPr>
              <w:spacing w:after="0"/>
              <w:rPr>
                <w:sz w:val="20"/>
                <w:szCs w:val="20"/>
                <w:color w:val="auto"/>
              </w:rPr>
            </w:pPr>
            <w:r>
              <w:rPr>
                <w:rFonts w:ascii="Arial" w:cs="Arial" w:eastAsia="Arial" w:hAnsi="Arial"/>
                <w:sz w:val="14"/>
                <w:szCs w:val="14"/>
                <w:color w:val="auto"/>
              </w:rPr>
              <w:t>Non-accelerated filer</w:t>
            </w:r>
          </w:p>
        </w:tc>
        <w:tc>
          <w:tcPr>
            <w:tcW w:w="4780" w:type="dxa"/>
            <w:vAlign w:val="bottom"/>
          </w:tcPr>
          <w:p>
            <w:pPr>
              <w:ind w:left="6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46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4"/>
        </w:trPr>
        <w:tc>
          <w:tcPr>
            <w:tcW w:w="22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78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ind w:right="280" w:firstLine="598"/>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60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3" w:lineRule="exact"/>
        <w:rPr>
          <w:sz w:val="24"/>
          <w:szCs w:val="24"/>
          <w:color w:val="auto"/>
        </w:rPr>
      </w:pPr>
    </w:p>
    <w:p>
      <w:pPr>
        <w:ind w:firstLine="598"/>
        <w:spacing w:after="0" w:line="230" w:lineRule="auto"/>
        <w:rPr>
          <w:sz w:val="20"/>
          <w:szCs w:val="20"/>
          <w:color w:val="auto"/>
        </w:rPr>
      </w:pPr>
      <w:r>
        <w:rPr>
          <w:rFonts w:ascii="Arial" w:cs="Arial" w:eastAsia="Arial" w:hAnsi="Arial"/>
          <w:sz w:val="14"/>
          <w:szCs w:val="14"/>
          <w:color w:val="auto"/>
        </w:rPr>
        <w:t>The aggregate market value of the common stock of the registrant held by non-affiliates of the registrant as of the last business day of the registrant’s most recently completed second fiscal quarter was $4,096,061,843 based on the closing price on The NASDAQ Global Select Market on such date. For the purpose of the foregoing calculation only, all directors and executive officers of the registrant are assumed to be affiliates of the registrant.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5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Class</w:t>
            </w:r>
          </w:p>
        </w:tc>
        <w:tc>
          <w:tcPr>
            <w:tcW w:w="5580" w:type="dxa"/>
            <w:vAlign w:val="bottom"/>
          </w:tcPr>
          <w:p>
            <w:pPr>
              <w:jc w:val="center"/>
              <w:spacing w:after="0"/>
              <w:rPr>
                <w:sz w:val="20"/>
                <w:szCs w:val="20"/>
                <w:color w:val="auto"/>
              </w:rPr>
            </w:pPr>
            <w:r>
              <w:rPr>
                <w:rFonts w:ascii="Arial" w:cs="Arial" w:eastAsia="Arial" w:hAnsi="Arial"/>
                <w:sz w:val="13"/>
                <w:szCs w:val="13"/>
                <w:b w:val="1"/>
                <w:bCs w:val="1"/>
                <w:color w:val="auto"/>
                <w:w w:val="93"/>
              </w:rPr>
              <w:t>Outstanding Shares at February 9, 2018</w:t>
            </w:r>
          </w:p>
        </w:tc>
      </w:tr>
      <w:tr>
        <w:trPr>
          <w:trHeight w:val="122"/>
        </w:trPr>
        <w:tc>
          <w:tcPr>
            <w:tcW w:w="56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color w:val="auto"/>
                <w:w w:val="90"/>
              </w:rPr>
              <w:t>Common Stock, $0.001 par value per share</w:t>
            </w:r>
          </w:p>
        </w:tc>
        <w:tc>
          <w:tcPr>
            <w:tcW w:w="240" w:type="dxa"/>
            <w:vAlign w:val="bottom"/>
          </w:tcPr>
          <w:p>
            <w:pPr>
              <w:spacing w:after="0"/>
              <w:rPr>
                <w:sz w:val="10"/>
                <w:szCs w:val="10"/>
                <w:color w:val="auto"/>
              </w:rPr>
            </w:pPr>
          </w:p>
        </w:tc>
        <w:tc>
          <w:tcPr>
            <w:tcW w:w="55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color w:val="auto"/>
                <w:w w:val="88"/>
              </w:rPr>
              <w:t>126,183,939 shares</w:t>
            </w:r>
          </w:p>
        </w:tc>
      </w:tr>
      <w:tr>
        <w:trPr>
          <w:trHeight w:val="181"/>
        </w:trPr>
        <w:tc>
          <w:tcPr>
            <w:tcW w:w="584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Class B common stock, $0.001 par value per share</w:t>
            </w:r>
          </w:p>
        </w:tc>
        <w:tc>
          <w:tcPr>
            <w:tcW w:w="5580" w:type="dxa"/>
            <w:vAlign w:val="bottom"/>
          </w:tcPr>
          <w:p>
            <w:pPr>
              <w:jc w:val="center"/>
              <w:spacing w:after="0"/>
              <w:rPr>
                <w:sz w:val="20"/>
                <w:szCs w:val="20"/>
                <w:color w:val="auto"/>
              </w:rPr>
            </w:pPr>
            <w:r>
              <w:rPr>
                <w:rFonts w:ascii="Arial" w:cs="Arial" w:eastAsia="Arial" w:hAnsi="Arial"/>
                <w:sz w:val="14"/>
                <w:szCs w:val="14"/>
                <w:color w:val="auto"/>
                <w:w w:val="87"/>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2793365</wp:posOffset>
            </wp:positionH>
            <wp:positionV relativeFrom="paragraph">
              <wp:posOffset>49530</wp:posOffset>
            </wp:positionV>
            <wp:extent cx="1670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0050"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4" w:lineRule="exact"/>
        <w:rPr>
          <w:sz w:val="24"/>
          <w:szCs w:val="24"/>
          <w:color w:val="auto"/>
        </w:rPr>
      </w:pPr>
    </w:p>
    <w:p>
      <w:pPr>
        <w:ind w:right="500" w:firstLine="598"/>
        <w:spacing w:after="0" w:line="238" w:lineRule="auto"/>
        <w:rPr>
          <w:sz w:val="20"/>
          <w:szCs w:val="20"/>
          <w:color w:val="auto"/>
        </w:rPr>
      </w:pPr>
      <w:r>
        <w:rPr>
          <w:rFonts w:ascii="Arial" w:cs="Arial" w:eastAsia="Arial" w:hAnsi="Arial"/>
          <w:sz w:val="14"/>
          <w:szCs w:val="14"/>
          <w:color w:val="auto"/>
        </w:rPr>
        <w:t>The registrant intends to file a proxy statement pursuant to Regulation 14A not later than 120 days after the close of the fiscal year ended December 31, 2017.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59055</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596900</wp:posOffset>
            </wp:positionV>
            <wp:extent cx="729043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10" w:right="239" w:bottom="1440" w:gutter="0" w:footer="0" w:header="0"/>
        </w:sectPr>
      </w:pPr>
    </w:p>
    <w:bookmarkStart w:id="1" w:name="page2"/>
    <w:bookmarkEnd w:id="1"/>
    <w:tbl>
      <w:tblPr>
        <w:tblLayout w:type="fixed"/>
        <w:tblInd w:w="30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60" w:type="dxa"/>
            <w:vAlign w:val="bottom"/>
            <w:gridSpan w:val="13"/>
          </w:tcPr>
          <w:p>
            <w:pPr>
              <w:ind w:left="3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180" w:type="dxa"/>
            <w:vAlign w:val="bottom"/>
            <w:gridSpan w:val="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7"/>
        </w:trPr>
        <w:tc>
          <w:tcPr>
            <w:tcW w:w="118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jc w:val="right"/>
              <w:spacing w:after="0" w:line="167"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w:t>
            </w:r>
          </w:p>
        </w:tc>
        <w:tc>
          <w:tcPr>
            <w:tcW w:w="688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1A.</w:t>
            </w:r>
          </w:p>
        </w:tc>
        <w:tc>
          <w:tcPr>
            <w:tcW w:w="6880" w:type="dxa"/>
            <w:vAlign w:val="bottom"/>
            <w:gridSpan w:val="2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1B.</w:t>
            </w:r>
          </w:p>
        </w:tc>
        <w:tc>
          <w:tcPr>
            <w:tcW w:w="20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Unresolved Staff Comments</w:t>
              </w:r>
            </w:hyperlink>
          </w:p>
        </w:tc>
        <w:tc>
          <w:tcPr>
            <w:tcW w:w="486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Properties</w:t>
              </w:r>
            </w:hyperlink>
          </w:p>
        </w:tc>
        <w:tc>
          <w:tcPr>
            <w:tcW w:w="6160" w:type="dxa"/>
            <w:vAlign w:val="bottom"/>
            <w:gridSpan w:val="2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3.</w:t>
            </w:r>
          </w:p>
        </w:tc>
        <w:tc>
          <w:tcPr>
            <w:tcW w:w="6880" w:type="dxa"/>
            <w:vAlign w:val="bottom"/>
            <w:gridSpan w:val="2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4.</w:t>
            </w:r>
          </w:p>
        </w:tc>
        <w:tc>
          <w:tcPr>
            <w:tcW w:w="6880" w:type="dxa"/>
            <w:vAlign w:val="bottom"/>
            <w:gridSpan w:val="2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PART II</w:t>
              </w:r>
            </w:hyperlink>
          </w:p>
        </w:tc>
        <w:tc>
          <w:tcPr>
            <w:tcW w:w="580" w:type="dxa"/>
            <w:vAlign w:val="bottom"/>
            <w:gridSpan w:val="3"/>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5.</w:t>
            </w:r>
          </w:p>
        </w:tc>
        <w:tc>
          <w:tcPr>
            <w:tcW w:w="6880" w:type="dxa"/>
            <w:vAlign w:val="bottom"/>
            <w:gridSpan w:val="25"/>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Market for Registrant’s Common Equity, Related Stockholder Matters and Issuer Purchases of</w:t>
              </w:r>
            </w:hyperlink>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320" w:type="dxa"/>
            <w:vAlign w:val="bottom"/>
            <w:tcBorders>
              <w:top w:val="single" w:sz="8" w:color="0000EE"/>
            </w:tcBorders>
            <w:gridSpan w:val="22"/>
          </w:tcPr>
          <w:p>
            <w:pPr>
              <w:spacing w:after="0" w:line="194" w:lineRule="exact"/>
              <w:rPr>
                <w:rFonts w:ascii="Arial" w:cs="Arial" w:eastAsia="Arial" w:hAnsi="Arial"/>
                <w:sz w:val="18"/>
                <w:szCs w:val="18"/>
                <w:color w:val="0000EE"/>
              </w:rPr>
            </w:pPr>
            <w:hyperlink w:anchor="page31">
              <w:r>
                <w:rPr>
                  <w:rFonts w:ascii="Arial" w:cs="Arial" w:eastAsia="Arial" w:hAnsi="Arial"/>
                  <w:sz w:val="18"/>
                  <w:szCs w:val="18"/>
                  <w:color w:val="0000EE"/>
                </w:rPr>
                <w:t>Equity Securities</w:t>
              </w:r>
            </w:hyperlink>
          </w:p>
        </w:tc>
        <w:tc>
          <w:tcPr>
            <w:tcW w:w="340" w:type="dxa"/>
            <w:vAlign w:val="bottom"/>
            <w:gridSpan w:val="2"/>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6.</w:t>
            </w:r>
          </w:p>
        </w:tc>
        <w:tc>
          <w:tcPr>
            <w:tcW w:w="16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Selected Financial Data</w:t>
              </w:r>
            </w:hyperlink>
          </w:p>
        </w:tc>
        <w:tc>
          <w:tcPr>
            <w:tcW w:w="5200" w:type="dxa"/>
            <w:vAlign w:val="bottom"/>
            <w:gridSpan w:val="1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7.</w:t>
            </w:r>
          </w:p>
        </w:tc>
        <w:tc>
          <w:tcPr>
            <w:tcW w:w="63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Management’s Discussion and Analysis of Financial Condition and Results of Operations</w:t>
              </w:r>
            </w:hyperlink>
          </w:p>
        </w:tc>
        <w:tc>
          <w:tcPr>
            <w:tcW w:w="50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Quantitative and Qualitative Disclosures About Market Risk</w:t>
              </w:r>
            </w:hyperlink>
          </w:p>
        </w:tc>
        <w:tc>
          <w:tcPr>
            <w:tcW w:w="258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8.</w:t>
            </w:r>
          </w:p>
        </w:tc>
        <w:tc>
          <w:tcPr>
            <w:tcW w:w="6880" w:type="dxa"/>
            <w:vAlign w:val="bottom"/>
            <w:gridSpan w:val="2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9.</w:t>
            </w:r>
          </w:p>
        </w:tc>
        <w:tc>
          <w:tcPr>
            <w:tcW w:w="64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115">
              <w:r>
                <w:rPr>
                  <w:rFonts w:ascii="Arial" w:cs="Arial" w:eastAsia="Arial" w:hAnsi="Arial"/>
                  <w:sz w:val="18"/>
                  <w:szCs w:val="18"/>
                  <w:color w:val="0000EE"/>
                  <w:w w:val="89"/>
                </w:rPr>
                <w:t>Changes in and Disagreements with Accountants on Accounting and Financial Disclosure</w:t>
              </w:r>
            </w:hyperlink>
          </w:p>
        </w:tc>
        <w:tc>
          <w:tcPr>
            <w:tcW w:w="48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Controls and Procedures</w:t>
              </w:r>
            </w:hyperlink>
          </w:p>
        </w:tc>
        <w:tc>
          <w:tcPr>
            <w:tcW w:w="5140" w:type="dxa"/>
            <w:vAlign w:val="bottom"/>
            <w:gridSpan w:val="1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9B.</w:t>
            </w:r>
          </w:p>
        </w:tc>
        <w:tc>
          <w:tcPr>
            <w:tcW w:w="6880" w:type="dxa"/>
            <w:vAlign w:val="bottom"/>
            <w:gridSpan w:val="25"/>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4"/>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18">
              <w:r>
                <w:rPr>
                  <w:rFonts w:ascii="Arial" w:cs="Arial" w:eastAsia="Arial" w:hAnsi="Arial"/>
                  <w:sz w:val="18"/>
                  <w:szCs w:val="18"/>
                  <w:color w:val="0000EE"/>
                  <w:w w:val="94"/>
                </w:rPr>
                <w:t>PART III</w:t>
              </w:r>
            </w:hyperlink>
          </w:p>
        </w:tc>
        <w:tc>
          <w:tcPr>
            <w:tcW w:w="52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Directors, Executive Officers and Corporate Governance</w:t>
              </w:r>
            </w:hyperlink>
          </w:p>
        </w:tc>
        <w:tc>
          <w:tcPr>
            <w:tcW w:w="284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11.</w:t>
            </w:r>
          </w:p>
        </w:tc>
        <w:tc>
          <w:tcPr>
            <w:tcW w:w="17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Executive Compensation</w:t>
              </w:r>
            </w:hyperlink>
          </w:p>
        </w:tc>
        <w:tc>
          <w:tcPr>
            <w:tcW w:w="5100" w:type="dxa"/>
            <w:vAlign w:val="bottom"/>
            <w:gridSpan w:val="1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12.</w:t>
            </w:r>
          </w:p>
        </w:tc>
        <w:tc>
          <w:tcPr>
            <w:tcW w:w="662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Security Ownership of Certain Beneficial Owners and Management and Related Stockholder</w:t>
              </w:r>
            </w:hyperlink>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bottom w:val="single" w:sz="8" w:color="0000EE"/>
            </w:tcBorders>
            <w:gridSpan w:val="3"/>
          </w:tcPr>
          <w:p>
            <w:pPr>
              <w:spacing w:after="0" w:line="194"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Matters</w:t>
              </w:r>
            </w:hyperlink>
          </w:p>
        </w:tc>
        <w:tc>
          <w:tcPr>
            <w:tcW w:w="6120" w:type="dxa"/>
            <w:vAlign w:val="bottom"/>
            <w:gridSpan w:val="21"/>
          </w:tcPr>
          <w:p>
            <w:pPr>
              <w:spacing w:after="0"/>
              <w:rPr>
                <w:sz w:val="16"/>
                <w:szCs w:val="16"/>
                <w:color w:val="auto"/>
              </w:rPr>
            </w:pPr>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13.</w:t>
            </w:r>
          </w:p>
        </w:tc>
        <w:tc>
          <w:tcPr>
            <w:tcW w:w="538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Certain Relationships and Related Transactions, and Director Independence</w:t>
              </w:r>
            </w:hyperlink>
          </w:p>
        </w:tc>
        <w:tc>
          <w:tcPr>
            <w:tcW w:w="150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14.</w:t>
            </w:r>
          </w:p>
        </w:tc>
        <w:tc>
          <w:tcPr>
            <w:tcW w:w="6880" w:type="dxa"/>
            <w:vAlign w:val="bottom"/>
            <w:gridSpan w:val="2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Principal Accounting Fees and Services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14"/>
        </w:trPr>
        <w:tc>
          <w:tcPr>
            <w:tcW w:w="1180" w:type="dxa"/>
            <w:vAlign w:val="bottom"/>
            <w:gridSpan w:val="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PART IV</w:t>
              </w:r>
            </w:hyperlink>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402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15.</w:t>
            </w:r>
          </w:p>
        </w:tc>
        <w:tc>
          <w:tcPr>
            <w:tcW w:w="6880" w:type="dxa"/>
            <w:vAlign w:val="bottom"/>
            <w:gridSpan w:val="25"/>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Exhibits; Financial Statement Schedules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00"/>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16.</w:t>
            </w:r>
          </w:p>
        </w:tc>
        <w:tc>
          <w:tcPr>
            <w:tcW w:w="2860" w:type="dxa"/>
            <w:vAlign w:val="bottom"/>
            <w:tcBorders>
              <w:top w:val="single" w:sz="8" w:color="0000EE"/>
            </w:tcBorders>
            <w:gridSpan w:val="1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Form 10-K Summary</w:t>
              </w:r>
            </w:hyperlink>
          </w:p>
        </w:tc>
        <w:tc>
          <w:tcPr>
            <w:tcW w:w="402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4"/>
        </w:trPr>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SIGNATURES</w:t>
              </w:r>
            </w:hyperlink>
          </w:p>
        </w:tc>
        <w:tc>
          <w:tcPr>
            <w:tcW w:w="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68580</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2" w:name="page3"/>
    <w:bookmarkEnd w:id="2"/>
    <w:p>
      <w:pPr>
        <w:ind w:left="880"/>
        <w:spacing w:after="0"/>
        <w:rPr>
          <w:sz w:val="20"/>
          <w:szCs w:val="20"/>
          <w:color w:val="auto"/>
        </w:rPr>
      </w:pPr>
      <w:r>
        <w:rPr>
          <w:rFonts w:ascii="Arial" w:cs="Arial" w:eastAsia="Arial" w:hAnsi="Arial"/>
          <w:sz w:val="16"/>
          <w:szCs w:val="16"/>
          <w:color w:val="auto"/>
        </w:rPr>
        <w:t>We refer to TripAdvisor, Inc. and our wholly-owned subsidiaries as “TripAdvisor,” “the Company,” “us,” “we” and “our” in this Annual Report 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ind w:firstLine="598"/>
        <w:spacing w:after="0" w:line="282"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“estimate,” “expect,” “intend,” “may,” “might,” “plan,” “project,”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7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Investors should also refer to our quarterly reports on Form 10-Q for future periods and current reports on Form 8-K as we file them with the U.S. Securities and Exchange Commission, or the SEC, and to other materials we may furnish to the public from time to time through Current Reports on Form 8-K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4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TripAdvisor is an online travel company and our mission is to help people around the world to plan, book and experience the perfect trip. We seek to achieve our mission by providing users and travel partners a global platform about destinations, accommodations, activities and attractions, and restaurants that includes rich user-generated content, price comparison tools and online reservation and related services.</w:t>
      </w:r>
    </w:p>
    <w:p>
      <w:pPr>
        <w:spacing w:after="0" w:line="7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TripAdvisor, Inc., by and through its subsidiaries, owns and operates a portfolio of leading online travel brands. Our flagship brand, TripAdvisor, is the world’s largest travel site based on monthly unique visitors, with 455 million average monthly unique visitors in our seasonal peak during the year ended December 31, 2017, according to our internal log files.</w:t>
      </w:r>
    </w:p>
    <w:p>
      <w:pPr>
        <w:spacing w:after="0" w:line="77"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Our TripAdvisor-branded websites include tripadvisor.com in the United States and localized versions of the TripAdvisor website in 48 markets and 28 languages worldwide. TripAdvisor features approximately 600 million reviews and opinions on approximately 7.5 million places to stay, places to eat and things to do – including approximately 1.2 million hotels, inns, B&amp;Bs and specialty lodging, 750,000 vacation rentals, 4.6 million restaurants and 915,000 activities and attractions worldwide. We also enable users to compare prices and/or book a number of these travel experiences on either a TripAdvisor site or mobile app, or on the site or app of one of our travel partners.</w:t>
      </w:r>
    </w:p>
    <w:p>
      <w:pPr>
        <w:spacing w:after="0" w:line="84" w:lineRule="exact"/>
        <w:rPr>
          <w:sz w:val="20"/>
          <w:szCs w:val="20"/>
          <w:color w:val="auto"/>
        </w:rPr>
      </w:pPr>
    </w:p>
    <w:p>
      <w:pPr>
        <w:ind w:right="100" w:firstLine="598"/>
        <w:spacing w:after="0" w:line="269" w:lineRule="auto"/>
        <w:rPr>
          <w:sz w:val="20"/>
          <w:szCs w:val="20"/>
          <w:color w:val="auto"/>
        </w:rPr>
      </w:pPr>
      <w:r>
        <w:rPr>
          <w:rFonts w:ascii="Arial" w:cs="Arial" w:eastAsia="Arial" w:hAnsi="Arial"/>
          <w:sz w:val="17"/>
          <w:szCs w:val="17"/>
          <w:color w:val="auto"/>
        </w:rPr>
        <w:t>In addition to the flagship TripAdvisor brand, we manage and operate the following 20 other travel media brands, connected by the common goal of providing users the most comprehensive travel-planning and trip-taking resources in the travel industry: www.airfarewatchdog.com, www.bookingbuddy.com, www.citymaps.com, www.cruisecritic.com, www.familyvacationcritic.com, www.flipkey.com, www.thefork.com (including www.lafourchette.com, www.eltenedor.com, www.iens.nl, and www.dimmi.com.au), www.gateguru.com, www.holidaylettings.co.uk, www.holidaywatchdog.com, www.housetrip.com, www.jetsetter.com, www.niumba.com, www.onetime.com, www.oyster.com, www.seatguru.com, www.smartertravel.com, www.tingo.com, www.vacationhomerentals.com, and www.viator.com.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operate in the global travel industry, focusing exclusively on online travel activity and the online advertising market.</w:t>
      </w:r>
    </w:p>
    <w:p>
      <w:pPr>
        <w:spacing w:after="0" w:line="113" w:lineRule="exact"/>
        <w:rPr>
          <w:sz w:val="20"/>
          <w:szCs w:val="20"/>
          <w:color w:val="auto"/>
        </w:rPr>
      </w:pPr>
    </w:p>
    <w:p>
      <w:pPr>
        <w:ind w:right="20" w:firstLine="598"/>
        <w:spacing w:after="0" w:line="251" w:lineRule="auto"/>
        <w:rPr>
          <w:sz w:val="20"/>
          <w:szCs w:val="20"/>
          <w:color w:val="auto"/>
        </w:rPr>
      </w:pPr>
      <w:r>
        <w:rPr>
          <w:rFonts w:ascii="Arial" w:cs="Arial" w:eastAsia="Arial" w:hAnsi="Arial"/>
          <w:sz w:val="18"/>
          <w:szCs w:val="18"/>
          <w:color w:val="auto"/>
        </w:rPr>
        <w:t>According to Phocuswright, an independent travel, tourism and hospitality research firm, global travel spending is expected to be greater than $1.6 trillion in 2018. Online penetration of global travel bookings currently is estimated to be less than 50%, however, travel bookings continue to move online as consumers around the world gain access to the internet, including broadband; more users continue to access the internet via mobile devices; and global tourism activity continues to increase, driven by middle class and economic growth in some parts of the world. In addition, the internet provides greater access to travel research and booking capabilities than offline methods. Given the ongoing consumer trends around online travel media consumption and online travel commerce, we believe travel partners will continue to allocate greater percentages of their marketing budgets to online channels, as they seek to grow their businesses.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4" w:lineRule="exact"/>
        <w:rPr>
          <w:sz w:val="20"/>
          <w:szCs w:val="20"/>
          <w:color w:val="auto"/>
        </w:rPr>
      </w:pPr>
    </w:p>
    <w:p>
      <w:pPr>
        <w:ind w:right="160" w:firstLine="598"/>
        <w:spacing w:after="0" w:line="270" w:lineRule="auto"/>
        <w:rPr>
          <w:sz w:val="20"/>
          <w:szCs w:val="20"/>
          <w:color w:val="auto"/>
        </w:rPr>
      </w:pPr>
      <w:r>
        <w:rPr>
          <w:rFonts w:ascii="Arial" w:cs="Arial" w:eastAsia="Arial" w:hAnsi="Arial"/>
          <w:sz w:val="18"/>
          <w:szCs w:val="18"/>
          <w:color w:val="auto"/>
        </w:rPr>
        <w:t>Our businesses help to match demand – users who seek to discover, research, price compare and book the best travel experiences – with supply – our travel partners who provide travel accommodations, travel experiences and travel services, worldwide.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Users</w:t>
      </w:r>
    </w:p>
    <w:p>
      <w:pPr>
        <w:spacing w:after="0" w:line="224" w:lineRule="exact"/>
        <w:rPr>
          <w:sz w:val="20"/>
          <w:szCs w:val="20"/>
          <w:color w:val="auto"/>
        </w:rPr>
      </w:pPr>
    </w:p>
    <w:p>
      <w:pPr>
        <w:ind w:right="20" w:firstLine="598"/>
        <w:spacing w:after="0" w:line="270" w:lineRule="auto"/>
        <w:rPr>
          <w:sz w:val="20"/>
          <w:szCs w:val="20"/>
          <w:color w:val="auto"/>
        </w:rPr>
      </w:pPr>
      <w:r>
        <w:rPr>
          <w:rFonts w:ascii="Arial" w:cs="Arial" w:eastAsia="Arial" w:hAnsi="Arial"/>
          <w:sz w:val="18"/>
          <w:szCs w:val="18"/>
          <w:color w:val="auto"/>
        </w:rPr>
        <w:t>We serve users through our websites and apps and focus on content, selection, price, and convenience. TripAdvisor features approximately 600 million user-generated reviews and opinions across a broad base of global</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5" w:right="279" w:bottom="1440" w:gutter="0" w:footer="0" w:header="0"/>
        </w:sectPr>
      </w:pPr>
    </w:p>
    <w:bookmarkStart w:id="4" w:name="page5"/>
    <w:bookmarkEnd w:id="4"/>
    <w:p>
      <w:pPr>
        <w:ind w:right="20"/>
        <w:spacing w:after="0" w:line="252" w:lineRule="auto"/>
        <w:rPr>
          <w:sz w:val="20"/>
          <w:szCs w:val="20"/>
          <w:color w:val="auto"/>
        </w:rPr>
      </w:pPr>
      <w:r>
        <w:rPr>
          <w:rFonts w:ascii="Arial" w:cs="Arial" w:eastAsia="Arial" w:hAnsi="Arial"/>
          <w:sz w:val="18"/>
          <w:szCs w:val="18"/>
          <w:color w:val="auto"/>
        </w:rPr>
        <w:t>travel-related businesses, including approximately 1.2 million hotels, inns, B&amp;Bs and specialty lodging, 750,000 vacation rentals, 4.6 million restaurants and 915,000 activities and attractions worldwide. Our content – and the strong global brand we have created since our founding in 2000 – are primary drivers of not only attracting the world’s largest travel audience of 455 million unique monthly visitors but also influencing a significant amount of travel commerce. We are focused on creating the best online experience in travel planning and booking, making it easier for users to research destinations and experiences, to read and contribute user-generated content, compare destinations and businesses based on quality, price and availability, and to complete bookings powered by our travel partners.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Travel Partners</w:t>
      </w:r>
    </w:p>
    <w:p>
      <w:pPr>
        <w:spacing w:after="0" w:line="24" w:lineRule="exact"/>
        <w:rPr>
          <w:sz w:val="20"/>
          <w:szCs w:val="20"/>
          <w:color w:val="auto"/>
        </w:rPr>
      </w:pPr>
    </w:p>
    <w:p>
      <w:pPr>
        <w:ind w:right="300" w:firstLine="598"/>
        <w:spacing w:after="0" w:line="291" w:lineRule="auto"/>
        <w:rPr>
          <w:sz w:val="20"/>
          <w:szCs w:val="20"/>
          <w:color w:val="auto"/>
        </w:rPr>
      </w:pPr>
      <w:r>
        <w:rPr>
          <w:rFonts w:ascii="Arial" w:cs="Arial" w:eastAsia="Arial" w:hAnsi="Arial"/>
          <w:sz w:val="16"/>
          <w:szCs w:val="16"/>
          <w:color w:val="auto"/>
        </w:rPr>
        <w:t>We strive to give users more choice and to help users find the best experiences and the best deals possible and we design our websites to enable our travel partners to be discovered, to advertise and to sell their services. We facilitate transactions between users and travel partners in a number of ways, including by sending referrals to our partners websites, facilitating bookings on behalf of our partners, by serving as the merchant of record – as is often the case in our attractions and vacation rentals businesses – and by offering advertising placements on our websites and mobile apps.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Products</w:t>
      </w:r>
    </w:p>
    <w:p>
      <w:pPr>
        <w:spacing w:after="0" w:line="117"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We manage our business in two reportable segments: Hotel and Non-Hotel. We continue to derive a significant majority of our revenue from our Hotel segment, which accounted for 77%, 80%, and 85%, of our consolidated revenue in the years ended December 31, 2017, 2016 and 2015, respectively. The Hotel segment includes revenue generated from the following sources:</w:t>
      </w:r>
    </w:p>
    <w:p>
      <w:pPr>
        <w:spacing w:after="0" w:line="77" w:lineRule="exact"/>
        <w:rPr>
          <w:sz w:val="20"/>
          <w:szCs w:val="20"/>
          <w:color w:val="auto"/>
        </w:rPr>
      </w:pPr>
    </w:p>
    <w:p>
      <w:pPr>
        <w:ind w:left="1180" w:hanging="426"/>
        <w:spacing w:after="0" w:line="267" w:lineRule="auto"/>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TripAdvisor-branded Click-based and Transaction Revenue. </w:t>
      </w:r>
      <w:r>
        <w:rPr>
          <w:rFonts w:ascii="Arial" w:cs="Arial" w:eastAsia="Arial" w:hAnsi="Arial"/>
          <w:sz w:val="17"/>
          <w:szCs w:val="17"/>
          <w:color w:val="auto"/>
        </w:rPr>
        <w:t>Our largest source of Hotel segment revenue is generated from click-based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on TripAdvisor-branded websites, which is primarily comprised of contextually-relevant booking links to our travel partners’ sites. Our click-based advertising travel partners are predominantly online travel agencies, or OTAs, and direct suppliers in the hotel product category. Click-based advertising is generally priced on a cost-per-click, or “CPC”, basis, with payments from advertisers determined by the number of users who click on a link multiplied by the price that partner is willing to pay for that click, or hotel shopper lead. CPC rates are determined in a dynamic, competitive auction process, or metasearch auction, that enables our partners to use our proprietary, automated bidding system to submit CPC bids to have their hotel rates and availability listed on our site. Transaction revenue is generated from our instant booking feature, which enables the merchant of record, generally an OTA or hotel partner, to pay a commission to TripAdvisor for a user that completes a hotel reservation via our website.</w:t>
      </w:r>
    </w:p>
    <w:p>
      <w:pPr>
        <w:spacing w:after="0" w:line="72" w:lineRule="exact"/>
        <w:rPr>
          <w:rFonts w:ascii="Arial" w:cs="Arial" w:eastAsia="Arial" w:hAnsi="Arial"/>
          <w:sz w:val="17"/>
          <w:szCs w:val="17"/>
          <w:color w:val="auto"/>
        </w:rPr>
      </w:pPr>
    </w:p>
    <w:p>
      <w:pPr>
        <w:ind w:left="1180" w:right="60" w:hanging="426"/>
        <w:spacing w:after="0" w:line="287"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TripAdvisor-branded Display-based Advertising and Subscription Revenue. </w:t>
      </w:r>
      <w:r>
        <w:rPr>
          <w:rFonts w:ascii="Arial" w:cs="Arial" w:eastAsia="Arial" w:hAnsi="Arial"/>
          <w:sz w:val="16"/>
          <w:szCs w:val="16"/>
          <w:color w:val="auto"/>
        </w:rPr>
        <w:t>Travel partners can promote their brands in a contextually-relevant manner through a variety of display-based advertising placements on our websites. Our display-based advertising clients are predominantly direct suppliers of hotels, airlines and cruises, as well as destination marketing organizations. We also sell display-based advertising to OTAs and other travel-related businesses, and to advertisers from non-travel categories. Display-based advertising is sold predominantly on a cost per thousand impressions, or CPM, basis. In addition, we offer subscription-based advertising to hotels, B&amp;Bs and other specialty lodging properties. Subscription advertising is predominantly sold for a flat fee and enables subscribers to enhance their listing, for a contracted period of time, on our TripAdvisor-branded websites, including by posting special offers for travelers.</w:t>
      </w:r>
    </w:p>
    <w:p>
      <w:pPr>
        <w:spacing w:after="0" w:line="61" w:lineRule="exact"/>
        <w:rPr>
          <w:rFonts w:ascii="Arial" w:cs="Arial" w:eastAsia="Arial" w:hAnsi="Arial"/>
          <w:sz w:val="16"/>
          <w:szCs w:val="16"/>
          <w:color w:val="auto"/>
        </w:rPr>
      </w:pPr>
    </w:p>
    <w:p>
      <w:pPr>
        <w:ind w:left="1180" w:right="160" w:hanging="426"/>
        <w:spacing w:after="0" w:line="255"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Hotel Revenue. </w:t>
      </w:r>
      <w:r>
        <w:rPr>
          <w:rFonts w:ascii="Arial" w:cs="Arial" w:eastAsia="Arial" w:hAnsi="Arial"/>
          <w:sz w:val="18"/>
          <w:szCs w:val="18"/>
          <w:color w:val="auto"/>
        </w:rPr>
        <w:t>Our other hotel revenue primarily includes revenue from non-TripAdvisor branded websites,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www.bookingbuddy.com, www.cruisecritic.com, and www.onetime.com, which includes click-based advertising revenue, display-based advertising revenue, hotel room reservations sold through the websites and advertising revenue from making cruise reservations available for price comparison and booking.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5" w:name="page6"/>
    <w:bookmarkEnd w:id="5"/>
    <w:p>
      <w:pPr>
        <w:ind w:right="20" w:firstLine="598"/>
        <w:spacing w:after="0" w:line="259" w:lineRule="auto"/>
        <w:rPr>
          <w:sz w:val="20"/>
          <w:szCs w:val="20"/>
          <w:color w:val="auto"/>
        </w:rPr>
      </w:pPr>
      <w:r>
        <w:rPr>
          <w:rFonts w:ascii="Arial" w:cs="Arial" w:eastAsia="Arial" w:hAnsi="Arial"/>
          <w:sz w:val="18"/>
          <w:szCs w:val="18"/>
          <w:color w:val="auto"/>
        </w:rPr>
        <w:t>In recent years, a significant percentage of our user traffic as well as an increasing percentage of our consolidated revenue has come from Non-Hotel products – attractions, restaurants and vacation rentals. These businesses generate revenue in our Non-Hotel segment, which accounted for 23%, 20%, and 15% of our consolidated revenue in the years ended December 31, 2017, 2016 and 2015, respectively.</w:t>
      </w:r>
    </w:p>
    <w:p>
      <w:pPr>
        <w:spacing w:after="0" w:line="73" w:lineRule="exact"/>
        <w:rPr>
          <w:sz w:val="20"/>
          <w:szCs w:val="20"/>
          <w:color w:val="auto"/>
        </w:rPr>
      </w:pPr>
    </w:p>
    <w:p>
      <w:pPr>
        <w:ind w:left="1180" w:right="100" w:hanging="426"/>
        <w:spacing w:after="0" w:line="290"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Attractions. </w:t>
      </w:r>
      <w:r>
        <w:rPr>
          <w:rFonts w:ascii="Arial" w:cs="Arial" w:eastAsia="Arial" w:hAnsi="Arial"/>
          <w:sz w:val="16"/>
          <w:szCs w:val="16"/>
          <w:color w:val="auto"/>
        </w:rPr>
        <w:t>We provide information and services for users to research, book, and experience activities and attractions in popular travel</w:t>
      </w:r>
      <w:r>
        <w:rPr>
          <w:rFonts w:ascii="Arial" w:cs="Arial" w:eastAsia="Arial" w:hAnsi="Arial"/>
          <w:sz w:val="16"/>
          <w:szCs w:val="16"/>
          <w:b w:val="1"/>
          <w:bCs w:val="1"/>
          <w:color w:val="auto"/>
        </w:rPr>
        <w:t xml:space="preserve"> </w:t>
      </w:r>
      <w:r>
        <w:rPr>
          <w:rFonts w:ascii="Arial" w:cs="Arial" w:eastAsia="Arial" w:hAnsi="Arial"/>
          <w:sz w:val="16"/>
          <w:szCs w:val="16"/>
          <w:color w:val="auto"/>
        </w:rPr>
        <w:t>destinations both through Viator, our dedicated Attractions business, and on our TripAdvisor website and applications. We primarily generate commissions for each transaction we facilitate through our online reservation systems. In addition to its consumer-direct business, Viator also powers activity and attractions booking capabilities for its affiliate partners, including some of the world’s top airlines, hotel chains and online and offline travel agencies. We enable users to book approximately 83,000 activities and attractions, via third-party suppliers, which are available on Viator-branded websites and mobile applications and on TripAdvisor-branded websites and mobile applications.</w:t>
      </w:r>
    </w:p>
    <w:p>
      <w:pPr>
        <w:spacing w:after="0" w:line="54" w:lineRule="exact"/>
        <w:rPr>
          <w:rFonts w:ascii="Arial" w:cs="Arial" w:eastAsia="Arial" w:hAnsi="Arial"/>
          <w:sz w:val="16"/>
          <w:szCs w:val="16"/>
          <w:color w:val="auto"/>
        </w:rPr>
      </w:pPr>
    </w:p>
    <w:p>
      <w:pPr>
        <w:ind w:left="1180" w:right="40" w:hanging="426"/>
        <w:spacing w:after="0" w:line="269"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Restaurants. </w:t>
      </w:r>
      <w:r>
        <w:rPr>
          <w:rFonts w:ascii="Arial" w:cs="Arial" w:eastAsia="Arial" w:hAnsi="Arial"/>
          <w:sz w:val="17"/>
          <w:szCs w:val="17"/>
          <w:color w:val="auto"/>
        </w:rPr>
        <w:t>We provide information and services for users to research and book restaurants in popular travel destinations through our</w:t>
      </w:r>
      <w:r>
        <w:rPr>
          <w:rFonts w:ascii="Arial" w:cs="Arial" w:eastAsia="Arial" w:hAnsi="Arial"/>
          <w:sz w:val="17"/>
          <w:szCs w:val="17"/>
          <w:b w:val="1"/>
          <w:bCs w:val="1"/>
          <w:color w:val="auto"/>
        </w:rPr>
        <w:t xml:space="preserve"> </w:t>
      </w:r>
      <w:r>
        <w:rPr>
          <w:rFonts w:ascii="Arial" w:cs="Arial" w:eastAsia="Arial" w:hAnsi="Arial"/>
          <w:sz w:val="17"/>
          <w:szCs w:val="17"/>
          <w:color w:val="auto"/>
        </w:rPr>
        <w:t>dedicated restaurant reservations business, TheFork, and on our TripAdvisor website and applications. TheFork is an online restaurant booking platform operating on a number of websites (including www.lafourchette.com, www.eltenedor.com, www.iens.nl and www.dimmi.com.au), with a network of restaurant partners located primarily across Europe and Australia. We generate reservation revenues that are paid by restaurants for diners seated through TheFork’s online reservation systems, and generate subscription fees for our online booking and marketing analytics tools provided by TheFork and by TripAdvisor. We enable users to book approximately 46,000 restaurants, which are available on www.thefork.com and on TripAdvisor-branded websites and mobile applications.</w:t>
      </w:r>
    </w:p>
    <w:p>
      <w:pPr>
        <w:spacing w:after="0" w:line="68" w:lineRule="exact"/>
        <w:rPr>
          <w:rFonts w:ascii="Arial" w:cs="Arial" w:eastAsia="Arial" w:hAnsi="Arial"/>
          <w:sz w:val="17"/>
          <w:szCs w:val="17"/>
          <w:color w:val="auto"/>
        </w:rPr>
      </w:pPr>
    </w:p>
    <w:p>
      <w:pPr>
        <w:ind w:left="1180" w:right="40" w:hanging="426"/>
        <w:spacing w:after="0" w:line="290"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Vacation Rentals. </w:t>
      </w:r>
      <w:r>
        <w:rPr>
          <w:rFonts w:ascii="Arial" w:cs="Arial" w:eastAsia="Arial" w:hAnsi="Arial"/>
          <w:sz w:val="16"/>
          <w:szCs w:val="16"/>
          <w:color w:val="auto"/>
        </w:rPr>
        <w:t>We provide information and services for users to research and book vacation and short-term rental properties, including full</w:t>
      </w:r>
      <w:r>
        <w:rPr>
          <w:rFonts w:ascii="Arial" w:cs="Arial" w:eastAsia="Arial" w:hAnsi="Arial"/>
          <w:sz w:val="16"/>
          <w:szCs w:val="16"/>
          <w:b w:val="1"/>
          <w:bCs w:val="1"/>
          <w:color w:val="auto"/>
        </w:rPr>
        <w:t xml:space="preserve"> </w:t>
      </w:r>
      <w:r>
        <w:rPr>
          <w:rFonts w:ascii="Arial" w:cs="Arial" w:eastAsia="Arial" w:hAnsi="Arial"/>
          <w:sz w:val="16"/>
          <w:szCs w:val="16"/>
          <w:color w:val="auto"/>
        </w:rPr>
        <w:t>home rentals, condominiums, villas, beach rentals, cabins and cottages. The Vacation Rentals business generates revenue primarily by offering individual property owners and property managers the ability to list their properties on our websites and mobile applications thereby connecting homeowners with travelers through a free-to-list, commission-based option and, to a lesser extent, by an annual subscription-based fee structure. These properties are listed on www.flipkey.com, www.holidaylettings.co.uk, www.housetrip.com, www.niumba.com, and www.vacationhomerentals.com, and on our TripAdvisor-branded websites and mobile applications.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17" w:lineRule="exact"/>
        <w:rPr>
          <w:sz w:val="20"/>
          <w:szCs w:val="20"/>
          <w:color w:val="auto"/>
        </w:rPr>
      </w:pPr>
    </w:p>
    <w:p>
      <w:pPr>
        <w:ind w:right="20" w:firstLine="442"/>
        <w:spacing w:after="0" w:line="297" w:lineRule="auto"/>
        <w:rPr>
          <w:sz w:val="20"/>
          <w:szCs w:val="20"/>
          <w:color w:val="auto"/>
        </w:rPr>
      </w:pPr>
      <w:r>
        <w:rPr>
          <w:rFonts w:ascii="Arial" w:cs="Arial" w:eastAsia="Arial" w:hAnsi="Arial"/>
          <w:sz w:val="16"/>
          <w:szCs w:val="16"/>
          <w:color w:val="auto"/>
        </w:rPr>
        <w:t>We seek to achieve our mission of helping people around the world plan, book and experience the perfect trip by: leveraging our user-generated content and global brand to attract users to our websites and applications; providing users with the best user experience throughout all phases of the travel journey; deepening our partnerships with travel partners, by providing them with a global platform of advertising opportunities to generate qualified leads and bookings; and investing in technology, product development, marketing, and other strategic areas that we believe can improve our long-term business prospects.</w:t>
      </w:r>
    </w:p>
    <w:p>
      <w:pPr>
        <w:spacing w:after="0" w:line="50" w:lineRule="exact"/>
        <w:rPr>
          <w:sz w:val="20"/>
          <w:szCs w:val="20"/>
          <w:color w:val="auto"/>
        </w:rPr>
      </w:pPr>
    </w:p>
    <w:p>
      <w:pPr>
        <w:ind w:left="1300" w:hanging="425"/>
        <w:spacing w:after="0" w:line="267"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user engagement with our platform. </w:t>
      </w:r>
      <w:r>
        <w:rPr>
          <w:rFonts w:ascii="Arial" w:cs="Arial" w:eastAsia="Arial" w:hAnsi="Arial"/>
          <w:sz w:val="17"/>
          <w:szCs w:val="17"/>
          <w:color w:val="auto"/>
        </w:rPr>
        <w:t>Since our founding, the TripAdvisor brand has become a globally-recognized travel brand,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is synonymous with travel reviews and research and increasingly finding the best prices and booking. We believe that our user-generated content and our brand have enabled us to build a large, highly engaged and loyal community of travelers who view TripAdvisor as a valuable resource to help them discover, plan and, book their travel experiences, and for millions of users, TripAdvisor gives them an interactive platform to share their travel experiences. We seek to amplify our global brand and raise user awareness for and engagement with our expanded product offerings as we aim to attract users to our websites and applications through various channels, including domain direct and various online and offline marketing channels, including search engines through search engine optimization and search engine marketing, and recently, through television brand advertising.</w:t>
      </w:r>
    </w:p>
    <w:p>
      <w:pPr>
        <w:spacing w:after="0" w:line="75" w:lineRule="exact"/>
        <w:rPr>
          <w:rFonts w:ascii="Arial" w:cs="Arial" w:eastAsia="Arial" w:hAnsi="Arial"/>
          <w:sz w:val="17"/>
          <w:szCs w:val="17"/>
          <w:color w:val="auto"/>
        </w:rPr>
      </w:pPr>
    </w:p>
    <w:p>
      <w:pPr>
        <w:ind w:left="1300" w:right="60" w:hanging="425"/>
        <w:spacing w:after="0" w:line="27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 the best user experience possible on our platform. </w:t>
      </w:r>
      <w:r>
        <w:rPr>
          <w:rFonts w:ascii="Arial" w:cs="Arial" w:eastAsia="Arial" w:hAnsi="Arial"/>
          <w:sz w:val="18"/>
          <w:szCs w:val="18"/>
          <w:color w:val="auto"/>
        </w:rPr>
        <w:t>We believe that giving users more value throughout their TripAdvisor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key to our future success. To accomplish this, we have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6" w:name="page7"/>
    <w:bookmarkEnd w:id="6"/>
    <w:p>
      <w:pPr>
        <w:ind w:left="1300"/>
        <w:spacing w:after="0" w:line="266" w:lineRule="auto"/>
        <w:rPr>
          <w:sz w:val="20"/>
          <w:szCs w:val="20"/>
          <w:color w:val="auto"/>
        </w:rPr>
      </w:pPr>
      <w:r>
        <w:rPr>
          <w:rFonts w:ascii="Arial" w:cs="Arial" w:eastAsia="Arial" w:hAnsi="Arial"/>
          <w:sz w:val="17"/>
          <w:szCs w:val="17"/>
          <w:color w:val="auto"/>
        </w:rPr>
        <w:t>made and will continue to make product improvements in order to provide a more enjoyable and engaging end-to-end user experience throughout all phases of the travel journey – from inspiration and discovery, to researching, price shopping and booking, to in-destination activities and places to eat, and, finally, to sharing the details of these travel experiences on TripAdvisor. These enhancements include having grown the number of hotels, inns, B&amp;Bs and specialty lodging, vacation rentals, restaurants, activities and attractions listed on our platform to approximately 7.5 million worldwide as of December 31, 2017. In addition to listings and content, we have provided users more options to price compare and book their travel experiences. During 2017, we launched a more engaging hotel shopping experience that focused on helping hotel shoppers find the best prices on TripAdvisor websites and applications. In order to better serve travelers needs when they are in-destination, we have continued to rapidly expand our bookable supply in attractions and restaurants. We believe that our continued focus on delivering an increasingly more robust user experience will ultimately result in more repeat usage on our platform, more value for our partners, and greater monetization for our business. We seek to quickly identify what users need to conduct their travel research and booking and to deliver product enhancements quickly.</w:t>
      </w:r>
    </w:p>
    <w:p>
      <w:pPr>
        <w:spacing w:after="0" w:line="73" w:lineRule="exact"/>
        <w:rPr>
          <w:sz w:val="20"/>
          <w:szCs w:val="20"/>
          <w:color w:val="auto"/>
        </w:rPr>
      </w:pPr>
    </w:p>
    <w:p>
      <w:pPr>
        <w:ind w:left="1300" w:right="20" w:hanging="425"/>
        <w:spacing w:after="0" w:line="267"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Deepen relationships with our travel partners. </w:t>
      </w:r>
      <w:r>
        <w:rPr>
          <w:rFonts w:ascii="Arial" w:cs="Arial" w:eastAsia="Arial" w:hAnsi="Arial"/>
          <w:sz w:val="17"/>
          <w:szCs w:val="17"/>
          <w:color w:val="auto"/>
        </w:rPr>
        <w:t>We are a global platform consisting of listing and advertising opportunities that help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impressions, brand awareness, qualified leads and bookings for travel partners. As of December 31, 2017, TripAdvisor had approximately 1.2 million hotels, inns, B&amp;Bs and specialty lodging, 915,000 activities and attractions, 4.6 million restaurants, and 750,000 vacation rentals on its website. We believe that continuing to grow the number of listings and bookable supply, especially in our in-destination Attractions and Restaurants businesses, will enable TripAdvisor to not only delight users in more moments during more trips, but also help partners drive transactions for their business. We are also increasingly providing business-to-business services that are designed to help our partners grow their business. For example, TripAdvisor’s Business Advantage and Premium for Restaurants offer hoteliers and restauranteurs, affordable marketing and business analytics tools, respectively, to help them attract customers and more effectively manage their business pages on TripAdvisor.</w:t>
      </w:r>
    </w:p>
    <w:p>
      <w:pPr>
        <w:spacing w:after="0" w:line="72" w:lineRule="exact"/>
        <w:rPr>
          <w:rFonts w:ascii="Arial" w:cs="Arial" w:eastAsia="Arial" w:hAnsi="Arial"/>
          <w:sz w:val="17"/>
          <w:szCs w:val="17"/>
          <w:color w:val="auto"/>
        </w:rPr>
      </w:pPr>
    </w:p>
    <w:p>
      <w:pPr>
        <w:ind w:left="1300" w:right="20" w:hanging="425"/>
        <w:spacing w:after="0" w:line="266"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 in technology, product, marketing and other strategic areas. </w:t>
      </w:r>
      <w:r>
        <w:rPr>
          <w:rFonts w:ascii="Arial" w:cs="Arial" w:eastAsia="Arial" w:hAnsi="Arial"/>
          <w:sz w:val="17"/>
          <w:szCs w:val="17"/>
          <w:color w:val="auto"/>
        </w:rPr>
        <w:t>Continuous product testing and speed to market are two of our most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important priorities, as they enable us to create a richer user experience. We operate on a regular product release cycle, where releases contain new product features for our websites and mobile applications. For example, innovating and improving our mobile phone offerings are key priorities since mobile phone adoption continues to scale and consumers increasingly conduct more internet searches and commerce on these devices. During the year ended December 31, 2017, more than half of our average monthly unique visitors came from mobile phones, growing nearly 30% year-over-year, according to our internal log files. We anticipate that the growth rate in mobile phone monthly unique visitors will continue to exceed the growth rate of our overall monthly unique visitors, resulting in an increased proportion of users continuing to use their mobile phones to access the full range of services available on our websites and applications. We are investing significant resources to improve the features, functionality, engagement, and commercialization of our travel products on our mobile websites and applications.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17" w:lineRule="exact"/>
        <w:rPr>
          <w:sz w:val="20"/>
          <w:szCs w:val="20"/>
          <w:color w:val="auto"/>
        </w:rPr>
      </w:pPr>
    </w:p>
    <w:p>
      <w:pPr>
        <w:ind w:right="120" w:firstLine="598"/>
        <w:spacing w:after="0" w:line="287" w:lineRule="auto"/>
        <w:rPr>
          <w:sz w:val="20"/>
          <w:szCs w:val="20"/>
          <w:color w:val="auto"/>
        </w:rPr>
      </w:pPr>
      <w:r>
        <w:rPr>
          <w:rFonts w:ascii="Arial" w:cs="Arial" w:eastAsia="Arial" w:hAnsi="Arial"/>
          <w:sz w:val="16"/>
          <w:szCs w:val="16"/>
          <w:color w:val="auto"/>
        </w:rPr>
        <w:t>We seek to amplify our global brand and raise user awareness and engagement for our expanded product offerings as we aim to attract users to our websites and applications through various channels, including domain direct and various online and offline marketing channels, including search engines (primarily Google), social media, and in more recent years, through television brand advertising. Both our performance advertising expense and brand advertising expense have increased in recent years. During 2017, our total advertising expense was approximately $629 million, primarily related to the use of online search engines (primarily Google), social media, as well as offline marketing, primarily television advertising, as part of our ongoing initiative to attract users to our websites and applications when they are looking to find the best hotel deals before they are ready to book. We intend to continue a strategy of promoting brand awareness through both online and offline advertising efforts, including by expanding brand campaigns into additional markets.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17" w:lineRule="exact"/>
        <w:rPr>
          <w:sz w:val="20"/>
          <w:szCs w:val="20"/>
          <w:color w:val="auto"/>
        </w:rPr>
      </w:pPr>
    </w:p>
    <w:p>
      <w:pPr>
        <w:ind w:right="20" w:firstLine="598"/>
        <w:spacing w:after="0" w:line="292" w:lineRule="auto"/>
        <w:rPr>
          <w:sz w:val="20"/>
          <w:szCs w:val="20"/>
          <w:color w:val="auto"/>
        </w:rPr>
      </w:pPr>
      <w:r>
        <w:rPr>
          <w:rFonts w:ascii="Arial" w:cs="Arial" w:eastAsia="Arial" w:hAnsi="Arial"/>
          <w:sz w:val="16"/>
          <w:szCs w:val="16"/>
          <w:color w:val="auto"/>
        </w:rPr>
        <w:t>We compete in rapidly evolving and competitive markets. We face competition for content, users, advertisers, online travel search and price comparison services also known in the industry as hotel metasearch, and online reservations. In the competition to attract users to our platform, we rely on our ability to acquire traffic through offline brand recognition and brand-direct efforts such as online search, email and television. These marketing strategies can be impacted by competitive site content, changes to our website architecture and page designs, changes to search engine ranking algorithms, updates in competitor advertising strategies, or changes to display ordering in search engine results such as preferred placement for internal products offered by search engines.</w:t>
      </w:r>
    </w:p>
    <w:p>
      <w:pPr>
        <w:spacing w:after="0" w:line="56" w:lineRule="exact"/>
        <w:rPr>
          <w:sz w:val="20"/>
          <w:szCs w:val="20"/>
          <w:color w:val="auto"/>
        </w:rPr>
      </w:pPr>
    </w:p>
    <w:p>
      <w:pPr>
        <w:ind w:right="300" w:firstLine="598"/>
        <w:spacing w:after="0" w:line="270" w:lineRule="auto"/>
        <w:rPr>
          <w:sz w:val="20"/>
          <w:szCs w:val="20"/>
          <w:color w:val="auto"/>
        </w:rPr>
      </w:pPr>
      <w:r>
        <w:rPr>
          <w:rFonts w:ascii="Arial" w:cs="Arial" w:eastAsia="Arial" w:hAnsi="Arial"/>
          <w:sz w:val="18"/>
          <w:szCs w:val="18"/>
          <w:color w:val="auto"/>
        </w:rPr>
        <w:t>We compete with different types of companies in the various markets and geographies we participate in, including large and small companies in the travel space as well as broader service providers. More specifically:</w:t>
      </w:r>
    </w:p>
    <w:p>
      <w:pPr>
        <w:spacing w:after="0" w:line="68" w:lineRule="exact"/>
        <w:rPr>
          <w:sz w:val="20"/>
          <w:szCs w:val="20"/>
          <w:color w:val="auto"/>
        </w:rPr>
      </w:pPr>
    </w:p>
    <w:p>
      <w:pPr>
        <w:ind w:left="1180" w:hanging="426"/>
        <w:spacing w:after="0" w:line="253"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our Hotel segment, we both partner with, and face competition from OTAs (including Expedia, Inc. and The Priceline Group, Inc. and many of their respective subsidiaries and operating companies); hotel metasearch providers (including trivago, a subsidiary of Expedia, Kayak, a subsidiary of Priceline, HotelsCombined and Ctrip.com International, Ltd); large online search, social media, and marketplace platforms and companies (including Google, Facebook, Microsoft’s Bing, Yahoo, Baidu, Alibaba, and Amazon); traditional offline travel agencies; and global hotel chains seeking to promote direct bookings.</w:t>
      </w:r>
    </w:p>
    <w:p>
      <w:pPr>
        <w:spacing w:after="0" w:line="83" w:lineRule="exact"/>
        <w:rPr>
          <w:rFonts w:ascii="Arial" w:cs="Arial" w:eastAsia="Arial" w:hAnsi="Arial"/>
          <w:sz w:val="18"/>
          <w:szCs w:val="18"/>
          <w:color w:val="auto"/>
        </w:rPr>
      </w:pPr>
    </w:p>
    <w:p>
      <w:pPr>
        <w:ind w:left="1180" w:right="40" w:hanging="426"/>
        <w:spacing w:after="0" w:line="253"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our Non-Hotel segment, our Attractions business competes with both traditional and online travel agencies, online travel service providers, wholesalers, and individual tour operators. Our Restaurants business competes with other online restaurant reservation services, such as Yelp and OpenTable (a subsidiary of Priceline), and local or regional providers. Our Vacation Rentals business competes with companies focused on alternative lodging and shared accommodations, including Airbnb and HomeAway (a subsidiary of Expedia) and booking.com (a subsidiary of Priceline).</w:t>
      </w:r>
    </w:p>
    <w:p>
      <w:pPr>
        <w:spacing w:after="0" w:line="191" w:lineRule="exact"/>
        <w:rPr>
          <w:sz w:val="20"/>
          <w:szCs w:val="20"/>
          <w:color w:val="auto"/>
        </w:rPr>
      </w:pPr>
    </w:p>
    <w:p>
      <w:pPr>
        <w:ind w:right="300" w:firstLine="598"/>
        <w:spacing w:after="0" w:line="270" w:lineRule="auto"/>
        <w:rPr>
          <w:sz w:val="20"/>
          <w:szCs w:val="20"/>
          <w:color w:val="auto"/>
        </w:rPr>
      </w:pPr>
      <w:r>
        <w:rPr>
          <w:rFonts w:ascii="Arial" w:cs="Arial" w:eastAsia="Arial" w:hAnsi="Arial"/>
          <w:sz w:val="18"/>
          <w:szCs w:val="18"/>
          <w:color w:val="auto"/>
        </w:rPr>
        <w:t>As the industry continues to shift towards online travel services and the technology supporting it continues to evolve, we anticipate that the existing competitive landscape will continue to change, new competitors may emerge, and industry consolidation may continue.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Relationships</w:t>
      </w:r>
    </w:p>
    <w:p>
      <w:pPr>
        <w:spacing w:after="0" w:line="11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We have a number of commercial relationships that are important to the success of our business. Although these relationships are memorialized in agreements, many of these agreements are for limited terms or are terminable at will or on short notice. As a result, we work hard to ensure the mutual success of these relationships.</w:t>
      </w:r>
    </w:p>
    <w:p>
      <w:pPr>
        <w:spacing w:after="0" w:line="184" w:lineRule="exact"/>
        <w:rPr>
          <w:sz w:val="20"/>
          <w:szCs w:val="20"/>
          <w:color w:val="auto"/>
        </w:rPr>
      </w:pPr>
    </w:p>
    <w:p>
      <w:pPr>
        <w:ind w:right="180" w:firstLine="598"/>
        <w:spacing w:after="0" w:line="252" w:lineRule="auto"/>
        <w:rPr>
          <w:sz w:val="20"/>
          <w:szCs w:val="20"/>
          <w:color w:val="auto"/>
        </w:rPr>
      </w:pPr>
      <w:r>
        <w:rPr>
          <w:rFonts w:ascii="Arial" w:cs="Arial" w:eastAsia="Arial" w:hAnsi="Arial"/>
          <w:sz w:val="18"/>
          <w:szCs w:val="18"/>
          <w:color w:val="auto"/>
        </w:rPr>
        <w:t>We have commercial relationships with the majority of the world’s leading OTAs, as well as a variety of other travel partners pursuant to which these companies primarily purchase traveler leads from us, generally on a click-based advertising basis. For the year ended December 31, 2017, our two most significant travel partners were Expedia and Priceline, including certain of their respective brands. For the years ended December 31, 2017, 2016 and 2015, Expedia (and its subsidiaries) and Priceline (and its subsidiaries), each accounted for more than 10% of our consolidated revenue and together accounted for approximately 43%, 46% and 46% of our consolidated revenue, respectively. Nearly all of this concentration of revenue is recorded in our Hotel segment for these reporting periods.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117"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w:t>
      </w:r>
    </w:p>
    <w:p>
      <w:pPr>
        <w:spacing w:after="0" w:line="157" w:lineRule="exact"/>
        <w:rPr>
          <w:sz w:val="20"/>
          <w:szCs w:val="20"/>
          <w:color w:val="auto"/>
        </w:rPr>
      </w:pPr>
    </w:p>
    <w:p>
      <w:pPr>
        <w:ind w:right="220" w:firstLine="598"/>
        <w:spacing w:after="0" w:line="270" w:lineRule="auto"/>
        <w:rPr>
          <w:sz w:val="20"/>
          <w:szCs w:val="20"/>
          <w:color w:val="auto"/>
        </w:rPr>
      </w:pPr>
      <w:r>
        <w:rPr>
          <w:rFonts w:ascii="Arial" w:cs="Arial" w:eastAsia="Arial" w:hAnsi="Arial"/>
          <w:sz w:val="18"/>
          <w:szCs w:val="18"/>
          <w:color w:val="auto"/>
        </w:rPr>
        <w:t>Our systems infrastructure, web and database servers for TripAdvisor-branded websites are housed at two geographically separate facilities and have multiple communication links as well as continuous monitoring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8" w:name="page9"/>
    <w:bookmarkEnd w:id="8"/>
    <w:p>
      <w:pPr>
        <w:spacing w:after="0" w:line="274" w:lineRule="auto"/>
        <w:rPr>
          <w:sz w:val="20"/>
          <w:szCs w:val="20"/>
          <w:color w:val="auto"/>
        </w:rPr>
      </w:pPr>
      <w:r>
        <w:rPr>
          <w:rFonts w:ascii="Arial" w:cs="Arial" w:eastAsia="Arial" w:hAnsi="Arial"/>
          <w:sz w:val="17"/>
          <w:szCs w:val="17"/>
          <w:color w:val="auto"/>
        </w:rPr>
        <w:t>engineering support. Each facility is fully self-sufficient and operational with its own hardware, networking, software, and content, and is structured in an active/passive, fully redundant configuration. Substantially all of our software components, data, and content are replicated in multiple datacenters and development centers, as well as being backed up at offsite locations. Our systems are monitored and protected though multiple layers of security. Several of our individual subsidiaries and businesses, including Viator, have their own data infrastructure and technology teams.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We have acquired some of our intellectual property rights through licenses and content agreements with third parties and these arrangements may place restrictions on the use of our intellectual property.</w:t>
      </w:r>
    </w:p>
    <w:p>
      <w:pPr>
        <w:spacing w:after="0" w:line="188" w:lineRule="exact"/>
        <w:rPr>
          <w:sz w:val="20"/>
          <w:szCs w:val="20"/>
          <w:color w:val="auto"/>
        </w:rPr>
      </w:pPr>
    </w:p>
    <w:p>
      <w:pPr>
        <w:ind w:right="160" w:firstLine="598"/>
        <w:spacing w:after="0" w:line="253" w:lineRule="auto"/>
        <w:rPr>
          <w:sz w:val="20"/>
          <w:szCs w:val="20"/>
          <w:color w:val="auto"/>
        </w:rPr>
      </w:pPr>
      <w:r>
        <w:rPr>
          <w:rFonts w:ascii="Arial" w:cs="Arial" w:eastAsia="Arial" w:hAnsi="Arial"/>
          <w:sz w:val="18"/>
          <w:szCs w:val="18"/>
          <w:color w:val="auto"/>
        </w:rPr>
        <w:t>We protect our intellectual property by relying on our terms of use, confidentiality agreements and contractual provisions, as well as on international, national, state and common law rights. We protect our brands by pursuing the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191"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ind w:right="20" w:firstLine="598"/>
        <w:spacing w:after="0" w:line="250" w:lineRule="auto"/>
        <w:rPr>
          <w:sz w:val="20"/>
          <w:szCs w:val="20"/>
          <w:color w:val="auto"/>
        </w:rPr>
      </w:pPr>
      <w:r>
        <w:rPr>
          <w:rFonts w:ascii="Arial" w:cs="Arial" w:eastAsia="Arial" w:hAnsi="Arial"/>
          <w:sz w:val="18"/>
          <w:szCs w:val="18"/>
          <w:color w:val="auto"/>
        </w:rPr>
        <w:t>We are subject to a number of United States federal and state and foreign laws and regulations that affect companies conducting business on the internet, many of which are still evolving and being tested in courts, and could be interpreted in ways that could harm our business. These includes laws and regulations regarding user privacy, libel, rights of publicity, data protection, content, intellectual property, distribution, electronic contracts and other communications, consumer protection, taxation, online payment services, competition and protection of minors. In particular, we are subject to United States federal and state and foreign laws regarding privacy and protection of user data. Foreign data protection, privacy, and other laws and regulations are often more restrictive than those in the United States. United States federal and state and foreign laws and regulations are constantly evolving and can be subject to significant change. In addition, the application and interpretation of these laws and regulations is often uncertain, particularly in the new and rapidly-evolving industry in which we operate.</w:t>
      </w:r>
    </w:p>
    <w:p>
      <w:pPr>
        <w:spacing w:after="0" w:line="198" w:lineRule="exact"/>
        <w:rPr>
          <w:sz w:val="20"/>
          <w:szCs w:val="20"/>
          <w:color w:val="auto"/>
        </w:rPr>
      </w:pPr>
    </w:p>
    <w:p>
      <w:pPr>
        <w:ind w:right="140" w:firstLine="598"/>
        <w:spacing w:after="0" w:line="269" w:lineRule="auto"/>
        <w:rPr>
          <w:sz w:val="20"/>
          <w:szCs w:val="20"/>
          <w:color w:val="auto"/>
        </w:rPr>
      </w:pPr>
      <w:r>
        <w:rPr>
          <w:rFonts w:ascii="Arial" w:cs="Arial" w:eastAsia="Arial" w:hAnsi="Arial"/>
          <w:sz w:val="17"/>
          <w:szCs w:val="17"/>
          <w:color w:val="auto"/>
        </w:rPr>
        <w:t>In addition, we provide advertising data and information and conduct marketing activities that are subject to United States federal and state consumer protection laws that regulate unfair and deceptive practices, domestically and internationally. The United States and European Union have begun to adopt legislation that regulates certain aspects of the internet, including online editorial and user-generated content, data privacy, behavioral targeting and online advertising, taxation, and liability for third-party activities. It is impossible to accurately predict whether new taxes or regulations will be imposed on our services, and whether or how we might be affected. Increased regulation of the internet could increase the cost of doing business or otherwise materially adversely affect our business, financial condition or operational results.</w:t>
      </w:r>
    </w:p>
    <w:p>
      <w:pPr>
        <w:spacing w:after="0" w:line="18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We are subject to laws that require protection of user privacy and user data. In our processing of reservations, we receive and store a large volume of personally identifiable data in the United States, Europe and Asia. This data is increasingly subject to laws and regulations in numerous jurisdictions around the world, including the European Union through the introduction of the General Data Protection Regulation, or GDPR. The enactment, interpretation and application of these laws is in a state of flux, and the interpretation and application of such laws may vary from country to country.</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2"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Corporate History, Equity Ownership and Voting Control</w:t>
      </w:r>
    </w:p>
    <w:p>
      <w:pPr>
        <w:spacing w:after="0" w:line="117" w:lineRule="exact"/>
        <w:rPr>
          <w:sz w:val="20"/>
          <w:szCs w:val="20"/>
          <w:color w:val="auto"/>
        </w:rPr>
      </w:pPr>
    </w:p>
    <w:p>
      <w:pPr>
        <w:ind w:right="120" w:firstLine="598"/>
        <w:spacing w:after="0" w:line="292" w:lineRule="auto"/>
        <w:rPr>
          <w:sz w:val="20"/>
          <w:szCs w:val="20"/>
          <w:color w:val="auto"/>
        </w:rPr>
      </w:pPr>
      <w:r>
        <w:rPr>
          <w:rFonts w:ascii="Arial" w:cs="Arial" w:eastAsia="Arial" w:hAnsi="Arial"/>
          <w:sz w:val="16"/>
          <w:szCs w:val="16"/>
          <w:color w:val="auto"/>
        </w:rPr>
        <w:t>TripAdvisor was co-founded in February 2000 by Stephen Kaufer, our current Chief Executive Officer and President. In April 2004, TripAdvisor was acquired by IAC/InterActiveCorp, or IAC. In August 2005, IAC spun-off its portfolio of travel brands, including TripAdvisor, into a separate newly-formed Delaware corporation called Expedia, Inc., or Expedia. On December 20, 2011 Expedia completed a spin-off of TripAdvisor into a separate publicly-traded Delaware corporation. We refer to this second spin-off transaction as the “Spin-Off.” Following the Spin-Off, on December 21, 2011, TripAdvisor began trading on The NASDAQ Global Select Market, or NASDAQ, as an independent public company under the trading symbol “TRIP.”</w:t>
      </w:r>
    </w:p>
    <w:p>
      <w:pPr>
        <w:spacing w:after="0" w:line="162" w:lineRule="exact"/>
        <w:rPr>
          <w:sz w:val="20"/>
          <w:szCs w:val="20"/>
          <w:color w:val="auto"/>
        </w:rPr>
      </w:pPr>
    </w:p>
    <w:p>
      <w:pPr>
        <w:ind w:right="220" w:firstLine="598"/>
        <w:spacing w:after="0" w:line="281"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68" w:lineRule="exact"/>
        <w:rPr>
          <w:sz w:val="20"/>
          <w:szCs w:val="20"/>
          <w:color w:val="auto"/>
        </w:rPr>
      </w:pPr>
    </w:p>
    <w:p>
      <w:pPr>
        <w:ind w:right="20" w:firstLine="598"/>
        <w:spacing w:after="0" w:line="274" w:lineRule="auto"/>
        <w:rPr>
          <w:sz w:val="20"/>
          <w:szCs w:val="20"/>
          <w:color w:val="auto"/>
        </w:rPr>
      </w:pPr>
      <w:r>
        <w:rPr>
          <w:rFonts w:ascii="Arial" w:cs="Arial" w:eastAsia="Arial" w:hAnsi="Arial"/>
          <w:sz w:val="17"/>
          <w:szCs w:val="17"/>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75" w:lineRule="exact"/>
        <w:rPr>
          <w:sz w:val="20"/>
          <w:szCs w:val="20"/>
          <w:color w:val="auto"/>
        </w:rPr>
      </w:pPr>
    </w:p>
    <w:p>
      <w:pPr>
        <w:ind w:firstLine="598"/>
        <w:spacing w:after="0" w:line="292" w:lineRule="auto"/>
        <w:rPr>
          <w:sz w:val="20"/>
          <w:szCs w:val="20"/>
          <w:color w:val="auto"/>
        </w:rPr>
      </w:pPr>
      <w:r>
        <w:rPr>
          <w:rFonts w:ascii="Arial" w:cs="Arial" w:eastAsia="Arial" w:hAnsi="Arial"/>
          <w:sz w:val="16"/>
          <w:szCs w:val="16"/>
          <w:color w:val="auto"/>
        </w:rPr>
        <w:t>As a result of these transactions, as of December 31, 2017, LTRIP beneficially owned approximately 18.2 million shares of our common stock and 12.8 million shares of our Class B common stock, which constitute 14.4% of the outstanding shares of common stock and 100% of the outstanding shares of Class B common stock. Assuming the conversion of all of LTRIP’s shares of Class B common stock into common stock, LTRIP would beneficially own 22.3% of the outstanding common stock. Because each share of Class B common stock generally is entitled to ten votes per share and each share of common stock is entitled to one vote per share, LTRIP may be deemed to beneficially own equity securities representing 57.5% of our voting power.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Information</w:t>
      </w:r>
    </w:p>
    <w:p>
      <w:pPr>
        <w:spacing w:after="0" w:line="117" w:lineRule="exact"/>
        <w:rPr>
          <w:sz w:val="20"/>
          <w:szCs w:val="20"/>
          <w:color w:val="auto"/>
        </w:rPr>
      </w:pPr>
    </w:p>
    <w:p>
      <w:pPr>
        <w:ind w:right="120" w:firstLine="598"/>
        <w:spacing w:after="0" w:line="253" w:lineRule="auto"/>
        <w:rPr>
          <w:sz w:val="20"/>
          <w:szCs w:val="20"/>
          <w:color w:val="auto"/>
        </w:rPr>
      </w:pPr>
      <w:r>
        <w:rPr>
          <w:rFonts w:ascii="Arial" w:cs="Arial" w:eastAsia="Arial" w:hAnsi="Arial"/>
          <w:sz w:val="18"/>
          <w:szCs w:val="18"/>
          <w:color w:val="auto"/>
        </w:rPr>
        <w:t xml:space="preserve">Our reporting structure includes two reportable segments: Hotel and Non-Hotel. Our Non-Hotel reportable segment consists of three operating segments, which includes our Attractions, Restaurants and Vacation Rentals businesses. The segments are determined based on how the chief operating decision maker regularly assesses information and evaluates performance for operating decision-making purposes, including allocation of resources. Financial information related to our two reportable segments and geographic information required herein is contained in “Note 17 </w:t>
      </w:r>
      <w:r>
        <w:rPr>
          <w:rFonts w:ascii="Arial" w:cs="Arial" w:eastAsia="Arial" w:hAnsi="Arial"/>
          <w:sz w:val="18"/>
          <w:szCs w:val="18"/>
          <w:i w:val="1"/>
          <w:iCs w:val="1"/>
          <w:color w:val="auto"/>
        </w:rPr>
        <w:t>— Segment and Geographic</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in the notes to our consolidated financial statements in Item 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7" w:lineRule="exact"/>
        <w:rPr>
          <w:sz w:val="20"/>
          <w:szCs w:val="20"/>
          <w:color w:val="auto"/>
        </w:rPr>
      </w:pPr>
    </w:p>
    <w:p>
      <w:pPr>
        <w:ind w:right="340" w:firstLine="598"/>
        <w:spacing w:after="0" w:line="416" w:lineRule="auto"/>
        <w:rPr>
          <w:sz w:val="20"/>
          <w:szCs w:val="20"/>
          <w:color w:val="auto"/>
        </w:rPr>
      </w:pPr>
      <w:r>
        <w:rPr>
          <w:rFonts w:ascii="Arial" w:cs="Arial" w:eastAsia="Arial" w:hAnsi="Arial"/>
          <w:sz w:val="14"/>
          <w:szCs w:val="14"/>
          <w:color w:val="auto"/>
        </w:rPr>
        <w:t>As of December 31, 2017, we had 3,228 employees. Of these employees, approximately 51% were based in the United States. We believe we have good relationships with our employees, including relationships with employees represented by international works councils or other similar organizations.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ind w:right="20" w:firstLine="598"/>
        <w:spacing w:after="0" w:line="292"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partners/advertisers to market to potential travelers and, thereby, our financial performance, or revenue and profits, tend to be seasonal as well. As a result, our financial performance tends to be seasonally highest in the second and third quarters of a year, as it is a key period for leisure travel research and trip-taking, which includes the seasonal peak in traveler hotel and vacation rental stays, and tours and attractions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Additional Information</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maintain a corporate website at ir.tripadvisor.com.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84"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color w:val="auto"/>
        </w:rPr>
        <w:t>We make available, free of charge through the Investor Relations section of our website, the reports that we file or furnish with the SEC, press releases, public conference calls and certain webcasts. Investors and others should be aware that we use our investor relations website (http://ir.tripadvisor.com/investor-relations) to announce material financial information to our investors as well as communicate with the public about our company, our results of operations and other information.</w:t>
      </w:r>
    </w:p>
    <w:p>
      <w:pPr>
        <w:spacing w:after="0" w:line="188" w:lineRule="exact"/>
        <w:rPr>
          <w:sz w:val="20"/>
          <w:szCs w:val="20"/>
          <w:color w:val="auto"/>
        </w:rPr>
      </w:pPr>
    </w:p>
    <w:p>
      <w:pPr>
        <w:ind w:right="420" w:firstLine="598"/>
        <w:spacing w:after="0" w:line="259" w:lineRule="auto"/>
        <w:rPr>
          <w:sz w:val="20"/>
          <w:szCs w:val="20"/>
          <w:color w:val="auto"/>
        </w:rPr>
      </w:pPr>
      <w:r>
        <w:rPr>
          <w:rFonts w:ascii="Arial" w:cs="Arial" w:eastAsia="Arial" w:hAnsi="Arial"/>
          <w:sz w:val="18"/>
          <w:szCs w:val="18"/>
          <w:color w:val="auto"/>
        </w:rPr>
        <w:t>We post our code of business conduct and ethics, which applies to all employees, including all executive officers, senior financial officers and directors, on our corporate website at www.tripadvisor.com. We intend to disclose any waivers of the code of ethics for our executive officers, senior financial officers or directors, on our corporate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55" w:right="279" w:bottom="1440" w:gutter="0" w:footer="0" w:header="0"/>
        </w:sectPr>
      </w:pPr>
    </w:p>
    <w:bookmarkStart w:id="11" w:name="page12"/>
    <w:bookmarkEnd w:id="11"/>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7"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6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mobile apps and to cost-effectively convert these visitors into revenue-generating users, our revenue, financial results and business could be harmed.</w:t>
      </w:r>
    </w:p>
    <w:p>
      <w:pPr>
        <w:spacing w:after="0" w:line="175"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Our long term success depends on our continued ability to maintain and increase the overall number of visitors flowing through our platforms in a cost effective manner and to engage users throughout the travel planning, booking and trip-taking phases. The primary asset that we use to attract visitors to our websites and convert these visitors into engaged users and bookers is our ability to collect or create, organize and distribute high-quality, commercially valuable content and products that meet users’ specific interests. Our traffic and user engagement could be adversely affected by a number of factors, including but not limited to increased competition, reduced consumer awareness of our brands, declines or inefficiencies in traffic acquisition, and macroeconomic conditions. Certain of our competitors have advertising campaigns expressly designed to drive consumer traffic directly to their websites, and these campaigns may negatively impact traffic to our site. There can be no assurances that we will continue to provide content and products in a manner that meets rapidly changing consumer demand that encourages users to book on our platform and that is cost-effective.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 and applications are not displayed prominently, traffic to our platform could decline and our business would be negatively affected.</w:t>
      </w:r>
    </w:p>
    <w:p>
      <w:pPr>
        <w:spacing w:after="0" w:line="184" w:lineRule="exact"/>
        <w:rPr>
          <w:sz w:val="20"/>
          <w:szCs w:val="20"/>
          <w:color w:val="auto"/>
        </w:rPr>
      </w:pPr>
    </w:p>
    <w:p>
      <w:pPr>
        <w:ind w:right="40" w:firstLine="598"/>
        <w:spacing w:after="0" w:line="266" w:lineRule="auto"/>
        <w:rPr>
          <w:sz w:val="20"/>
          <w:szCs w:val="20"/>
          <w:color w:val="auto"/>
        </w:rPr>
      </w:pPr>
      <w:r>
        <w:rPr>
          <w:rFonts w:ascii="Arial" w:cs="Arial" w:eastAsia="Arial" w:hAnsi="Arial"/>
          <w:sz w:val="17"/>
          <w:szCs w:val="17"/>
          <w:color w:val="auto"/>
        </w:rPr>
        <w:t>We rely heavily on internet search engines, such as Google, to generate a significant amount of traffic to our websites, principally through the purchase of travel-related keywords (what is also known as search engine marketing, or SEM) as well as through free, or organic, search (what is also known as search engine optimization, or SEO). The number of users we attract from search engines to our platform is due in large part to how and where information from and links to our website are displayed on search engine results pages. The display, including rankings, of unpaid search results can be effected by a number of factors, many of which are not in our control and may change frequently. Search engines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organic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Furthermore, our failure to successfully manage our SEO and SEM strategies could result in a substantial decrease in traffic to our websites, as well as increased costs if we were to replace free traffic with paid traffic.</w:t>
      </w:r>
    </w:p>
    <w:p>
      <w:pPr>
        <w:spacing w:after="0" w:line="18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addition, to the extent that Google or other leading search or metasearch engines that have a significant presence in our key markets, disintermediate OTAs or travel content providers, whether by offering their own comprehensive travel planning or shopping capabilities, or by referring leads to suppliers, other favored partners or themselves directly, there could be a negative effect on search results and traffic to our site, which in turn could have a material adverse impact on our business and financial performance.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2" w:name="page13"/>
    <w:bookmarkEnd w:id="12"/>
    <w:p>
      <w:pPr>
        <w:ind w:right="120" w:firstLine="598"/>
        <w:spacing w:after="0" w:line="252" w:lineRule="auto"/>
        <w:rPr>
          <w:sz w:val="20"/>
          <w:szCs w:val="20"/>
          <w:color w:val="auto"/>
        </w:rPr>
      </w:pPr>
      <w:r>
        <w:rPr>
          <w:rFonts w:ascii="Arial" w:cs="Arial" w:eastAsia="Arial" w:hAnsi="Arial"/>
          <w:sz w:val="18"/>
          <w:szCs w:val="18"/>
          <w:color w:val="auto"/>
        </w:rPr>
        <w:t>We also rely on application marketplaces,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a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298"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5" w:lineRule="exact"/>
        <w:rPr>
          <w:sz w:val="20"/>
          <w:szCs w:val="20"/>
          <w:color w:val="auto"/>
        </w:rPr>
      </w:pPr>
    </w:p>
    <w:p>
      <w:pPr>
        <w:jc w:val="both"/>
        <w:ind w:right="140" w:firstLine="598"/>
        <w:spacing w:after="0" w:line="284" w:lineRule="auto"/>
        <w:rPr>
          <w:sz w:val="20"/>
          <w:szCs w:val="20"/>
          <w:color w:val="auto"/>
        </w:rPr>
      </w:pPr>
      <w:r>
        <w:rPr>
          <w:rFonts w:ascii="Arial" w:cs="Arial" w:eastAsia="Arial" w:hAnsi="Arial"/>
          <w:sz w:val="16"/>
          <w:szCs w:val="16"/>
          <w:color w:val="auto"/>
        </w:rPr>
        <w:t>We derive a substantial portion of our revenue from the sale of advertising, primarily through click-based advertising and, to a lesser extent, display-based and subscription-based advertising. We enter into master advertising contracts with our advertising partners. The agreement terms are generally limited to legal matters, with campaign details governed by insertion orders, and most of these contracts can be terminated by our partners at will or on short notice.</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acceptance of online advertising versus more traditional forms of advertising or more effective models,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9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95"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5" w:lineRule="exact"/>
        <w:rPr>
          <w:sz w:val="20"/>
          <w:szCs w:val="20"/>
          <w:color w:val="auto"/>
        </w:rPr>
      </w:pPr>
    </w:p>
    <w:p>
      <w:pPr>
        <w:ind w:right="180" w:firstLine="598"/>
        <w:spacing w:after="0" w:line="292" w:lineRule="auto"/>
        <w:rPr>
          <w:sz w:val="20"/>
          <w:szCs w:val="20"/>
          <w:color w:val="auto"/>
        </w:rPr>
      </w:pPr>
      <w:r>
        <w:rPr>
          <w:rFonts w:ascii="Arial" w:cs="Arial" w:eastAsia="Arial" w:hAnsi="Arial"/>
          <w:sz w:val="16"/>
          <w:szCs w:val="16"/>
          <w:color w:val="auto"/>
        </w:rPr>
        <w:t>We derive a substantial portion of our revenue from a relatively small number of advertising partners and rely significantly on our relationships. For example, for the year ended December 31, 2017, our two most significant advertising partners, Expedia and Priceline (and their subsidiaries), accounted for a combined 43% of total revenue. While we enter into master advertising contracts with our partners, as discussed above, and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269"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5" w:lineRule="exact"/>
        <w:rPr>
          <w:sz w:val="20"/>
          <w:szCs w:val="20"/>
          <w:color w:val="auto"/>
        </w:rPr>
      </w:pPr>
    </w:p>
    <w:p>
      <w:pPr>
        <w:ind w:right="20" w:firstLine="598"/>
        <w:spacing w:after="0" w:line="252" w:lineRule="auto"/>
        <w:rPr>
          <w:sz w:val="20"/>
          <w:szCs w:val="20"/>
          <w:color w:val="auto"/>
        </w:rPr>
      </w:pPr>
      <w:r>
        <w:rPr>
          <w:rFonts w:ascii="Arial" w:cs="Arial" w:eastAsia="Arial" w:hAnsi="Arial"/>
          <w:sz w:val="18"/>
          <w:szCs w:val="18"/>
          <w:color w:val="auto"/>
        </w:rPr>
        <w:t>We strive to create the best experience for our users, providing them with the information, research and tools to enable them to plan, book, and experience the perfect trip. We believe that in doing so we will increase our rates of conversion, revenue per hotel shopper and, ultimately, our financial performance over the long-term. We have taken actions in the past and may continue to make decisions in the future that have the effect of reducing our short-term revenue or profitability if we believe that the decisions benefit the overall user experience. For example, we may introduce changes to existing products or new products that direct users away from formats or use cases where we have a proven means of monetization. In addition, our approach of putting users first may negatively impact our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13" w:name="page14"/>
    <w:bookmarkEnd w:id="13"/>
    <w:p>
      <w:pPr>
        <w:ind w:right="100"/>
        <w:spacing w:after="0" w:line="255" w:lineRule="auto"/>
        <w:rPr>
          <w:sz w:val="20"/>
          <w:szCs w:val="20"/>
          <w:color w:val="auto"/>
        </w:rPr>
      </w:pPr>
      <w:r>
        <w:rPr>
          <w:rFonts w:ascii="Arial" w:cs="Arial" w:eastAsia="Arial" w:hAnsi="Arial"/>
          <w:sz w:val="18"/>
          <w:szCs w:val="18"/>
          <w:color w:val="auto"/>
        </w:rPr>
        <w:t>relationship with existing or prospective advertisers. These actions and practices could result in a loss of advertisers,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188"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b w:val="1"/>
          <w:bCs w:val="1"/>
          <w:i w:val="1"/>
          <w:iCs w:val="1"/>
          <w:color w:val="auto"/>
        </w:rPr>
        <w:t>Our business depends on a strong brand and any failure to maintain, protect and enhance our brand would hurt our ability to retain and expand our base of users and advertisers, as well as increase the frequency with which users utilize our products and services.</w:t>
      </w:r>
    </w:p>
    <w:p>
      <w:pPr>
        <w:spacing w:after="0" w:line="152" w:lineRule="exact"/>
        <w:rPr>
          <w:sz w:val="20"/>
          <w:szCs w:val="20"/>
          <w:color w:val="auto"/>
        </w:rPr>
      </w:pPr>
    </w:p>
    <w:p>
      <w:pPr>
        <w:ind w:right="100" w:firstLine="598"/>
        <w:spacing w:after="0" w:line="285" w:lineRule="auto"/>
        <w:rPr>
          <w:sz w:val="20"/>
          <w:szCs w:val="20"/>
          <w:color w:val="auto"/>
        </w:rPr>
      </w:pPr>
      <w:r>
        <w:rPr>
          <w:rFonts w:ascii="Arial" w:cs="Arial" w:eastAsia="Arial" w:hAnsi="Arial"/>
          <w:sz w:val="16"/>
          <w:szCs w:val="16"/>
          <w:color w:val="auto"/>
        </w:rPr>
        <w:t>We believe that the strength of our brands (particularly the TripAdvisor brand) has contributed significantly to our success. We also believe that maintaining, protecting and enhancing our brands is critical to expanding our base of users, increasing the frequency with which users utilize our solutions and attracting advertisers and business partners. Our ability to maintain and protect our brand depends, in part, on our ability to maintain consumer trust in our products and in the quality and integrity of the user content and other information found on our platform. We believe that consumers must trust the integrity of our content and that they must believe that our content is reliable as well as useful. If consumers do not view our reviews to be useful and reliable, they may seek other sources to obtain the information they are looking for and may not return to our platform as often in the future, or at all. This would negatively impact our ability to attract retain users and advertisers and the frequency with which they use our platform. We dedicate significant resources to these goals, primarily through our computer algorithms to identify inappropriate or deceptive content removing content from our website that violates our terms of service and, in certain cases, taking legal action against businesses that we believe engage in deceptive practices.</w:t>
      </w:r>
    </w:p>
    <w:p>
      <w:pPr>
        <w:spacing w:after="0" w:line="170" w:lineRule="exact"/>
        <w:rPr>
          <w:sz w:val="20"/>
          <w:szCs w:val="20"/>
          <w:color w:val="auto"/>
        </w:rPr>
      </w:pPr>
    </w:p>
    <w:p>
      <w:pPr>
        <w:ind w:right="40" w:firstLine="586"/>
        <w:spacing w:after="0" w:line="250" w:lineRule="auto"/>
        <w:rPr>
          <w:sz w:val="20"/>
          <w:szCs w:val="20"/>
          <w:color w:val="auto"/>
        </w:rPr>
      </w:pPr>
      <w:r>
        <w:rPr>
          <w:rFonts w:ascii="Arial" w:cs="Arial" w:eastAsia="Arial" w:hAnsi="Arial"/>
          <w:sz w:val="18"/>
          <w:szCs w:val="18"/>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For example, certain media outlets have reported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users; we do not establish rankings and ratings in favor of our advertisers. Nevertheless, our reputation and brand, the traffic to our platform and our business may suffer from negative publicity about our company or if users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196" w:lineRule="exact"/>
        <w:rPr>
          <w:sz w:val="20"/>
          <w:szCs w:val="20"/>
          <w:color w:val="auto"/>
        </w:rPr>
      </w:pPr>
    </w:p>
    <w:p>
      <w:pPr>
        <w:ind w:right="40" w:firstLine="598"/>
        <w:spacing w:after="0" w:line="306" w:lineRule="auto"/>
        <w:rPr>
          <w:sz w:val="20"/>
          <w:szCs w:val="20"/>
          <w:color w:val="auto"/>
        </w:rPr>
      </w:pPr>
      <w:r>
        <w:rPr>
          <w:rFonts w:ascii="Arial" w:cs="Arial" w:eastAsia="Arial" w:hAnsi="Arial"/>
          <w:sz w:val="16"/>
          <w:szCs w:val="16"/>
          <w:color w:val="auto"/>
        </w:rPr>
        <w:t>In addition, unfavorable publicity regarding, for example, our practices relating to privacy and data protection, product changes, competitive pressures,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151"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be successful.</w:t>
      </w:r>
    </w:p>
    <w:p>
      <w:pPr>
        <w:spacing w:after="0" w:line="175"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In an effort to enhance our brand we invest significantly in brand marketing including, but not limited to, television advertising. We expect these investments to continue, and even increase, as a result of a variety of factors, including relatively high levels of advertising spending from competitors, the increasing costs of supporting multiple brands, expansion into new geographies, product positioning where our brands are less well known, and the continued emergence and relative traffic share growth of search engines as destination sites for travelers. We expect to continue our television advertising campaign and to adjust our marketing efforts and spend among the different marketing channels, in each case as we think appropriate based on the relative growth opportunity, the expected returns and the competitive environment in the different segments and businesses in which we operate.</w:t>
      </w:r>
    </w:p>
    <w:p>
      <w:pPr>
        <w:spacing w:after="0" w:line="166"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14" w:name="page15"/>
    <w:bookmarkEnd w:id="14"/>
    <w:p>
      <w:pPr>
        <w:ind w:right="280"/>
        <w:spacing w:after="0" w:line="274" w:lineRule="auto"/>
        <w:rPr>
          <w:sz w:val="20"/>
          <w:szCs w:val="20"/>
          <w:color w:val="auto"/>
        </w:rPr>
      </w:pPr>
      <w:r>
        <w:rPr>
          <w:rFonts w:ascii="Arial" w:cs="Arial" w:eastAsia="Arial" w:hAnsi="Arial"/>
          <w:sz w:val="17"/>
          <w:szCs w:val="17"/>
          <w:color w:val="auto"/>
        </w:rPr>
        <w:t>it would have a material adverse effect on our business and financial performance. In addition, there are no assurances that these actions will have a positive impact on our marketing efficiencies or operating margins or when the financial benefit expected to result from these efforts will exceed the costs of such efforts. Furthermore, some of our current and potential competitors have access to significantly greater and more diversified resources than we do, and they may also be able to leverage other aspects of their businesses to enable them to compete more effectively with us.</w:t>
      </w:r>
    </w:p>
    <w:p>
      <w:pPr>
        <w:spacing w:after="0" w:line="282"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b w:val="1"/>
          <w:bCs w:val="1"/>
          <w:i w:val="1"/>
          <w:iCs w:val="1"/>
          <w:color w:val="auto"/>
        </w:rPr>
        <w:t>Consumer adoption and use of mobile phone devices creates new challenges and, if we are unable to operate effectively on mobile phone devices, our business may be adversely affected.</w:t>
      </w:r>
    </w:p>
    <w:p>
      <w:pPr>
        <w:spacing w:after="0" w:line="175" w:lineRule="exact"/>
        <w:rPr>
          <w:sz w:val="20"/>
          <w:szCs w:val="20"/>
          <w:color w:val="auto"/>
        </w:rPr>
      </w:pPr>
    </w:p>
    <w:p>
      <w:pPr>
        <w:ind w:right="140" w:firstLine="598"/>
        <w:spacing w:after="0" w:line="287" w:lineRule="auto"/>
        <w:rPr>
          <w:sz w:val="20"/>
          <w:szCs w:val="20"/>
          <w:color w:val="auto"/>
        </w:rPr>
      </w:pPr>
      <w:r>
        <w:rPr>
          <w:rFonts w:ascii="Arial" w:cs="Arial" w:eastAsia="Arial" w:hAnsi="Arial"/>
          <w:sz w:val="16"/>
          <w:szCs w:val="16"/>
          <w:color w:val="auto"/>
        </w:rPr>
        <w:t>The number of people who access the internet through mobile phones continues to increase and we anticipate that the rate of use of these devices will continue to grow. A significant percentage of our traffic comes from users accessing our sites on mobile phones and we expect this percentage to continue to increase. In order to attract and retain engaged users of our mobile platform, the mobile products and services we introduce must be compelling. In addition, the mobile phones continue to monetize at a significantly lower rate than desktops and tablets and advertising opportunities are more limited on mobile phone devices. Given device sizes and technical limitations of these devices, mobile phone consumers may not be willing to download multiple apps from multiple companies providing similar service and instead prefer to use one or a limited number of apps for their hotel, restaurant and attractions activity. In addition, as new devices and platforms are released, users may begin consuming content in a manner that is more difficult to monetize.</w:t>
      </w:r>
    </w:p>
    <w:p>
      <w:pPr>
        <w:spacing w:after="0" w:line="169" w:lineRule="exact"/>
        <w:rPr>
          <w:sz w:val="20"/>
          <w:szCs w:val="20"/>
          <w:color w:val="auto"/>
        </w:rPr>
      </w:pPr>
    </w:p>
    <w:p>
      <w:pPr>
        <w:jc w:val="both"/>
        <w:ind w:right="180" w:firstLine="598"/>
        <w:spacing w:after="0" w:line="255" w:lineRule="auto"/>
        <w:rPr>
          <w:sz w:val="20"/>
          <w:szCs w:val="20"/>
          <w:color w:val="auto"/>
        </w:rPr>
      </w:pPr>
      <w:r>
        <w:rPr>
          <w:rFonts w:ascii="Arial" w:cs="Arial" w:eastAsia="Arial" w:hAnsi="Arial"/>
          <w:sz w:val="18"/>
          <w:szCs w:val="18"/>
          <w:color w:val="auto"/>
        </w:rPr>
        <w:t>To address these growing user demands, we continue to extend our platform to develop and improve upon our mobile applications and monetization strategies. If we are unable to continue to rapidly innovate and create new, user-friendly and differentiated mobile phone offerings and websites optimized for mobile phone devices and efficiently and effectively advertise and distribute on these platforms, or if our mobile phone offerings are not used by consumers, our future growth and results of operations could be negatively impacted.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3"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further declines in consumer confidence. Decreased travel expenditures could reduce the demand for our services and have a negative impact on our business, working capital and financial performance.</w:t>
      </w:r>
    </w:p>
    <w:p>
      <w:pPr>
        <w:spacing w:after="0" w:line="183"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 For example, the United Kingdom’s referendum to exit the European Union, known as Brexit, could adversely affect European and global economic or market conditions, could contribute to instability in global financial markets and may have a negative effect on the travel industry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15" w:name="page16"/>
    <w:bookmarkEnd w:id="15"/>
    <w:p>
      <w:pPr>
        <w:ind w:right="40"/>
        <w:spacing w:after="0" w:line="270"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5" w:lineRule="exact"/>
        <w:rPr>
          <w:sz w:val="20"/>
          <w:szCs w:val="20"/>
          <w:color w:val="auto"/>
        </w:rPr>
      </w:pPr>
    </w:p>
    <w:p>
      <w:pPr>
        <w:ind w:right="180" w:firstLine="598"/>
        <w:spacing w:after="0" w:line="252" w:lineRule="auto"/>
        <w:rPr>
          <w:sz w:val="20"/>
          <w:szCs w:val="20"/>
          <w:color w:val="auto"/>
        </w:rPr>
      </w:pPr>
      <w:r>
        <w:rPr>
          <w:rFonts w:ascii="Arial" w:cs="Arial" w:eastAsia="Arial" w:hAnsi="Arial"/>
          <w:sz w:val="18"/>
          <w:szCs w:val="18"/>
          <w:color w:val="auto"/>
        </w:rPr>
        <w:t>We compete in rapidly evolving and competitive markets. We face competition for content, users, advertisers, online travel search and price comparison services, or what is known in the industry as hotel metasearch, and online reservations. In the competition to attract users to our platform, we rely on our ability to acquire traffic through offline brand recognition and brand-direct efforts such as SEO, SEM, email and television. These marketing strategies can be impacted by competitive site content, changes to our website architecture and page designs, changes to search engine ranking algorithms, updates in competitor advertising strategies, or changes to display ordering in search engine results such as preferred placement for internal products offered by search engines.</w:t>
      </w:r>
    </w:p>
    <w:p>
      <w:pPr>
        <w:spacing w:after="0" w:line="191" w:lineRule="exact"/>
        <w:rPr>
          <w:sz w:val="20"/>
          <w:szCs w:val="20"/>
          <w:color w:val="auto"/>
        </w:rPr>
      </w:pPr>
    </w:p>
    <w:p>
      <w:pPr>
        <w:ind w:right="120" w:firstLine="598"/>
        <w:spacing w:after="0" w:line="270" w:lineRule="auto"/>
        <w:rPr>
          <w:sz w:val="20"/>
          <w:szCs w:val="20"/>
          <w:color w:val="auto"/>
        </w:rPr>
      </w:pPr>
      <w:r>
        <w:rPr>
          <w:rFonts w:ascii="Arial" w:cs="Arial" w:eastAsia="Arial" w:hAnsi="Arial"/>
          <w:sz w:val="18"/>
          <w:szCs w:val="18"/>
          <w:color w:val="auto"/>
        </w:rPr>
        <w:t>We also compete with different types of companies in the various markets and geographies where we participate, including large and small companies in the travel space as well as broader service providers. More specifically:</w:t>
      </w:r>
    </w:p>
    <w:p>
      <w:pPr>
        <w:spacing w:after="0" w:line="175" w:lineRule="exact"/>
        <w:rPr>
          <w:sz w:val="20"/>
          <w:szCs w:val="20"/>
          <w:color w:val="auto"/>
        </w:rPr>
      </w:pPr>
    </w:p>
    <w:p>
      <w:pPr>
        <w:ind w:left="860" w:right="40" w:hanging="426"/>
        <w:spacing w:after="0" w:line="255"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our Hotel segment, we face competition from OTAs (including Expedia, Inc. and The Priceline Group Inc. and certain of their respective subsidiaries), hotel metasearch providers (including trivago, Kayak, Ctrip.com International, Ltd., and HotelsCombined), large online search, social media, and marketplace companies (including Google, Microsoft Bing, Yahoo, Baidu, Facebook, Alibaba, and Amazon), traditional offline travel agencies, and global hotel chains seeking to promote direct bookings.</w:t>
      </w:r>
    </w:p>
    <w:p>
      <w:pPr>
        <w:spacing w:after="0" w:line="188" w:lineRule="exact"/>
        <w:rPr>
          <w:rFonts w:ascii="Arial" w:cs="Arial" w:eastAsia="Arial" w:hAnsi="Arial"/>
          <w:sz w:val="18"/>
          <w:szCs w:val="18"/>
          <w:color w:val="auto"/>
        </w:rPr>
      </w:pPr>
    </w:p>
    <w:p>
      <w:pPr>
        <w:ind w:left="860" w:hanging="426"/>
        <w:spacing w:after="0" w:line="252"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in each of the operating segments in our Non-Hotel segment. Our Attractions business competes with traditional travel agencies, wholesalers, and individual tour operators as well as Airbnb and similar websites that have added other travel services such as tours and activities. Our Restaurants business competes with other online restaurant reservation services, such as SeatMe (owned by Yelp) and OpenTable (a subsidiary of Priceline). Our Vacation Rentals business competes with companies focused on alternative lodging, shared accommodations and online accommodation searches, including Airbnb, HomeAway (a subsidiary of Expedia) and booking.com (a subsidiary of Priceline).</w:t>
      </w:r>
    </w:p>
    <w:p>
      <w:pPr>
        <w:spacing w:after="0" w:line="191" w:lineRule="exact"/>
        <w:rPr>
          <w:sz w:val="20"/>
          <w:szCs w:val="20"/>
          <w:color w:val="auto"/>
        </w:rPr>
      </w:pPr>
    </w:p>
    <w:p>
      <w:pPr>
        <w:ind w:right="40" w:firstLine="598"/>
        <w:spacing w:after="0" w:line="252" w:lineRule="auto"/>
        <w:rPr>
          <w:sz w:val="20"/>
          <w:szCs w:val="20"/>
          <w:color w:val="auto"/>
        </w:rPr>
      </w:pPr>
      <w:r>
        <w:rPr>
          <w:rFonts w:ascii="Arial" w:cs="Arial" w:eastAsia="Arial" w:hAnsi="Arial"/>
          <w:sz w:val="18"/>
          <w:szCs w:val="18"/>
          <w:color w:val="auto"/>
        </w:rPr>
        <w:t>Many of our competitors have significantly greater financial, technical, marketing and other resources compared to us and have expertise in developing online commerce and facilitating internet traffic as well as large client bases. They also have the ability to leverage other aspects of their business to enable them to compete more effectively against us.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91" w:lineRule="exact"/>
        <w:rPr>
          <w:sz w:val="20"/>
          <w:szCs w:val="20"/>
          <w:color w:val="auto"/>
        </w:rPr>
      </w:pPr>
    </w:p>
    <w:p>
      <w:pPr>
        <w:ind w:right="120" w:firstLine="598"/>
        <w:spacing w:after="0" w:line="253" w:lineRule="auto"/>
        <w:rPr>
          <w:sz w:val="20"/>
          <w:szCs w:val="20"/>
          <w:color w:val="auto"/>
        </w:rPr>
      </w:pPr>
      <w:r>
        <w:rPr>
          <w:rFonts w:ascii="Arial" w:cs="Arial" w:eastAsia="Arial" w:hAnsi="Arial"/>
          <w:sz w:val="18"/>
          <w:szCs w:val="18"/>
          <w:color w:val="auto"/>
        </w:rPr>
        <w:t>Certain of the companies we do business with, including some of our click-based advertising partners, are also our competitors. The consolidation of our competitors and partners, including Expedia (through its acquisitions of Orbitz, Travelocity, and HomeAway) and Priceline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91" w:lineRule="exact"/>
        <w:rPr>
          <w:sz w:val="20"/>
          <w:szCs w:val="20"/>
          <w:color w:val="auto"/>
        </w:rPr>
      </w:pPr>
    </w:p>
    <w:p>
      <w:pPr>
        <w:jc w:val="both"/>
        <w:ind w:right="260" w:firstLine="598"/>
        <w:spacing w:after="0" w:line="259"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member engagement, any of which could adversely affect our business and financial performance.</w:t>
      </w:r>
    </w:p>
    <w:p>
      <w:pPr>
        <w:spacing w:after="0" w:line="291" w:lineRule="exact"/>
        <w:rPr>
          <w:sz w:val="20"/>
          <w:szCs w:val="20"/>
          <w:color w:val="auto"/>
        </w:rPr>
      </w:pPr>
    </w:p>
    <w:p>
      <w:pPr>
        <w:ind w:right="420"/>
        <w:spacing w:after="0" w:line="270"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5" w:lineRule="exact"/>
        <w:rPr>
          <w:sz w:val="20"/>
          <w:szCs w:val="20"/>
          <w:color w:val="auto"/>
        </w:rPr>
      </w:pPr>
    </w:p>
    <w:p>
      <w:pPr>
        <w:ind w:right="180" w:firstLine="598"/>
        <w:spacing w:after="0" w:line="270" w:lineRule="auto"/>
        <w:rPr>
          <w:sz w:val="20"/>
          <w:szCs w:val="20"/>
          <w:color w:val="auto"/>
        </w:rPr>
      </w:pPr>
      <w:r>
        <w:rPr>
          <w:rFonts w:ascii="Arial" w:cs="Arial" w:eastAsia="Arial" w:hAnsi="Arial"/>
          <w:sz w:val="18"/>
          <w:szCs w:val="18"/>
          <w:color w:val="auto"/>
        </w:rPr>
        <w:t>We depend on the use of sophisticated information technologies and systems for, among other things, website and mobile apps, supplier connectivity, communications, reservations, payment processing, procurement, customer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6" w:name="page17"/>
    <w:bookmarkEnd w:id="16"/>
    <w:p>
      <w:pPr>
        <w:ind w:right="40"/>
        <w:spacing w:after="0" w:line="253" w:lineRule="auto"/>
        <w:rPr>
          <w:sz w:val="20"/>
          <w:szCs w:val="20"/>
          <w:color w:val="auto"/>
        </w:rPr>
      </w:pPr>
      <w:r>
        <w:rPr>
          <w:rFonts w:ascii="Arial" w:cs="Arial" w:eastAsia="Arial" w:hAnsi="Arial"/>
          <w:sz w:val="18"/>
          <w:szCs w:val="18"/>
          <w:color w:val="auto"/>
        </w:rPr>
        <w:t>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users.</w:t>
      </w:r>
    </w:p>
    <w:p>
      <w:pPr>
        <w:spacing w:after="0" w:line="191"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In addition, the emergence of alternative platforms such as mobile phone and tablet computing devices and the emergence of niche competitors who may be able to optimize products, services or strategies for such platforms will require new investment in technology. New developments in other areas could also make it easier for competition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297"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175"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Our success depends in part on continued innovation to provide features and services that make our platform compelling to travelers. Our competitors are continually developing innovations in online travel-related services and features. As a result, we are continually working to improve our business model and user experience in order to drive user traffic and conversion rates. We can give no assurances that the changes we make will yield the benefits we expect and will not have unintended or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287"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175"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online advertisers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87"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5"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We believe that certain metrics are key to our business, including but not limited to unique visitors, hotel shoppers, and revenue per hotel shopper. As both the industry in which we operate and our business continue to evolve, so too might the metrics by which we evaluate our business. While the calculation of these metrics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accurate; however, the improvement of our tools and methodologies could cause inconsistency between current data and previously reported data, which could confuse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investors or lead to questions about the integrity of our data. Also if the internal tools we use to track these metrics under-count or over-count performance or contain algorithm or other technical errors, the data we report may not be accurate. In addition, historically, certain metrics were calculated by independent third parties. Accordingly readers should not place undue reliance on these numbers.</w:t>
      </w:r>
    </w:p>
    <w:p>
      <w:pPr>
        <w:spacing w:after="0" w:line="291"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i w:val="1"/>
          <w:iCs w:val="1"/>
          <w:color w:val="auto"/>
        </w:rPr>
        <w:t>The loss of one or more of our key personnel, or our failure to attract and retain other highly qualified personnel in the future, could harm our business.</w:t>
      </w:r>
    </w:p>
    <w:p>
      <w:pPr>
        <w:spacing w:after="0" w:line="266"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Our future success depends upon the continued contributions of our senior corporate management and other key employees. In particular, the contributions of Stephen Kaufer, our co-founder, Chief Executive and President,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8" w:lineRule="exact"/>
        <w:rPr>
          <w:sz w:val="20"/>
          <w:szCs w:val="20"/>
          <w:color w:val="auto"/>
        </w:rPr>
      </w:pPr>
    </w:p>
    <w:p>
      <w:pPr>
        <w:ind w:right="60" w:firstLine="598"/>
        <w:spacing w:after="0" w:line="269" w:lineRule="auto"/>
        <w:rPr>
          <w:sz w:val="20"/>
          <w:szCs w:val="20"/>
          <w:color w:val="auto"/>
        </w:rPr>
      </w:pPr>
      <w:r>
        <w:rPr>
          <w:rFonts w:ascii="Arial" w:cs="Arial" w:eastAsia="Arial" w:hAnsi="Arial"/>
          <w:sz w:val="17"/>
          <w:szCs w:val="17"/>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such as those put in place in the United States in early 2017,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287"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175"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Certain companies in the internet and technology industries that own patents, copyrights, trademarks and trade secrets frequently enter into litigation based on allegations of infringement or other violations of those intellectual property rights in order to extract value from technology companies, such as royalties in connection with grants of licenses. We have received in the past, and expect to receive in the future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8" w:name="page19"/>
    <w:bookmarkEnd w:id="18"/>
    <w:p>
      <w:pPr>
        <w:ind w:right="460"/>
        <w:spacing w:after="0" w:line="270"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5"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Our success will depend, in part, on our ability to expand our product offerings and expand user engagement in order to grow our business in response to changing technologies, user and advertiser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any of which could be material to our financial conditions and results of operations. Such endeavors may involve significant risks and uncertainties, including, but not limited to, the following:</w:t>
      </w:r>
    </w:p>
    <w:p>
      <w:pPr>
        <w:spacing w:after="0" w:line="71" w:lineRule="exact"/>
        <w:rPr>
          <w:sz w:val="20"/>
          <w:szCs w:val="20"/>
          <w:color w:val="auto"/>
        </w:rPr>
      </w:pPr>
    </w:p>
    <w:p>
      <w:pPr>
        <w:ind w:left="1180" w:right="200" w:hanging="426"/>
        <w:spacing w:after="0" w:line="270"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8" w:lineRule="exact"/>
        <w:rPr>
          <w:rFonts w:ascii="Arial" w:cs="Arial" w:eastAsia="Arial" w:hAnsi="Arial"/>
          <w:sz w:val="18"/>
          <w:szCs w:val="18"/>
          <w:color w:val="auto"/>
        </w:rPr>
      </w:pPr>
    </w:p>
    <w:p>
      <w:pPr>
        <w:ind w:left="1180" w:right="220" w:hanging="426"/>
        <w:spacing w:after="0" w:line="270"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stock repurchases, retirement of outstanding indebtedness and/or dividend payments;</w:t>
      </w:r>
    </w:p>
    <w:p>
      <w:pPr>
        <w:spacing w:after="0" w:line="68" w:lineRule="exact"/>
        <w:rPr>
          <w:rFonts w:ascii="Arial" w:cs="Arial" w:eastAsia="Arial" w:hAnsi="Arial"/>
          <w:sz w:val="18"/>
          <w:szCs w:val="18"/>
          <w:color w:val="auto"/>
        </w:rPr>
      </w:pPr>
    </w:p>
    <w:p>
      <w:pPr>
        <w:ind w:left="1180" w:hanging="42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3" w:lineRule="exact"/>
        <w:rPr>
          <w:rFonts w:ascii="Arial" w:cs="Arial" w:eastAsia="Arial" w:hAnsi="Arial"/>
          <w:sz w:val="18"/>
          <w:szCs w:val="18"/>
          <w:color w:val="auto"/>
        </w:rPr>
      </w:pPr>
    </w:p>
    <w:p>
      <w:pPr>
        <w:ind w:left="1180" w:right="60" w:hanging="426"/>
        <w:spacing w:after="0" w:line="270"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8" w:lineRule="exact"/>
        <w:rPr>
          <w:rFonts w:ascii="Arial" w:cs="Arial" w:eastAsia="Arial" w:hAnsi="Arial"/>
          <w:sz w:val="18"/>
          <w:szCs w:val="18"/>
          <w:color w:val="auto"/>
        </w:rPr>
      </w:pPr>
    </w:p>
    <w:p>
      <w:pPr>
        <w:ind w:left="1180" w:hanging="42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3" w:lineRule="exact"/>
        <w:rPr>
          <w:rFonts w:ascii="Arial" w:cs="Arial" w:eastAsia="Arial" w:hAnsi="Arial"/>
          <w:sz w:val="18"/>
          <w:szCs w:val="18"/>
          <w:color w:val="auto"/>
        </w:rPr>
      </w:pPr>
    </w:p>
    <w:p>
      <w:pPr>
        <w:ind w:left="1180" w:right="60" w:hanging="426"/>
        <w:spacing w:after="0" w:line="270"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assumed, and other claims relating to the acquired company;</w:t>
      </w:r>
    </w:p>
    <w:p>
      <w:pPr>
        <w:spacing w:after="0" w:line="68" w:lineRule="exact"/>
        <w:rPr>
          <w:rFonts w:ascii="Arial" w:cs="Arial" w:eastAsia="Arial" w:hAnsi="Arial"/>
          <w:sz w:val="18"/>
          <w:szCs w:val="18"/>
          <w:color w:val="auto"/>
        </w:rPr>
      </w:pPr>
    </w:p>
    <w:p>
      <w:pPr>
        <w:ind w:left="1180" w:right="220" w:hanging="426"/>
        <w:spacing w:after="0" w:line="270"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8" w:lineRule="exact"/>
        <w:rPr>
          <w:rFonts w:ascii="Arial" w:cs="Arial" w:eastAsia="Arial" w:hAnsi="Arial"/>
          <w:sz w:val="18"/>
          <w:szCs w:val="18"/>
          <w:color w:val="auto"/>
        </w:rPr>
      </w:pPr>
    </w:p>
    <w:p>
      <w:pPr>
        <w:ind w:left="1180" w:hanging="42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3" w:lineRule="exact"/>
        <w:rPr>
          <w:rFonts w:ascii="Arial" w:cs="Arial" w:eastAsia="Arial" w:hAnsi="Arial"/>
          <w:sz w:val="18"/>
          <w:szCs w:val="18"/>
          <w:color w:val="auto"/>
        </w:rPr>
      </w:pPr>
    </w:p>
    <w:p>
      <w:pPr>
        <w:ind w:left="1180" w:right="600" w:hanging="426"/>
        <w:spacing w:after="0" w:line="300"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45" w:lineRule="exact"/>
        <w:rPr>
          <w:rFonts w:ascii="Arial" w:cs="Arial" w:eastAsia="Arial" w:hAnsi="Arial"/>
          <w:sz w:val="17"/>
          <w:szCs w:val="17"/>
          <w:color w:val="auto"/>
        </w:rPr>
      </w:pPr>
    </w:p>
    <w:p>
      <w:pPr>
        <w:ind w:left="1180" w:hanging="42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Impairment of goodwill or other intangible assets such as trademarks or other intellectual property arising from acquisitions; and</w:t>
      </w:r>
    </w:p>
    <w:p>
      <w:pPr>
        <w:spacing w:after="0" w:line="124" w:lineRule="exact"/>
        <w:rPr>
          <w:rFonts w:ascii="Arial" w:cs="Arial" w:eastAsia="Arial" w:hAnsi="Arial"/>
          <w:sz w:val="17"/>
          <w:szCs w:val="17"/>
          <w:color w:val="auto"/>
        </w:rPr>
      </w:pPr>
    </w:p>
    <w:p>
      <w:pPr>
        <w:ind w:left="1180" w:hanging="42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0"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We have recently invested, and may in the future invest, in privately-held companies and these investments are currently accounted for under the cost method accounting.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00"/>
          </w:cols>
          <w:pgMar w:left="240" w:top="659" w:right="359" w:bottom="1440" w:gutter="0" w:footer="0" w:header="0"/>
        </w:sectPr>
      </w:pPr>
    </w:p>
    <w:bookmarkStart w:id="19" w:name="page20"/>
    <w:bookmarkEnd w:id="19"/>
    <w:p>
      <w:pPr>
        <w:ind w:right="60" w:firstLine="598"/>
        <w:spacing w:after="0" w:line="334"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0"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Over the years, we have experienced rapid growth in some of our business, including through acquisitions of other businesses and in new international markets. We continue to make substantial investments in our technology, product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78" w:lineRule="exact"/>
        <w:rPr>
          <w:sz w:val="20"/>
          <w:szCs w:val="20"/>
          <w:color w:val="auto"/>
        </w:rPr>
      </w:pPr>
    </w:p>
    <w:p>
      <w:pPr>
        <w:ind w:right="160" w:firstLine="598"/>
        <w:spacing w:after="0" w:line="253"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suits, government investigations, and other proceedings that may result in adverse outcomes.</w:t>
      </w:r>
    </w:p>
    <w:p>
      <w:pPr>
        <w:spacing w:after="0" w:line="220"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We are regularly subject to claims, suits, government investigations and other proceedings involving competition, intellectual property, privacy and data protection, consumer protection, tax, labor and employment, commercial disputes, content generated by our users, free speech issues, goods and services offered by advertisers or publishers using our platforms, short-term and vacation rentals and other matters. In addition, our businesses face intellectual property litigation that exposes us to the risk of exclusion and cease and desist orders, which could limit our ability to sell products and services.</w:t>
      </w:r>
    </w:p>
    <w:p>
      <w:pPr>
        <w:spacing w:after="0" w:line="157" w:lineRule="exact"/>
        <w:rPr>
          <w:sz w:val="20"/>
          <w:szCs w:val="20"/>
          <w:color w:val="auto"/>
        </w:rPr>
      </w:pPr>
    </w:p>
    <w:p>
      <w:pPr>
        <w:ind w:right="120" w:firstLine="598"/>
        <w:spacing w:after="0" w:line="286" w:lineRule="auto"/>
        <w:rPr>
          <w:sz w:val="20"/>
          <w:szCs w:val="20"/>
          <w:color w:val="auto"/>
        </w:rPr>
      </w:pPr>
      <w:r>
        <w:rPr>
          <w:rFonts w:ascii="Arial" w:cs="Arial" w:eastAsia="Arial" w:hAnsi="Arial"/>
          <w:sz w:val="16"/>
          <w:szCs w:val="16"/>
          <w:color w:val="auto"/>
        </w:rPr>
        <w:t>Such claims, suits, government investigations and proceedings are inherently uncertain and their results cannot be predicted with certainty. Regardless of the outcome, any of these types of legal proceedings can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75" w:lineRule="exact"/>
        <w:rPr>
          <w:sz w:val="20"/>
          <w:szCs w:val="20"/>
          <w:color w:val="auto"/>
        </w:rPr>
      </w:pPr>
    </w:p>
    <w:p>
      <w:pPr>
        <w:ind w:right="560"/>
        <w:spacing w:after="0" w:line="270"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5"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We operate in a number of jurisdictions both inside and outside of the United States and continue to expand our operations both domestically and internationally. Many regions have different economic conditions, languages, currencies, consumer expectations, levels of consumer acceptance and use of the internet for commerce, legislation, regulatory environments (including labors laws and customs), tax laws and levels of political stability. We are subject to associated risks typical of global businesses, including, but not limited to, the following:</w:t>
      </w:r>
    </w:p>
    <w:p>
      <w:pPr>
        <w:spacing w:after="0" w:line="82" w:lineRule="exact"/>
        <w:rPr>
          <w:sz w:val="20"/>
          <w:szCs w:val="20"/>
          <w:color w:val="auto"/>
        </w:rPr>
      </w:pPr>
    </w:p>
    <w:p>
      <w:pPr>
        <w:ind w:left="1200" w:hanging="393"/>
        <w:spacing w:after="0" w:line="270" w:lineRule="auto"/>
        <w:tabs>
          <w:tab w:leader="none" w:pos="11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the Foreign Corrupt Practices Act and the U.K. Bribery Act (including the European Union’s General Data Protection Regulation, or GDPR), data</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20" w:name="page21"/>
    <w:bookmarkEnd w:id="20"/>
    <w:p>
      <w:pPr>
        <w:ind w:left="1200"/>
        <w:spacing w:after="0"/>
        <w:rPr>
          <w:sz w:val="20"/>
          <w:szCs w:val="20"/>
          <w:color w:val="auto"/>
        </w:rPr>
      </w:pPr>
      <w:r>
        <w:rPr>
          <w:rFonts w:ascii="Arial" w:cs="Arial" w:eastAsia="Arial" w:hAnsi="Arial"/>
          <w:sz w:val="17"/>
          <w:szCs w:val="17"/>
          <w:color w:val="auto"/>
        </w:rPr>
        <w:t>privacy requirements, labor and employment law, laws regarding advertisements and promotions and anti-competition regulations;</w:t>
      </w:r>
    </w:p>
    <w:p>
      <w:pPr>
        <w:spacing w:after="0" w:line="125" w:lineRule="exact"/>
        <w:rPr>
          <w:sz w:val="20"/>
          <w:szCs w:val="20"/>
          <w:color w:val="auto"/>
        </w:rPr>
      </w:pPr>
    </w:p>
    <w:p>
      <w:pPr>
        <w:ind w:left="1120" w:hanging="31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3" w:lineRule="exact"/>
        <w:rPr>
          <w:rFonts w:ascii="Arial" w:cs="Arial" w:eastAsia="Arial" w:hAnsi="Arial"/>
          <w:sz w:val="18"/>
          <w:szCs w:val="18"/>
          <w:color w:val="auto"/>
        </w:rPr>
      </w:pPr>
    </w:p>
    <w:p>
      <w:pPr>
        <w:ind w:left="1120" w:hanging="31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3" w:lineRule="exact"/>
        <w:rPr>
          <w:rFonts w:ascii="Arial" w:cs="Arial" w:eastAsia="Arial" w:hAnsi="Arial"/>
          <w:sz w:val="18"/>
          <w:szCs w:val="18"/>
          <w:color w:val="auto"/>
        </w:rPr>
      </w:pPr>
    </w:p>
    <w:p>
      <w:pPr>
        <w:ind w:left="1120" w:hanging="31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3" w:lineRule="exact"/>
        <w:rPr>
          <w:rFonts w:ascii="Arial" w:cs="Arial" w:eastAsia="Arial" w:hAnsi="Arial"/>
          <w:sz w:val="18"/>
          <w:szCs w:val="18"/>
          <w:color w:val="auto"/>
        </w:rPr>
      </w:pPr>
    </w:p>
    <w:p>
      <w:pPr>
        <w:ind w:left="1120" w:hanging="31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3" w:lineRule="exact"/>
        <w:rPr>
          <w:rFonts w:ascii="Arial" w:cs="Arial" w:eastAsia="Arial" w:hAnsi="Arial"/>
          <w:sz w:val="18"/>
          <w:szCs w:val="18"/>
          <w:color w:val="auto"/>
        </w:rPr>
      </w:pPr>
    </w:p>
    <w:p>
      <w:pPr>
        <w:ind w:left="1120" w:hanging="31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3" w:lineRule="exact"/>
        <w:rPr>
          <w:rFonts w:ascii="Arial" w:cs="Arial" w:eastAsia="Arial" w:hAnsi="Arial"/>
          <w:sz w:val="18"/>
          <w:szCs w:val="18"/>
          <w:color w:val="auto"/>
        </w:rPr>
      </w:pPr>
    </w:p>
    <w:p>
      <w:pPr>
        <w:ind w:left="1200" w:right="220" w:hanging="393"/>
        <w:spacing w:after="0" w:line="270" w:lineRule="auto"/>
        <w:tabs>
          <w:tab w:leader="none" w:pos="11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68" w:lineRule="exact"/>
        <w:rPr>
          <w:rFonts w:ascii="Arial" w:cs="Arial" w:eastAsia="Arial" w:hAnsi="Arial"/>
          <w:sz w:val="18"/>
          <w:szCs w:val="18"/>
          <w:color w:val="auto"/>
        </w:rPr>
      </w:pPr>
    </w:p>
    <w:p>
      <w:pPr>
        <w:ind w:left="1120" w:hanging="31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and</w:t>
      </w:r>
    </w:p>
    <w:p>
      <w:pPr>
        <w:spacing w:after="0" w:line="113" w:lineRule="exact"/>
        <w:rPr>
          <w:rFonts w:ascii="Arial" w:cs="Arial" w:eastAsia="Arial" w:hAnsi="Arial"/>
          <w:sz w:val="18"/>
          <w:szCs w:val="18"/>
          <w:color w:val="auto"/>
        </w:rPr>
      </w:pPr>
    </w:p>
    <w:p>
      <w:pPr>
        <w:ind w:left="1120" w:hanging="31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0" w:lineRule="exact"/>
        <w:rPr>
          <w:sz w:val="20"/>
          <w:szCs w:val="20"/>
          <w:color w:val="auto"/>
        </w:rPr>
      </w:pPr>
    </w:p>
    <w:p>
      <w:pPr>
        <w:ind w:right="120" w:firstLine="598"/>
        <w:spacing w:after="0" w:line="306" w:lineRule="auto"/>
        <w:rPr>
          <w:sz w:val="20"/>
          <w:szCs w:val="20"/>
          <w:color w:val="auto"/>
        </w:rPr>
      </w:pPr>
      <w:r>
        <w:rPr>
          <w:rFonts w:ascii="Arial" w:cs="Arial" w:eastAsia="Arial" w:hAnsi="Arial"/>
          <w:sz w:val="16"/>
          <w:szCs w:val="16"/>
          <w:color w:val="auto"/>
        </w:rPr>
        <w:t>A number of countries are actively pursuing changes to their tax laws applicable to corporate multinationals, such as the recently enacted U.S. tax legislation commonly referred to as the U.S. Tax Cuts and Jobs Act of 2017 (the “2017 Tax Act”). Foreign governments may enact tax laws in response to the 2017 Tax Act that could result in further changes to global taxation and materially affect our financial position and results of operations.</w:t>
      </w:r>
    </w:p>
    <w:p>
      <w:pPr>
        <w:spacing w:after="0" w:line="151" w:lineRule="exact"/>
        <w:rPr>
          <w:sz w:val="20"/>
          <w:szCs w:val="20"/>
          <w:color w:val="auto"/>
        </w:rPr>
      </w:pPr>
    </w:p>
    <w:p>
      <w:pPr>
        <w:ind w:right="60" w:firstLine="598"/>
        <w:spacing w:after="0" w:line="251" w:lineRule="auto"/>
        <w:rPr>
          <w:sz w:val="20"/>
          <w:szCs w:val="20"/>
          <w:color w:val="auto"/>
        </w:rPr>
      </w:pPr>
      <w:r>
        <w:rPr>
          <w:rFonts w:ascii="Arial" w:cs="Arial" w:eastAsia="Arial" w:hAnsi="Arial"/>
          <w:sz w:val="18"/>
          <w:szCs w:val="18"/>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of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additional guidance, we may make adjustments to provisional amounts that we have recorded that may materially impact our provision for income taxes in the period in which the adjustments are made.</w:t>
      </w:r>
    </w:p>
    <w:p>
      <w:pPr>
        <w:spacing w:after="0" w:line="194"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95"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consumer protection, data security and privacy, travel and vacation rental licensing and listing requirements and tax. In some cases, these laws continue to evolve.</w:t>
      </w:r>
    </w:p>
    <w:p>
      <w:pPr>
        <w:spacing w:after="0" w:line="188" w:lineRule="exact"/>
        <w:rPr>
          <w:sz w:val="20"/>
          <w:szCs w:val="20"/>
          <w:color w:val="auto"/>
        </w:rPr>
      </w:pPr>
    </w:p>
    <w:p>
      <w:pPr>
        <w:ind w:right="80" w:firstLine="598"/>
        <w:spacing w:after="0" w:line="274"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continue to rely on their authority under existing consumer protection laws to take action</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21" w:name="page22"/>
    <w:bookmarkEnd w:id="21"/>
    <w:p>
      <w:pPr>
        <w:ind w:right="520"/>
        <w:spacing w:after="0" w:line="334" w:lineRule="auto"/>
        <w:rPr>
          <w:sz w:val="20"/>
          <w:szCs w:val="20"/>
          <w:color w:val="auto"/>
        </w:rPr>
      </w:pPr>
      <w:r>
        <w:rPr>
          <w:rFonts w:ascii="Arial" w:cs="Arial" w:eastAsia="Arial" w:hAnsi="Arial"/>
          <w:sz w:val="16"/>
          <w:szCs w:val="16"/>
          <w:color w:val="auto"/>
        </w:rPr>
        <w:t>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29" w:lineRule="exact"/>
        <w:rPr>
          <w:sz w:val="20"/>
          <w:szCs w:val="20"/>
          <w:color w:val="auto"/>
        </w:rPr>
      </w:pPr>
    </w:p>
    <w:p>
      <w:pPr>
        <w:ind w:right="80" w:firstLine="598"/>
        <w:spacing w:after="0" w:line="253" w:lineRule="auto"/>
        <w:rPr>
          <w:sz w:val="20"/>
          <w:szCs w:val="20"/>
          <w:color w:val="auto"/>
        </w:rPr>
      </w:pPr>
      <w:r>
        <w:rPr>
          <w:rFonts w:ascii="Arial" w:cs="Arial" w:eastAsia="Arial" w:hAnsi="Arial"/>
          <w:sz w:val="18"/>
          <w:szCs w:val="18"/>
          <w:color w:val="auto"/>
        </w:rPr>
        <w:t>Further, our Vacation Rentals business has been and continues to be subject to regulatory developments that affect the vacation rental industry and the ability of competitors like us to list those vacation rentals online. For example, some states and local jurisdictions have fair housing or other laws governing whether and how properties may be rented, which they assert apply to vacation rentals. In addition, many homeowners, condominium and neighborhood associations have adopted or are considering adopting statutes or ordinances that prohibit or restrict property owners and managers from short-term vacation rentals.</w:t>
      </w:r>
    </w:p>
    <w:p>
      <w:pPr>
        <w:spacing w:after="0" w:line="191" w:lineRule="exact"/>
        <w:rPr>
          <w:sz w:val="20"/>
          <w:szCs w:val="20"/>
          <w:color w:val="auto"/>
        </w:rPr>
      </w:pPr>
    </w:p>
    <w:p>
      <w:pPr>
        <w:ind w:right="200" w:firstLine="598"/>
        <w:spacing w:after="0" w:line="292"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 competitive disadvantage vis-à-vis competitors who do not comply with such requirements.</w:t>
      </w:r>
    </w:p>
    <w:p>
      <w:pPr>
        <w:spacing w:after="0" w:line="162" w:lineRule="exact"/>
        <w:rPr>
          <w:sz w:val="20"/>
          <w:szCs w:val="20"/>
          <w:color w:val="auto"/>
        </w:rPr>
      </w:pPr>
    </w:p>
    <w:p>
      <w:pPr>
        <w:ind w:right="240" w:firstLine="598"/>
        <w:spacing w:after="0" w:line="269" w:lineRule="auto"/>
        <w:rPr>
          <w:sz w:val="20"/>
          <w:szCs w:val="20"/>
          <w:color w:val="auto"/>
        </w:rPr>
      </w:pPr>
      <w:r>
        <w:rPr>
          <w:rFonts w:ascii="Arial" w:cs="Arial" w:eastAsia="Arial" w:hAnsi="Arial"/>
          <w:sz w:val="17"/>
          <w:szCs w:val="17"/>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Unfavorable changes could decrease demand for products and services, limit marketing methods and capabilities, increase costs and/or subject us to additional liabilities. Violations of these laws and regulations could result in finds and/or criminal sanctions against us, our officers or our employees and/or prohibitions on the conduct of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0" w:lineRule="exact"/>
        <w:rPr>
          <w:sz w:val="20"/>
          <w:szCs w:val="20"/>
          <w:color w:val="auto"/>
        </w:rPr>
      </w:pPr>
    </w:p>
    <w:p>
      <w:pPr>
        <w:ind w:firstLine="598"/>
        <w:spacing w:after="0" w:line="274"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5" w:lineRule="exact"/>
        <w:rPr>
          <w:sz w:val="20"/>
          <w:szCs w:val="20"/>
          <w:color w:val="auto"/>
        </w:rPr>
      </w:pPr>
    </w:p>
    <w:p>
      <w:pPr>
        <w:ind w:right="60" w:firstLine="598"/>
        <w:spacing w:after="0" w:line="267"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79" w:lineRule="exact"/>
        <w:rPr>
          <w:sz w:val="20"/>
          <w:szCs w:val="20"/>
          <w:color w:val="auto"/>
        </w:rPr>
      </w:pPr>
    </w:p>
    <w:p>
      <w:pPr>
        <w:jc w:val="both"/>
        <w:ind w:right="120" w:firstLine="598"/>
        <w:spacing w:after="0" w:line="259"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552" w:right="299" w:bottom="1440" w:gutter="0" w:footer="0" w:header="0"/>
        </w:sectPr>
      </w:pPr>
    </w:p>
    <w:bookmarkStart w:id="22" w:name="page23"/>
    <w:bookmarkEnd w:id="22"/>
    <w:p>
      <w:pPr>
        <w:spacing w:after="0" w:line="270"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75"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We collect, process, store and transmit data, including personal information, for our users. As a result, 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In addition, we are subject to GDPR, a new data protection legal framework adopted by the European Union effective in May 2018. These data protection laws and regulations are intended to protect the privacy and security of personal data, including credit card information. Implementation of and compliance with these laws and regulations may be more costly or take longer than we anticipate, or could otherwise affect our business operations.</w:t>
      </w:r>
    </w:p>
    <w:p>
      <w:pPr>
        <w:spacing w:after="0" w:line="173" w:lineRule="exact"/>
        <w:rPr>
          <w:sz w:val="20"/>
          <w:szCs w:val="20"/>
          <w:color w:val="auto"/>
        </w:rPr>
      </w:pPr>
    </w:p>
    <w:p>
      <w:pPr>
        <w:ind w:right="400" w:firstLine="598"/>
        <w:spacing w:after="0" w:line="297" w:lineRule="auto"/>
        <w:rPr>
          <w:sz w:val="20"/>
          <w:szCs w:val="20"/>
          <w:color w:val="auto"/>
        </w:rPr>
      </w:pPr>
      <w:r>
        <w:rPr>
          <w:rFonts w:ascii="Arial" w:cs="Arial" w:eastAsia="Arial" w:hAnsi="Arial"/>
          <w:sz w:val="16"/>
          <w:szCs w:val="16"/>
          <w:color w:val="auto"/>
        </w:rPr>
        <w:t>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may result in governmental enforcement actions, litigation or public statements that could harm our reputation and cause our customers and members to lose trust in us, which could have an adverse effect on our business, brand, market share and results of operations.</w:t>
      </w:r>
    </w:p>
    <w:p>
      <w:pPr>
        <w:spacing w:after="0" w:line="157" w:lineRule="exact"/>
        <w:rPr>
          <w:sz w:val="20"/>
          <w:szCs w:val="20"/>
          <w:color w:val="auto"/>
        </w:rPr>
      </w:pPr>
    </w:p>
    <w:p>
      <w:pPr>
        <w:ind w:right="400" w:firstLine="598"/>
        <w:spacing w:after="0" w:line="334" w:lineRule="auto"/>
        <w:rPr>
          <w:sz w:val="20"/>
          <w:szCs w:val="20"/>
          <w:color w:val="auto"/>
        </w:rPr>
      </w:pPr>
      <w:r>
        <w:rPr>
          <w:rFonts w:ascii="Arial" w:cs="Arial" w:eastAsia="Arial" w:hAnsi="Arial"/>
          <w:sz w:val="16"/>
          <w:szCs w:val="16"/>
          <w:color w:val="auto"/>
        </w:rPr>
        <w:t>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w:t>
      </w:r>
    </w:p>
    <w:p>
      <w:pPr>
        <w:spacing w:after="0" w:line="129"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i w:val="1"/>
          <w:iCs w:val="1"/>
          <w:color w:val="auto"/>
        </w:rPr>
        <w:t>We are subject to payments-related risks and failure to manage those risks may subject us to fines, penalties and additional costs and could have a negative impact on our business.</w:t>
      </w:r>
    </w:p>
    <w:p>
      <w:pPr>
        <w:spacing w:after="0" w:line="175" w:lineRule="exact"/>
        <w:rPr>
          <w:sz w:val="20"/>
          <w:szCs w:val="20"/>
          <w:color w:val="auto"/>
        </w:rPr>
      </w:pPr>
    </w:p>
    <w:p>
      <w:pPr>
        <w:ind w:firstLine="442"/>
        <w:spacing w:after="0" w:line="266" w:lineRule="auto"/>
        <w:rPr>
          <w:sz w:val="20"/>
          <w:szCs w:val="20"/>
          <w:color w:val="auto"/>
        </w:rPr>
      </w:pPr>
      <w:r>
        <w:rPr>
          <w:rFonts w:ascii="Arial" w:cs="Arial" w:eastAsia="Arial" w:hAnsi="Arial"/>
          <w:sz w:val="17"/>
          <w:szCs w:val="17"/>
          <w:color w:val="auto"/>
        </w:rPr>
        <w:t>We accept payments, both from consumers and advertising partners and suppliers, using a variety of methods, including credit card, debit card, direct debit from a customer’s bank account, and invoicing. For existing and future payment options we offer to our customers, we may become subject to additional regulations and compliance requirements (including obligations to implement enhanced authentication processes that could result in significant costs and reduce the ease of use of our payments products), as well as fraud.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from our customers, process electronic funds transfers, or facilitate other types of online payments.</w:t>
      </w:r>
    </w:p>
    <w:p>
      <w:pPr>
        <w:spacing w:after="0" w:line="180" w:lineRule="exact"/>
        <w:rPr>
          <w:sz w:val="20"/>
          <w:szCs w:val="20"/>
          <w:color w:val="auto"/>
        </w:rPr>
      </w:pPr>
    </w:p>
    <w:p>
      <w:pPr>
        <w:ind w:right="500" w:firstLine="442"/>
        <w:spacing w:after="0" w:line="259" w:lineRule="auto"/>
        <w:rPr>
          <w:sz w:val="20"/>
          <w:szCs w:val="20"/>
          <w:color w:val="auto"/>
        </w:rPr>
      </w:pPr>
      <w:r>
        <w:rPr>
          <w:rFonts w:ascii="Arial" w:cs="Arial" w:eastAsia="Arial" w:hAnsi="Arial"/>
          <w:sz w:val="18"/>
          <w:szCs w:val="18"/>
          <w:color w:val="auto"/>
        </w:rPr>
        <w:t>We are also subject to a number of other laws and regulations relating to payments, money laundering, international money transfers, privacy and information security, and electronic fund transfers. If we were found to be in violation of applicable laws or regulations, we could be subject to additional requirements and civil and criminal penalties, or forced to cease providing certain services.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3" w:name="page24"/>
    <w:bookmarkEnd w:id="23"/>
    <w:p>
      <w:pPr>
        <w:ind w:right="120"/>
        <w:spacing w:after="0" w:line="259" w:lineRule="auto"/>
        <w:rPr>
          <w:sz w:val="20"/>
          <w:szCs w:val="20"/>
          <w:color w:val="auto"/>
        </w:rPr>
      </w:pPr>
      <w:r>
        <w:rPr>
          <w:rFonts w:ascii="Arial" w:cs="Arial" w:eastAsia="Arial" w:hAnsi="Arial"/>
          <w:sz w:val="18"/>
          <w:szCs w:val="18"/>
          <w:b w:val="1"/>
          <w:bCs w:val="1"/>
          <w:i w:val="1"/>
          <w:iCs w:val="1"/>
          <w:color w:val="auto"/>
        </w:rPr>
        <w:t>Any significant system disruption in or unauthorized access to our computer systems or those of third parties that we utilize, including those relating to cybersecurity or arising from cyberattacks, could result in a loss or degradation of service, unauthorized disclosure of data or theft of intellectual property, could harm our business.</w:t>
      </w:r>
    </w:p>
    <w:p>
      <w:pPr>
        <w:spacing w:after="0" w:line="184"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Our reputation and ability to attract, retain and service our users and partners is dependent upon the reliable performance and security of our computer systems and those of third parties we utilize in our operations. Significant interruptions, outages, delays or security breaches in internal systems, systems of third parties that we rely upon, would impair our ability to process transactions or display content and significantly harm our business. A party, whether internal or external, that is able to circumvent our security systems could misappropriate user information or proprietary information or cause significant interruptions in our operations. In the past, we have experienced cyberattacks, such as computer viruses, security intrusions, “denial-of-service” or “bot” type attacks, that have made portions of our websites unavailable for short periods of time as well as allowed unauthorized access of our systems and data.</w:t>
      </w:r>
    </w:p>
    <w:p>
      <w:pPr>
        <w:spacing w:after="0" w:line="166" w:lineRule="exact"/>
        <w:rPr>
          <w:sz w:val="20"/>
          <w:szCs w:val="20"/>
          <w:color w:val="auto"/>
        </w:rPr>
      </w:pPr>
    </w:p>
    <w:p>
      <w:pPr>
        <w:ind w:right="160" w:firstLine="598"/>
        <w:spacing w:after="0" w:line="253" w:lineRule="auto"/>
        <w:rPr>
          <w:sz w:val="20"/>
          <w:szCs w:val="20"/>
          <w:color w:val="auto"/>
        </w:rPr>
      </w:pPr>
      <w:r>
        <w:rPr>
          <w:rFonts w:ascii="Arial" w:cs="Arial" w:eastAsia="Arial" w:hAnsi="Arial"/>
          <w:sz w:val="18"/>
          <w:szCs w:val="18"/>
          <w:color w:val="auto"/>
        </w:rPr>
        <w:t>We also face risks associated with security breaches affecting third parties conducting business over the internet. Much of our business is conducted with third party marketing affiliates or, more recently, through business partners powering our instant booking feature.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191"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We may need to expend significant resources to protect against security breaches or to investigate and address problems caused by breaches.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Media coverage of data breaches has escalated, in part because of the increased number of enforcement actions, investigations and lawsuits.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80" w:lineRule="exact"/>
        <w:rPr>
          <w:sz w:val="20"/>
          <w:szCs w:val="20"/>
          <w:color w:val="auto"/>
        </w:rPr>
      </w:pPr>
    </w:p>
    <w:p>
      <w:pPr>
        <w:ind w:right="260" w:firstLine="598"/>
        <w:spacing w:after="0" w:line="297" w:lineRule="auto"/>
        <w:rPr>
          <w:sz w:val="20"/>
          <w:szCs w:val="20"/>
          <w:color w:val="auto"/>
        </w:rPr>
      </w:pPr>
      <w:r>
        <w:rPr>
          <w:rFonts w:ascii="Arial" w:cs="Arial" w:eastAsia="Arial" w:hAnsi="Arial"/>
          <w:sz w:val="16"/>
          <w:szCs w:val="16"/>
          <w:color w:val="auto"/>
        </w:rPr>
        <w:t>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 period of time.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64"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b w:val="1"/>
          <w:bCs w:val="1"/>
          <w:i w:val="1"/>
          <w:iCs w:val="1"/>
          <w:color w:val="auto"/>
        </w:rPr>
        <w:t>The online short-term and vacation rental market is rapidly evolving and if we fail to predict the manner in which the market develops, our business and prospects may suffer.</w:t>
      </w:r>
    </w:p>
    <w:p>
      <w:pPr>
        <w:spacing w:after="0" w:line="175" w:lineRule="exact"/>
        <w:rPr>
          <w:sz w:val="20"/>
          <w:szCs w:val="20"/>
          <w:color w:val="auto"/>
        </w:rPr>
      </w:pPr>
    </w:p>
    <w:p>
      <w:pPr>
        <w:ind w:right="40" w:firstLine="598"/>
        <w:spacing w:after="0" w:line="268" w:lineRule="auto"/>
        <w:rPr>
          <w:sz w:val="20"/>
          <w:szCs w:val="20"/>
          <w:color w:val="auto"/>
        </w:rPr>
      </w:pPr>
      <w:r>
        <w:rPr>
          <w:rFonts w:ascii="Arial" w:cs="Arial" w:eastAsia="Arial" w:hAnsi="Arial"/>
          <w:sz w:val="17"/>
          <w:szCs w:val="17"/>
          <w:color w:val="auto"/>
        </w:rPr>
        <w:t>We offer short-term and vacation rental services on our TripAdvisor-branded sites as well as through our U.S.-based FlipKey and Vacation Home Rentals and European-based Holiday Lettings and Niumba businesses. The short-term and vacation rental market has been and continues to be, subject to regulatory development globally that affects the industry and the ability of companies like us to list these rental properties online. For example, some states and local jurisdictions, both domestically and internationally, have adopted or are considering statutes or ordinances that prohibit property owners and managers from renting certain properties for fewer than 30 consecutive days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Many homeowners, condominium and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4" w:name="page25"/>
    <w:bookmarkEnd w:id="24"/>
    <w:p>
      <w:pPr>
        <w:ind w:right="60"/>
        <w:spacing w:after="0" w:line="292" w:lineRule="auto"/>
        <w:rPr>
          <w:sz w:val="20"/>
          <w:szCs w:val="20"/>
          <w:color w:val="auto"/>
        </w:rPr>
      </w:pPr>
      <w:r>
        <w:rPr>
          <w:rFonts w:ascii="Arial" w:cs="Arial" w:eastAsia="Arial" w:hAnsi="Arial"/>
          <w:sz w:val="16"/>
          <w:szCs w:val="16"/>
          <w:color w:val="auto"/>
        </w:rPr>
        <w:t>neighborhood associations have adopted rules that prohibit or restrict short-term vacation rentals.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0"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We are currently party to a credit agreement with respect to a $1.2 billion revolving credit facility maturing in May 2022, or (as more fully discussed below) the “2015 Credit Facility”. This agreement includes restrictive covenants that may impact the way we manage our business and may limit our ability to secure significant additional financing in the future on favorable terms. Our ability to secure additional financing and satisfy our financial obligations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0" w:lineRule="exact"/>
        <w:rPr>
          <w:sz w:val="20"/>
          <w:szCs w:val="20"/>
          <w:color w:val="auto"/>
        </w:rPr>
      </w:pPr>
    </w:p>
    <w:p>
      <w:pPr>
        <w:ind w:right="120" w:firstLine="598"/>
        <w:spacing w:after="0" w:line="334" w:lineRule="auto"/>
        <w:rPr>
          <w:sz w:val="20"/>
          <w:szCs w:val="20"/>
          <w:color w:val="auto"/>
        </w:rPr>
      </w:pPr>
      <w:r>
        <w:rPr>
          <w:rFonts w:ascii="Arial" w:cs="Arial" w:eastAsia="Arial" w:hAnsi="Arial"/>
          <w:sz w:val="16"/>
          <w:szCs w:val="16"/>
          <w:color w:val="auto"/>
        </w:rPr>
        <w:t>At December 31, 2017, we have outstanding $230 million in long-term debt. Although we subsequently repaid this indebtedness, we continue to have existing credit facilities from which we can borrow significant amounts; as such, we are still subject to risks relating to our indebtedness that include:</w:t>
      </w:r>
    </w:p>
    <w:p>
      <w:pPr>
        <w:spacing w:after="0" w:line="129" w:lineRule="exact"/>
        <w:rPr>
          <w:sz w:val="20"/>
          <w:szCs w:val="20"/>
          <w:color w:val="auto"/>
        </w:rPr>
      </w:pPr>
    </w:p>
    <w:p>
      <w:pPr>
        <w:ind w:left="1180" w:hanging="42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3" w:lineRule="exact"/>
        <w:rPr>
          <w:rFonts w:ascii="Arial" w:cs="Arial" w:eastAsia="Arial" w:hAnsi="Arial"/>
          <w:sz w:val="18"/>
          <w:szCs w:val="18"/>
          <w:color w:val="auto"/>
        </w:rPr>
      </w:pPr>
    </w:p>
    <w:p>
      <w:pPr>
        <w:jc w:val="both"/>
        <w:ind w:left="1180" w:right="140" w:hanging="426"/>
        <w:spacing w:after="0" w:line="334"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21" w:lineRule="exact"/>
        <w:rPr>
          <w:rFonts w:ascii="Arial" w:cs="Arial" w:eastAsia="Arial" w:hAnsi="Arial"/>
          <w:sz w:val="16"/>
          <w:szCs w:val="16"/>
          <w:color w:val="auto"/>
        </w:rPr>
      </w:pPr>
    </w:p>
    <w:p>
      <w:pPr>
        <w:ind w:left="1180" w:hanging="42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2" w:lineRule="exact"/>
        <w:rPr>
          <w:sz w:val="20"/>
          <w:szCs w:val="20"/>
          <w:color w:val="auto"/>
        </w:rPr>
      </w:pPr>
    </w:p>
    <w:p>
      <w:pPr>
        <w:ind w:right="80" w:firstLine="598"/>
        <w:spacing w:after="0" w:line="281" w:lineRule="auto"/>
        <w:rPr>
          <w:sz w:val="20"/>
          <w:szCs w:val="20"/>
          <w:color w:val="auto"/>
        </w:rPr>
      </w:pPr>
      <w:r>
        <w:rPr>
          <w:rFonts w:ascii="Arial" w:cs="Arial" w:eastAsia="Arial" w:hAnsi="Arial"/>
          <w:sz w:val="17"/>
          <w:szCs w:val="17"/>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25" w:name="page26"/>
    <w:bookmarkEnd w:id="25"/>
    <w:p>
      <w:pPr>
        <w:ind w:right="740"/>
        <w:spacing w:after="0" w:line="334"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their covenants could have a material adverse effect on us.</w:t>
      </w:r>
    </w:p>
    <w:p>
      <w:pPr>
        <w:spacing w:after="0" w:line="129" w:lineRule="exact"/>
        <w:rPr>
          <w:sz w:val="20"/>
          <w:szCs w:val="20"/>
          <w:color w:val="auto"/>
        </w:rPr>
      </w:pPr>
    </w:p>
    <w:p>
      <w:pPr>
        <w:ind w:right="660" w:firstLine="598"/>
        <w:spacing w:after="0" w:line="270"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68" w:lineRule="exact"/>
        <w:rPr>
          <w:sz w:val="20"/>
          <w:szCs w:val="20"/>
          <w:color w:val="auto"/>
        </w:rPr>
      </w:pPr>
    </w:p>
    <w:p>
      <w:pPr>
        <w:ind w:left="1180" w:hanging="42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0" w:lineRule="exact"/>
        <w:rPr>
          <w:sz w:val="20"/>
          <w:szCs w:val="20"/>
          <w:color w:val="auto"/>
        </w:rPr>
      </w:pPr>
    </w:p>
    <w:p>
      <w:pPr>
        <w:ind w:right="260" w:firstLine="598"/>
        <w:spacing w:after="0" w:line="274"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facilities.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2"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175"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This lack of flexibility increases our effective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78" w:lineRule="exact"/>
        <w:rPr>
          <w:sz w:val="20"/>
          <w:szCs w:val="20"/>
          <w:color w:val="auto"/>
        </w:rPr>
      </w:pPr>
    </w:p>
    <w:p>
      <w:pPr>
        <w:ind w:right="100" w:firstLine="598"/>
        <w:spacing w:after="0" w:line="267" w:lineRule="auto"/>
        <w:rPr>
          <w:sz w:val="20"/>
          <w:szCs w:val="20"/>
          <w:color w:val="auto"/>
        </w:rPr>
      </w:pPr>
      <w:r>
        <w:rPr>
          <w:rFonts w:ascii="Arial" w:cs="Arial" w:eastAsia="Arial" w:hAnsi="Arial"/>
          <w:sz w:val="17"/>
          <w:szCs w:val="17"/>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The final determination of audits could be materially different from our income tax provisions and accruals and could have a material effect on our financial position, results of operations, or cash flows in the period or periods for which that determination is made.</w:t>
      </w:r>
    </w:p>
    <w:p>
      <w:pPr>
        <w:spacing w:after="0" w:line="179" w:lineRule="exact"/>
        <w:rPr>
          <w:sz w:val="20"/>
          <w:szCs w:val="20"/>
          <w:color w:val="auto"/>
        </w:rPr>
      </w:pPr>
    </w:p>
    <w:p>
      <w:pPr>
        <w:jc w:val="both"/>
        <w:ind w:right="140" w:firstLine="598"/>
        <w:spacing w:after="0" w:line="255"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tax rate. In periods in which our stock price is higher than the grant price of the share-based compensation awards vesting in that period, we will recognize excess tax benefits that will decrease our effective tax rate. In periods in which our stock price is lower than the grant price of the share-based compensation awards vesting in that period, our effective tax rate will increase.</w:t>
      </w:r>
    </w:p>
    <w:p>
      <w:pPr>
        <w:spacing w:after="0" w:line="188" w:lineRule="exact"/>
        <w:rPr>
          <w:sz w:val="20"/>
          <w:szCs w:val="20"/>
          <w:color w:val="auto"/>
        </w:rPr>
      </w:pPr>
    </w:p>
    <w:p>
      <w:pPr>
        <w:ind w:right="500" w:firstLine="598"/>
        <w:spacing w:after="0" w:line="270"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26" w:name="page27"/>
    <w:bookmarkEnd w:id="26"/>
    <w:p>
      <w:pPr>
        <w:ind w:right="80"/>
        <w:spacing w:after="0" w:line="270" w:lineRule="auto"/>
        <w:rPr>
          <w:sz w:val="20"/>
          <w:szCs w:val="20"/>
          <w:color w:val="auto"/>
        </w:rPr>
      </w:pPr>
      <w:r>
        <w:rPr>
          <w:rFonts w:ascii="Arial" w:cs="Arial" w:eastAsia="Arial" w:hAnsi="Arial"/>
          <w:sz w:val="18"/>
          <w:szCs w:val="18"/>
          <w:color w:val="auto"/>
        </w:rPr>
        <w:t>deployment within and outside the U.S. Any repatriation of funds currently held in foreign jurisdictions may result in higher effective tax rates and incremental cash tax payments.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position and results of operations.</w:t>
      </w:r>
    </w:p>
    <w:p>
      <w:pPr>
        <w:spacing w:after="0" w:line="243" w:lineRule="exact"/>
        <w:rPr>
          <w:sz w:val="20"/>
          <w:szCs w:val="20"/>
          <w:color w:val="auto"/>
        </w:rPr>
      </w:pPr>
    </w:p>
    <w:p>
      <w:pPr>
        <w:ind w:right="220" w:firstLine="598"/>
        <w:spacing w:after="0" w:line="292" w:lineRule="auto"/>
        <w:rPr>
          <w:sz w:val="20"/>
          <w:szCs w:val="20"/>
          <w:color w:val="auto"/>
        </w:rPr>
      </w:pPr>
      <w:r>
        <w:rPr>
          <w:rFonts w:ascii="Arial" w:cs="Arial" w:eastAsia="Arial" w:hAnsi="Arial"/>
          <w:sz w:val="16"/>
          <w:szCs w:val="16"/>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derive could be undermined due to changing tax laws. A number of countries are actively pursuing changes to their tax laws applicable to corporate multinationals, such as the recently enacted 2017 Tax Act. Foreign governments or U.S. states may enact tax laws in response to the 2017 Tax Act that could result in further changes to global taxation and materially affect our financial position and results of operations.</w:t>
      </w:r>
    </w:p>
    <w:p>
      <w:pPr>
        <w:spacing w:after="0" w:line="162" w:lineRule="exact"/>
        <w:rPr>
          <w:sz w:val="20"/>
          <w:szCs w:val="20"/>
          <w:color w:val="auto"/>
        </w:rPr>
      </w:pPr>
    </w:p>
    <w:p>
      <w:pPr>
        <w:ind w:right="100" w:firstLine="598"/>
        <w:spacing w:after="0" w:line="251" w:lineRule="auto"/>
        <w:rPr>
          <w:sz w:val="20"/>
          <w:szCs w:val="20"/>
          <w:color w:val="auto"/>
        </w:rPr>
      </w:pPr>
      <w:r>
        <w:rPr>
          <w:rFonts w:ascii="Arial" w:cs="Arial" w:eastAsia="Arial" w:hAnsi="Arial"/>
          <w:sz w:val="18"/>
          <w:szCs w:val="18"/>
          <w:color w:val="auto"/>
        </w:rPr>
        <w:t>The 2017 Tax Act has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of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additional guidance, we may make adjustments to provisional amounts that we have recorded that may materially impact our provision for income taxes in the period in which the adjustments are made.</w:t>
      </w:r>
    </w:p>
    <w:p>
      <w:pPr>
        <w:spacing w:after="0" w:line="194" w:lineRule="exact"/>
        <w:rPr>
          <w:sz w:val="20"/>
          <w:szCs w:val="20"/>
          <w:color w:val="auto"/>
        </w:rPr>
      </w:pPr>
    </w:p>
    <w:p>
      <w:pPr>
        <w:ind w:right="80" w:firstLine="598"/>
        <w:spacing w:after="0" w:line="274" w:lineRule="auto"/>
        <w:rPr>
          <w:sz w:val="20"/>
          <w:szCs w:val="20"/>
          <w:color w:val="auto"/>
        </w:rPr>
      </w:pPr>
      <w:r>
        <w:rPr>
          <w:rFonts w:ascii="Arial" w:cs="Arial" w:eastAsia="Arial" w:hAnsi="Arial"/>
          <w:sz w:val="17"/>
          <w:szCs w:val="17"/>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business, operating results and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connection with the Spin-Off, we could be subject to significant tax liabilities.</w:t>
      </w:r>
    </w:p>
    <w:p>
      <w:pPr>
        <w:spacing w:after="0" w:line="220"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81" w:lineRule="exact"/>
        <w:rPr>
          <w:sz w:val="20"/>
          <w:szCs w:val="20"/>
          <w:color w:val="auto"/>
        </w:rPr>
      </w:pPr>
    </w:p>
    <w:p>
      <w:pPr>
        <w:ind w:firstLine="598"/>
        <w:spacing w:after="0" w:line="251" w:lineRule="auto"/>
        <w:rPr>
          <w:sz w:val="20"/>
          <w:szCs w:val="20"/>
          <w:color w:val="auto"/>
        </w:rPr>
      </w:pPr>
      <w:r>
        <w:rPr>
          <w:rFonts w:ascii="Arial" w:cs="Arial" w:eastAsia="Arial" w:hAnsi="Arial"/>
          <w:sz w:val="18"/>
          <w:szCs w:val="18"/>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an IRS audit for the 2009, 2010, and short-period 2011 tax years. In connection with that audit, we received, in January 2017, notices of proposed adjustment from the IRS for the 2009 and 2010 tax years, which would result in an increase in our worldwide income tax expense. The proposed adjustments would result in an increase to our worldwide income tax expense in an estimated range totaling $10 million to $14 million for those specific years after consideration of competent authority relief, exclusive of interest and penalties. We are also subject to various ongoing state income tax audits. The outcome of these matters or any other audits could subject us to significant tax liabilities.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0"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conduct a significant and growing portion of our business outside the United States but report our results in U.S. dollars. As a result, we face exposure to movements in foreign currency exchange rates, particularly those related to the Euro, British pound sterling,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78" w:lineRule="exact"/>
        <w:rPr>
          <w:sz w:val="20"/>
          <w:szCs w:val="20"/>
          <w:color w:val="auto"/>
        </w:rPr>
      </w:pPr>
    </w:p>
    <w:p>
      <w:pPr>
        <w:ind w:right="80" w:firstLine="598"/>
        <w:spacing w:after="0" w:line="268"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8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0"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 Maffei, and one of our Directors Albert Rosenthaler also serve as officers and directors of LTRIP. LTRIP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179"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52" w:lineRule="exact"/>
        <w:rPr>
          <w:sz w:val="20"/>
          <w:szCs w:val="20"/>
          <w:color w:val="auto"/>
        </w:rPr>
      </w:pPr>
    </w:p>
    <w:p>
      <w:pPr>
        <w:ind w:right="180" w:firstLine="598"/>
        <w:spacing w:after="0" w:line="270"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8" w:lineRule="exact"/>
        <w:rPr>
          <w:sz w:val="20"/>
          <w:szCs w:val="20"/>
          <w:color w:val="auto"/>
        </w:rPr>
      </w:pPr>
    </w:p>
    <w:p>
      <w:pPr>
        <w:ind w:left="1180" w:hanging="42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3" w:lineRule="exact"/>
        <w:rPr>
          <w:rFonts w:ascii="Arial" w:cs="Arial" w:eastAsia="Arial" w:hAnsi="Arial"/>
          <w:sz w:val="18"/>
          <w:szCs w:val="18"/>
          <w:color w:val="auto"/>
        </w:rPr>
      </w:pPr>
    </w:p>
    <w:p>
      <w:pPr>
        <w:ind w:left="1180" w:right="740" w:hanging="426"/>
        <w:spacing w:after="0" w:line="270"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8" w:lineRule="exact"/>
        <w:rPr>
          <w:rFonts w:ascii="Arial" w:cs="Arial" w:eastAsia="Arial" w:hAnsi="Arial"/>
          <w:sz w:val="18"/>
          <w:szCs w:val="18"/>
          <w:color w:val="auto"/>
        </w:rPr>
      </w:pPr>
    </w:p>
    <w:p>
      <w:pPr>
        <w:ind w:left="1180" w:right="600" w:hanging="426"/>
        <w:spacing w:after="0" w:line="270"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59" w:right="279" w:bottom="1440" w:gutter="0" w:footer="0" w:header="0"/>
        </w:sectPr>
      </w:pPr>
    </w:p>
    <w:bookmarkStart w:id="28" w:name="page29"/>
    <w:bookmarkEnd w:id="28"/>
    <w:p>
      <w:pPr>
        <w:ind w:right="200" w:firstLine="598"/>
        <w:spacing w:after="0" w:line="259"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91" w:lineRule="exact"/>
        <w:rPr>
          <w:sz w:val="20"/>
          <w:szCs w:val="20"/>
          <w:color w:val="auto"/>
        </w:rPr>
      </w:pPr>
    </w:p>
    <w:p>
      <w:pPr>
        <w:ind w:right="620"/>
        <w:spacing w:after="0" w:line="270"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5" w:lineRule="exact"/>
        <w:rPr>
          <w:sz w:val="20"/>
          <w:szCs w:val="20"/>
          <w:color w:val="auto"/>
        </w:rPr>
      </w:pPr>
    </w:p>
    <w:p>
      <w:pPr>
        <w:ind w:right="20" w:firstLine="598"/>
        <w:spacing w:after="0" w:line="285" w:lineRule="auto"/>
        <w:rPr>
          <w:sz w:val="20"/>
          <w:szCs w:val="20"/>
          <w:color w:val="auto"/>
        </w:rPr>
      </w:pPr>
      <w:r>
        <w:rPr>
          <w:rFonts w:ascii="Arial" w:cs="Arial" w:eastAsia="Arial" w:hAnsi="Arial"/>
          <w:sz w:val="16"/>
          <w:szCs w:val="16"/>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7" w:lineRule="exact"/>
        <w:rPr>
          <w:sz w:val="20"/>
          <w:szCs w:val="20"/>
          <w:color w:val="auto"/>
        </w:rPr>
      </w:pPr>
    </w:p>
    <w:p>
      <w:pPr>
        <w:ind w:left="1180" w:hanging="42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3" w:lineRule="exact"/>
        <w:rPr>
          <w:rFonts w:ascii="Arial" w:cs="Arial" w:eastAsia="Arial" w:hAnsi="Arial"/>
          <w:sz w:val="18"/>
          <w:szCs w:val="18"/>
          <w:color w:val="auto"/>
        </w:rPr>
      </w:pPr>
    </w:p>
    <w:p>
      <w:pPr>
        <w:ind w:left="1180" w:right="100" w:hanging="426"/>
        <w:spacing w:after="0" w:line="270"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8" w:lineRule="exact"/>
        <w:rPr>
          <w:rFonts w:ascii="Arial" w:cs="Arial" w:eastAsia="Arial" w:hAnsi="Arial"/>
          <w:sz w:val="18"/>
          <w:szCs w:val="18"/>
          <w:color w:val="auto"/>
        </w:rPr>
      </w:pPr>
    </w:p>
    <w:p>
      <w:pPr>
        <w:ind w:left="1180" w:hanging="42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3" w:lineRule="exact"/>
        <w:rPr>
          <w:rFonts w:ascii="Arial" w:cs="Arial" w:eastAsia="Arial" w:hAnsi="Arial"/>
          <w:sz w:val="18"/>
          <w:szCs w:val="18"/>
          <w:color w:val="auto"/>
        </w:rPr>
      </w:pPr>
    </w:p>
    <w:p>
      <w:pPr>
        <w:ind w:left="1180" w:right="580" w:hanging="426"/>
        <w:spacing w:after="0" w:line="270"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5" w:lineRule="exact"/>
        <w:rPr>
          <w:sz w:val="20"/>
          <w:szCs w:val="20"/>
          <w:color w:val="auto"/>
        </w:rPr>
      </w:pPr>
    </w:p>
    <w:p>
      <w:pPr>
        <w:ind w:right="140" w:firstLine="598"/>
        <w:spacing w:after="0" w:line="297"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2" w:lineRule="exact"/>
        <w:rPr>
          <w:sz w:val="20"/>
          <w:szCs w:val="20"/>
          <w:color w:val="auto"/>
        </w:rPr>
      </w:pPr>
    </w:p>
    <w:p>
      <w:pPr>
        <w:ind w:right="120" w:firstLine="598"/>
        <w:spacing w:after="0" w:line="270" w:lineRule="auto"/>
        <w:rPr>
          <w:sz w:val="20"/>
          <w:szCs w:val="20"/>
          <w:color w:val="auto"/>
        </w:rPr>
      </w:pPr>
      <w:r>
        <w:rPr>
          <w:rFonts w:ascii="Arial" w:cs="Arial" w:eastAsia="Arial" w:hAnsi="Arial"/>
          <w:sz w:val="18"/>
          <w:szCs w:val="18"/>
          <w:color w:val="auto"/>
        </w:rPr>
        <w:t>For the year ended December 31, 2017, the average daily trading volume of our common stock on NASDAQ was approximately 3.1 million shares. If our existing stockholders or their distributees sell substantial amounts of</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29" w:name="page30"/>
    <w:bookmarkEnd w:id="29"/>
    <w:p>
      <w:pPr>
        <w:spacing w:after="0" w:line="251" w:lineRule="auto"/>
        <w:rPr>
          <w:sz w:val="20"/>
          <w:szCs w:val="20"/>
          <w:color w:val="auto"/>
        </w:rPr>
      </w:pPr>
      <w:r>
        <w:rPr>
          <w:rFonts w:ascii="Arial" w:cs="Arial" w:eastAsia="Arial" w:hAnsi="Arial"/>
          <w:sz w:val="18"/>
          <w:szCs w:val="18"/>
          <w:color w:val="auto"/>
        </w:rPr>
        <w:t>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30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4" w:lineRule="exact"/>
        <w:rPr>
          <w:sz w:val="20"/>
          <w:szCs w:val="20"/>
          <w:color w:val="auto"/>
        </w:rPr>
      </w:pPr>
    </w:p>
    <w:p>
      <w:pPr>
        <w:ind w:right="100" w:firstLine="598"/>
        <w:spacing w:after="0" w:line="270"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These provisions include:</w:t>
      </w:r>
    </w:p>
    <w:p>
      <w:pPr>
        <w:spacing w:after="0" w:line="68" w:lineRule="exact"/>
        <w:rPr>
          <w:sz w:val="20"/>
          <w:szCs w:val="20"/>
          <w:color w:val="auto"/>
        </w:rPr>
      </w:pPr>
    </w:p>
    <w:p>
      <w:pPr>
        <w:ind w:left="1180" w:hanging="42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3" w:lineRule="exact"/>
        <w:rPr>
          <w:rFonts w:ascii="Arial" w:cs="Arial" w:eastAsia="Arial" w:hAnsi="Arial"/>
          <w:sz w:val="18"/>
          <w:szCs w:val="18"/>
          <w:color w:val="auto"/>
        </w:rPr>
      </w:pPr>
    </w:p>
    <w:p>
      <w:pPr>
        <w:ind w:left="1180" w:right="80" w:hanging="426"/>
        <w:spacing w:after="0" w:line="270"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8" w:lineRule="exact"/>
        <w:rPr>
          <w:rFonts w:ascii="Arial" w:cs="Arial" w:eastAsia="Arial" w:hAnsi="Arial"/>
          <w:sz w:val="18"/>
          <w:szCs w:val="18"/>
          <w:color w:val="auto"/>
        </w:rPr>
      </w:pPr>
    </w:p>
    <w:p>
      <w:pPr>
        <w:ind w:left="1180" w:hanging="42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0"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6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 xml:space="preserve">We currently lease approximately 280,000 square feet for our corporate headquarters in Needham, Massachusetts, pursuant to a lease with an expiration date of December 2030, with an option to extend the lease term for two consecutive terms of five years each. Refer to “Note 13—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in the notes to our consolidated financial statements in Item 8 of this Annual Report on Form 10-K for further information on our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headquarters.</w:t>
      </w:r>
    </w:p>
    <w:p>
      <w:pPr>
        <w:spacing w:after="0" w:line="188"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We also lease an aggregate of approximately 450,000 square feet of office space at approximately 40 other locations across North America, Europe and Asia Pacific, including New York, Boston, London, Sydney, Barcelona, Paris, and Beijing, primarily for our sales offices, subsidiary headquarters, and international management teams, pursuant to leases with various expiration dates, with the latest expiring in June 2027. We believe that our current facilities are adequate for our current operations and that additional leased space can be obtained on reasonable terms if needed. We do not legally own any real estate as of December 31, 2017.</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30" w:name="page31"/>
    <w:bookmarkEnd w:id="30"/>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17"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8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47" w:lineRule="exact"/>
        <w:rPr>
          <w:sz w:val="20"/>
          <w:szCs w:val="20"/>
          <w:color w:val="auto"/>
        </w:rPr>
      </w:pPr>
    </w:p>
    <w:p>
      <w:pPr>
        <w:ind w:right="1440"/>
        <w:spacing w:after="0" w:line="37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common stock is quoted on NASDAQ under the ticker symbol “TRIP.” On February 9, 2018, the closing price of our common stock reported on NASDAQ was $38.31 per share. The following table sets forth, for the periods indicated, the high and low sale prices per share of our common stock as reported on NASDAQ during the period indicated.</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ind w:right="693"/>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5"/>
        </w:trPr>
        <w:tc>
          <w:tcPr>
            <w:tcW w:w="354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20" w:type="dxa"/>
            <w:vAlign w:val="bottom"/>
            <w:tcBorders>
              <w:top w:val="single" w:sz="8" w:color="CFF0FC"/>
            </w:tcBorders>
            <w:shd w:val="clear" w:color="auto" w:fill="CFF0FC"/>
          </w:tcPr>
          <w:p>
            <w:pPr>
              <w:spacing w:after="0" w:line="153" w:lineRule="exact"/>
              <w:rPr>
                <w:sz w:val="20"/>
                <w:szCs w:val="20"/>
                <w:color w:val="auto"/>
              </w:rPr>
            </w:pPr>
            <w:r>
              <w:rPr>
                <w:rFonts w:ascii="Arial" w:cs="Arial" w:eastAsia="Arial" w:hAnsi="Arial"/>
                <w:sz w:val="14"/>
                <w:szCs w:val="14"/>
                <w:b w:val="1"/>
                <w:bCs w:val="1"/>
                <w:color w:val="auto"/>
              </w:rPr>
              <w:t>Year ended December 31, 2017:</w:t>
            </w:r>
          </w:p>
        </w:tc>
        <w:tc>
          <w:tcPr>
            <w:tcW w:w="162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44.01</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w:t>
            </w: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50.95</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53.58</w:t>
            </w: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2016:</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35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w:t>
            </w: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71.69</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71.61</w:t>
            </w: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83.97</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60" w:firstLine="598"/>
        <w:spacing w:after="0" w:line="270" w:lineRule="auto"/>
        <w:rPr>
          <w:sz w:val="20"/>
          <w:szCs w:val="20"/>
          <w:color w:val="auto"/>
        </w:rPr>
      </w:pPr>
      <w:r>
        <w:rPr>
          <w:rFonts w:ascii="Arial" w:cs="Arial" w:eastAsia="Arial" w:hAnsi="Arial"/>
          <w:sz w:val="18"/>
          <w:szCs w:val="18"/>
          <w:color w:val="auto"/>
        </w:rPr>
        <w:t>Our Class B common stock is not listed and there is no established public trading market for that security. As of February 9, 2018, all of our Class B common stock was held by LTRIP.</w:t>
      </w:r>
    </w:p>
    <w:p>
      <w:pPr>
        <w:spacing w:after="0" w:line="200" w:lineRule="exact"/>
        <w:rPr>
          <w:sz w:val="20"/>
          <w:szCs w:val="20"/>
          <w:color w:val="auto"/>
        </w:rPr>
      </w:pP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20"/>
          </w:cols>
          <w:pgMar w:left="240" w:top="655"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Performance Comparison Graph</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The following graph provides a comparison of the total stockholder return from December 31, 2012 to December 31, 2017 of an investment of $100 in cash on December 31, 2012 for TripAdvisor, Inc. common stock and an investment of $100 in cash on December 31, 2012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 We have never paid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114300</wp:posOffset>
            </wp:positionV>
            <wp:extent cx="5281295" cy="4391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8129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firstLine="598"/>
        <w:spacing w:after="0" w:line="252" w:lineRule="auto"/>
        <w:rPr>
          <w:sz w:val="20"/>
          <w:szCs w:val="20"/>
          <w:color w:val="auto"/>
        </w:rPr>
      </w:pPr>
      <w:r>
        <w:rPr>
          <w:rFonts w:ascii="Arial" w:cs="Arial" w:eastAsia="Arial" w:hAnsi="Arial"/>
          <w:sz w:val="18"/>
          <w:szCs w:val="18"/>
          <w:i w:val="1"/>
          <w:iCs w:val="1"/>
          <w:color w:val="auto"/>
        </w:rPr>
        <w:t>This performance comparison graph is not “soliciting material,” is not deemed filed with the SEC and is not deemed to be incorporated by reference by any general statement incorporating by reference this Annual Report on Form 10-K into any filing of TripAdvisor, Inc. under the Securities Act of 1933, as amended (the “Securities Act”), or any filing under the Securities Exchange Act of 1934, as amended (the “Exchange Act”), except to the extent that we specifically request that the information be treated as soliciting material or specifically incorporate this information by reference into any such filing, and will not otherwise be deemed incorporated by reference into any other filing under the Securities Act or the Exchange Act, except to the extent that we specifically incorporate it by reference.</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655"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Holders of Record</w:t>
      </w:r>
    </w:p>
    <w:p>
      <w:pPr>
        <w:spacing w:after="0" w:line="117" w:lineRule="exact"/>
        <w:rPr>
          <w:sz w:val="20"/>
          <w:szCs w:val="20"/>
          <w:color w:val="auto"/>
        </w:rPr>
      </w:pPr>
    </w:p>
    <w:p>
      <w:pPr>
        <w:ind w:right="600" w:firstLine="598"/>
        <w:spacing w:after="0" w:line="270" w:lineRule="auto"/>
        <w:rPr>
          <w:sz w:val="20"/>
          <w:szCs w:val="20"/>
          <w:color w:val="auto"/>
        </w:rPr>
      </w:pPr>
      <w:r>
        <w:rPr>
          <w:rFonts w:ascii="Arial" w:cs="Arial" w:eastAsia="Arial" w:hAnsi="Arial"/>
          <w:sz w:val="18"/>
          <w:szCs w:val="18"/>
          <w:color w:val="auto"/>
        </w:rPr>
        <w:t>As of February 9, 2018, there were 126,183,939 outstanding shares of our common stock held by 2,358 stockholders of record, and 12,799,999 outstanding shares of our Class B common stock held by one stockholder of record: LTRIP.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right="40" w:firstLine="598"/>
        <w:spacing w:after="0" w:line="253" w:lineRule="auto"/>
        <w:rPr>
          <w:sz w:val="20"/>
          <w:szCs w:val="20"/>
          <w:color w:val="auto"/>
        </w:rPr>
      </w:pPr>
      <w:r>
        <w:rPr>
          <w:rFonts w:ascii="Arial" w:cs="Arial" w:eastAsia="Arial" w:hAnsi="Arial"/>
          <w:sz w:val="18"/>
          <w:szCs w:val="18"/>
          <w:color w:val="auto"/>
        </w:rPr>
        <w:t xml:space="preserve">We have never declared or paid dividends and do not expect to pay any dividends for the foreseeable future. Our ability to pay dividends is limited by the terms of our 2015 Credit Facility. Refer to “Note 9—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 Item 8 for additional information regarding this revolving credit facility. Any future determination as to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17" w:lineRule="exact"/>
        <w:rPr>
          <w:sz w:val="20"/>
          <w:szCs w:val="20"/>
          <w:color w:val="auto"/>
        </w:rPr>
      </w:pPr>
    </w:p>
    <w:p>
      <w:pPr>
        <w:ind w:right="160" w:firstLine="598"/>
        <w:spacing w:after="0" w:line="270" w:lineRule="auto"/>
        <w:rPr>
          <w:sz w:val="20"/>
          <w:szCs w:val="20"/>
          <w:color w:val="auto"/>
        </w:rPr>
      </w:pPr>
      <w:r>
        <w:rPr>
          <w:rFonts w:ascii="Arial" w:cs="Arial" w:eastAsia="Arial" w:hAnsi="Arial"/>
          <w:sz w:val="18"/>
          <w:szCs w:val="18"/>
          <w:color w:val="auto"/>
        </w:rPr>
        <w:t>During the year ended December 31, 2017, we did not issue or sell any shares of our common stock, Class B common stock or other equity securities pursuant to unregistered transactions in reliance upon an exemption from the registration requirements of the Securities Act.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4" w:lineRule="exact"/>
        <w:rPr>
          <w:sz w:val="20"/>
          <w:szCs w:val="20"/>
          <w:color w:val="auto"/>
        </w:rPr>
      </w:pPr>
    </w:p>
    <w:p>
      <w:pPr>
        <w:ind w:right="180" w:firstLine="598"/>
        <w:spacing w:after="0" w:line="292" w:lineRule="auto"/>
        <w:rPr>
          <w:sz w:val="20"/>
          <w:szCs w:val="20"/>
          <w:color w:val="auto"/>
        </w:rPr>
      </w:pPr>
      <w:r>
        <w:rPr>
          <w:rFonts w:ascii="Arial" w:cs="Arial" w:eastAsia="Arial" w:hAnsi="Arial"/>
          <w:sz w:val="16"/>
          <w:szCs w:val="16"/>
          <w:color w:val="auto"/>
        </w:rPr>
        <w:t>On February 15, 2013, our Board of Directors authorized the repurchase of $250 million of our shares of common stock under a share repurchase program. During the year ended December 31, 2015, we did not repurchase any shares of outstanding common stock under the share repurchase program. During the year ended December 31, 2016, we repurchased 2,002,356 shares of outstanding common stock under the share repurchase program at an average cost of $52.35 per share. As of December 31, 2016, we had repurchased a total of 4,123,065 shares of outstanding common stock under the share repurchase program at an average cost of $60.63 per share and completed our share repurchase program authorized by our Board of Directors.</w:t>
      </w:r>
    </w:p>
    <w:p>
      <w:pPr>
        <w:spacing w:after="0" w:line="162"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On January 25, 2017, our Board of Directors authorized an additional repurchase of $250 million of our shares of common stock under a new share repurchase program. Our Board of Directors authorized and directed management, working with the Executive Committee of our Board of Directors to affect the share repurchase program in compliance with applicable legal requirements. During the year ended December 31, 2017, we repurchased a total of 6,079,003 shares of the Company’s outstanding common stock at an average share price of $41.13, or $250 million in the aggregate, and completed this share repurchase program. As of December 31, 2017, there were 9,474,490 shares of the Company’s common stock held in treasury with an aggregate cost of $447 million.</w:t>
      </w:r>
    </w:p>
    <w:p>
      <w:pPr>
        <w:spacing w:after="0" w:line="44" w:lineRule="exact"/>
        <w:rPr>
          <w:sz w:val="20"/>
          <w:szCs w:val="20"/>
          <w:color w:val="auto"/>
        </w:rPr>
      </w:pPr>
    </w:p>
    <w:p>
      <w:pPr>
        <w:ind w:right="120" w:firstLine="598"/>
        <w:spacing w:after="0" w:line="306" w:lineRule="auto"/>
        <w:rPr>
          <w:sz w:val="20"/>
          <w:szCs w:val="20"/>
          <w:color w:val="auto"/>
        </w:rPr>
      </w:pPr>
      <w:r>
        <w:rPr>
          <w:rFonts w:ascii="Arial" w:cs="Arial" w:eastAsia="Arial" w:hAnsi="Arial"/>
          <w:sz w:val="16"/>
          <w:szCs w:val="16"/>
          <w:color w:val="auto"/>
        </w:rPr>
        <w:t>On January 31, 2018, TripAdvisor’s Board of Directors authorized up to $250 million of share repurchases. Our Board of Directors authorized and directed management, working with the Executive Committee of our Board of Directors, to affect the share repurchase program in compliance with applicable legal requirements. This new repurchase program has no expiration but may be suspended or terminated by the Board of Directors at any time.</w:t>
      </w:r>
    </w:p>
    <w:p>
      <w:pPr>
        <w:spacing w:after="0" w:line="151" w:lineRule="exact"/>
        <w:rPr>
          <w:sz w:val="20"/>
          <w:szCs w:val="20"/>
          <w:color w:val="auto"/>
        </w:rPr>
      </w:pPr>
    </w:p>
    <w:p>
      <w:pPr>
        <w:ind w:right="440" w:firstLine="598"/>
        <w:spacing w:after="0" w:line="270" w:lineRule="auto"/>
        <w:rPr>
          <w:sz w:val="20"/>
          <w:szCs w:val="20"/>
          <w:color w:val="auto"/>
        </w:rPr>
      </w:pPr>
      <w:r>
        <w:rPr>
          <w:rFonts w:ascii="Arial" w:cs="Arial" w:eastAsia="Arial" w:hAnsi="Arial"/>
          <w:sz w:val="18"/>
          <w:szCs w:val="18"/>
          <w:color w:val="auto"/>
        </w:rPr>
        <w:t>Refer to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the consolidated financial statements in Item 8 for additional information regarding our treasury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7" w:lineRule="exact"/>
        <w:rPr>
          <w:sz w:val="20"/>
          <w:szCs w:val="20"/>
          <w:color w:val="auto"/>
        </w:rPr>
      </w:pPr>
    </w:p>
    <w:p>
      <w:pPr>
        <w:ind w:right="680" w:firstLine="598"/>
        <w:spacing w:after="0" w:line="270" w:lineRule="auto"/>
        <w:rPr>
          <w:sz w:val="20"/>
          <w:szCs w:val="20"/>
          <w:color w:val="auto"/>
        </w:rPr>
      </w:pPr>
      <w:r>
        <w:rPr>
          <w:rFonts w:ascii="Arial" w:cs="Arial" w:eastAsia="Arial" w:hAnsi="Arial"/>
          <w:sz w:val="18"/>
          <w:szCs w:val="18"/>
          <w:color w:val="auto"/>
        </w:rPr>
        <w:t>Our equity plan information required by this item is incorporated by reference to the information in Part III, Item 12,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33" w:name="page34"/>
    <w:bookmarkEnd w:id="33"/>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We have derived the following selected financial data presented below from our consolidated financial statements and related notes. The information set forth below is not necessarily indicative of future results and should be read in conjunction with the consolidated financial statements and related notes appearing in Item 8 “Financial Statements and Supplementary Data,” and Item 7 “Management’s Discussion and Analysis of Financial Condition and Results of Operations” of this Annual Report on Form 10-K. Historical results are not necessarily indicative of the results to be expected in any future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5"/>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3"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line="153"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3"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20" w:type="dxa"/>
            <w:vAlign w:val="bottom"/>
            <w:gridSpan w:val="5"/>
          </w:tcPr>
          <w:p>
            <w:pPr>
              <w:jc w:val="center"/>
              <w:ind w:right="293"/>
              <w:spacing w:after="0" w:line="153" w:lineRule="exact"/>
              <w:rPr>
                <w:sz w:val="20"/>
                <w:szCs w:val="20"/>
                <w:color w:val="auto"/>
              </w:rPr>
            </w:pPr>
            <w:r>
              <w:rPr>
                <w:rFonts w:ascii="Arial" w:cs="Arial" w:eastAsia="Arial" w:hAnsi="Arial"/>
                <w:sz w:val="14"/>
                <w:szCs w:val="14"/>
                <w:b w:val="1"/>
                <w:bCs w:val="1"/>
                <w:color w:val="auto"/>
                <w:w w:val="91"/>
              </w:rPr>
              <w:t>(in millions, except per share data)</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1,556</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1,480</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1,492</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1,246</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1,432</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1,314</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1,260</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906</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Operating income (1)</w:t>
            </w:r>
          </w:p>
        </w:tc>
        <w:tc>
          <w:tcPr>
            <w:tcW w:w="20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340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Net income (loss) (2)</w:t>
            </w:r>
          </w:p>
        </w:tc>
        <w:tc>
          <w:tcPr>
            <w:tcW w:w="20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attributable to common stockholders:</w:t>
            </w: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260"/>
              <w:spacing w:after="0"/>
              <w:rPr>
                <w:sz w:val="20"/>
                <w:szCs w:val="20"/>
                <w:color w:val="auto"/>
              </w:rPr>
            </w:pPr>
            <w:r>
              <w:rPr>
                <w:rFonts w:ascii="Arial" w:cs="Arial" w:eastAsia="Arial" w:hAnsi="Arial"/>
                <w:sz w:val="18"/>
                <w:szCs w:val="18"/>
                <w:color w:val="auto"/>
              </w:rPr>
              <w:t>Basic (3)</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(0.14)</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0.83</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 (3)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0.82</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820" w:type="dxa"/>
            <w:vAlign w:val="bottom"/>
          </w:tcPr>
          <w:p>
            <w:pPr>
              <w:spacing w:after="0"/>
              <w:rPr>
                <w:sz w:val="20"/>
                <w:szCs w:val="20"/>
                <w:color w:val="auto"/>
              </w:rPr>
            </w:pPr>
            <w:r>
              <w:rPr>
                <w:rFonts w:ascii="Arial" w:cs="Arial" w:eastAsia="Arial" w:hAnsi="Arial"/>
                <w:sz w:val="18"/>
                <w:szCs w:val="18"/>
                <w:color w:val="auto"/>
              </w:rPr>
              <w:t>Shares used in computing net income per share: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(3)</w:t>
            </w: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260"/>
              <w:spacing w:after="0"/>
              <w:rPr>
                <w:sz w:val="20"/>
                <w:szCs w:val="20"/>
                <w:color w:val="auto"/>
              </w:rPr>
            </w:pPr>
            <w:r>
              <w:rPr>
                <w:rFonts w:ascii="Arial" w:cs="Arial" w:eastAsia="Arial" w:hAnsi="Arial"/>
                <w:sz w:val="18"/>
                <w:szCs w:val="18"/>
                <w:color w:val="auto"/>
              </w:rPr>
              <w:t>Diluted (3)</w:t>
            </w:r>
          </w:p>
        </w:tc>
        <w:tc>
          <w:tcPr>
            <w:tcW w:w="20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5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5"/>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3"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line="153"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3"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short and long-term</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735</w:t>
            </w:r>
          </w:p>
        </w:tc>
        <w:tc>
          <w:tcPr>
            <w:tcW w:w="3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746</w:t>
            </w:r>
          </w:p>
        </w:tc>
        <w:tc>
          <w:tcPr>
            <w:tcW w:w="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698</w:t>
            </w:r>
          </w:p>
        </w:tc>
        <w:tc>
          <w:tcPr>
            <w:tcW w:w="3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594</w:t>
            </w:r>
          </w:p>
        </w:tc>
        <w:tc>
          <w:tcPr>
            <w:tcW w:w="3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Working capital (4)</w:t>
            </w:r>
          </w:p>
        </w:tc>
        <w:tc>
          <w:tcPr>
            <w:tcW w:w="20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553</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2,272</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2,238</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2,128</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1,948</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Long-term debt (5)</w:t>
            </w:r>
          </w:p>
        </w:tc>
        <w:tc>
          <w:tcPr>
            <w:tcW w:w="20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obligations under financing obligation</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Total liabilities (2)</w:t>
            </w:r>
          </w:p>
        </w:tc>
        <w:tc>
          <w:tcPr>
            <w:tcW w:w="20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909</w:t>
            </w:r>
          </w:p>
        </w:tc>
        <w:tc>
          <w:tcPr>
            <w:tcW w:w="30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716</w:t>
            </w:r>
          </w:p>
        </w:tc>
        <w:tc>
          <w:tcPr>
            <w:tcW w:w="3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823</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(6)</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1,363</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1,502</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1,412</w:t>
            </w: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1,125</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00" w:right="120" w:hanging="593"/>
        <w:spacing w:after="0" w:line="282"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Includes a non-cash charitable contribution to The TripAdvisor Charitable Foundation (the “Foundation”) of $67 million for the year ended December 31, 2015. In comparison, charitable contributions to the Foundation, which were paid in cash, were $8 million and $7 million for the years ended December 31, 2014 and 2013, respectively. There were no charitable contributions made to the Foundation for the year ended December 31, 2017 and 2016, and the Company does not expect to make any future contributions to the Foundation. Refer to “Note 17 </w:t>
      </w:r>
      <w:r>
        <w:rPr>
          <w:rFonts w:ascii="Arial" w:cs="Arial" w:eastAsia="Arial" w:hAnsi="Arial"/>
          <w:sz w:val="16"/>
          <w:szCs w:val="16"/>
          <w:i w:val="1"/>
          <w:iCs w:val="1"/>
          <w:color w:val="auto"/>
        </w:rPr>
        <w:t>—Segment and Geographic</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 the notes to the consolidated financial statements in Item 8 for further information regarding this charitable contribution.</w:t>
      </w:r>
    </w:p>
    <w:p>
      <w:pPr>
        <w:ind w:left="600" w:right="20" w:hanging="593"/>
        <w:spacing w:after="0" w:line="278"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year ended December 31, 2017 reflects $67 million of tax expense recorded for the mandatory deemed repatriation of accumulative foreign earnings which was included in the short and long-term income tax liabilities on our consolidated balance sheet, and $6 million of tax expense recorded for the remeasurement of deferred taxes related to the 2017 Tax Act enacted on December 22, 2017. Refer to “Note 10 -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the consolidated financial statements in Item 8 for further information on the financial statement impact of the 2017 Tax Act.</w:t>
      </w:r>
    </w:p>
    <w:p>
      <w:pPr>
        <w:spacing w:after="0" w:line="1" w:lineRule="exact"/>
        <w:rPr>
          <w:rFonts w:ascii="Arial" w:cs="Arial" w:eastAsia="Arial" w:hAnsi="Arial"/>
          <w:sz w:val="16"/>
          <w:szCs w:val="16"/>
          <w:color w:val="auto"/>
        </w:rPr>
      </w:pPr>
    </w:p>
    <w:p>
      <w:pPr>
        <w:ind w:left="600" w:right="80" w:hanging="593"/>
        <w:spacing w:after="0" w:line="255"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—Earnings per Share</w:t>
      </w:r>
      <w:r>
        <w:rPr>
          <w:rFonts w:ascii="Arial" w:cs="Arial" w:eastAsia="Arial" w:hAnsi="Arial"/>
          <w:sz w:val="18"/>
          <w:szCs w:val="18"/>
          <w:color w:val="auto"/>
        </w:rPr>
        <w:t>” in the notes to the consolidated financial statements in Item 8 for further information regarding our calculation of earnings per share numbers.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4" w:name="page35"/>
    <w:bookmarkEnd w:id="34"/>
    <w:p>
      <w:pPr>
        <w:ind w:left="600" w:right="100" w:hanging="593"/>
        <w:spacing w:after="0" w:line="255"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does not include available for sale long-term marketable securities of $27 million, $16 million, $37 million, $31 million, and $188 million, as of December 31, 2017, 2016, 2015, 2014, and 2013, respectively.</w:t>
      </w:r>
    </w:p>
    <w:p>
      <w:pPr>
        <w:ind w:left="600" w:hanging="593"/>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 Item 8 for information regarding our long-term debt.</w:t>
      </w:r>
    </w:p>
    <w:p>
      <w:pPr>
        <w:spacing w:after="0" w:line="6" w:lineRule="exact"/>
        <w:rPr>
          <w:rFonts w:ascii="Arial" w:cs="Arial" w:eastAsia="Arial" w:hAnsi="Arial"/>
          <w:sz w:val="18"/>
          <w:szCs w:val="18"/>
          <w:color w:val="auto"/>
        </w:rPr>
      </w:pPr>
    </w:p>
    <w:p>
      <w:pPr>
        <w:ind w:left="600" w:right="20" w:hanging="593"/>
        <w:spacing w:after="0" w:line="255"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Refer to our consolidated statements of changes in stockholders’ equity and “Note 15—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the consolidated financial statements in Item 8 for additional information on changes to our stockholders’ equity.</w:t>
      </w:r>
    </w:p>
    <w:p>
      <w:pPr>
        <w:spacing w:after="0" w:line="3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TripAdvisor, Inc., by and through its subsidiaries, owns and operates a portfolio of leading online travel brands. TripAdvisor, our flagship brand, is the world’s largest travel site based on monthly unique visitors, and its mission is to help people around the world plan, book and experience the perfect trip. We accomplish this by, among other things, aggregating millions of members’ reviews and opinions about destinations, accommodations, activities and attractions, and restaurants worldwide, thereby creating the foundation for a unique platform that enables users to research and plan their travel experiences. Our platform also enables users to compare real-time pricing and availability for these experiences as well as to book hotels, flights, cruises, vacation rentals, tours, activities and attractions, and restaurants, either on a TripAdvisor site or mobile app, or on the site or app of one of our travel partner sites.</w:t>
      </w:r>
    </w:p>
    <w:p>
      <w:pPr>
        <w:spacing w:after="0" w:line="166"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Our TripAdvisor-branded websites include tripadvisor.com in the United States and localized versions of the TripAdvisor website in 48 markets and 28 languages worldwide. Our TripAdvisor-branded websites reached 455 million average monthly unique visitors in our seasonal peak during the year ended December 31, 2017, according to our internal log files. We currently feature approximately 600 million reviews and opinions on approximately 7.5 million places to stay, places to eat and things to do – including approximately 1.2 million hotels, inns, B&amp;Bs and specialty lodging, 750,000 vacation rentals, 4.6 million restaurants and 915,000 activities and attractions worldwide.</w:t>
      </w:r>
    </w:p>
    <w:p>
      <w:pPr>
        <w:spacing w:after="0" w:line="19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In addition to the flagship TripAdvisor brand, we manage and operate 20 other travel media brands, connected by the common goal of providing users the most comprehensive travel-planning and trip-taking resources in the travel industry. For additional information about our portfolio of brands and our business model, see the disclosure set forth in Part I, Item 1. “Business”, under the caption “Overview.”</w:t>
      </w:r>
    </w:p>
    <w:p>
      <w:pPr>
        <w:spacing w:after="0" w:line="184" w:lineRule="exact"/>
        <w:rPr>
          <w:sz w:val="20"/>
          <w:szCs w:val="20"/>
          <w:color w:val="auto"/>
        </w:rPr>
      </w:pPr>
    </w:p>
    <w:p>
      <w:pPr>
        <w:jc w:val="both"/>
        <w:ind w:right="200" w:firstLine="598"/>
        <w:spacing w:after="0" w:line="306" w:lineRule="auto"/>
        <w:rPr>
          <w:sz w:val="20"/>
          <w:szCs w:val="20"/>
          <w:color w:val="auto"/>
        </w:rPr>
      </w:pPr>
      <w:r>
        <w:rPr>
          <w:rFonts w:ascii="Arial" w:cs="Arial" w:eastAsia="Arial" w:hAnsi="Arial"/>
          <w:sz w:val="16"/>
          <w:szCs w:val="16"/>
          <w:color w:val="auto"/>
        </w:rPr>
        <w:t xml:space="preserve">Our reporting structure includes two reportable segments: Hotel and Non-Hotel. Our Non-Hotel segment consists of our Attractions, Restaurants and Vacation Rentals businesses. Financial information and additional descriptive information related to our segments and geographic information is contained in “Note 17 — </w:t>
      </w:r>
      <w:r>
        <w:rPr>
          <w:rFonts w:ascii="Arial" w:cs="Arial" w:eastAsia="Arial" w:hAnsi="Arial"/>
          <w:sz w:val="16"/>
          <w:szCs w:val="16"/>
          <w:i w:val="1"/>
          <w:iCs w:val="1"/>
          <w:color w:val="auto"/>
        </w:rPr>
        <w:t>Segment and Geographic Information</w:t>
      </w:r>
      <w:r>
        <w:rPr>
          <w:rFonts w:ascii="Arial" w:cs="Arial" w:eastAsia="Arial" w:hAnsi="Arial"/>
          <w:sz w:val="16"/>
          <w:szCs w:val="16"/>
          <w:color w:val="auto"/>
        </w:rPr>
        <w:t>,” in the notes to our consolidated financial statements in Item 8 and below.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Trends</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As the largest online travel platform, we believe we are an attractive marketing channel for travel partners—including hotel chains, independent hoteliers, online travel agencies, or OTAs, destination marketing organizations, and other travel-related and non-travel related product and service providers— who seek to sell their products and services to our large user base. We offer users the ability to do real-time price comparison through our metasearch feature, as well as the ability to book hotels, flights, cruises, vacation rentals, tours, activities and attractions, and restaurants either directly on our website or mobile app through our instant booking feature or on one of our travel partner sites.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Tax Reform</w:t>
      </w:r>
    </w:p>
    <w:p>
      <w:pPr>
        <w:spacing w:after="0" w:line="220" w:lineRule="exact"/>
        <w:rPr>
          <w:sz w:val="20"/>
          <w:szCs w:val="20"/>
          <w:color w:val="auto"/>
        </w:rPr>
      </w:pPr>
    </w:p>
    <w:p>
      <w:pPr>
        <w:ind w:right="140" w:firstLine="598"/>
        <w:spacing w:after="0" w:line="274" w:lineRule="auto"/>
        <w:rPr>
          <w:sz w:val="20"/>
          <w:szCs w:val="20"/>
          <w:color w:val="auto"/>
        </w:rPr>
      </w:pPr>
      <w:r>
        <w:rPr>
          <w:rFonts w:ascii="Arial" w:cs="Arial" w:eastAsia="Arial" w:hAnsi="Arial"/>
          <w:sz w:val="17"/>
          <w:szCs w:val="17"/>
          <w:color w:val="auto"/>
        </w:rPr>
        <w:t>The 2017 Tax Act was signed into law on December 22, 2017, and has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35" w:name="page36"/>
    <w:bookmarkEnd w:id="35"/>
    <w:p>
      <w:pPr>
        <w:ind w:right="480"/>
        <w:spacing w:after="0" w:line="270" w:lineRule="auto"/>
        <w:rPr>
          <w:sz w:val="20"/>
          <w:szCs w:val="20"/>
          <w:color w:val="auto"/>
        </w:rPr>
      </w:pPr>
      <w:r>
        <w:rPr>
          <w:rFonts w:ascii="Arial" w:cs="Arial" w:eastAsia="Arial" w:hAnsi="Arial"/>
          <w:sz w:val="18"/>
          <w:szCs w:val="18"/>
          <w:color w:val="auto"/>
        </w:rPr>
        <w:t>has the effect of subjecting certain earnings of our foreign subsidiaries to U.S. taxation as global intangible low-taxed income (GILTI). These changes are effective beginning January 1, 2018.</w:t>
      </w:r>
    </w:p>
    <w:p>
      <w:pPr>
        <w:spacing w:after="0" w:line="175" w:lineRule="exact"/>
        <w:rPr>
          <w:sz w:val="20"/>
          <w:szCs w:val="20"/>
          <w:color w:val="auto"/>
        </w:rPr>
      </w:pPr>
    </w:p>
    <w:p>
      <w:pPr>
        <w:ind w:right="620" w:firstLine="598"/>
        <w:spacing w:after="0" w:line="270" w:lineRule="auto"/>
        <w:rPr>
          <w:sz w:val="20"/>
          <w:szCs w:val="20"/>
          <w:color w:val="auto"/>
        </w:rPr>
      </w:pPr>
      <w:r>
        <w:rPr>
          <w:rFonts w:ascii="Arial" w:cs="Arial" w:eastAsia="Arial" w:hAnsi="Arial"/>
          <w:sz w:val="18"/>
          <w:szCs w:val="18"/>
          <w:color w:val="auto"/>
        </w:rPr>
        <w:t>The 2017 Tax Act also includes a one-time mandatory deemed repatriation tax on accumulated foreign subsidiaries' previously untaxed foreign earnings (the “Transition Tax”).</w:t>
      </w:r>
    </w:p>
    <w:p>
      <w:pPr>
        <w:spacing w:after="0" w:line="175"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 xml:space="preserve">Changes in tax rates and tax laws are accounted for in the period of enactment. Therefore, during the year ended December 31, 2017, we recorded a charge totaling $73 million related to our current estimate of the provisions of the 2017 Tax Act, principally due to the Transition Tax. The Transition Tax, recorded of $67 million, will be paid over an eight-year period, starting in 2018, and will not accrue interest. We also recorded a charge of $6 million for the remeasurement of our net deferred tax assets. These estimates are reflected in our financial results in accordance with Staff Accounting Bulletin No. 118 (“SAB 118"), which provides for a measurement period to complete the accounting for certain elements of the tax reform. Refer to “Note 10 -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the consolidated financial statements in Item 8 for further information on the financial statement impact of the 2017 Tax Act. As we complete our analysis of the 2017 Tax Act and interpret additional guidance issued with respect to the 2017 Tax Act, we may make adjustments to provisional amounts.</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Current Trends in Our Business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online travel industry is large and growing and remains highly dynamic and competitive.</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Hotel Segment</w:t>
      </w:r>
    </w:p>
    <w:p>
      <w:pPr>
        <w:spacing w:after="0" w:line="113"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During 2017, we continued to improve the hotel shopping experience on TripAdvisor by, among other things, launching a redesigned TripAdvisor website and mobile application and making it easier for our users to find the lowest hotel prices. We have and will continue to seek new ways to provide a more comprehensive hotel shopping experience, by improving content on destinations, properties and rooms, optimizing the room selection process and helping users find the best prices with our hotelier and OTA partners. On the supply side, we continue to on-board more partners that have unique brand, supply or room pricing to provide consumers a more comprehensive selection of accommodations in order to drive higher repeat usage and conversion of hotel shoppers to bookings and higher cost-per-click rates on our platform.</w:t>
      </w:r>
    </w:p>
    <w:p>
      <w:pPr>
        <w:spacing w:after="0" w:line="84" w:lineRule="exact"/>
        <w:rPr>
          <w:sz w:val="20"/>
          <w:szCs w:val="20"/>
          <w:color w:val="auto"/>
        </w:rPr>
      </w:pPr>
    </w:p>
    <w:p>
      <w:pPr>
        <w:ind w:right="20" w:firstLine="639"/>
        <w:spacing w:after="0" w:line="282" w:lineRule="auto"/>
        <w:rPr>
          <w:sz w:val="20"/>
          <w:szCs w:val="20"/>
          <w:color w:val="auto"/>
        </w:rPr>
      </w:pPr>
      <w:r>
        <w:rPr>
          <w:rFonts w:ascii="Arial" w:cs="Arial" w:eastAsia="Arial" w:hAnsi="Arial"/>
          <w:sz w:val="16"/>
          <w:szCs w:val="16"/>
          <w:color w:val="auto"/>
        </w:rPr>
        <w:t>We compete with other travel companies and search engines for hotel shoppers, which we define as the users who view TripAdvisor hotel pages. Hotel shoppers from unpaid online marketing channels, such as users that navigate directly to our homepage or applications through branded search queries on search engines, are of the highest value to our business. Over time, increased competition has resulted in hotel shoppers visiting our websites and applications from paid online marketing channels, such as SEM, to grow faster than traffic from unpaid online marketing channels, such as SEO, thereby increasing our aggregate cost of hotel shopper acquisition. Following the launch of our redesigned website, our new hotel shopping experience, we launched a brand advertising campaign, or television campaign, in June 2017 aimed at increasing usage of TripAdvisor as a place to find and book the best hotels at the lowest prices. We also continue to leverage a number of other marketing channels, both paid and unpaid, to achieve this objective, including online efforts such as social media and cost relationship management or CRM, as well as offline efforts such as TripAdvisor-branded advertising campaigns. Our television campaign has been funded, in part, through optimization of our online marketing spend. We expect to continue to optimize our marketing investment mix, between online and offline channels based on the relative growth opportunity, the expected returns and the competitive environment in which we operate. We believe optimizing our marketing mix to include brand advertising will help TripAdvisor establish a more durable, long-lasting direct relationship with users shopping for hotels, with a greater long-term financial return than we would be able to achieve solely from online paid marketing. Our marketing strategy comes with a near-term trade-off, as online paid marketing may better enable us to generate a short-term hotel shopper and click-based and transaction revenue, whereas we expect our television advertising campaign to generate such returns over a longer timeframe, improving marketing efficiency and profit growth.</w:t>
      </w:r>
    </w:p>
    <w:p>
      <w:pPr>
        <w:spacing w:after="0" w:line="71" w:lineRule="exact"/>
        <w:rPr>
          <w:sz w:val="20"/>
          <w:szCs w:val="20"/>
          <w:color w:val="auto"/>
        </w:rPr>
      </w:pPr>
    </w:p>
    <w:p>
      <w:pPr>
        <w:ind w:right="180" w:firstLine="598"/>
        <w:spacing w:after="0" w:line="253" w:lineRule="auto"/>
        <w:rPr>
          <w:sz w:val="20"/>
          <w:szCs w:val="20"/>
          <w:color w:val="auto"/>
        </w:rPr>
      </w:pPr>
      <w:r>
        <w:rPr>
          <w:rFonts w:ascii="Arial" w:cs="Arial" w:eastAsia="Arial" w:hAnsi="Arial"/>
          <w:sz w:val="18"/>
          <w:szCs w:val="18"/>
          <w:color w:val="auto"/>
        </w:rPr>
        <w:t>A key objective is to grow the number of hotel shoppers on our platform at or above our desired return on investment targets. In the year ended December 31, 2017, our average monthly unique hotel shoppers increased 7%, when compared to the same period in 2016, according to our internal log files. The increase is primarily due to the general trend of an increasing number of hotel shoppers visiting our websites and apps on mobile phones, as well as the success of our paid online marketing strategy, partially offset by marketing spend tradeoffs resulting from increased brand advertising investment in our television campaign, as discussed above.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36" w:name="page37"/>
    <w:bookmarkEnd w:id="36"/>
    <w:p>
      <w:pPr>
        <w:ind w:firstLine="598"/>
        <w:spacing w:after="0" w:line="284" w:lineRule="auto"/>
        <w:rPr>
          <w:sz w:val="20"/>
          <w:szCs w:val="20"/>
          <w:color w:val="auto"/>
        </w:rPr>
      </w:pPr>
      <w:r>
        <w:rPr>
          <w:rFonts w:ascii="Arial" w:cs="Arial" w:eastAsia="Arial" w:hAnsi="Arial"/>
          <w:sz w:val="16"/>
          <w:szCs w:val="16"/>
          <w:color w:val="auto"/>
        </w:rPr>
        <w:t>Another key objective is to increase our revenue per hotel shopper. In the year ended December 31, 2017, our revenue per hotel shopper decreased 7%, when compared to the same period in 2016, primarily driven by partners bidding to lower CPCs in our click-based metasearch auction during the second half of the year, and the general trend of a greater percentage of hotel shoppers visiting TripAdvisor-branded websites and apps on mobile phones. During the year ended December 31, 2017, the growth rate of hotel shoppers that visited our websites and apps on mobile phones continued to grow significantly faster than that of hotel shoppers using desktop and tablet devices. Mobile phones currently generate significantly lower revenue per hotel shopper compared to desktop and tablet devices. We believe that this monetization difference is due to a number of factors, including the reduced ability to achieve marketing attribution on the mobile phone for facilitating traffic to partner websites and applications; more limited advertising opportunities on smaller screen devices; our historic positioning as a place to read reviews; and general consumer purchasing patterns on mobile phones resulting in lower booking intent, lower conversion rates, lower cost-per-click bids from our travel partners, and lower average gross booking value. As a result, our growth in hotel shoppers on mobile phones has remained a headwind against our overall revenue per hotel shopper and our TripAdvisor-branded click-based and transaction revenue.</w:t>
      </w:r>
    </w:p>
    <w:p>
      <w:pPr>
        <w:spacing w:after="0" w:line="66" w:lineRule="exact"/>
        <w:rPr>
          <w:sz w:val="20"/>
          <w:szCs w:val="20"/>
          <w:color w:val="auto"/>
        </w:rPr>
      </w:pPr>
    </w:p>
    <w:p>
      <w:pPr>
        <w:ind w:right="120" w:firstLine="598"/>
        <w:spacing w:after="0" w:line="292" w:lineRule="auto"/>
        <w:rPr>
          <w:sz w:val="20"/>
          <w:szCs w:val="20"/>
          <w:color w:val="auto"/>
        </w:rPr>
      </w:pPr>
      <w:r>
        <w:rPr>
          <w:rFonts w:ascii="Arial" w:cs="Arial" w:eastAsia="Arial" w:hAnsi="Arial"/>
          <w:sz w:val="16"/>
          <w:szCs w:val="16"/>
          <w:color w:val="auto"/>
        </w:rPr>
        <w:t>The general trend of increasing traffic to our websites and apps on mobile phones reduces our ability to grow TripAdvisor-branded display-based advertising revenue, as we believe prioritizing and preserving a cleaner user experience over increasing advertising units on smaller screen devices is the most appropriate way to engage more users on our mobile phone app. We continue to prioritize investment in product development in order to improve the mobile user experience, and to improve mobile phone traffic acquisition to increase our user base. We believe that, over the long-term, these efforts will result in increased usage and engagement, conversion of hotel shoppers to bookings for our hotel advertising partners and higher monetization rates for us.</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Non-Hotel Segment</w:t>
      </w:r>
    </w:p>
    <w:p>
      <w:pPr>
        <w:spacing w:after="0" w:line="113" w:lineRule="exact"/>
        <w:rPr>
          <w:sz w:val="20"/>
          <w:szCs w:val="20"/>
          <w:color w:val="auto"/>
        </w:rPr>
      </w:pPr>
    </w:p>
    <w:p>
      <w:pPr>
        <w:ind w:right="40" w:firstLine="598"/>
        <w:spacing w:after="0" w:line="286" w:lineRule="auto"/>
        <w:rPr>
          <w:sz w:val="20"/>
          <w:szCs w:val="20"/>
          <w:color w:val="auto"/>
        </w:rPr>
      </w:pPr>
      <w:r>
        <w:rPr>
          <w:rFonts w:ascii="Arial" w:cs="Arial" w:eastAsia="Arial" w:hAnsi="Arial"/>
          <w:sz w:val="16"/>
          <w:szCs w:val="16"/>
          <w:color w:val="auto"/>
        </w:rPr>
        <w:t>Our ongoing product efforts to deliver an end-to-end user experience extend to our Non-Hotel segment, which includes our Attractions, Restaurants, and Vacation Rentals businesses. Our key growth strategies have been to grow users, improve our products and grow bookable supply. We continued to deliver on those objectives during the year ended December 31, 2017, as monthly unique users to these pages on our websites and applications continued to grow, we enhanced our product experience on all devices, and we grew bookable supply on our platform in our Attractions and Restaurants businesses. Notably, we have been able to increasingly leverage strong user growth on the TripAdvisor-branded platform to drive increased bookings in our Attractions business. Additionally, our Attractions and Restaurants businesses have both experienced increased engagement and growth on mobile phones. In Vacation Rentals, as the business continues to shift from our subscription model to our free-to-list model, we have focused on delivering high-quality supply for users in order to drive conversion for partners on our platform. We continued to work to improve content and overall user experience across each business.</w:t>
      </w:r>
    </w:p>
    <w:p>
      <w:pPr>
        <w:spacing w:after="0" w:line="62" w:lineRule="exact"/>
        <w:rPr>
          <w:sz w:val="20"/>
          <w:szCs w:val="20"/>
          <w:color w:val="auto"/>
        </w:rPr>
      </w:pPr>
    </w:p>
    <w:p>
      <w:pPr>
        <w:jc w:val="both"/>
        <w:ind w:right="40" w:firstLine="598"/>
        <w:spacing w:after="0" w:line="306" w:lineRule="auto"/>
        <w:rPr>
          <w:sz w:val="20"/>
          <w:szCs w:val="20"/>
          <w:color w:val="auto"/>
        </w:rPr>
      </w:pPr>
      <w:r>
        <w:rPr>
          <w:rFonts w:ascii="Arial" w:cs="Arial" w:eastAsia="Arial" w:hAnsi="Arial"/>
          <w:sz w:val="16"/>
          <w:szCs w:val="16"/>
          <w:color w:val="auto"/>
        </w:rPr>
        <w:t>Continued successful execution of our key growth strategies and increased marketing and operating efficiencies primarily contributed to this segment’s revenue and profit growth during the year ended December 31, 2017, as compared to the same period in 2016. Our ongoing strategic objectives are to continue to enhance the user experience, to grow traffic and drive increased user engagement, to grow bookable supply, and to grow bookings in this segment.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6" w:right="2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and percentages)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8"/>
          </w:tcPr>
          <w:p>
            <w:pPr>
              <w:jc w:val="right"/>
              <w:ind w:right="71"/>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 Change</w:t>
            </w:r>
          </w:p>
        </w:tc>
      </w:tr>
      <w:tr>
        <w:trPr>
          <w:trHeight w:val="154"/>
        </w:trPr>
        <w:tc>
          <w:tcPr>
            <w:tcW w:w="5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3"/>
              <w:spacing w:after="0" w:line="153"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2"/>
              <w:spacing w:after="0" w:line="153"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2"/>
              <w:spacing w:after="0" w:line="153"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w w:val="98"/>
              </w:rPr>
              <w:t>2017 vs. 2016</w:t>
            </w:r>
          </w:p>
        </w:tc>
        <w:tc>
          <w:tcPr>
            <w:tcW w:w="34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2"/>
              <w:spacing w:after="0" w:line="153" w:lineRule="exact"/>
              <w:rPr>
                <w:sz w:val="20"/>
                <w:szCs w:val="20"/>
                <w:color w:val="auto"/>
              </w:rPr>
            </w:pPr>
            <w:r>
              <w:rPr>
                <w:rFonts w:ascii="Arial" w:cs="Arial" w:eastAsia="Arial" w:hAnsi="Arial"/>
                <w:sz w:val="14"/>
                <w:szCs w:val="14"/>
                <w:b w:val="1"/>
                <w:bCs w:val="1"/>
                <w:color w:val="auto"/>
                <w:w w:val="96"/>
              </w:rPr>
              <w:t>2016 vs. 2015</w:t>
            </w:r>
          </w:p>
        </w:tc>
        <w:tc>
          <w:tcPr>
            <w:tcW w:w="220" w:type="dxa"/>
            <w:vAlign w:val="bottom"/>
            <w:tcBorders>
              <w:bottom w:val="single" w:sz="8" w:color="CFF0FC"/>
            </w:tcBorders>
          </w:tcPr>
          <w:p>
            <w:pPr>
              <w:spacing w:after="0"/>
              <w:rPr>
                <w:sz w:val="13"/>
                <w:szCs w:val="13"/>
                <w:color w:val="auto"/>
              </w:rPr>
            </w:pPr>
          </w:p>
        </w:tc>
      </w:tr>
      <w:tr>
        <w:trPr>
          <w:trHeight w:val="22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7"/>
        </w:trPr>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4"/>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27"/>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r>
      <w:tr>
        <w:trPr>
          <w:trHeight w:val="227"/>
        </w:trPr>
        <w:tc>
          <w:tcPr>
            <w:tcW w:w="522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r>
      <w:tr>
        <w:trPr>
          <w:trHeight w:val="227"/>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27"/>
        </w:trPr>
        <w:tc>
          <w:tcPr>
            <w:tcW w:w="52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27"/>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2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2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18"/>
                <w:szCs w:val="18"/>
                <w:color w:val="auto"/>
              </w:rPr>
              <w:t>9%</w:t>
            </w:r>
          </w:p>
        </w:tc>
        <w:tc>
          <w:tcPr>
            <w:tcW w:w="12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2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46"/>
        </w:trPr>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4"/>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r>
      <w:tr>
        <w:trPr>
          <w:trHeight w:val="227"/>
        </w:trPr>
        <w:tc>
          <w:tcPr>
            <w:tcW w:w="5220" w:type="dxa"/>
            <w:vAlign w:val="bottom"/>
          </w:tcPr>
          <w:p>
            <w:pPr>
              <w:ind w:left="260"/>
              <w:spacing w:after="0"/>
              <w:rPr>
                <w:sz w:val="20"/>
                <w:szCs w:val="20"/>
                <w:color w:val="auto"/>
              </w:rPr>
            </w:pPr>
            <w:r>
              <w:rPr>
                <w:rFonts w:ascii="Arial" w:cs="Arial" w:eastAsia="Arial" w:hAnsi="Arial"/>
                <w:sz w:val="18"/>
                <w:szCs w:val="18"/>
                <w:color w:val="auto"/>
              </w:rPr>
              <w:t>Interest income and other,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r>
      <w:tr>
        <w:trPr>
          <w:trHeight w:val="220"/>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22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w:t>
            </w:r>
          </w:p>
        </w:tc>
      </w:tr>
      <w:tr>
        <w:trPr>
          <w:trHeight w:val="220"/>
        </w:trPr>
        <w:tc>
          <w:tcPr>
            <w:tcW w:w="5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27"/>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r>
        <w:trPr>
          <w:trHeight w:val="26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(116)%</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34"/>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attributable to common stockholders:</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2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0.83</w:t>
            </w:r>
          </w:p>
        </w:tc>
        <w:tc>
          <w:tcPr>
            <w:tcW w:w="140" w:type="dxa"/>
            <w:vAlign w:val="bottom"/>
          </w:tcPr>
          <w:p>
            <w:pPr>
              <w:spacing w:after="0"/>
              <w:rPr>
                <w:sz w:val="19"/>
                <w:szCs w:val="19"/>
                <w:color w:val="auto"/>
              </w:rPr>
            </w:pPr>
          </w:p>
        </w:tc>
        <w:tc>
          <w:tcPr>
            <w:tcW w:w="30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27"/>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(117)%</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r>
      <w:tr>
        <w:trPr>
          <w:trHeight w:val="239"/>
        </w:trPr>
        <w:tc>
          <w:tcPr>
            <w:tcW w:w="5220" w:type="dxa"/>
            <w:vAlign w:val="bottom"/>
          </w:tcPr>
          <w:p>
            <w:pPr>
              <w:spacing w:after="0"/>
              <w:rPr>
                <w:sz w:val="20"/>
                <w:szCs w:val="20"/>
                <w:color w:val="auto"/>
              </w:rPr>
            </w:pPr>
            <w:r>
              <w:rPr>
                <w:rFonts w:ascii="Arial" w:cs="Arial" w:eastAsia="Arial" w:hAnsi="Arial"/>
                <w:sz w:val="18"/>
                <w:szCs w:val="18"/>
                <w:color w:val="auto"/>
              </w:rPr>
              <w:t>Other financial data:</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2"/>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247890" cy="135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 See “Adjusted EBITDA” discussion below for more information.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8"/>
          </w:tcPr>
          <w:p>
            <w:pPr>
              <w:jc w:val="center"/>
              <w:ind w:left="415"/>
              <w:spacing w:after="0"/>
              <w:rPr>
                <w:sz w:val="20"/>
                <w:szCs w:val="20"/>
                <w:color w:val="auto"/>
              </w:rPr>
            </w:pPr>
            <w:r>
              <w:rPr>
                <w:rFonts w:ascii="Arial" w:cs="Arial" w:eastAsia="Arial" w:hAnsi="Arial"/>
                <w:sz w:val="14"/>
                <w:szCs w:val="14"/>
                <w:b w:val="1"/>
                <w:bCs w:val="1"/>
                <w:color w:val="auto"/>
                <w:w w:val="91"/>
              </w:rPr>
              <w:t>Year ended December 31,</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4320" w:type="dxa"/>
            <w:vAlign w:val="bottom"/>
            <w:vMerge w:val="restart"/>
          </w:tcPr>
          <w:p>
            <w:pPr>
              <w:spacing w:after="0"/>
              <w:rPr>
                <w:sz w:val="20"/>
                <w:szCs w:val="20"/>
                <w:color w:val="auto"/>
              </w:rPr>
            </w:pPr>
            <w:r>
              <w:rPr>
                <w:rFonts w:ascii="Arial" w:cs="Arial" w:eastAsia="Arial" w:hAnsi="Arial"/>
                <w:sz w:val="18"/>
                <w:szCs w:val="18"/>
                <w:color w:val="auto"/>
              </w:rPr>
              <w:t>Revenue by Segment:</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5"/>
              <w:spacing w:after="0" w:line="153"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3"/>
              <w:spacing w:after="0" w:line="153"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w w:val="93"/>
              </w:rPr>
              <w:t>2017 vs. 2016</w:t>
            </w:r>
          </w:p>
        </w:tc>
        <w:tc>
          <w:tcPr>
            <w:tcW w:w="9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1"/>
              </w:rPr>
              <w:t>2016 vs. 2015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320" w:type="dxa"/>
            <w:vAlign w:val="bottom"/>
            <w:vMerge w:val="continue"/>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 millions)</w:t>
            </w:r>
          </w:p>
        </w:tc>
        <w:tc>
          <w:tcPr>
            <w:tcW w:w="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Hotel</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1,196</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1,190</w:t>
            </w:r>
          </w:p>
        </w:tc>
        <w:tc>
          <w:tcPr>
            <w:tcW w:w="280" w:type="dxa"/>
            <w:vAlign w:val="bottom"/>
          </w:tcPr>
          <w:p>
            <w:pPr>
              <w:spacing w:after="0"/>
              <w:rPr>
                <w:sz w:val="19"/>
                <w:szCs w:val="19"/>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1,263</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0"/>
        </w:trPr>
        <w:tc>
          <w:tcPr>
            <w:tcW w:w="4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5%</w:t>
            </w: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7"/>
        </w:trPr>
        <w:tc>
          <w:tcPr>
            <w:tcW w:w="432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 xml:space="preserve">Adjusted EBITDA by Segment </w:t>
            </w:r>
            <w:r>
              <w:rPr>
                <w:rFonts w:ascii="Arial" w:cs="Arial" w:eastAsia="Arial" w:hAnsi="Arial"/>
                <w:sz w:val="14"/>
                <w:szCs w:val="14"/>
                <w:color w:val="auto"/>
              </w:rPr>
              <w:t>(1)</w:t>
            </w: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Hotel</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9"/>
                <w:szCs w:val="19"/>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261%</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8"/>
                <w:szCs w:val="18"/>
                <w:color w:val="auto"/>
              </w:rPr>
              <w:t>Non-Hotel</w:t>
            </w: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860" w:right="180" w:hanging="426"/>
        <w:spacing w:after="0" w:line="265" w:lineRule="auto"/>
        <w:tabs>
          <w:tab w:leader="none" w:pos="8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Included in Adjusted EBITDA is a general and administrative expense allocation for each segment, which is based on the segment’s percentage of our total personnel costs, excluding stock-based compensation. Refer to “Note 17 </w:t>
      </w:r>
      <w:r>
        <w:rPr>
          <w:rFonts w:ascii="Arial" w:cs="Arial" w:eastAsia="Arial" w:hAnsi="Arial"/>
          <w:sz w:val="12"/>
          <w:szCs w:val="12"/>
          <w:i w:val="1"/>
          <w:iCs w:val="1"/>
          <w:color w:val="auto"/>
        </w:rPr>
        <w:t>— Segment and Geographic Information</w:t>
      </w:r>
      <w:r>
        <w:rPr>
          <w:rFonts w:ascii="Arial" w:cs="Arial" w:eastAsia="Arial" w:hAnsi="Arial"/>
          <w:sz w:val="12"/>
          <w:szCs w:val="12"/>
          <w:color w:val="auto"/>
        </w:rPr>
        <w:t>,” in the notes to our consolidated financial statements in Item 8 for more information.</w:t>
      </w:r>
    </w:p>
    <w:p>
      <w:pPr>
        <w:ind w:left="860" w:hanging="426"/>
        <w:spacing w:after="0"/>
        <w:tabs>
          <w:tab w:leader="none" w:pos="8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define “Adjusted EBITDA Margin by Segment”, as Adjusted EBITDA by segment divided by revenue by segment.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8" w:name="page39"/>
    <w:bookmarkEnd w:id="38"/>
    <w:p>
      <w:pPr>
        <w:ind w:left="600"/>
        <w:spacing w:after="0"/>
        <w:rPr>
          <w:sz w:val="20"/>
          <w:szCs w:val="20"/>
          <w:color w:val="auto"/>
        </w:rPr>
      </w:pPr>
      <w:r>
        <w:rPr>
          <w:rFonts w:ascii="Arial" w:cs="Arial" w:eastAsia="Arial" w:hAnsi="Arial"/>
          <w:sz w:val="18"/>
          <w:szCs w:val="18"/>
          <w:b w:val="1"/>
          <w:bCs w:val="1"/>
          <w:i w:val="1"/>
          <w:iCs w:val="1"/>
          <w:color w:val="auto"/>
        </w:rPr>
        <w:t>Hotel Segment</w:t>
      </w:r>
    </w:p>
    <w:p>
      <w:pPr>
        <w:spacing w:after="0" w:line="113"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Our Hotel segment revenue increased $6 million during the year ended December 31, 2017 when compared to the same period in 2016, primarily due to a $6 million increase in TripAdvisor-branded click-based and transaction revenue and a $10 million increase in TripAdvisor-branded display-based advertising and subscription revenue, partially offset by a decrease of $10 million in other hotel revenue, all of which are discussed below. Our Hotel segment revenue decreased $73 million during the year ended December 31, 2016 when compared to the same period in 2015, primarily due to a $87 million decrease in TripAdvisor-branded click-based and transaction revenue, partially offset by growth of $10 million in TripAdvisor-branded display-based advertising and subscription revenue, and $4 million in other hotel revenue, all of which are discussed below.</w:t>
      </w:r>
    </w:p>
    <w:p>
      <w:pPr>
        <w:spacing w:after="0" w:line="181" w:lineRule="exact"/>
        <w:rPr>
          <w:sz w:val="20"/>
          <w:szCs w:val="20"/>
          <w:color w:val="auto"/>
        </w:rPr>
      </w:pPr>
    </w:p>
    <w:p>
      <w:pPr>
        <w:ind w:right="120" w:firstLine="598"/>
        <w:spacing w:after="0" w:line="287" w:lineRule="auto"/>
        <w:rPr>
          <w:sz w:val="20"/>
          <w:szCs w:val="20"/>
          <w:color w:val="auto"/>
        </w:rPr>
      </w:pPr>
      <w:r>
        <w:rPr>
          <w:rFonts w:ascii="Arial" w:cs="Arial" w:eastAsia="Arial" w:hAnsi="Arial"/>
          <w:sz w:val="16"/>
          <w:szCs w:val="16"/>
          <w:color w:val="auto"/>
        </w:rPr>
        <w:t>Adjusted EBITDA and Adjusted EBITDA margin in our Hotel segment decreased $94 million and to 24%, respectively, during the year ended December 31, 2017, when compared to the same period in 2016, primarily due to costs related to our television campaign, which launched in June 2017, and also due to increased SEM and other online traffic acquisition costs during the first half of 2017, partially offset by cost efficiencies created through optimization of our online marketing spend during the second half of 2017. Adjusted EBITDA and Adjusted EBITDA margin in our Hotel segment decreased $92 million and decreased to 32%, during the year ended December 31, 2016 when compared to the same period in 2015, primarily due to a decrease in Hotel segment revenue, which is discussed below, and increased operating costs, primarily driven by an increase in online traffic acquisition costs, partially offset by lower television advertising costs due to the cessation of our 2015 television advertising campaign in 2016.</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detailed discussion of the revenue sources within our Hotel segment: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7"/>
          </w:tcPr>
          <w:p>
            <w:pPr>
              <w:jc w:val="center"/>
              <w:ind w:left="457"/>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Hotel:</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97"/>
              <w:spacing w:after="0" w:line="153"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460"/>
              <w:spacing w:after="0" w:line="153" w:lineRule="exact"/>
              <w:rPr>
                <w:sz w:val="20"/>
                <w:szCs w:val="20"/>
                <w:color w:val="auto"/>
              </w:rPr>
            </w:pPr>
            <w:r>
              <w:rPr>
                <w:rFonts w:ascii="Arial" w:cs="Arial" w:eastAsia="Arial" w:hAnsi="Arial"/>
                <w:sz w:val="14"/>
                <w:szCs w:val="14"/>
                <w:b w:val="1"/>
                <w:bCs w:val="1"/>
                <w:color w:val="auto"/>
              </w:rPr>
              <w:t>2017 vs 2016</w:t>
            </w:r>
          </w:p>
        </w:tc>
        <w:tc>
          <w:tcPr>
            <w:tcW w:w="100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4"/>
                <w:szCs w:val="14"/>
                <w:b w:val="1"/>
                <w:bCs w:val="1"/>
                <w:color w:val="auto"/>
              </w:rPr>
              <w:t>2016 vs 2015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2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click-based and transaction</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5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5220" w:type="dxa"/>
            <w:vAlign w:val="bottom"/>
          </w:tcPr>
          <w:p>
            <w:pPr>
              <w:spacing w:after="0"/>
              <w:rPr>
                <w:sz w:val="20"/>
                <w:szCs w:val="20"/>
                <w:color w:val="auto"/>
              </w:rPr>
            </w:pPr>
            <w:r>
              <w:rPr>
                <w:rFonts w:ascii="Arial" w:cs="Arial" w:eastAsia="Arial" w:hAnsi="Arial"/>
                <w:sz w:val="18"/>
                <w:szCs w:val="18"/>
                <w:color w:val="auto"/>
              </w:rPr>
              <w:t>TripAdvisor-branded display-based advertising and subscription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hotel revenue</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5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5220" w:type="dxa"/>
            <w:vAlign w:val="bottom"/>
          </w:tcPr>
          <w:p>
            <w:pPr>
              <w:ind w:left="260"/>
              <w:spacing w:after="0"/>
              <w:rPr>
                <w:sz w:val="20"/>
                <w:szCs w:val="20"/>
                <w:color w:val="auto"/>
              </w:rPr>
            </w:pPr>
            <w:r>
              <w:rPr>
                <w:rFonts w:ascii="Arial" w:cs="Arial" w:eastAsia="Arial" w:hAnsi="Arial"/>
                <w:sz w:val="18"/>
                <w:szCs w:val="18"/>
                <w:color w:val="auto"/>
              </w:rPr>
              <w:t>Total Hotel revenue</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3" w:lineRule="exact"/>
        <w:rPr>
          <w:sz w:val="20"/>
          <w:szCs w:val="20"/>
          <w:color w:val="auto"/>
        </w:rPr>
      </w:pPr>
    </w:p>
    <w:p>
      <w:pPr>
        <w:ind w:right="40" w:firstLine="598"/>
        <w:spacing w:after="0" w:line="286" w:lineRule="auto"/>
        <w:rPr>
          <w:sz w:val="20"/>
          <w:szCs w:val="20"/>
          <w:color w:val="auto"/>
        </w:rPr>
      </w:pPr>
      <w:r>
        <w:rPr>
          <w:rFonts w:ascii="Arial" w:cs="Arial" w:eastAsia="Arial" w:hAnsi="Arial"/>
          <w:sz w:val="16"/>
          <w:szCs w:val="16"/>
          <w:color w:val="auto"/>
        </w:rPr>
        <w:t>TripAdvisor-branded click-based and transaction revenue includes cost-per-click-based advertising revenue from our TripAdvisor-branded websites as well as transaction-based revenue from our hotel instant booking feature. For the years ended December 31, 2017, 2016 and 2015, approximately 63%, 63% and 66%, respectively, of our total Hotel segment revenue was derived from our TripAdvisor-branded click-based and transaction revenue. TripAdvisor-branded click-based and transaction revenue increased $6 million during the year ended December 31, 2017, when compared to the same period in 2016, primarily due to an increase in average monthly unique hotel shoppers of 7%, which was largely offset by a decrease of 7% in revenue per hotel shopper during the year ended December 31, 2017, which is explained below. TripAdvisor-branded click-based and transaction revenue decreased $87 million during the year ended December 31, 2016, when compared to the same period in 2015, primarily due to a decline of 15% in revenue per hotel shopper, partially offset by an increase in average monthly unique hotel shoppers of 6% during the year ended December 31, 2016, which is explained below.</w:t>
      </w:r>
    </w:p>
    <w:p>
      <w:pPr>
        <w:spacing w:after="0" w:line="62" w:lineRule="exact"/>
        <w:rPr>
          <w:sz w:val="20"/>
          <w:szCs w:val="20"/>
          <w:color w:val="auto"/>
        </w:rPr>
      </w:pPr>
    </w:p>
    <w:p>
      <w:pPr>
        <w:ind w:right="80" w:firstLine="598"/>
        <w:spacing w:after="0" w:line="289" w:lineRule="auto"/>
        <w:rPr>
          <w:sz w:val="20"/>
          <w:szCs w:val="20"/>
          <w:color w:val="auto"/>
        </w:rPr>
      </w:pPr>
      <w:r>
        <w:rPr>
          <w:rFonts w:ascii="Arial" w:cs="Arial" w:eastAsia="Arial" w:hAnsi="Arial"/>
          <w:sz w:val="16"/>
          <w:szCs w:val="16"/>
          <w:color w:val="auto"/>
        </w:rPr>
        <w:t>Our largest source of Hotel segment revenue is click-based advertising revenue from our TripAdvisor-branded websites, which include links to our travel partners’ sites and contextually-relevant branded and related text links. Click-based advertising is generated primarily through our metasearch auction, a description of which follows. Our click-based travel partners are predominantly OTAs and hoteliers. Click-based advertising is generally priced on a cost-per-click, or CPC, basis, with payments to us from advertisers based on the number of users who click on each type of link or, in other words, the conversion of a hotel shopper to a paid click. CPC is the price that a partner is willing to pay us for a hotel shopper lead and is determined in a competitive process that enables our partners to submit CPC bids to have their rates and availability listed on our site. When a partner submits a CPC bid, they agree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39" w:name="page40"/>
    <w:bookmarkEnd w:id="39"/>
    <w:p>
      <w:pPr>
        <w:ind w:right="160"/>
        <w:spacing w:after="0" w:line="274" w:lineRule="auto"/>
        <w:rPr>
          <w:sz w:val="20"/>
          <w:szCs w:val="20"/>
          <w:color w:val="auto"/>
        </w:rPr>
      </w:pPr>
      <w:r>
        <w:rPr>
          <w:rFonts w:ascii="Arial" w:cs="Arial" w:eastAsia="Arial" w:hAnsi="Arial"/>
          <w:sz w:val="17"/>
          <w:szCs w:val="17"/>
          <w:color w:val="auto"/>
        </w:rPr>
        <w:t>to pay us the bid amount each time a user subsequently clicks on the link to that partner’s website. Bids can be submitted periodically – as often as daily– on a property-by-property basis. Primary factors used to determine the placement of partner links on our site include, but are not limited to, room night price, the size of the bid relative to other bids, and other variables. CPCs are generally lower in markets outside the U.S. market, and hotel shoppers visiting via mobile phones currently monetize at a significantly lower rate than hotel shoppers visiting via desktop or tablet.</w:t>
      </w:r>
    </w:p>
    <w:p>
      <w:pPr>
        <w:spacing w:after="0" w:line="135" w:lineRule="exact"/>
        <w:rPr>
          <w:sz w:val="20"/>
          <w:szCs w:val="20"/>
          <w:color w:val="auto"/>
        </w:rPr>
      </w:pPr>
    </w:p>
    <w:p>
      <w:pPr>
        <w:ind w:right="20" w:firstLine="598"/>
        <w:spacing w:after="0" w:line="283" w:lineRule="auto"/>
        <w:rPr>
          <w:sz w:val="20"/>
          <w:szCs w:val="20"/>
          <w:color w:val="auto"/>
        </w:rPr>
      </w:pPr>
      <w:r>
        <w:rPr>
          <w:rFonts w:ascii="Arial" w:cs="Arial" w:eastAsia="Arial" w:hAnsi="Arial"/>
          <w:sz w:val="16"/>
          <w:szCs w:val="16"/>
          <w:color w:val="auto"/>
        </w:rPr>
        <w:t>Our Hotel segment transaction-based revenue is comprised of revenue from our hotel instant booking feature, which enables the merchant of record, generally an OTA or hotel partner, to pay a commission to TripAdvisor for a user that completes a hotel reservation via our website. This feature was rolled out in our two largest markets – the United States and the United Kingdom – in the third quarter of 2015, and we completed an accelerated and staged global rollout of this feature to all of our markets during the first half of 2016. Instant booking revenue is currently recognized under two different models: the consumption model and the transaction model. Under the consumption model, which currently represents the majority of our instant booking revenue, commission revenue is not recorded until such time as the traveler completes their stay, at which time our consumption partner is liable to us for commission payment. Under the transaction model commission revenue is recorded at the time a traveler books a hotel reservation on our site, as our transaction partner is liable for commission payments to us upon booking and the partner assumes the cancellation risk. OTA and hotel partner placement, as well as comparative hotel prices available to the traveler in the booking process under both models, is determined by a bidding process within our proprietary automated bidding system, that takes into account a number of variables, primarily hotel room prices, but also including other factors, such as conversion rates and commission rates, depending on the specific hotel selected. Instant booking commissions are primarily a function of average gross booking value generated from hotel reservations, cancellation rates experienced, and commission rates negotiated with each of our partners.</w:t>
      </w:r>
    </w:p>
    <w:p>
      <w:pPr>
        <w:spacing w:after="0" w:line="14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key drivers of TripAdvisor-branded click-based and transaction revenue include growth in average monthly unique hotel shoppers and revenue per hotel shopper growth, the latter of which measures how effectively we convert our hotel shoppers into revenue. We measure performance by calculating revenue per hotel shopper on an aggregate basis by dividing total TripAdvisor-branded click-based and transaction revenue by total average monthly unique hotel shoppers on TripAdvisor-branded websites for the periods presented.</w:t>
      </w:r>
    </w:p>
    <w:p>
      <w:pPr>
        <w:spacing w:after="0" w:line="148" w:lineRule="exact"/>
        <w:rPr>
          <w:sz w:val="20"/>
          <w:szCs w:val="20"/>
          <w:color w:val="auto"/>
        </w:rPr>
      </w:pPr>
    </w:p>
    <w:p>
      <w:pPr>
        <w:ind w:right="80" w:firstLine="598"/>
        <w:spacing w:after="0" w:line="292" w:lineRule="auto"/>
        <w:rPr>
          <w:sz w:val="20"/>
          <w:szCs w:val="20"/>
          <w:color w:val="auto"/>
        </w:rPr>
      </w:pPr>
      <w:r>
        <w:rPr>
          <w:rFonts w:ascii="Arial" w:cs="Arial" w:eastAsia="Arial" w:hAnsi="Arial"/>
          <w:sz w:val="16"/>
          <w:szCs w:val="16"/>
          <w:color w:val="auto"/>
        </w:rPr>
        <w:t>While we believe that total traffic growth, or growth in monthly visits from unique visitors, is reflective of our overall brand growth, we also track and analyze sub-segments of our traffic and their correlation to revenue generation and utilize data regarding hotel shoppers as one of the key indicators of revenue growth. Hotel shoppers are visitors who view either a listing of hotels in a city or on a specific hotel page. The number of hotel shoppers tends to vary based on seasonality of the travel industry and general economic conditions, as well as other factors outside of our control. Given these factors, as well as the trend towards increased usage on mobile phones and international expansion, quarterly and annual hotel shopper growth is a difficult metric to forecast.</w:t>
      </w:r>
    </w:p>
    <w:p>
      <w:pPr>
        <w:spacing w:after="0" w:line="56" w:lineRule="exact"/>
        <w:rPr>
          <w:sz w:val="20"/>
          <w:szCs w:val="20"/>
          <w:color w:val="auto"/>
        </w:rPr>
      </w:pPr>
    </w:p>
    <w:p>
      <w:pPr>
        <w:ind w:right="400" w:firstLine="598"/>
        <w:spacing w:after="0" w:line="270" w:lineRule="auto"/>
        <w:rPr>
          <w:sz w:val="20"/>
          <w:szCs w:val="20"/>
          <w:color w:val="auto"/>
        </w:rPr>
      </w:pPr>
      <w:r>
        <w:rPr>
          <w:rFonts w:ascii="Arial" w:cs="Arial" w:eastAsia="Arial" w:hAnsi="Arial"/>
          <w:sz w:val="18"/>
          <w:szCs w:val="18"/>
          <w:color w:val="auto"/>
        </w:rPr>
        <w:t>The below table summarizes our revenue per hotel shopper calculation and growth rate, in aggregate, for the periods presented (in millions, except calculated revenue per hotel shopper and percentages):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457"/>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77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0"/>
        </w:trPr>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2017 vs 2016</w:t>
            </w: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2016 vs 2015</w:t>
            </w:r>
          </w:p>
        </w:tc>
        <w:tc>
          <w:tcPr>
            <w:tcW w:w="20" w:type="dxa"/>
            <w:vAlign w:val="bottom"/>
          </w:tcPr>
          <w:p>
            <w:pPr>
              <w:spacing w:after="0"/>
              <w:rPr>
                <w:sz w:val="19"/>
                <w:szCs w:val="19"/>
                <w:color w:val="auto"/>
              </w:rPr>
            </w:pPr>
          </w:p>
        </w:tc>
      </w:tr>
      <w:tr>
        <w:trPr>
          <w:trHeight w:val="220"/>
        </w:trPr>
        <w:tc>
          <w:tcPr>
            <w:tcW w:w="5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(in millions)</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per hotel shopper:</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5220" w:type="dxa"/>
            <w:vAlign w:val="bottom"/>
          </w:tcPr>
          <w:p>
            <w:pPr>
              <w:ind w:left="260"/>
              <w:spacing w:after="0"/>
              <w:rPr>
                <w:sz w:val="20"/>
                <w:szCs w:val="20"/>
                <w:color w:val="auto"/>
              </w:rPr>
            </w:pPr>
            <w:r>
              <w:rPr>
                <w:rFonts w:ascii="Arial" w:cs="Arial" w:eastAsia="Arial" w:hAnsi="Arial"/>
                <w:sz w:val="18"/>
                <w:szCs w:val="18"/>
                <w:color w:val="auto"/>
              </w:rPr>
              <w:t>TripAdvisor-branded click-based and transaction revenue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w:t>
            </w:r>
          </w:p>
        </w:tc>
        <w:tc>
          <w:tcPr>
            <w:tcW w:w="4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837</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13"/>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Divided by: Total average monthly unique hotel shoppers for the</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year</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5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0"/>
        </w:trPr>
        <w:tc>
          <w:tcPr>
            <w:tcW w:w="52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0"/>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337"/>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220" w:lineRule="exact"/>
        <w:rPr>
          <w:sz w:val="20"/>
          <w:szCs w:val="20"/>
          <w:color w:val="auto"/>
        </w:rPr>
      </w:pPr>
    </w:p>
    <w:p>
      <w:pPr>
        <w:ind w:right="160" w:firstLine="598"/>
        <w:spacing w:after="0" w:line="252" w:lineRule="auto"/>
        <w:rPr>
          <w:sz w:val="20"/>
          <w:szCs w:val="20"/>
          <w:color w:val="auto"/>
        </w:rPr>
      </w:pPr>
      <w:r>
        <w:rPr>
          <w:rFonts w:ascii="Arial" w:cs="Arial" w:eastAsia="Arial" w:hAnsi="Arial"/>
          <w:sz w:val="18"/>
          <w:szCs w:val="18"/>
          <w:color w:val="auto"/>
        </w:rPr>
        <w:t>Revenue per hotel shopper decreased 7% during the year ended December 31, 2017, when compared to the same period in 2016, according to our internal log files. The decrease was primarily driven by partners bidding to lower CPCs in our click-based metasearch auction during the second half of the year, and the general trend of a greater percentage of hotel shoppers visiting TripAdvisor-branded websites and apps on mobile phones, which monetize at a lower rate than desktop hotel shoppers, which grew significantly faster than traffic from desktop and tablet devices, as well as dilution from product testing related to the second-quarter 2017 launch of our redesigned website and applications, and the timing of our instant booking feature rollout in certain non-U.S. markets during the first half of 2016.</w:t>
      </w:r>
    </w:p>
    <w:p>
      <w:pPr>
        <w:spacing w:after="0" w:line="191"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Our aggregate average monthly unique hotel shoppers on TripAdvisor-branded websites increased by 7% during the year ended December 31, 2017, when compared to the same period in 2016, according to our internal log files. The increase in hotel shoppers is primarily due to the general trend of an increasing number of hotel shoppers visiting our websites and apps on mobile phones, as well as growth in our paid online marketing channels, partially offset by marketing spend tradeoffs resulting from increased brand advertising investment in our television campaign, as discussed above.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3" w:lineRule="exact"/>
        <w:rPr>
          <w:sz w:val="20"/>
          <w:szCs w:val="20"/>
          <w:color w:val="auto"/>
        </w:rPr>
      </w:pPr>
    </w:p>
    <w:p>
      <w:pPr>
        <w:ind w:right="200" w:firstLine="598"/>
        <w:spacing w:after="0" w:line="271" w:lineRule="auto"/>
        <w:rPr>
          <w:sz w:val="20"/>
          <w:szCs w:val="20"/>
          <w:color w:val="auto"/>
        </w:rPr>
      </w:pPr>
      <w:r>
        <w:rPr>
          <w:rFonts w:ascii="Arial" w:cs="Arial" w:eastAsia="Arial" w:hAnsi="Arial"/>
          <w:sz w:val="17"/>
          <w:szCs w:val="17"/>
          <w:color w:val="auto"/>
        </w:rPr>
        <w:t>Revenue per hotel shopper decreased 15% during the year ended December 31, 2016, when compared to the same period in 2015, according to our internal log files. We believe the primary drivers of this decrease included the dilutive effects from our global launch of our instant booking feature, which impacted 2016 to a greater extent than 2015 due to the timing of the staged rollout; a greater percentage of hotel shoppers visiting TripAdvisor websites and apps via mobile phones; challenging metasearch comparatives in early 2016 relative to the same periods in 2015; increased competition; macroeconomic and geopolitical factors, including foreign currency and a number of terrorism events.</w:t>
      </w:r>
    </w:p>
    <w:p>
      <w:pPr>
        <w:spacing w:after="0" w:line="7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Our aggregate average monthly unique hotel shoppers on TripAdvisor-branded websites increased by 6% during the year ended December 31, 2016, when compared to the same period in 2015, according to our internal log files. The increase in hotel shoppers was primarily due to growth in our paid online marketing channels as well as the general trend of an increasing number of hotel shoppers visiting our websites and apps on mobile phones during 2016, which has grown significantly faster than traffic from desktop and tablet devices.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3" w:lineRule="exact"/>
        <w:rPr>
          <w:sz w:val="20"/>
          <w:szCs w:val="20"/>
          <w:color w:val="auto"/>
        </w:rPr>
      </w:pPr>
    </w:p>
    <w:p>
      <w:pPr>
        <w:ind w:right="40" w:firstLine="598"/>
        <w:spacing w:after="0" w:line="274" w:lineRule="auto"/>
        <w:rPr>
          <w:sz w:val="20"/>
          <w:szCs w:val="20"/>
          <w:color w:val="auto"/>
        </w:rPr>
      </w:pPr>
      <w:r>
        <w:rPr>
          <w:rFonts w:ascii="Arial" w:cs="Arial" w:eastAsia="Arial" w:hAnsi="Arial"/>
          <w:sz w:val="17"/>
          <w:szCs w:val="17"/>
          <w:color w:val="auto"/>
        </w:rPr>
        <w:t>For the years ended December 31, 2017, 2016 and 2015, 24%, 24% and 22%, respectively, of our Hotel segment revenue was derived from our TripAdvisor-branded display-based advertising and subscription revenue, which primarily consists of revenue from display-based advertising and subscription-based hotel advertising revenue. Our TripAdvisor-branded display-based advertising and subscription revenue increased by $10 million or 4%, during each of the years ended December 31, 2017 and 2016, respectively, when compared to the same periods in 2016 and 2015.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1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increase in display-based advertising revenue was primarily due to an increase in impressions sold, as well as an increase in pricing, partially offset by the general trend of an increasing percentage of our traffic visiting our websites and apps on mobile phones. While we continue to focus on new product initiatives to drive growth, our subscription revenue decreased slightly, primarily as we work to enhance our product offering to hoteliers and increase our sales pipeline in this business, in addition to hotel industry consolidation.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3"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The increase in display-based advertising revenue was primarily due to a slight increase in pricing, as well as impressions sold during the year, while the increase in subscription revenue was a result of increased sales productivity in 2015 which also benefitted 2016, as well as increased pricing and improvements in customer retention rates.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41" w:name="page42"/>
    <w:bookmarkEnd w:id="41"/>
    <w:p>
      <w:pPr>
        <w:ind w:left="600"/>
        <w:spacing w:after="0"/>
        <w:rPr>
          <w:sz w:val="20"/>
          <w:szCs w:val="20"/>
          <w:color w:val="auto"/>
        </w:rPr>
      </w:pPr>
      <w:r>
        <w:rPr>
          <w:rFonts w:ascii="Arial" w:cs="Arial" w:eastAsia="Arial" w:hAnsi="Arial"/>
          <w:sz w:val="18"/>
          <w:szCs w:val="18"/>
          <w:i w:val="1"/>
          <w:iCs w:val="1"/>
          <w:color w:val="auto"/>
        </w:rPr>
        <w:t>Other Hotel Revenue</w:t>
      </w:r>
    </w:p>
    <w:p>
      <w:pPr>
        <w:spacing w:after="0" w:line="11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For the years ended December 31, 2017, 2016 and 2015, 12%, 13% and 12%, respectively, of our Hotel segment revenue was derived from other hotel revenues. Our other hotel revenue primarily includes revenue from non-TripAdvisor branded websites, such as bookingbuddy.com, cruisecritic.com, and onetime.com, including click-based advertising revenue, display-based advertising revenue and room reservations sold through these websites. Our other hotel revenue decreased by $10 million during the year ended December 31, 2017, when compared to the same period in 2016, primarily due to increased focus on return on marketing spend from paid marketing channels within this revenue stream. Our other hotel revenue increased $4 million during the year ended December 31, 2016, when compared to the same period in 2015.</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113"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For the years ended December 31, 2017, 2016 and 2015, our Non-Hotel segment revenue accounted for 23%, 20% and 15%, respectively, of our total consolidated revenue. Our Non-Hotel segment revenue increased by $70 million or 24%, for the year ended December 31, 2017, when compared to the same period in 2016, driven by increased bookings in our Attractions and Restaurants businesses. Our Non-Hotel segment revenue increased $61 million, or 27%, during the year ended December 31, 2016 when compared to the same period in 2015, primarily driven by increased bookings across all businesses.</w:t>
      </w:r>
    </w:p>
    <w:p>
      <w:pPr>
        <w:spacing w:after="0" w:line="157" w:lineRule="exact"/>
        <w:rPr>
          <w:sz w:val="20"/>
          <w:szCs w:val="20"/>
          <w:color w:val="auto"/>
        </w:rPr>
      </w:pPr>
    </w:p>
    <w:p>
      <w:pPr>
        <w:ind w:right="60" w:firstLine="598"/>
        <w:spacing w:after="0" w:line="284" w:lineRule="auto"/>
        <w:rPr>
          <w:sz w:val="20"/>
          <w:szCs w:val="20"/>
          <w:color w:val="auto"/>
        </w:rPr>
      </w:pPr>
      <w:r>
        <w:rPr>
          <w:rFonts w:ascii="Arial" w:cs="Arial" w:eastAsia="Arial" w:hAnsi="Arial"/>
          <w:sz w:val="16"/>
          <w:szCs w:val="16"/>
          <w:color w:val="auto"/>
        </w:rPr>
        <w:t>During this timeframe, strong revenue growth in our Attractions business has been driven by the following factors: growth in bookings sourced by TripAdvisor, growth in bookable supply, which leads to better consumer choice, as well as by growth in free and paid traffic sources. Another contributing factor is the improved shopping experience from the introduction of new features, such as attractions instant booking for mobile phone, which enables users to purchase tickets and tours seamlessly without leaving the mobile app. These factors are all contributing to more consumer choice, increased bookings and continued revenue growth. Similarly, in our Restaurants business, continued strong revenue growth can be attributed to increased bookings in our most established markets, expansion into new markets, growth in mobile bookings, a continually improving user experience and an increase in bookable supply of restaurant listings. Revenue in our Vacation Rentals business decreased slightly during the year ended December 31, 2017, when compared to the same period in 2016, primarily due to the continued migration of our subscription model to our free-to-list model, which we believe will have a longer term return to the business, in addition to slower growth in our free-to-list revenues than 2016. Revenue in our Vacation Rentals business increased during the year ended December 31, 2016, when compared to the same period in 2015, primarily due to growth in our free-to-list model and increased bookings during the year.</w:t>
      </w:r>
    </w:p>
    <w:p>
      <w:pPr>
        <w:spacing w:after="0" w:line="172"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Adjusted EBITDA and Adjusted EBITDA margin in our Non-Hotel segment increased $73 million and to 13%, respectively, during the year ended December 31, 2017, when compared to the same period in 2016. This increase was primarily due to increased revenue growth, in addition to increased efficiencies in paid online marketing channels and other operational synergies across our Attractions and Vacation Rentals businesses, partially offset by increased personnel and overhead costs to support growth in this segment for the year ended December 31, 2017. Adjusted EBITDA in our Non-Hotel segment decreased $22 million during the year ended December 31, 2016, when compared to the same period in 2015. The decrease during the year ended December 31, 2016, when compared to the same period in 2015, was primarily due to increased personnel and overhead costs of $47 million, in addition to increased online traffic acquisition costs and merchant credit card and transaction fees, which more than offset the increase in revenue.</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659"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Revenue by Geography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our revenue by geographic region. Revenue by geography is based on the geographic location of our websites: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7"/>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 Change</w:t>
            </w:r>
          </w:p>
        </w:tc>
      </w:tr>
      <w:tr>
        <w:trPr>
          <w:trHeight w:val="154"/>
        </w:trPr>
        <w:tc>
          <w:tcPr>
            <w:tcW w:w="396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9"/>
              <w:spacing w:after="0" w:line="153"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349"/>
              <w:spacing w:after="0" w:line="153" w:lineRule="exact"/>
              <w:rPr>
                <w:sz w:val="20"/>
                <w:szCs w:val="20"/>
                <w:color w:val="auto"/>
              </w:rPr>
            </w:pPr>
            <w:r>
              <w:rPr>
                <w:rFonts w:ascii="Arial" w:cs="Arial" w:eastAsia="Arial" w:hAnsi="Arial"/>
                <w:sz w:val="14"/>
                <w:szCs w:val="14"/>
                <w:b w:val="1"/>
                <w:bCs w:val="1"/>
                <w:color w:val="auto"/>
                <w:w w:val="98"/>
              </w:rPr>
              <w:t>2017 vs 2016</w:t>
            </w:r>
          </w:p>
        </w:tc>
        <w:tc>
          <w:tcPr>
            <w:tcW w:w="1000" w:type="dxa"/>
            <w:vAlign w:val="bottom"/>
            <w:tcBorders>
              <w:top w:val="single" w:sz="8" w:color="auto"/>
              <w:bottom w:val="single" w:sz="8" w:color="auto"/>
            </w:tcBorders>
          </w:tcPr>
          <w:p>
            <w:pPr>
              <w:jc w:val="right"/>
              <w:ind w:right="35"/>
              <w:spacing w:after="0" w:line="153" w:lineRule="exact"/>
              <w:rPr>
                <w:sz w:val="20"/>
                <w:szCs w:val="20"/>
                <w:color w:val="auto"/>
              </w:rPr>
            </w:pPr>
            <w:r>
              <w:rPr>
                <w:rFonts w:ascii="Arial" w:cs="Arial" w:eastAsia="Arial" w:hAnsi="Arial"/>
                <w:sz w:val="14"/>
                <w:szCs w:val="14"/>
                <w:b w:val="1"/>
                <w:bCs w:val="1"/>
                <w:color w:val="auto"/>
              </w:rPr>
              <w:t>2016 vs 2015</w:t>
            </w:r>
          </w:p>
        </w:tc>
        <w:tc>
          <w:tcPr>
            <w:tcW w:w="220" w:type="dxa"/>
            <w:vAlign w:val="bottom"/>
            <w:tcBorders>
              <w:bottom w:val="single" w:sz="8" w:color="CFF0FC"/>
            </w:tcBorders>
          </w:tcPr>
          <w:p>
            <w:pPr>
              <w:spacing w:after="0"/>
              <w:rPr>
                <w:sz w:val="13"/>
                <w:szCs w:val="13"/>
                <w:color w:val="auto"/>
              </w:rPr>
            </w:pPr>
          </w:p>
        </w:tc>
      </w:tr>
      <w:tr>
        <w:trPr>
          <w:trHeight w:val="154"/>
        </w:trPr>
        <w:tc>
          <w:tcPr>
            <w:tcW w:w="39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jc w:val="right"/>
              <w:spacing w:after="0" w:line="153" w:lineRule="exact"/>
              <w:rPr>
                <w:sz w:val="20"/>
                <w:szCs w:val="20"/>
                <w:color w:val="auto"/>
              </w:rPr>
            </w:pPr>
            <w:r>
              <w:rPr>
                <w:rFonts w:ascii="Arial" w:cs="Arial" w:eastAsia="Arial" w:hAnsi="Arial"/>
                <w:sz w:val="14"/>
                <w:szCs w:val="14"/>
                <w:b w:val="1"/>
                <w:bCs w:val="1"/>
                <w:color w:val="auto"/>
              </w:rPr>
              <w:t>(in millions)</w:t>
            </w: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r>
      <w:tr>
        <w:trPr>
          <w:trHeight w:val="227"/>
        </w:trPr>
        <w:tc>
          <w:tcPr>
            <w:tcW w:w="3960" w:type="dxa"/>
            <w:vAlign w:val="bottom"/>
          </w:tcPr>
          <w:p>
            <w:pPr>
              <w:spacing w:after="0"/>
              <w:rPr>
                <w:sz w:val="20"/>
                <w:szCs w:val="20"/>
                <w:color w:val="auto"/>
              </w:rPr>
            </w:pPr>
            <w:r>
              <w:rPr>
                <w:rFonts w:ascii="Arial" w:cs="Arial" w:eastAsia="Arial" w:hAnsi="Arial"/>
                <w:sz w:val="18"/>
                <w:szCs w:val="18"/>
                <w:b w:val="1"/>
                <w:bCs w:val="1"/>
                <w:color w:val="auto"/>
              </w:rPr>
              <w:t xml:space="preserve">Revenue by geographic region </w:t>
            </w:r>
            <w:r>
              <w:rPr>
                <w:rFonts w:ascii="Arial" w:cs="Arial" w:eastAsia="Arial" w:hAnsi="Arial"/>
                <w:sz w:val="18"/>
                <w:szCs w:val="18"/>
                <w:color w:val="auto"/>
              </w:rPr>
              <w:t>(1):</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7"/>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United States</w:t>
            </w:r>
          </w:p>
        </w:tc>
        <w:tc>
          <w:tcPr>
            <w:tcW w:w="156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500" w:type="dxa"/>
            <w:vAlign w:val="bottom"/>
            <w:gridSpan w:val="2"/>
            <w:shd w:val="clear" w:color="auto" w:fill="CFF0FC"/>
          </w:tcPr>
          <w:p>
            <w:pPr>
              <w:jc w:val="right"/>
              <w:ind w:right="89"/>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r>
      <w:tr>
        <w:trPr>
          <w:trHeight w:val="227"/>
        </w:trPr>
        <w:tc>
          <w:tcPr>
            <w:tcW w:w="3960" w:type="dxa"/>
            <w:vAlign w:val="bottom"/>
          </w:tcPr>
          <w:p>
            <w:pPr>
              <w:ind w:left="260"/>
              <w:spacing w:after="0"/>
              <w:rPr>
                <w:sz w:val="20"/>
                <w:szCs w:val="20"/>
                <w:color w:val="auto"/>
              </w:rPr>
            </w:pPr>
            <w:r>
              <w:rPr>
                <w:rFonts w:ascii="Arial" w:cs="Arial" w:eastAsia="Arial" w:hAnsi="Arial"/>
                <w:sz w:val="18"/>
                <w:szCs w:val="18"/>
                <w:color w:val="auto"/>
              </w:rPr>
              <w:t>Europe</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w:t>
            </w:r>
          </w:p>
        </w:tc>
        <w:tc>
          <w:tcPr>
            <w:tcW w:w="1500" w:type="dxa"/>
            <w:vAlign w:val="bottom"/>
            <w:gridSpan w:val="2"/>
          </w:tcPr>
          <w:p>
            <w:pPr>
              <w:jc w:val="right"/>
              <w:ind w:right="89"/>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7"/>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ROW</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500" w:type="dxa"/>
            <w:vAlign w:val="bottom"/>
            <w:gridSpan w:val="2"/>
            <w:shd w:val="clear" w:color="auto" w:fill="CFF0FC"/>
          </w:tcPr>
          <w:p>
            <w:pPr>
              <w:jc w:val="right"/>
              <w:ind w:right="29"/>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20"/>
        </w:trPr>
        <w:tc>
          <w:tcPr>
            <w:tcW w:w="3960" w:type="dxa"/>
            <w:vAlign w:val="bottom"/>
          </w:tcPr>
          <w:p>
            <w:pPr>
              <w:ind w:left="38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500" w:type="dxa"/>
            <w:vAlign w:val="bottom"/>
            <w:gridSpan w:val="2"/>
          </w:tcPr>
          <w:p>
            <w:pPr>
              <w:jc w:val="right"/>
              <w:ind w:right="89"/>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9" w:lineRule="exact"/>
        <w:rPr>
          <w:sz w:val="20"/>
          <w:szCs w:val="20"/>
          <w:color w:val="auto"/>
        </w:rPr>
      </w:pPr>
    </w:p>
    <w:p>
      <w:pPr>
        <w:ind w:left="860" w:right="140" w:hanging="426"/>
        <w:spacing w:after="0" w:line="259"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first quarter of 2017, we reclassified Canada, Middle East, Africa, Asia-Pacific (“APAC”) and Latin America (“LATAM”) into rest of world (“ROW”) when presenting our revenue by geographic region. Prior period amounts were reclassified to conform to the current presentation. This change had no effect on our consolidated financial statements in any reporting period.</w:t>
      </w:r>
    </w:p>
    <w:p>
      <w:pPr>
        <w:spacing w:after="0" w:line="184" w:lineRule="exact"/>
        <w:rPr>
          <w:sz w:val="20"/>
          <w:szCs w:val="20"/>
          <w:color w:val="auto"/>
        </w:rPr>
      </w:pPr>
    </w:p>
    <w:p>
      <w:pPr>
        <w:ind w:right="60" w:firstLine="598"/>
        <w:spacing w:after="0" w:line="269" w:lineRule="auto"/>
        <w:rPr>
          <w:sz w:val="20"/>
          <w:szCs w:val="20"/>
          <w:color w:val="auto"/>
        </w:rPr>
      </w:pPr>
      <w:r>
        <w:rPr>
          <w:rFonts w:ascii="Arial" w:cs="Arial" w:eastAsia="Arial" w:hAnsi="Arial"/>
          <w:sz w:val="17"/>
          <w:szCs w:val="17"/>
          <w:color w:val="auto"/>
        </w:rPr>
        <w:t>Our U.S. revenue increased $77 million or 10%, during the year ended December 31, 2017, when compared to the same period in 2016. U. S. revenue represented 56% of total revenue during the year ended December 31, 2017. This revenue increase in the U.S. was due primarily to growth in our Attractions business, as well as an increase in U.S. TripAdvisor-branded click-based and transaction revenue, driven by growth in U.S. revenue per hotel shopper. Our U.S. revenue increased $61 million or 8%, during the year ended December 31, 2016, when compared to the same period in 2015. U. S. revenue represented 54% of total revenue during the year ended December 31, 2016. This revenue increase in U.S. was due primarily to growth in our Attractions business and our U.S. display-based advertising and subscription revenue.</w:t>
      </w:r>
    </w:p>
    <w:p>
      <w:pPr>
        <w:spacing w:after="0" w:line="181" w:lineRule="exact"/>
        <w:rPr>
          <w:sz w:val="20"/>
          <w:szCs w:val="20"/>
          <w:color w:val="auto"/>
        </w:rPr>
      </w:pPr>
    </w:p>
    <w:p>
      <w:pPr>
        <w:ind w:right="100" w:firstLine="598"/>
        <w:spacing w:after="0" w:line="268" w:lineRule="auto"/>
        <w:rPr>
          <w:sz w:val="20"/>
          <w:szCs w:val="20"/>
          <w:color w:val="auto"/>
        </w:rPr>
      </w:pPr>
      <w:r>
        <w:rPr>
          <w:rFonts w:ascii="Arial" w:cs="Arial" w:eastAsia="Arial" w:hAnsi="Arial"/>
          <w:sz w:val="17"/>
          <w:szCs w:val="17"/>
          <w:color w:val="auto"/>
        </w:rPr>
        <w:t>Revenue outside of the U.S., or non-U.S. revenue, decreased $1 million during the year ended December 31, 2017, when compared to the same period in 2016. Non-U.S. revenue decreased $73 million or 10%, during the year ended December 31, 2016, when compared to the same period in 2015. Non-U.S. revenue represented approximately 44%, 46%, and 50% of total revenue during the years ended December 31, 2017, 2016, and 2015, respectively. The decline in our non-U.S. revenue, as a percentage of total revenue during these periods, was primarily driven by the factors noted in the growth of our U.S. revenue discussed above, as well as the timing of our instant booking feature rollout in non-U.S. markets during the first half of 2016, and its associated dilutive impact to Trip-Advisor-branded click-based and transaction revenue, as compared to the rollout in our U.S. market, which was completed in the third quarter of 2015, and to a lesser extent foreign currency fluctuations.</w:t>
      </w:r>
    </w:p>
    <w:p>
      <w:pPr>
        <w:spacing w:after="0" w:line="177" w:lineRule="exact"/>
        <w:rPr>
          <w:sz w:val="20"/>
          <w:szCs w:val="20"/>
          <w:color w:val="auto"/>
        </w:rPr>
      </w:pPr>
    </w:p>
    <w:p>
      <w:pPr>
        <w:jc w:val="right"/>
        <w:ind w:right="9680"/>
        <w:spacing w:after="0"/>
        <w:rPr>
          <w:sz w:val="20"/>
          <w:szCs w:val="20"/>
          <w:color w:val="auto"/>
        </w:rPr>
      </w:pPr>
      <w:r>
        <w:rPr>
          <w:rFonts w:ascii="Arial" w:cs="Arial" w:eastAsia="Arial" w:hAnsi="Arial"/>
          <w:sz w:val="14"/>
          <w:szCs w:val="14"/>
          <w:b w:val="1"/>
          <w:bCs w:val="1"/>
          <w:color w:val="auto"/>
        </w:rPr>
        <w:t>Consolidated Expenses</w:t>
      </w:r>
    </w:p>
    <w:p>
      <w:pPr>
        <w:spacing w:after="0" w:line="163" w:lineRule="exact"/>
        <w:rPr>
          <w:sz w:val="20"/>
          <w:szCs w:val="20"/>
          <w:color w:val="auto"/>
        </w:rPr>
      </w:pPr>
    </w:p>
    <w:p>
      <w:pPr>
        <w:jc w:val="right"/>
        <w:ind w:right="96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3"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ad serving fees, flight search fees, credit card fees and other transaction costs, and data center costs. In addition, cost of revenue includes personnel and overhead expenses, including salaries, benefits, stock-based compensation expense and bonuses for certain customer support personnel who are directly involved in revenue generation.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20" w:type="dxa"/>
            <w:vAlign w:val="bottom"/>
          </w:tcPr>
          <w:p>
            <w:pPr>
              <w:spacing w:after="0"/>
              <w:rPr>
                <w:sz w:val="13"/>
                <w:szCs w:val="13"/>
                <w:color w:val="auto"/>
              </w:rPr>
            </w:pPr>
          </w:p>
        </w:tc>
        <w:tc>
          <w:tcPr>
            <w:tcW w:w="720" w:type="dxa"/>
            <w:vAlign w:val="bottom"/>
            <w:tcBorders>
              <w:top w:val="single" w:sz="8" w:color="auto"/>
            </w:tcBorders>
          </w:tcPr>
          <w:p>
            <w:pPr>
              <w:jc w:val="right"/>
              <w:ind w:right="24"/>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2017 vs 2016</w:t>
            </w:r>
          </w:p>
        </w:tc>
        <w:tc>
          <w:tcPr>
            <w:tcW w:w="100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4"/>
                <w:szCs w:val="14"/>
                <w:b w:val="1"/>
                <w:bCs w:val="1"/>
                <w:color w:val="auto"/>
              </w:rPr>
              <w:t>2016 vs 2015</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720" w:type="dxa"/>
            <w:vAlign w:val="bottom"/>
            <w:shd w:val="clear" w:color="auto" w:fill="CFF0FC"/>
          </w:tcPr>
          <w:p>
            <w:pPr>
              <w:jc w:val="right"/>
              <w:ind w:right="564"/>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 of revenue</w:t>
            </w:r>
          </w:p>
        </w:tc>
        <w:tc>
          <w:tcPr>
            <w:tcW w:w="720" w:type="dxa"/>
            <w:vAlign w:val="bottom"/>
            <w:tcBorders>
              <w:bottom w:val="single" w:sz="8" w:color="auto"/>
            </w:tcBorders>
            <w:shd w:val="clear" w:color="auto" w:fill="CFF0FC"/>
          </w:tcPr>
          <w:p>
            <w:pPr>
              <w:jc w:val="right"/>
              <w:ind w:right="564"/>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4.6%</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5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5"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220" w:lineRule="exact"/>
        <w:rPr>
          <w:sz w:val="20"/>
          <w:szCs w:val="20"/>
          <w:color w:val="auto"/>
        </w:rPr>
      </w:pPr>
    </w:p>
    <w:p>
      <w:pPr>
        <w:ind w:right="100" w:firstLine="598"/>
        <w:spacing w:after="0" w:line="270" w:lineRule="auto"/>
        <w:rPr>
          <w:sz w:val="20"/>
          <w:szCs w:val="20"/>
          <w:color w:val="auto"/>
        </w:rPr>
      </w:pPr>
      <w:r>
        <w:rPr>
          <w:rFonts w:ascii="Arial" w:cs="Arial" w:eastAsia="Arial" w:hAnsi="Arial"/>
          <w:sz w:val="18"/>
          <w:szCs w:val="18"/>
          <w:color w:val="auto"/>
        </w:rPr>
        <w:t>Cost of revenue increased $1 million during the year ended December 31, 2017 when compared to the same period in 2016, primarily due to increased direct costs from merchant credit card and transaction fees in our Non-Hotel segment, as a result of revenue growth.</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220" w:lineRule="exact"/>
        <w:rPr>
          <w:sz w:val="20"/>
          <w:szCs w:val="20"/>
          <w:color w:val="auto"/>
        </w:rPr>
      </w:pPr>
    </w:p>
    <w:p>
      <w:pPr>
        <w:ind w:right="400" w:firstLine="598"/>
        <w:spacing w:after="0" w:line="306" w:lineRule="auto"/>
        <w:rPr>
          <w:sz w:val="20"/>
          <w:szCs w:val="20"/>
          <w:color w:val="auto"/>
        </w:rPr>
      </w:pPr>
      <w:r>
        <w:rPr>
          <w:rFonts w:ascii="Arial" w:cs="Arial" w:eastAsia="Arial" w:hAnsi="Arial"/>
          <w:sz w:val="16"/>
          <w:szCs w:val="16"/>
          <w:color w:val="auto"/>
        </w:rPr>
        <w:t>Cost of revenue increased $13 million during the year ended December 31, 2016, when compared to the same periods in 2015, primarily due to increased direct costs from merchant credit card and transaction fees of $5 million in our Non-Hotel segment, as a result of revenue growth, and to a lesser extent increased personnel costs from increased headcount needed to support business growth and customer support primarily in our Non-Hotel segment.</w:t>
      </w:r>
    </w:p>
    <w:p>
      <w:pPr>
        <w:spacing w:after="0" w:line="25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3" w:lineRule="exact"/>
        <w:rPr>
          <w:sz w:val="20"/>
          <w:szCs w:val="20"/>
          <w:color w:val="auto"/>
        </w:rPr>
      </w:pPr>
    </w:p>
    <w:p>
      <w:pPr>
        <w:ind w:right="40" w:firstLine="638"/>
        <w:spacing w:after="0" w:line="297"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promotions and public relations. In addition, our sales and marketing expenses consist of indirect costs such as personnel and overhead expenses, including salaries, commissions, benefits, stock-based compensation expense and bonuses for sales, sales support, customer support and marketing employees.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5120" w:type="dxa"/>
            <w:vAlign w:val="bottom"/>
          </w:tcPr>
          <w:p>
            <w:pPr>
              <w:spacing w:after="0"/>
              <w:rPr>
                <w:sz w:val="13"/>
                <w:szCs w:val="13"/>
                <w:color w:val="auto"/>
              </w:rPr>
            </w:pPr>
          </w:p>
        </w:tc>
        <w:tc>
          <w:tcPr>
            <w:tcW w:w="6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1280" w:type="dxa"/>
            <w:vAlign w:val="bottom"/>
            <w:tcBorders>
              <w:top w:val="single" w:sz="8" w:color="auto"/>
            </w:tcBorders>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2017 vs 2016</w:t>
            </w:r>
          </w:p>
        </w:tc>
        <w:tc>
          <w:tcPr>
            <w:tcW w:w="100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4"/>
                <w:szCs w:val="14"/>
                <w:b w:val="1"/>
                <w:bCs w:val="1"/>
                <w:color w:val="auto"/>
              </w:rPr>
              <w:t>2016 vs 2015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66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639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210</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selling and marketing</w:t>
            </w:r>
          </w:p>
        </w:tc>
        <w:tc>
          <w:tcPr>
            <w:tcW w:w="660" w:type="dxa"/>
            <w:vAlign w:val="bottom"/>
            <w:tcBorders>
              <w:bottom w:val="single" w:sz="8" w:color="auto"/>
            </w:tcBorders>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849</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54.4%</w:t>
            </w: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220"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Direct selling and marketing costs increased $85 million during the year ended December 31, 2017 when compared to the same period in 2016, primarily due to costs incurred related to the launch of our new television campaign in June of 2017, as well as an increase in SEM and other online traffic acquisition costs of $19 million, driven by our Hotel segment during the first half of 2017, partially offset by a decrease in other advertising costs. We spent $74 million on our television advertising campaign during the year ended December 31, 2017 in our Hotel segment, which we did not incur during the year ended December 31, 2016.</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220" w:lineRule="exact"/>
        <w:rPr>
          <w:sz w:val="20"/>
          <w:szCs w:val="20"/>
          <w:color w:val="auto"/>
        </w:rPr>
      </w:pPr>
    </w:p>
    <w:p>
      <w:pPr>
        <w:ind w:right="80" w:firstLine="598"/>
        <w:spacing w:after="0" w:line="252" w:lineRule="auto"/>
        <w:rPr>
          <w:sz w:val="20"/>
          <w:szCs w:val="20"/>
          <w:color w:val="auto"/>
        </w:rPr>
      </w:pPr>
      <w:r>
        <w:rPr>
          <w:rFonts w:ascii="Arial" w:cs="Arial" w:eastAsia="Arial" w:hAnsi="Arial"/>
          <w:sz w:val="18"/>
          <w:szCs w:val="18"/>
          <w:color w:val="auto"/>
        </w:rPr>
        <w:t>Direct selling and marketing costs increased $40 million during the year ended December 31, 2016 when compared to the same period in 2015, primarily due to increased SEM and other online traffic acquisition costs of $79 million primarily driven by our Hotel segment, partially offset by a decrease in costs related to the cessation of our television advertising campaign. We spent $51 million on our television advertising campaign during the year ended December 31, 2015 in our Hotel segment, which we did not incur during the year ended December 31, 2016. Personnel and overhead costs increased $24 million during the year ended December 31, 2016 when compared to the same period in 2015, primarily due to an increase in headcount in our Non-Hotel segment, which was needed to support business growth.</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3" w:lineRule="exact"/>
        <w:rPr>
          <w:sz w:val="20"/>
          <w:szCs w:val="20"/>
          <w:color w:val="auto"/>
        </w:rPr>
      </w:pPr>
    </w:p>
    <w:p>
      <w:pPr>
        <w:ind w:right="360" w:firstLine="598"/>
        <w:spacing w:after="0" w:line="270"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4" w:name="page45"/>
    <w:bookmarkEnd w:id="44"/>
    <w:p>
      <w:pPr>
        <w:ind w:right="40"/>
        <w:spacing w:after="0" w:line="270" w:lineRule="auto"/>
        <w:rPr>
          <w:sz w:val="20"/>
          <w:szCs w:val="20"/>
          <w:color w:val="auto"/>
        </w:rPr>
      </w:pPr>
      <w:r>
        <w:rPr>
          <w:rFonts w:ascii="Arial" w:cs="Arial" w:eastAsia="Arial" w:hAnsi="Arial"/>
          <w:sz w:val="18"/>
          <w:szCs w:val="18"/>
          <w:color w:val="auto"/>
        </w:rPr>
        <w:t>design, development, testing, content support, and maintenance of our websites and mobile apps. Other costs include licensing, maintenance expense, computer supplies, telecom costs, content translation costs, and consulting costs.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2017 vs 2016</w:t>
            </w:r>
          </w:p>
        </w:tc>
        <w:tc>
          <w:tcPr>
            <w:tcW w:w="100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4"/>
                <w:szCs w:val="14"/>
                <w:b w:val="1"/>
                <w:bCs w:val="1"/>
                <w:color w:val="auto"/>
              </w:rPr>
              <w:t>2016 vs 2015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202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7"/>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0"/>
        </w:trPr>
        <w:tc>
          <w:tcPr>
            <w:tcW w:w="3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technology and content</w:t>
            </w:r>
          </w:p>
        </w:tc>
        <w:tc>
          <w:tcPr>
            <w:tcW w:w="13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1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15.6%</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13"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Technology and content costs remained flat during the year ended December 31, 2017 when compared to the same period in 2016. Personnel and overhead costs increased $6 million during the year ended December 31, 2017, when compared to the same period in 2016, primarily to support our mobile phone and website initiatives, as well as to support business growth, partially offset by a decrease in contingent staff costs. Other costs decreased by $6 million during the year ended December 31, 2017, when compared to the same period in 2016, primarily due to a decrease in content translation costs.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3"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Technology and content costs increased $36 million during the year ended December 31, 2016 when compared to the same period in 2015, primarily due to increased personnel costs, including an increase of $12 million in stock-based compensation, from increased headcount needed to support business growth, including international expansion and enhanced site features.</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3"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executive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 and charitable contributions.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4"/>
        </w:trPr>
        <w:tc>
          <w:tcPr>
            <w:tcW w:w="3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37"/>
              <w:spacing w:after="0" w:line="153"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1320" w:type="dxa"/>
            <w:vAlign w:val="bottom"/>
            <w:tcBorders>
              <w:top w:val="single" w:sz="8" w:color="auto"/>
            </w:tcBorders>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2017 vs 2016</w:t>
            </w:r>
          </w:p>
        </w:tc>
        <w:tc>
          <w:tcPr>
            <w:tcW w:w="100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4"/>
                <w:szCs w:val="14"/>
                <w:b w:val="1"/>
                <w:bCs w:val="1"/>
                <w:color w:val="auto"/>
              </w:rPr>
              <w:t>2016 vs 2015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900" w:type="dxa"/>
            <w:vAlign w:val="bottom"/>
            <w:gridSpan w:val="2"/>
            <w:shd w:val="clear" w:color="auto" w:fill="CFF0FC"/>
          </w:tcPr>
          <w:p>
            <w:pPr>
              <w:jc w:val="right"/>
              <w:ind w:right="48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12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0"/>
        </w:trPr>
        <w:tc>
          <w:tcPr>
            <w:tcW w:w="3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general and administrative</w:t>
            </w:r>
          </w:p>
        </w:tc>
        <w:tc>
          <w:tcPr>
            <w:tcW w:w="126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w:t>
            </w:r>
          </w:p>
        </w:tc>
        <w:tc>
          <w:tcPr>
            <w:tcW w:w="1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1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2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13"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General and administrative costs increased $14 million during the year ended December 31, 2017, when compared to the same period in 2016. Personnel costs and overhead costs increased $15 million during the year ended December 31, 2017, when compared to the same period in 2016, primarily related to an increase in stock-based compensation of $10 million. Professional service fees and other decreased $1 million during the year ended December 31, 2017, when compared to the same period in 2016, primarily due to a decrease in consulting costs and non-income taxes, partially offset by an increase in bad debt costs.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3"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 xml:space="preserve">General and administrative costs decreased $67 million during the year ended December 31, 2016, when compared to the same period in 2015. Personnel costs and overhead costs decreased $5 million during the year ended December 31, 2016, when compared to the same period in 2015. Professional service fees and other also decreased $62 million during the year ended December 31, 2016, when compared to the same period in 2015, primarily due to a non-cash charitable contribution of $67 million during the year ended December 31, 2015, which did not reoccur in 2016, partially offset by increased consulting costs, non-income taxes, and bad debt expense. Refer to “Note 17 –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 in the notes to our consolidated financial statements in Item 8 and below discussion in “Adjusted EBITDA”, for a discussion of this charitable contribution.</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Depreciation</w:t>
      </w:r>
    </w:p>
    <w:p>
      <w:pPr>
        <w:spacing w:after="0" w:line="113" w:lineRule="exact"/>
        <w:rPr>
          <w:sz w:val="20"/>
          <w:szCs w:val="20"/>
          <w:color w:val="auto"/>
        </w:rPr>
      </w:pPr>
    </w:p>
    <w:p>
      <w:pPr>
        <w:ind w:right="500" w:firstLine="598"/>
        <w:spacing w:after="0" w:line="270"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4"/>
        </w:trPr>
        <w:tc>
          <w:tcPr>
            <w:tcW w:w="3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4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4"/>
        </w:trPr>
        <w:tc>
          <w:tcPr>
            <w:tcW w:w="39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7"/>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660" w:type="dxa"/>
            <w:vAlign w:val="bottom"/>
            <w:gridSpan w:val="2"/>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60"/>
              <w:spacing w:after="0"/>
              <w:rPr>
                <w:sz w:val="20"/>
                <w:szCs w:val="20"/>
                <w:color w:val="auto"/>
              </w:rPr>
            </w:pPr>
            <w:r>
              <w:rPr>
                <w:rFonts w:ascii="Arial" w:cs="Arial" w:eastAsia="Arial" w:hAnsi="Arial"/>
                <w:sz w:val="18"/>
                <w:szCs w:val="18"/>
                <w:color w:val="auto"/>
              </w:rPr>
              <w:t>69</w:t>
            </w:r>
          </w:p>
        </w:tc>
        <w:tc>
          <w:tcPr>
            <w:tcW w:w="3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r>
      <w:tr>
        <w:trPr>
          <w:trHeight w:val="227"/>
        </w:trPr>
        <w:tc>
          <w:tcPr>
            <w:tcW w:w="3920" w:type="dxa"/>
            <w:vAlign w:val="bottom"/>
          </w:tcPr>
          <w:p>
            <w:pPr>
              <w:ind w:left="260"/>
              <w:spacing w:after="0"/>
              <w:rPr>
                <w:sz w:val="20"/>
                <w:szCs w:val="20"/>
                <w:color w:val="auto"/>
              </w:rPr>
            </w:pPr>
            <w:r>
              <w:rPr>
                <w:rFonts w:ascii="Arial" w:cs="Arial" w:eastAsia="Arial" w:hAnsi="Arial"/>
                <w:sz w:val="18"/>
                <w:szCs w:val="18"/>
                <w:color w:val="auto"/>
              </w:rPr>
              <w:t>% of revenue</w:t>
            </w:r>
          </w:p>
        </w:tc>
        <w:tc>
          <w:tcPr>
            <w:tcW w:w="2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ind w:right="60" w:firstLine="598"/>
        <w:spacing w:after="0" w:line="292" w:lineRule="auto"/>
        <w:rPr>
          <w:sz w:val="20"/>
          <w:szCs w:val="20"/>
          <w:color w:val="auto"/>
        </w:rPr>
      </w:pPr>
      <w:r>
        <w:rPr>
          <w:rFonts w:ascii="Arial" w:cs="Arial" w:eastAsia="Arial" w:hAnsi="Arial"/>
          <w:sz w:val="16"/>
          <w:szCs w:val="16"/>
          <w:color w:val="auto"/>
        </w:rPr>
        <w:t xml:space="preserve">Depreciation expense increased $10 million during the year ended December 31, 2017 when compared to the same period in 2016, primarily due to increased amortization related to capitalized software and website development costs of $8 million. Depreciation expense increased $12 million during the year ended December 31, 2016 when compared to the same period in 2015, primarily due to increased amortization related to capitalized software and website development costs of $9 million and incremental depreciation on our corporate headquarters building of $1 million. Refer to “Note 13—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notes to our consolidated financial statements in Item 8 for additional information on our corporate headquarters asset.</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4"/>
        </w:trPr>
        <w:tc>
          <w:tcPr>
            <w:tcW w:w="4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4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4"/>
        </w:trPr>
        <w:tc>
          <w:tcPr>
            <w:tcW w:w="45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7"/>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3080" w:type="dxa"/>
            <w:vAlign w:val="bottom"/>
            <w:gridSpan w:val="2"/>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3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r>
      <w:tr>
        <w:trPr>
          <w:trHeight w:val="227"/>
        </w:trPr>
        <w:tc>
          <w:tcPr>
            <w:tcW w:w="4500" w:type="dxa"/>
            <w:vAlign w:val="bottom"/>
          </w:tcPr>
          <w:p>
            <w:pPr>
              <w:ind w:left="260"/>
              <w:spacing w:after="0"/>
              <w:rPr>
                <w:sz w:val="20"/>
                <w:szCs w:val="20"/>
                <w:color w:val="auto"/>
              </w:rPr>
            </w:pPr>
            <w:r>
              <w:rPr>
                <w:rFonts w:ascii="Arial" w:cs="Arial" w:eastAsia="Arial" w:hAnsi="Arial"/>
                <w:sz w:val="18"/>
                <w:szCs w:val="18"/>
                <w:color w:val="auto"/>
              </w:rPr>
              <w:t>% of revenue</w:t>
            </w:r>
          </w:p>
        </w:tc>
        <w:tc>
          <w:tcPr>
            <w:tcW w:w="2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226"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 xml:space="preserve">Amortization of intangible assets remained flat during the year ended December 31, 2017 when compared to the same period in 2016. Amortization of intangible assets decreased $4 million during the year ended December 31, 2016 when compared to the same period in 2015, primarily due to the completion of amortization related to certain intangible assets from previous business acquisitions. Refer to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in the notes to our consolidated financial statements in Item 8 for additional information on our acquisitions.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6" w:name="page47"/>
    <w:bookmarkEnd w:id="46"/>
    <w:p>
      <w:pPr>
        <w:ind w:left="6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3" w:lineRule="exact"/>
        <w:rPr>
          <w:sz w:val="20"/>
          <w:szCs w:val="20"/>
          <w:color w:val="auto"/>
        </w:rPr>
      </w:pPr>
    </w:p>
    <w:p>
      <w:pPr>
        <w:ind w:right="160" w:firstLine="598"/>
        <w:spacing w:after="0" w:line="300" w:lineRule="auto"/>
        <w:rPr>
          <w:sz w:val="20"/>
          <w:szCs w:val="20"/>
          <w:color w:val="auto"/>
        </w:rPr>
      </w:pPr>
      <w:r>
        <w:rPr>
          <w:rFonts w:ascii="Arial" w:cs="Arial" w:eastAsia="Arial" w:hAnsi="Arial"/>
          <w:sz w:val="17"/>
          <w:szCs w:val="17"/>
          <w:color w:val="auto"/>
        </w:rPr>
        <w:t>Interest expense primarily consists of interest incurred, commitment fees and debt issuance cost amortization related to our 2015 Credit Facility, 2016 Credit Facility, and Chinese Credit Facilities, as well as interest on our financing obligation related to our corporate headquarters.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39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60" w:type="dxa"/>
            <w:vAlign w:val="bottom"/>
            <w:tcBorders>
              <w:bottom w:val="single" w:sz="8" w:color="auto"/>
            </w:tcBorders>
          </w:tcPr>
          <w:p>
            <w:pPr>
              <w:jc w:val="right"/>
              <w:ind w:right="69"/>
              <w:spacing w:after="0" w:line="153"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83"/>
              <w:spacing w:after="0" w:line="153"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0"/>
              <w:spacing w:after="0" w:line="153"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4"/>
        </w:trPr>
        <w:tc>
          <w:tcPr>
            <w:tcW w:w="39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right="283"/>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760" w:type="dxa"/>
            <w:vAlign w:val="bottom"/>
            <w:gridSpan w:val="2"/>
            <w:shd w:val="clear" w:color="auto" w:fill="CFF0FC"/>
          </w:tcPr>
          <w:p>
            <w:pPr>
              <w:jc w:val="right"/>
              <w:ind w:right="78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3"/>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39"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color w:val="auto"/>
        </w:rPr>
        <w:t xml:space="preserve">Interest expense increased $3 million during the year ended December 31, 2017 when compared to the same period in 2016, primarily due to an increase in interest incurred due to higher average outstanding borrowings and effective interest rates during the year ended December 31, 2017, primarily on our 2015 Credit Facility. Interest expense increased $2 million during the year ended December 31, 2016 when compared to the same period in 2015, primarily due to an increase of $3 million in interest imputed on our financing obligation related to our corporate headquarters lease in 2016, partially offset by a decrease in interest incurred due to lower average outstanding borrowings during the year ended December 31, 2016, primarily on our 2015 Credit Facility. Refer to “Note 9— </w:t>
      </w:r>
      <w:r>
        <w:rPr>
          <w:rFonts w:ascii="Arial" w:cs="Arial" w:eastAsia="Arial" w:hAnsi="Arial"/>
          <w:sz w:val="16"/>
          <w:szCs w:val="16"/>
          <w:i w:val="1"/>
          <w:iCs w:val="1"/>
          <w:color w:val="auto"/>
        </w:rPr>
        <w:t>Debt</w:t>
      </w:r>
      <w:r>
        <w:rPr>
          <w:rFonts w:ascii="Arial" w:cs="Arial" w:eastAsia="Arial" w:hAnsi="Arial"/>
          <w:sz w:val="16"/>
          <w:szCs w:val="16"/>
          <w:color w:val="auto"/>
        </w:rPr>
        <w:t xml:space="preserve">” and “Note 13—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notes to our consolidated financial statements in Item 8 for additional information on our borrowing facilities and our financing obligation related to our corporate headquarters, respectively.</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3" w:lineRule="exact"/>
        <w:rPr>
          <w:sz w:val="20"/>
          <w:szCs w:val="20"/>
          <w:color w:val="auto"/>
        </w:rPr>
      </w:pPr>
    </w:p>
    <w:p>
      <w:pPr>
        <w:ind w:right="540" w:firstLine="598"/>
        <w:spacing w:after="0" w:line="300" w:lineRule="auto"/>
        <w:rPr>
          <w:sz w:val="20"/>
          <w:szCs w:val="20"/>
          <w:color w:val="auto"/>
        </w:rPr>
      </w:pPr>
      <w:r>
        <w:rPr>
          <w:rFonts w:ascii="Arial" w:cs="Arial" w:eastAsia="Arial" w:hAnsi="Arial"/>
          <w:sz w:val="17"/>
          <w:szCs w:val="17"/>
          <w:color w:val="auto"/>
        </w:rPr>
        <w:t>Interest income and other, net primarily consists of interest earned and amortization of discounts and premiums on our marketable securities, net foreign exchange gains and losses, and gains and losses on sales of our marketable securities and sale of businesses.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4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20" w:type="dxa"/>
            <w:vAlign w:val="bottom"/>
            <w:tcBorders>
              <w:bottom w:val="single" w:sz="8" w:color="auto"/>
            </w:tcBorders>
          </w:tcPr>
          <w:p>
            <w:pPr>
              <w:jc w:val="right"/>
              <w:ind w:right="129"/>
              <w:spacing w:after="0" w:line="153"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83"/>
              <w:spacing w:after="0" w:line="153"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0"/>
              <w:spacing w:after="0" w:line="153"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4"/>
        </w:trPr>
        <w:tc>
          <w:tcPr>
            <w:tcW w:w="4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jc w:val="center"/>
              <w:ind w:right="283"/>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7"/>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3340" w:type="dxa"/>
            <w:vAlign w:val="bottom"/>
            <w:gridSpan w:val="2"/>
            <w:shd w:val="clear" w:color="auto" w:fill="CFF0FC"/>
          </w:tcPr>
          <w:p>
            <w:pPr>
              <w:jc w:val="right"/>
              <w:ind w:right="84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23"/>
              <w:spacing w:after="0"/>
              <w:rPr>
                <w:sz w:val="20"/>
                <w:szCs w:val="20"/>
                <w:color w:val="auto"/>
              </w:rPr>
            </w:pPr>
            <w:r>
              <w:rPr>
                <w:rFonts w:ascii="Arial" w:cs="Arial" w:eastAsia="Arial" w:hAnsi="Arial"/>
                <w:sz w:val="18"/>
                <w:szCs w:val="18"/>
                <w:color w:val="auto"/>
              </w:rPr>
              <w:t>(3)</w:t>
            </w:r>
          </w:p>
        </w:tc>
        <w:tc>
          <w:tcPr>
            <w:tcW w:w="3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13" w:lineRule="exact"/>
        <w:rPr>
          <w:sz w:val="20"/>
          <w:szCs w:val="20"/>
          <w:color w:val="auto"/>
        </w:rPr>
      </w:pPr>
    </w:p>
    <w:p>
      <w:pPr>
        <w:ind w:right="120" w:firstLine="598"/>
        <w:spacing w:after="0" w:line="281" w:lineRule="auto"/>
        <w:rPr>
          <w:sz w:val="20"/>
          <w:szCs w:val="20"/>
          <w:color w:val="auto"/>
        </w:rPr>
      </w:pPr>
      <w:r>
        <w:rPr>
          <w:rFonts w:ascii="Arial" w:cs="Arial" w:eastAsia="Arial" w:hAnsi="Arial"/>
          <w:sz w:val="17"/>
          <w:szCs w:val="17"/>
          <w:color w:val="auto"/>
        </w:rPr>
        <w:t>Interest income and other, net increased $4 million during the year ended December 31, 2017, when compared to the same period in 2016, primarily due to an increase in net foreign currency transaction gains of $6 million, as a result of the fluctuation of foreign exchange rates, partially offset by a loss of $2 million related to one of our cost-method investments recognized during the year ended December 31, 2017.</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3" w:lineRule="exact"/>
        <w:rPr>
          <w:sz w:val="20"/>
          <w:szCs w:val="20"/>
          <w:color w:val="auto"/>
        </w:rPr>
      </w:pPr>
    </w:p>
    <w:p>
      <w:pPr>
        <w:ind w:right="100" w:firstLine="598"/>
        <w:spacing w:after="0" w:line="270" w:lineRule="auto"/>
        <w:rPr>
          <w:sz w:val="20"/>
          <w:szCs w:val="20"/>
          <w:color w:val="auto"/>
        </w:rPr>
      </w:pPr>
      <w:r>
        <w:rPr>
          <w:rFonts w:ascii="Arial" w:cs="Arial" w:eastAsia="Arial" w:hAnsi="Arial"/>
          <w:sz w:val="18"/>
          <w:szCs w:val="18"/>
          <w:color w:val="auto"/>
        </w:rPr>
        <w:t>Interest income and other, net decreased during the year ended December 31, 2016, when compared to the same period in 2015, primarily due to a $20 million gain from sale of business of one of our Chinese subsidiaries in 2015 that did not reoccur in 2016.</w:t>
      </w: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4"/>
        </w:trPr>
        <w:tc>
          <w:tcPr>
            <w:tcW w:w="4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r>
      <w:tr>
        <w:trPr>
          <w:trHeight w:val="153"/>
        </w:trPr>
        <w:tc>
          <w:tcPr>
            <w:tcW w:w="4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7"/>
        </w:trPr>
        <w:tc>
          <w:tcPr>
            <w:tcW w:w="4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20" w:type="dxa"/>
            <w:vAlign w:val="bottom"/>
            <w:gridSpan w:val="2"/>
          </w:tcPr>
          <w:p>
            <w:pPr>
              <w:jc w:val="right"/>
              <w:ind w:right="68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1"/>
              <w:spacing w:after="0"/>
              <w:rPr>
                <w:sz w:val="20"/>
                <w:szCs w:val="20"/>
                <w:color w:val="auto"/>
              </w:rPr>
            </w:pPr>
            <w:r>
              <w:rPr>
                <w:rFonts w:ascii="Arial" w:cs="Arial" w:eastAsia="Arial" w:hAnsi="Arial"/>
                <w:sz w:val="18"/>
                <w:szCs w:val="18"/>
                <w:color w:val="auto"/>
              </w:rPr>
              <w:t>129</w:t>
            </w:r>
          </w:p>
        </w:tc>
        <w:tc>
          <w:tcPr>
            <w:tcW w:w="3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0"/>
              <w:spacing w:after="0"/>
              <w:rPr>
                <w:sz w:val="20"/>
                <w:szCs w:val="20"/>
                <w:color w:val="auto"/>
              </w:rPr>
            </w:pPr>
            <w:r>
              <w:rPr>
                <w:rFonts w:ascii="Arial" w:cs="Arial" w:eastAsia="Arial" w:hAnsi="Arial"/>
                <w:sz w:val="18"/>
                <w:szCs w:val="18"/>
                <w:color w:val="auto"/>
              </w:rPr>
              <w:t>31</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r>
      <w:tr>
        <w:trPr>
          <w:trHeight w:val="228"/>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Effective tax rate</w:t>
            </w:r>
          </w:p>
        </w:tc>
        <w:tc>
          <w:tcPr>
            <w:tcW w:w="2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117.3%</w:t>
            </w: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r>
    </w:tbl>
    <w:p>
      <w:pPr>
        <w:spacing w:after="0" w:line="199"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On December 22, 2017, the 2017 Tax Act was signed into United States tax law. The legislation significantly changes U.S. tax law by, among other provisions, lowering corporate income tax rates, and imposing a repatriation tax on deemed repatriated earnings of foreign subsidiaries. The 2017 Tax Act permanently reduces the U.S.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47" w:name="page48"/>
    <w:bookmarkEnd w:id="47"/>
    <w:p>
      <w:pPr>
        <w:ind w:right="20"/>
        <w:spacing w:after="0" w:line="297" w:lineRule="auto"/>
        <w:rPr>
          <w:sz w:val="20"/>
          <w:szCs w:val="20"/>
          <w:color w:val="auto"/>
        </w:rPr>
      </w:pPr>
      <w:r>
        <w:rPr>
          <w:rFonts w:ascii="Arial" w:cs="Arial" w:eastAsia="Arial" w:hAnsi="Arial"/>
          <w:sz w:val="16"/>
          <w:szCs w:val="16"/>
          <w:color w:val="auto"/>
        </w:rPr>
        <w:t xml:space="preserve">corporate income tax rate from 35% to 21%, effective January 1, 2018. Certain income tax effects of the 2017 Tax Act, including $67 million of tax expense recorded for the Transition Tax, and $6 million recorded for the remeasurement of our net deferred tax assets, are reflected in our financial results in accordance with SAB 118, which provides for a measurement period to complete the accounting for certain elements of the tax reform. Refer to “Note 10 -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our consolidated financial statements in Item 8 for further information on the financial statement impact of the 2017 Tax Act.</w:t>
      </w:r>
    </w:p>
    <w:p>
      <w:pPr>
        <w:spacing w:after="0" w:line="50" w:lineRule="exact"/>
        <w:rPr>
          <w:sz w:val="20"/>
          <w:szCs w:val="20"/>
          <w:color w:val="auto"/>
        </w:rPr>
      </w:pPr>
    </w:p>
    <w:p>
      <w:pPr>
        <w:ind w:right="20" w:firstLine="598"/>
        <w:spacing w:after="0" w:line="306" w:lineRule="auto"/>
        <w:rPr>
          <w:sz w:val="20"/>
          <w:szCs w:val="20"/>
          <w:color w:val="auto"/>
        </w:rPr>
      </w:pPr>
      <w:r>
        <w:rPr>
          <w:rFonts w:ascii="Arial" w:cs="Arial" w:eastAsia="Arial" w:hAnsi="Arial"/>
          <w:sz w:val="16"/>
          <w:szCs w:val="16"/>
          <w:color w:val="auto"/>
        </w:rPr>
        <w:t>Our effective tax rate is higher than the federal statutory rate in the United States primarily due to the mandatory deemed repatriation of accumulated foreign earnings and the remeasurement of our deferred tax assets and liabilities as a result of the recent U.S. tax reform, foreign valuation allowances, and non-deductible stock based compensation. This is partially offset by earnings in jurisdictions outside the United States, where our effective tax rate is lower.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40" w:lineRule="exact"/>
        <w:rPr>
          <w:sz w:val="20"/>
          <w:szCs w:val="20"/>
          <w:color w:val="auto"/>
        </w:rPr>
      </w:pPr>
    </w:p>
    <w:p>
      <w:pPr>
        <w:jc w:val="both"/>
        <w:ind w:right="60" w:firstLine="445"/>
        <w:spacing w:after="0" w:line="306" w:lineRule="auto"/>
        <w:rPr>
          <w:sz w:val="20"/>
          <w:szCs w:val="20"/>
          <w:color w:val="auto"/>
        </w:rPr>
      </w:pPr>
      <w:r>
        <w:rPr>
          <w:rFonts w:ascii="Arial" w:cs="Arial" w:eastAsia="Arial" w:hAnsi="Arial"/>
          <w:sz w:val="16"/>
          <w:szCs w:val="16"/>
          <w:color w:val="auto"/>
        </w:rPr>
        <w:t>Our effective tax rate increased to 117.3% during the year ended December 31, 2017 from 20.5% in the same period in 2016. The change in the effective tax rate for 2017 compared to the 2016 rate was primarily due to the mandatory deemed repatriation of accumulated foreign earnings and the remeasurement of our deferred tax assets and liabilities as a result of the recent U.S. tax reform, foreign valuation allowances, and non-deductible stock based compensation.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3"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 xml:space="preserve">Our effective tax rate increased to 20.5% during the year ended December 31, 2016 from 17.2% in the same period in 2015. The change in the effective tax rate for 2016 compared to the 2015 rate was primarily due to a change in jurisdictional earnings, which includes a non-cash charitable contribution during the year ended December 31, 2015, which did not reoccur in 2016, and the recognition of prior year tax benefits in response to a recent U.S. Tax Court ruling in regards to Altera Corporation on the treatment of stock-based compensation in cost-sharing arrangements. Refer to “Note 10 -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our consolidated financial statements in Item 8 for further information on the impact of this Tax Court ruling.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7" w:lineRule="exact"/>
        <w:rPr>
          <w:sz w:val="20"/>
          <w:szCs w:val="20"/>
          <w:color w:val="auto"/>
        </w:rPr>
      </w:pPr>
    </w:p>
    <w:p>
      <w:pPr>
        <w:ind w:right="60" w:firstLine="598"/>
        <w:spacing w:after="0" w:line="274" w:lineRule="auto"/>
        <w:rPr>
          <w:sz w:val="20"/>
          <w:szCs w:val="20"/>
          <w:color w:val="auto"/>
        </w:rPr>
      </w:pPr>
      <w:r>
        <w:rPr>
          <w:rFonts w:ascii="Arial" w:cs="Arial" w:eastAsia="Arial" w:hAnsi="Arial"/>
          <w:sz w:val="17"/>
          <w:szCs w:val="17"/>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generally accepted accounting principles in the United States (“GAAP”) in such company’s financial statements.</w:t>
      </w:r>
    </w:p>
    <w:p>
      <w:pPr>
        <w:spacing w:after="0" w:line="175" w:lineRule="exact"/>
        <w:rPr>
          <w:sz w:val="20"/>
          <w:szCs w:val="20"/>
          <w:color w:val="auto"/>
        </w:rPr>
      </w:pPr>
    </w:p>
    <w:p>
      <w:pPr>
        <w:ind w:right="100" w:firstLine="598"/>
        <w:spacing w:after="0" w:line="250" w:lineRule="auto"/>
        <w:rPr>
          <w:sz w:val="20"/>
          <w:szCs w:val="20"/>
          <w:color w:val="auto"/>
        </w:rPr>
      </w:pPr>
      <w:r>
        <w:rPr>
          <w:rFonts w:ascii="Arial" w:cs="Arial" w:eastAsia="Arial" w:hAnsi="Arial"/>
          <w:sz w:val="18"/>
          <w:szCs w:val="18"/>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other non-recurring expenses and income.</w:t>
      </w:r>
    </w:p>
    <w:p>
      <w:pPr>
        <w:spacing w:after="0" w:line="198" w:lineRule="exact"/>
        <w:rPr>
          <w:sz w:val="20"/>
          <w:szCs w:val="20"/>
          <w:color w:val="auto"/>
        </w:rPr>
      </w:pPr>
    </w:p>
    <w:p>
      <w:pPr>
        <w:ind w:right="480" w:firstLine="598"/>
        <w:spacing w:after="0" w:line="259"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Some of these limitations are:</w:t>
      </w:r>
    </w:p>
    <w:p>
      <w:pPr>
        <w:spacing w:after="0" w:line="113" w:lineRule="exact"/>
        <w:rPr>
          <w:sz w:val="20"/>
          <w:szCs w:val="20"/>
          <w:color w:val="auto"/>
        </w:rPr>
      </w:pPr>
    </w:p>
    <w:p>
      <w:pPr>
        <w:ind w:left="1180" w:hanging="42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4" w:lineRule="exact"/>
        <w:rPr>
          <w:rFonts w:ascii="Arial" w:cs="Arial" w:eastAsia="Arial" w:hAnsi="Arial"/>
          <w:sz w:val="17"/>
          <w:szCs w:val="17"/>
          <w:color w:val="auto"/>
        </w:rPr>
      </w:pPr>
    </w:p>
    <w:p>
      <w:pPr>
        <w:ind w:left="1180" w:hanging="42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3" w:lineRule="exact"/>
        <w:rPr>
          <w:rFonts w:ascii="Arial" w:cs="Arial" w:eastAsia="Arial" w:hAnsi="Arial"/>
          <w:sz w:val="18"/>
          <w:szCs w:val="18"/>
          <w:color w:val="auto"/>
        </w:rPr>
      </w:pPr>
    </w:p>
    <w:p>
      <w:pPr>
        <w:ind w:left="1180" w:hanging="426"/>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36" w:lineRule="exact"/>
        <w:rPr>
          <w:rFonts w:ascii="Arial" w:cs="Arial" w:eastAsia="Arial" w:hAnsi="Arial"/>
          <w:sz w:val="16"/>
          <w:szCs w:val="16"/>
          <w:color w:val="auto"/>
        </w:rPr>
      </w:pPr>
    </w:p>
    <w:p>
      <w:pPr>
        <w:ind w:left="1180" w:hanging="42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24" w:lineRule="exact"/>
        <w:rPr>
          <w:rFonts w:ascii="Arial" w:cs="Arial" w:eastAsia="Arial" w:hAnsi="Arial"/>
          <w:sz w:val="17"/>
          <w:szCs w:val="17"/>
          <w:color w:val="auto"/>
        </w:rPr>
      </w:pPr>
    </w:p>
    <w:p>
      <w:pPr>
        <w:ind w:left="1180" w:hanging="426"/>
        <w:spacing w:after="0" w:line="259"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7" w:lineRule="exact"/>
        <w:rPr>
          <w:rFonts w:ascii="Arial" w:cs="Arial" w:eastAsia="Arial" w:hAnsi="Arial"/>
          <w:sz w:val="18"/>
          <w:szCs w:val="18"/>
          <w:color w:val="auto"/>
        </w:rPr>
      </w:pPr>
    </w:p>
    <w:p>
      <w:pPr>
        <w:ind w:left="1180" w:hanging="42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3" w:lineRule="exact"/>
        <w:rPr>
          <w:rFonts w:ascii="Arial" w:cs="Arial" w:eastAsia="Arial" w:hAnsi="Arial"/>
          <w:sz w:val="18"/>
          <w:szCs w:val="18"/>
          <w:color w:val="auto"/>
        </w:rPr>
      </w:pPr>
    </w:p>
    <w:p>
      <w:pPr>
        <w:ind w:left="1180" w:right="120" w:hanging="426"/>
        <w:spacing w:after="0" w:line="270"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5" w:lineRule="exact"/>
        <w:rPr>
          <w:sz w:val="20"/>
          <w:szCs w:val="20"/>
          <w:color w:val="auto"/>
        </w:rPr>
      </w:pPr>
    </w:p>
    <w:p>
      <w:pPr>
        <w:ind w:right="460" w:firstLine="598"/>
        <w:spacing w:after="0" w:line="270"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4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Borders>
              <w:bottom w:val="single" w:sz="8" w:color="auto"/>
            </w:tcBorders>
          </w:tcPr>
          <w:p>
            <w:pPr>
              <w:jc w:val="right"/>
              <w:ind w:right="40"/>
              <w:spacing w:after="0" w:line="153"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4"/>
              <w:spacing w:after="0" w:line="153"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4"/>
        </w:trPr>
        <w:tc>
          <w:tcPr>
            <w:tcW w:w="4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82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(19)</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CFF0FC"/>
          </w:tcPr>
          <w:p>
            <w:pPr>
              <w:spacing w:after="0"/>
              <w:rPr>
                <w:sz w:val="19"/>
                <w:szCs w:val="19"/>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Add: Provision for income taxes</w:t>
            </w:r>
          </w:p>
        </w:tc>
        <w:tc>
          <w:tcPr>
            <w:tcW w:w="1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r>
      <w:tr>
        <w:trPr>
          <w:trHeight w:val="227"/>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Add: Other expense (income), net</w:t>
            </w:r>
          </w:p>
        </w:tc>
        <w:tc>
          <w:tcPr>
            <w:tcW w:w="18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Add: Other non-recurring expenses</w:t>
            </w:r>
          </w:p>
        </w:tc>
        <w:tc>
          <w:tcPr>
            <w:tcW w:w="1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7"/>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Add: Non-cash charitable contribution (1)</w:t>
            </w:r>
          </w:p>
        </w:tc>
        <w:tc>
          <w:tcPr>
            <w:tcW w:w="18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Add: Stock-based compensation</w:t>
            </w:r>
          </w:p>
        </w:tc>
        <w:tc>
          <w:tcPr>
            <w:tcW w:w="1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r>
      <w:tr>
        <w:trPr>
          <w:trHeight w:val="227"/>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Add: Amortization of intangible assets</w:t>
            </w:r>
          </w:p>
        </w:tc>
        <w:tc>
          <w:tcPr>
            <w:tcW w:w="18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27"/>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 Depreciation</w:t>
            </w:r>
          </w:p>
        </w:tc>
        <w:tc>
          <w:tcPr>
            <w:tcW w:w="18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tcPr>
          <w:p>
            <w:pPr>
              <w:spacing w:after="0"/>
              <w:rPr>
                <w:sz w:val="19"/>
                <w:szCs w:val="19"/>
                <w:color w:val="auto"/>
              </w:rPr>
            </w:pPr>
          </w:p>
        </w:tc>
      </w:tr>
      <w:tr>
        <w:trPr>
          <w:trHeight w:val="220"/>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8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6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440" w:right="60" w:hanging="433"/>
        <w:spacing w:after="0" w:line="229"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During the fourth quarter of 2015, we incurred an expense in the amount of $67 million to reflect a non-cash contribution to The TripAdvisor Charitable Foundation (the “Foundation”), which was recorded to general and administrative expense in our consolidated statement of operations. We settled this obligation in treasury shares based on the fair value of our common stock on the date the shares were issued to the Foundation. Given the use of stock to settle the obligation, the amount has been excluded from Adjusted EBITDA. TripAdvisor does not expect to make any future contributions to the Foundation. Refer to “Note 17 – </w:t>
      </w:r>
      <w:r>
        <w:rPr>
          <w:rFonts w:ascii="Arial" w:cs="Arial" w:eastAsia="Arial" w:hAnsi="Arial"/>
          <w:sz w:val="14"/>
          <w:szCs w:val="14"/>
          <w:i w:val="1"/>
          <w:iCs w:val="1"/>
          <w:color w:val="auto"/>
        </w:rPr>
        <w:t>Segment and Geographic Information</w:t>
      </w:r>
      <w:r>
        <w:rPr>
          <w:rFonts w:ascii="Arial" w:cs="Arial" w:eastAsia="Arial" w:hAnsi="Arial"/>
          <w:sz w:val="14"/>
          <w:szCs w:val="14"/>
          <w:color w:val="auto"/>
        </w:rPr>
        <w:t>” in the notes to our consolidated financial statements in Item 8 for a discussion of this charitable contribution.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Our principal source of liquidity is cash flows generated from operations, although liquidity needs can also be met through drawdowns under our credit facilities, which are discussed below. As of December 31, 2017 and 2016, we had $735 million and $746 million, respectively, of cash, cash equivalents and short and long-term available-for-sale marketable securities. As of December 31, 2017 approximately $518 million of our cash and cash equivalents, and $62 million of short and long-term available-for-sale marketable securities, were held by our international subsidiaries outside of the United States, with the majority in the United Kingdom</w:t>
      </w:r>
      <w:r>
        <w:rPr>
          <w:rFonts w:ascii="Arial" w:cs="Arial" w:eastAsia="Arial" w:hAnsi="Arial"/>
          <w:sz w:val="13"/>
          <w:szCs w:val="13"/>
          <w:color w:val="auto"/>
        </w:rPr>
        <w:t>.</w:t>
      </w:r>
      <w:r>
        <w:rPr>
          <w:rFonts w:ascii="Arial" w:cs="Arial" w:eastAsia="Arial" w:hAnsi="Arial"/>
          <w:sz w:val="17"/>
          <w:szCs w:val="17"/>
          <w:color w:val="auto"/>
        </w:rPr>
        <w:t xml:space="preserve"> As of December 31, 2017 the majority of total cash on hand is denominated in U.S. dollars.</w:t>
      </w:r>
    </w:p>
    <w:p>
      <w:pPr>
        <w:spacing w:after="0" w:line="178"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As of December 31, 2017, we had outstanding borrowings of $230 million in long-term debt, within our U.S subsidiaries, and approximately $967 million of borrowing capacity available under our 2015 Credit Facility. The weighted average rate of our outstanding borrowings under the 2015 Credit Facility as of December 31, 2017 was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49" w:name="page50"/>
    <w:bookmarkEnd w:id="49"/>
    <w:p>
      <w:pPr>
        <w:ind w:right="120"/>
        <w:spacing w:after="0" w:line="268" w:lineRule="auto"/>
        <w:rPr>
          <w:sz w:val="20"/>
          <w:szCs w:val="20"/>
          <w:color w:val="auto"/>
        </w:rPr>
      </w:pPr>
      <w:r>
        <w:rPr>
          <w:rFonts w:ascii="Arial" w:cs="Arial" w:eastAsia="Arial" w:hAnsi="Arial"/>
          <w:sz w:val="17"/>
          <w:szCs w:val="17"/>
          <w:color w:val="auto"/>
        </w:rPr>
        <w:t xml:space="preserve">2.74% per annum, under a one-month interest period, which will reset periodically. Refer to “Note 20—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in the notes to our consolidated financial statements in Item 8 for additional information on the subsequent repayment of our $230 million of outstanding borrowings under our 2015 Credit Facility in 2018. In addition, we had $73 million borrowing capacity available under our 2016 Credit Facility with no outstanding borrowing as of December 31, 2017. Finally, as of December 31, 2017, we had short-term borrowings of $7 million and approximately $33 million of available borrowing capacity under our Chinese Credit Facilities, which bear interest at a rate based on People’s Bank of China benchmark, including certain adjustments which may be made in accordance with the market condition at the time of borrowing, or a weighted average rate of 5.00%. For further discussion on our credit facilities, see below, and also refer to “Note 9—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consolidated financial statements in Item 8.</w:t>
      </w:r>
    </w:p>
    <w:p>
      <w:pPr>
        <w:spacing w:after="0" w:line="181" w:lineRule="exact"/>
        <w:rPr>
          <w:sz w:val="20"/>
          <w:szCs w:val="20"/>
          <w:color w:val="auto"/>
        </w:rPr>
      </w:pPr>
    </w:p>
    <w:p>
      <w:pPr>
        <w:ind w:right="100" w:firstLine="598"/>
        <w:spacing w:after="0" w:line="287" w:lineRule="auto"/>
        <w:rPr>
          <w:sz w:val="20"/>
          <w:szCs w:val="20"/>
          <w:color w:val="auto"/>
        </w:rPr>
      </w:pPr>
      <w:r>
        <w:rPr>
          <w:rFonts w:ascii="Arial" w:cs="Arial" w:eastAsia="Arial" w:hAnsi="Arial"/>
          <w:sz w:val="16"/>
          <w:szCs w:val="16"/>
          <w:color w:val="auto"/>
        </w:rPr>
        <w:t xml:space="preserve">Cumulative undistributed earnings of foreign subsidiaries totaled approximately $882 million as of December 31, 2017. Subsequent to December 31, 2017, on February 2, 2018, TripAdvisor made a one-time repatriation of $325 million of foreign earnings to the United States primarily to repay our remaining outstanding borrowings under the 2015 Credit Facility. Refer to “Note 20— </w:t>
      </w:r>
      <w:r>
        <w:rPr>
          <w:rFonts w:ascii="Arial" w:cs="Arial" w:eastAsia="Arial" w:hAnsi="Arial"/>
          <w:sz w:val="16"/>
          <w:szCs w:val="16"/>
          <w:i w:val="1"/>
          <w:iCs w:val="1"/>
          <w:color w:val="auto"/>
        </w:rPr>
        <w:t>Subsequent Events</w:t>
      </w:r>
      <w:r>
        <w:rPr>
          <w:rFonts w:ascii="Arial" w:cs="Arial" w:eastAsia="Arial" w:hAnsi="Arial"/>
          <w:sz w:val="16"/>
          <w:szCs w:val="16"/>
          <w:color w:val="auto"/>
        </w:rPr>
        <w:t>” in the notes to our consolidated financial statements in Item 8 for additional information on this repatriation. TripAdvisor intends to indefinitely reinvest the remaining foreign undistributed earnings of $557 million,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169" w:lineRule="exact"/>
        <w:rPr>
          <w:sz w:val="20"/>
          <w:szCs w:val="20"/>
          <w:color w:val="auto"/>
        </w:rPr>
      </w:pPr>
    </w:p>
    <w:p>
      <w:pPr>
        <w:ind w:right="60" w:firstLine="598"/>
        <w:spacing w:after="0" w:line="286" w:lineRule="auto"/>
        <w:rPr>
          <w:sz w:val="20"/>
          <w:szCs w:val="20"/>
          <w:color w:val="auto"/>
        </w:rPr>
      </w:pPr>
      <w:r>
        <w:rPr>
          <w:rFonts w:ascii="Arial" w:cs="Arial" w:eastAsia="Arial" w:hAnsi="Arial"/>
          <w:sz w:val="16"/>
          <w:szCs w:val="16"/>
          <w:color w:val="auto"/>
        </w:rPr>
        <w:t>Certain transactions have seasonal fluctuations that affect the timing of our annual cash flows related to working capital. In our Vacation Rentals free-to-list model and our Attractions business, we receive cash from travelers at the time of booking and we record these amounts, net of commissions, on our consolidated balance sheets as deferred merchant payables. We pay the suppliers, or the vacation rental owners and tour providers, respectively, after the travelers’ use. Therefore, we receive cash from the traveler prior to paying the supplier and this operating cycle represents a working capital source or use of cash to us. During the first half of the year vacation rentals and attractions bookings typically exceed stays and tour-taking, resulting in higher cash flow related to working capital, while during the second half of the year, particularly in the third quarter, this pattern reverses and cash flows from these transactions are typically negative. While we expect the impact of seasonal fluctuations to continue, further significant shifts in our business mix or adverse economic conditions could result in future seasonal patterns that are different from historical trends.</w:t>
      </w:r>
    </w:p>
    <w:p>
      <w:pPr>
        <w:spacing w:after="0" w:line="168" w:lineRule="exact"/>
        <w:rPr>
          <w:sz w:val="20"/>
          <w:szCs w:val="20"/>
          <w:color w:val="auto"/>
        </w:rPr>
      </w:pPr>
    </w:p>
    <w:p>
      <w:pPr>
        <w:ind w:right="40" w:firstLine="598"/>
        <w:spacing w:after="0" w:line="251"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During the year ended December 31, 2015, we did not repurchase any shares of outstanding common stock under the share repurchase program. During the year ended December 31, 2016, we repurchased 2,002,356 shares of outstanding common stock under the share repurchase program at an average cost of $52.35 per share, or $105 million, and completed this share repurchase program. On January 25, 2017, our Board of Directors authorized the repurchase of $250 million of our shares of common stock under a new share repurchase program. During the year ended December 31, 2017, we repurchased a total of 6,079,003 shares of the Company’s outstanding common stock at an average share price of $41.13, or $250 million in the aggregate, and completed this share repurchase program.</w:t>
      </w:r>
    </w:p>
    <w:p>
      <w:pPr>
        <w:spacing w:after="0" w:line="8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 xml:space="preserve">On January 31, 2018, TripAdvisor’s Board of Directors authorized up to $250 million of share repurchases. This new repurchase program has no expiration but may be suspended or terminated by the Board of Directors at any time. Refer to “Note 20—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notes to our consolidated financial statements in Item 8 for additional information on this repurchase program.</w:t>
      </w:r>
    </w:p>
    <w:p>
      <w:pPr>
        <w:spacing w:after="0" w:line="184" w:lineRule="exact"/>
        <w:rPr>
          <w:sz w:val="20"/>
          <w:szCs w:val="20"/>
          <w:color w:val="auto"/>
        </w:rPr>
      </w:pPr>
    </w:p>
    <w:p>
      <w:pPr>
        <w:ind w:firstLine="598"/>
        <w:spacing w:after="0" w:line="292" w:lineRule="auto"/>
        <w:rPr>
          <w:sz w:val="20"/>
          <w:szCs w:val="20"/>
          <w:color w:val="auto"/>
        </w:rPr>
      </w:pPr>
      <w:r>
        <w:rPr>
          <w:rFonts w:ascii="Arial" w:cs="Arial" w:eastAsia="Arial" w:hAnsi="Arial"/>
          <w:sz w:val="16"/>
          <w:szCs w:val="16"/>
          <w:color w:val="auto"/>
        </w:rPr>
        <w:t>We believe that our available cash and marketable securities, combined with expected cash flows generated by operating activities and available cash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 and/or other expenditures in support of our business strategy; thus potentially reducing our cash balance and/or increasing our debt. We expect total capital expenditures for 2018 to be comparable to our 2017 spending levels.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50" w:name="page51"/>
    <w:bookmarkEnd w:id="50"/>
    <w:p>
      <w:pPr>
        <w:ind w:right="440" w:firstLine="598"/>
        <w:spacing w:after="0" w:line="270"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statements of cash flows, are summarized in the following table: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4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00" w:type="dxa"/>
            <w:vAlign w:val="bottom"/>
            <w:tcBorders>
              <w:bottom w:val="single" w:sz="8" w:color="auto"/>
            </w:tcBorders>
          </w:tcPr>
          <w:p>
            <w:pPr>
              <w:jc w:val="right"/>
              <w:ind w:right="9"/>
              <w:spacing w:after="0" w:line="153"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78"/>
              <w:spacing w:after="0" w:line="153"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3"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54"/>
        </w:trPr>
        <w:tc>
          <w:tcPr>
            <w:tcW w:w="4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right="278"/>
              <w:spacing w:after="0" w:line="153" w:lineRule="exact"/>
              <w:rPr>
                <w:sz w:val="20"/>
                <w:szCs w:val="20"/>
                <w:color w:val="auto"/>
              </w:rPr>
            </w:pPr>
            <w:r>
              <w:rPr>
                <w:rFonts w:ascii="Arial" w:cs="Arial" w:eastAsia="Arial" w:hAnsi="Arial"/>
                <w:sz w:val="14"/>
                <w:szCs w:val="14"/>
                <w:b w:val="1"/>
                <w:bCs w:val="1"/>
                <w:color w:val="auto"/>
                <w:w w:val="91"/>
              </w:rPr>
              <w:t>(in millions)</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7"/>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45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3160" w:type="dxa"/>
            <w:vAlign w:val="bottom"/>
            <w:gridSpan w:val="2"/>
          </w:tcPr>
          <w:p>
            <w:pPr>
              <w:jc w:val="right"/>
              <w:ind w:right="72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3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8"/>
              <w:spacing w:after="0"/>
              <w:rPr>
                <w:sz w:val="20"/>
                <w:szCs w:val="20"/>
                <w:color w:val="auto"/>
              </w:rPr>
            </w:pPr>
            <w:r>
              <w:rPr>
                <w:rFonts w:ascii="Arial" w:cs="Arial" w:eastAsia="Arial" w:hAnsi="Arial"/>
                <w:sz w:val="18"/>
                <w:szCs w:val="18"/>
                <w:color w:val="auto"/>
              </w:rPr>
              <w:t>321</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r>
      <w:tr>
        <w:trPr>
          <w:trHeight w:val="227"/>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(163)</w:t>
            </w:r>
          </w:p>
        </w:tc>
        <w:tc>
          <w:tcPr>
            <w:tcW w:w="3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w:t>
            </w:r>
          </w:p>
        </w:tc>
      </w:tr>
      <w:tr>
        <w:trPr>
          <w:trHeight w:val="227"/>
        </w:trPr>
        <w:tc>
          <w:tcPr>
            <w:tcW w:w="452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2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3" w:lineRule="exact"/>
        <w:rPr>
          <w:sz w:val="20"/>
          <w:szCs w:val="20"/>
          <w:color w:val="auto"/>
        </w:rPr>
      </w:pPr>
    </w:p>
    <w:p>
      <w:pPr>
        <w:ind w:right="140" w:firstLine="598"/>
        <w:spacing w:after="0" w:line="253" w:lineRule="auto"/>
        <w:rPr>
          <w:sz w:val="20"/>
          <w:szCs w:val="20"/>
          <w:color w:val="auto"/>
        </w:rPr>
      </w:pPr>
      <w:r>
        <w:rPr>
          <w:rFonts w:ascii="Arial" w:cs="Arial" w:eastAsia="Arial" w:hAnsi="Arial"/>
          <w:sz w:val="18"/>
          <w:szCs w:val="18"/>
          <w:color w:val="auto"/>
        </w:rPr>
        <w:t>For the year ended December 31, 2017, net cash provided by operating activities decreased by $83 million or 26% when compared to the same period in 2016, primarily due to a decrease in net income of $139 million and a net decrease in working capital movements of $14 million, partially offset by an increase in non-cash items affecting cash flow of $70 million which is primarily due to an increase in the following items: deferred tax expenses; stock-based compensation; and depreciation. The decrease in working capital movements of $14 million was primarily due to timing of collection of receivables, income tax payments, vendor payments, and deferred merchant payments.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3"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For the year ended December 31, 2017, net cash provided by investing activities increased by $169 million when compared to the same period in 2016, primarily due to a net increase in cash provided from the purchases, sales and maturities of our marketable securities of $120 million, a decrease in cash paid for business acquisitions of $43 million and a decrease in capital expenditures of $8 million.</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3" w:lineRule="exact"/>
        <w:rPr>
          <w:sz w:val="20"/>
          <w:szCs w:val="20"/>
          <w:color w:val="auto"/>
        </w:rPr>
      </w:pPr>
    </w:p>
    <w:p>
      <w:pPr>
        <w:ind w:right="20" w:firstLine="598"/>
        <w:spacing w:after="0" w:line="292" w:lineRule="auto"/>
        <w:rPr>
          <w:sz w:val="20"/>
          <w:szCs w:val="20"/>
          <w:color w:val="auto"/>
        </w:rPr>
      </w:pPr>
      <w:r>
        <w:rPr>
          <w:rFonts w:ascii="Arial" w:cs="Arial" w:eastAsia="Arial" w:hAnsi="Arial"/>
          <w:sz w:val="16"/>
          <w:szCs w:val="16"/>
          <w:color w:val="auto"/>
        </w:rPr>
        <w:t>For the year ended December 31, 2017, net cash used in financing activities increased by $57 million when compared to the same period in 2016, primarily due to an increase of $145 million in cash used in 2017 to purchase shares of our common stock under our authorized share repurchase program in 2017, net new borrowings on our 2016 Credit Facility of $73 million in 2016 which was subsequently repaid in 2017, net borrowings under our Chinese Credit Facility of $6 million in 2016 which did not reoccur in 2017, partially offset by an increase in net borrowings under our 2015 Credit Facility of $246 million for the year ended December 31, 2017, when compared to the same period in 2016. Refer to the discussion of our credit facilities below.</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2016 vs. 2015</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3" w:lineRule="exact"/>
        <w:rPr>
          <w:sz w:val="20"/>
          <w:szCs w:val="20"/>
          <w:color w:val="auto"/>
        </w:rPr>
      </w:pPr>
    </w:p>
    <w:p>
      <w:pPr>
        <w:ind w:right="140" w:firstLine="598"/>
        <w:spacing w:after="0" w:line="281" w:lineRule="auto"/>
        <w:rPr>
          <w:sz w:val="20"/>
          <w:szCs w:val="20"/>
          <w:color w:val="auto"/>
        </w:rPr>
      </w:pPr>
      <w:r>
        <w:rPr>
          <w:rFonts w:ascii="Arial" w:cs="Arial" w:eastAsia="Arial" w:hAnsi="Arial"/>
          <w:sz w:val="17"/>
          <w:szCs w:val="17"/>
          <w:color w:val="auto"/>
        </w:rPr>
        <w:t>For the year ended December 31, 2016, net cash provided by operating activities decreased by $97 million or 23% when compared to the same period in 2015, primarily due to a decrease in net income of $78 million and a decrease in working capital movements of $11 million, which was primarily due to timing of collection of receivables, income tax payments, vendor payments, and deferred merchant payments.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3" w:lineRule="exact"/>
        <w:rPr>
          <w:sz w:val="20"/>
          <w:szCs w:val="20"/>
          <w:color w:val="auto"/>
        </w:rPr>
      </w:pPr>
    </w:p>
    <w:p>
      <w:pPr>
        <w:ind w:right="260" w:firstLine="598"/>
        <w:spacing w:after="0" w:line="253" w:lineRule="auto"/>
        <w:rPr>
          <w:sz w:val="20"/>
          <w:szCs w:val="20"/>
          <w:color w:val="auto"/>
        </w:rPr>
      </w:pPr>
      <w:r>
        <w:rPr>
          <w:rFonts w:ascii="Arial" w:cs="Arial" w:eastAsia="Arial" w:hAnsi="Arial"/>
          <w:sz w:val="18"/>
          <w:szCs w:val="18"/>
          <w:color w:val="auto"/>
        </w:rPr>
        <w:t>For the year ended December 31, 2016, net cash used in investing activities increased by $105 million when compared to the same period in 2016, primarily due to a net increase in cash used for the purchases, sales and maturities of our marketable securities of $103 million, net proceeds from the sale of one of our Chinese subsidiaries of $25 million in 2015 which did not reoccur in 2016, and a net increase in cash paid for business acquisitions and other investments of $14 million, partially offset by a decrease in capital expenditures of $37 million, primarily related to the completion of our corporate headquarters building in mid-2015.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1" w:name="page52"/>
    <w:bookmarkEnd w:id="51"/>
    <w:p>
      <w:pPr>
        <w:ind w:left="6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3" w:lineRule="exact"/>
        <w:rPr>
          <w:sz w:val="20"/>
          <w:szCs w:val="20"/>
          <w:color w:val="auto"/>
        </w:rPr>
      </w:pPr>
    </w:p>
    <w:p>
      <w:pPr>
        <w:ind w:right="60" w:firstLine="598"/>
        <w:spacing w:after="0" w:line="250" w:lineRule="auto"/>
        <w:rPr>
          <w:sz w:val="20"/>
          <w:szCs w:val="20"/>
          <w:color w:val="auto"/>
        </w:rPr>
      </w:pPr>
      <w:r>
        <w:rPr>
          <w:rFonts w:ascii="Arial" w:cs="Arial" w:eastAsia="Arial" w:hAnsi="Arial"/>
          <w:sz w:val="18"/>
          <w:szCs w:val="18"/>
          <w:color w:val="auto"/>
        </w:rPr>
        <w:t>For the year ended December 31, 2016, net cash used in financing activities decreased by $46 million when compared to the same period in 2015, primarily due to: (i) a repayment of our 2011 credit facility of $300 million in 2015, (ii) a decrease in borrowings of $186 million in 2016 from our 2015 Credit Facility, (iii) incremental borrowings of $3 million and a decrease in repayments of $40 million in 2016 on our Chinese Credit Facilities, (iv) a decrease in tax withholding payments of $58 million and cash received for stock option exercises of $5 million in 2016 primarily related to a decrease in the number of stock options exercised and lower average stock price in 2016, and (v) borrowings on our 2016 Credit Facility of $73 million in 2016; partially offset by (i) an increase in repayments of $120 million in 2016 related to our 2015 Credit Facility, (ii) payments of $105 million for common stock share repurchases under an authorized share repurchase program in 2016, and (iii) $12 million in lease incentive payments received related to our corporate headquarters in 2015 that did not reoccur in 2016.</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aggregates our material contractual obligations and minimum commercial commitments as of December 31,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By Period</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to 3 years</w:t>
            </w:r>
          </w:p>
        </w:tc>
        <w:tc>
          <w:tcPr>
            <w:tcW w:w="120" w:type="dxa"/>
            <w:vAlign w:val="bottom"/>
          </w:tcPr>
          <w:p>
            <w:pPr>
              <w:spacing w:after="0"/>
              <w:rPr>
                <w:sz w:val="11"/>
                <w:szCs w:val="11"/>
                <w:color w:val="auto"/>
              </w:rPr>
            </w:pPr>
          </w:p>
        </w:tc>
        <w:tc>
          <w:tcPr>
            <w:tcW w:w="8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3 to 5 years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ind w:left="40"/>
              <w:spacing w:after="0" w:line="131"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3"/>
        </w:trPr>
        <w:tc>
          <w:tcPr>
            <w:tcW w:w="5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40"/>
              <w:spacing w:after="0" w:line="153"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240" w:type="dxa"/>
            <w:vAlign w:val="bottom"/>
          </w:tcPr>
          <w:p>
            <w:pPr>
              <w:spacing w:after="0"/>
              <w:rPr>
                <w:sz w:val="20"/>
                <w:szCs w:val="20"/>
                <w:color w:val="auto"/>
              </w:rPr>
            </w:pPr>
            <w:r>
              <w:rPr>
                <w:rFonts w:ascii="Arial" w:cs="Arial" w:eastAsia="Arial" w:hAnsi="Arial"/>
                <w:sz w:val="18"/>
                <w:szCs w:val="18"/>
                <w:color w:val="auto"/>
              </w:rPr>
              <w:t>2015 Credit Facility and Chinese Credit Facilities (1)</w:t>
            </w:r>
          </w:p>
        </w:tc>
        <w:tc>
          <w:tcPr>
            <w:tcW w:w="76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237</w:t>
            </w:r>
          </w:p>
        </w:tc>
        <w:tc>
          <w:tcPr>
            <w:tcW w:w="220" w:type="dxa"/>
            <w:vAlign w:val="bottom"/>
          </w:tcPr>
          <w:p>
            <w:pPr>
              <w:spacing w:after="0"/>
              <w:rPr>
                <w:sz w:val="19"/>
                <w:szCs w:val="19"/>
                <w:color w:val="auto"/>
              </w:rPr>
            </w:pPr>
          </w:p>
        </w:tc>
        <w:tc>
          <w:tcPr>
            <w:tcW w:w="820" w:type="dxa"/>
            <w:vAlign w:val="bottom"/>
          </w:tcPr>
          <w:p>
            <w:pPr>
              <w:jc w:val="right"/>
              <w:ind w:right="640"/>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w w:val="90"/>
              </w:rPr>
              <w:t>Expected interest and commitment fee payments on 2015 Credit Facility</w:t>
            </w: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ind w:left="720"/>
              <w:spacing w:after="0"/>
              <w:rPr>
                <w:sz w:val="20"/>
                <w:szCs w:val="20"/>
                <w:color w:val="auto"/>
              </w:rPr>
            </w:pPr>
            <w:r>
              <w:rPr>
                <w:rFonts w:ascii="Arial" w:cs="Arial" w:eastAsia="Arial" w:hAnsi="Arial"/>
                <w:sz w:val="18"/>
                <w:szCs w:val="18"/>
                <w:color w:val="auto"/>
                <w:w w:val="79"/>
              </w:rPr>
              <w:t>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Property leases, net of sublease income (3)</w:t>
            </w: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228</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79"/>
              </w:rPr>
              <w:t>53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89"/>
              </w:rPr>
              <w:t>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(4)(5)</w:t>
            </w:r>
          </w:p>
        </w:tc>
        <w:tc>
          <w:tcPr>
            <w:tcW w:w="760" w:type="dxa"/>
            <w:vAlign w:val="bottom"/>
            <w:gridSpan w:val="2"/>
            <w:shd w:val="clear" w:color="auto" w:fill="CFF0FC"/>
          </w:tcPr>
          <w:p>
            <w:pPr>
              <w:jc w:val="right"/>
              <w:ind w:right="529"/>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499</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6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ind w:left="720"/>
              <w:spacing w:after="0"/>
              <w:rPr>
                <w:sz w:val="20"/>
                <w:szCs w:val="20"/>
                <w:color w:val="auto"/>
              </w:rPr>
            </w:pPr>
            <w:r>
              <w:rPr>
                <w:rFonts w:ascii="Arial" w:cs="Arial" w:eastAsia="Arial" w:hAnsi="Arial"/>
                <w:sz w:val="18"/>
                <w:szCs w:val="18"/>
                <w:color w:val="auto"/>
                <w:w w:val="79"/>
              </w:rPr>
              <w:t>69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9"/>
              </w:rPr>
              <w:t>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600" w:right="60" w:hanging="593"/>
        <w:spacing w:after="0" w:line="250"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Debt repayment amounts assume that our existing debt under our 2015 Credit Facility, or $230 million, is repaid at the end of the credit agreement and do not assume additional borrowings or refinancing of existing debt. Refer to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consolidated financial statements in Item 8 for additional information on our 2015 Credit Facility and Chinese Credit Facilities. Refer to “Note 20—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notes to our consolidated financial statements in Item 8 for additional information on the subsequent repayment of our outstanding borrowings under our 2015 Credit Facility in 2018.</w:t>
      </w:r>
    </w:p>
    <w:p>
      <w:pPr>
        <w:spacing w:after="0" w:line="2" w:lineRule="exact"/>
        <w:rPr>
          <w:rFonts w:ascii="Arial" w:cs="Arial" w:eastAsia="Arial" w:hAnsi="Arial"/>
          <w:sz w:val="18"/>
          <w:szCs w:val="18"/>
          <w:color w:val="auto"/>
        </w:rPr>
      </w:pPr>
    </w:p>
    <w:p>
      <w:pPr>
        <w:ind w:left="600" w:right="120" w:hanging="593"/>
        <w:spacing w:after="0" w:line="278"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Expected interest payments on the 2015 Credit Facility are based on the effective interest rate and outstanding borrowings as of December 31, 2017, but could change significantly in the future. Amounts assume that our existing debt is repaid at the end of the credit agreement and do not assume additional borrowings or refinancing of existing debt. Expected commitment fee payments are based on the unused portion of credit facility, issued letters of credit, and current effective commitment fee rate as of December 31, 2017; however, these variables could change significantly in the future. Refer to “Note 9—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consolidated financial statements in Item 8 for additional information on our 2015 Credit Facility.</w:t>
      </w:r>
    </w:p>
    <w:p>
      <w:pPr>
        <w:spacing w:after="0" w:line="2" w:lineRule="exact"/>
        <w:rPr>
          <w:rFonts w:ascii="Arial" w:cs="Arial" w:eastAsia="Arial" w:hAnsi="Arial"/>
          <w:sz w:val="16"/>
          <w:szCs w:val="16"/>
          <w:color w:val="auto"/>
        </w:rPr>
      </w:pPr>
    </w:p>
    <w:p>
      <w:pPr>
        <w:ind w:left="600" w:right="480" w:hanging="593"/>
        <w:spacing w:after="0" w:line="24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Estimated future minimum rental payments under operating leases with non-cancelable lease terms, including our corporate headquarters lease in Needham, MA. Refer to discussion under “Office Lease Commitments” below.</w:t>
      </w:r>
    </w:p>
    <w:p>
      <w:pPr>
        <w:spacing w:after="0" w:line="1" w:lineRule="exact"/>
        <w:rPr>
          <w:rFonts w:ascii="Arial" w:cs="Arial" w:eastAsia="Arial" w:hAnsi="Arial"/>
          <w:sz w:val="18"/>
          <w:szCs w:val="18"/>
          <w:color w:val="auto"/>
        </w:rPr>
      </w:pPr>
    </w:p>
    <w:p>
      <w:pPr>
        <w:ind w:left="600" w:hanging="593"/>
        <w:spacing w:after="0" w:line="262"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Excluded from the table was $127 million of unrecognized tax benefits, including interest, that we have recorded in other long-term liabilities for which we cannot make a reasonably reliable estimate of the amount and period of payment. We do not anticipate any material changes in the next year. Also excluded from the table was $61 million of estimated Transition Tax related to the 2017 Tax Act recorded in long-term liabilities on the consolidated balance sheet at December 31, 2017, that we believe the majority will be paid more than five years from December 31, 2017. Refer to “Note 10 -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 the notes to our consolidated financial statements in Item 8 for further discussion of these amounts.</w:t>
      </w:r>
    </w:p>
    <w:p>
      <w:pPr>
        <w:spacing w:after="0" w:line="1" w:lineRule="exact"/>
        <w:rPr>
          <w:rFonts w:ascii="Arial" w:cs="Arial" w:eastAsia="Arial" w:hAnsi="Arial"/>
          <w:sz w:val="17"/>
          <w:szCs w:val="17"/>
          <w:color w:val="auto"/>
        </w:rPr>
      </w:pPr>
    </w:p>
    <w:p>
      <w:pPr>
        <w:ind w:left="420" w:hanging="382"/>
        <w:spacing w:after="0"/>
        <w:tabs>
          <w:tab w:leader="none" w:pos="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Excluded from the table was $3 million of undrawn standby letters of credit, related to our property leases.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2015 Credit Facility</w:t>
      </w:r>
    </w:p>
    <w:p>
      <w:pPr>
        <w:spacing w:after="0" w:line="117" w:lineRule="exact"/>
        <w:rPr>
          <w:sz w:val="20"/>
          <w:szCs w:val="20"/>
          <w:color w:val="auto"/>
        </w:rPr>
      </w:pPr>
    </w:p>
    <w:p>
      <w:pPr>
        <w:ind w:right="420" w:firstLine="631"/>
        <w:spacing w:after="0" w:line="270" w:lineRule="auto"/>
        <w:rPr>
          <w:sz w:val="20"/>
          <w:szCs w:val="20"/>
          <w:color w:val="auto"/>
        </w:rPr>
      </w:pPr>
      <w:r>
        <w:rPr>
          <w:rFonts w:ascii="Arial" w:cs="Arial" w:eastAsia="Arial" w:hAnsi="Arial"/>
          <w:sz w:val="18"/>
          <w:szCs w:val="18"/>
          <w:color w:val="auto"/>
        </w:rPr>
        <w:t>In June 2015, we entered into a five year credit agreement with a group of lenders which, among other things, provided for a $1 billion unsecured revolving credit facility (the “2015 Credit Facility”) and immediately borrowed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52" w:name="page53"/>
    <w:bookmarkEnd w:id="52"/>
    <w:p>
      <w:pPr>
        <w:spacing w:after="0" w:line="250" w:lineRule="auto"/>
        <w:rPr>
          <w:sz w:val="20"/>
          <w:szCs w:val="20"/>
          <w:color w:val="auto"/>
        </w:rPr>
      </w:pPr>
      <w:r>
        <w:rPr>
          <w:rFonts w:ascii="Arial" w:cs="Arial" w:eastAsia="Arial" w:hAnsi="Arial"/>
          <w:sz w:val="18"/>
          <w:szCs w:val="18"/>
          <w:color w:val="auto"/>
        </w:rPr>
        <w:t>$290 million. In May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revolving credit facility in U.S dollars, Euros and British pound sterling.</w:t>
      </w:r>
    </w:p>
    <w:p>
      <w:pPr>
        <w:spacing w:after="0" w:line="89" w:lineRule="exact"/>
        <w:rPr>
          <w:sz w:val="20"/>
          <w:szCs w:val="20"/>
          <w:color w:val="auto"/>
        </w:rPr>
      </w:pPr>
    </w:p>
    <w:p>
      <w:pPr>
        <w:ind w:right="80" w:firstLine="631"/>
        <w:spacing w:after="0" w:line="281" w:lineRule="auto"/>
        <w:rPr>
          <w:sz w:val="20"/>
          <w:szCs w:val="20"/>
          <w:color w:val="auto"/>
        </w:rPr>
      </w:pPr>
      <w:r>
        <w:rPr>
          <w:rFonts w:ascii="Arial" w:cs="Arial" w:eastAsia="Arial" w:hAnsi="Arial"/>
          <w:sz w:val="16"/>
          <w:szCs w:val="16"/>
          <w:color w:val="auto"/>
        </w:rPr>
        <w:t xml:space="preserve">During the year ended December 31, 2017, the Company borrowed an additional $435 million and repaid $296 million of our outstanding borrowings under the 2015 Credit Facility. These net borrowings during the year were primarily used to repurchase shares of our outstanding common stock under the Company’s repurchase program, which is described in “Note 15 - </w:t>
      </w:r>
      <w:r>
        <w:rPr>
          <w:rFonts w:ascii="Arial" w:cs="Arial" w:eastAsia="Arial" w:hAnsi="Arial"/>
          <w:sz w:val="16"/>
          <w:szCs w:val="16"/>
          <w:i w:val="1"/>
          <w:iCs w:val="1"/>
          <w:color w:val="auto"/>
        </w:rPr>
        <w:t>Stockholders Equity</w:t>
      </w:r>
      <w:r>
        <w:rPr>
          <w:rFonts w:ascii="Arial" w:cs="Arial" w:eastAsia="Arial" w:hAnsi="Arial"/>
          <w:sz w:val="16"/>
          <w:szCs w:val="16"/>
          <w:color w:val="auto"/>
        </w:rPr>
        <w:t>” in the notes to the consolidated financial statements in Item 8. As of December 31, 2017, based on the Company’s leverage ratio, our borrowings bear interest at LIBO rate; plus an applicable margin of 1.25%, or the Eurocurrency Spread. The Company was borrowing under a one-month interest rate period or a weighted average rate of 2.74% per annum as of December 31, 2017, using a one-month interest period Eurocurrency Spread, which will reset periodically. Interest will be payable on a monthly basis while the Company is borrowing under the one-month interest rate period. We are also required to pay a quarterly commitment fee, at an applicable rate ranging from 0.15% to</w:t>
      </w:r>
    </w:p>
    <w:p>
      <w:pPr>
        <w:ind w:right="120"/>
        <w:spacing w:after="0" w:line="288" w:lineRule="auto"/>
        <w:rPr>
          <w:sz w:val="20"/>
          <w:szCs w:val="20"/>
          <w:color w:val="auto"/>
        </w:rPr>
      </w:pPr>
      <w:r>
        <w:rPr>
          <w:rFonts w:ascii="Arial" w:cs="Arial" w:eastAsia="Arial" w:hAnsi="Arial"/>
          <w:sz w:val="16"/>
          <w:szCs w:val="16"/>
          <w:color w:val="auto"/>
        </w:rPr>
        <w:t>0.30%, on the daily unused portion of the revolving credit facility for each fiscal quarter and additional fees in connection with the issuance of letters of credit. As of December 31, 2017, our unused revolver capacity was subject to a commitment fee of 0.15%, given the Company’s leverage ratio. The 2015 Credit Facility includes $15 million of borrowing capacity available for letters of credit and $40 million for Swing Line borrowings on same-day notice. As of December 31, 2017, we had issued $3 million of outstanding letters of credit under the 2015 Credit Facility. During the year ended December 31, 2016, the Company borrowed an additional $101 million and repaid $210 million of our outstanding borrowings on the 2015 Credit Facility.</w:t>
      </w:r>
    </w:p>
    <w:p>
      <w:pPr>
        <w:spacing w:after="0" w:line="165"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There is no specific repayment date prior to the maturity date for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borrowings under this facility as long-term debt as of December 31, 2017.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December 31, 2017, we were in compliance with all of our debt covenants.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Credit Facility</w:t>
      </w:r>
    </w:p>
    <w:p>
      <w:pPr>
        <w:spacing w:after="0" w:line="117" w:lineRule="exact"/>
        <w:rPr>
          <w:sz w:val="20"/>
          <w:szCs w:val="20"/>
          <w:color w:val="auto"/>
        </w:rPr>
      </w:pPr>
    </w:p>
    <w:p>
      <w:pPr>
        <w:ind w:right="80" w:firstLine="598"/>
        <w:spacing w:after="0" w:line="289" w:lineRule="auto"/>
        <w:rPr>
          <w:sz w:val="20"/>
          <w:szCs w:val="20"/>
          <w:color w:val="auto"/>
        </w:rPr>
      </w:pPr>
      <w:r>
        <w:rPr>
          <w:rFonts w:ascii="Arial" w:cs="Arial" w:eastAsia="Arial" w:hAnsi="Arial"/>
          <w:sz w:val="16"/>
          <w:szCs w:val="16"/>
          <w:color w:val="auto"/>
        </w:rPr>
        <w:t>In September 2016, we entered into an uncommitted facility agreement which provides for a $73 million unsecured revolving credit facility (the “2016 Credit Facility”) with no specific expiration date. The 2016 Credit Facility is available at the Lender’s discretion and can be canceled at any time. Repayment terms for borrowings under the 2016 Credit Facility are generally one to six month periods, or such other periods as the parties may mutually agree, and bear interest at LIBOR plus 112.5 basis points. The Company may borrow from the 2016 Credit Facility in U.S dollars only and we may voluntarily repay any outstanding borrowing at any time without premium or penalty. Any overdue amounts under or in respect of the 2016 Credit Facility not paid when due shall bear interest in the case of principal at the applicable interest rate plus 1.50% per annum. There are no specific financial or incurrence covenants.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53" w:name="page54"/>
    <w:bookmarkEnd w:id="53"/>
    <w:p>
      <w:pPr>
        <w:ind w:right="120" w:firstLine="598"/>
        <w:spacing w:after="0" w:line="255" w:lineRule="auto"/>
        <w:rPr>
          <w:sz w:val="20"/>
          <w:szCs w:val="20"/>
          <w:color w:val="auto"/>
        </w:rPr>
      </w:pPr>
      <w:r>
        <w:rPr>
          <w:rFonts w:ascii="Arial" w:cs="Arial" w:eastAsia="Arial" w:hAnsi="Arial"/>
          <w:sz w:val="18"/>
          <w:szCs w:val="18"/>
          <w:color w:val="auto"/>
        </w:rPr>
        <w:t>We borrowed $73 million from this uncommitted credit facility in September 2016, which was included in current portion of debt on our consolidated balance sheet as of December 31, 2016. These funds were used for general working capital needs of the Company, primarily for partial repayment of our 2015 Credit Facility. The Company repaid all outstanding borrowings during the first three months of 2017 and as of December 31, 2017, we had no outstanding borrowings under the 2016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Credit Facilities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addition to our 2015 Credit Facility and 2016 Credit Facility, we maintain two credit facilities in China (jointly, the “Chinese Credit Facilities”).</w:t>
      </w:r>
    </w:p>
    <w:p>
      <w:pPr>
        <w:spacing w:after="0" w:line="232" w:lineRule="exact"/>
        <w:rPr>
          <w:sz w:val="20"/>
          <w:szCs w:val="20"/>
          <w:color w:val="auto"/>
        </w:rPr>
      </w:pPr>
    </w:p>
    <w:p>
      <w:pPr>
        <w:jc w:val="both"/>
        <w:ind w:right="20" w:firstLine="598"/>
        <w:spacing w:after="0" w:line="274" w:lineRule="auto"/>
        <w:rPr>
          <w:sz w:val="20"/>
          <w:szCs w:val="20"/>
          <w:color w:val="auto"/>
        </w:rPr>
      </w:pPr>
      <w:r>
        <w:rPr>
          <w:rFonts w:ascii="Arial" w:cs="Arial" w:eastAsia="Arial" w:hAnsi="Arial"/>
          <w:sz w:val="17"/>
          <w:szCs w:val="17"/>
          <w:color w:val="auto"/>
        </w:rPr>
        <w:t>We are parties to a $30 million, one-year revolving credit facility with Bank of America (the “Chinese Credit Facility—BOA”) that is currently subject to review on a periodic basis with no specific expiration period. Borrowings under our Chinese Credit Facility—BOA generally bears interest at a rate based on People’s Bank of China benchmark, including certain adjustments which may be made in accordance with the market condition at the time of borrowing. As of December 31, 2017 and December 31, 2016, there were no outstanding borrowings under our Chinese Credit Facility—BOA.</w:t>
      </w:r>
    </w:p>
    <w:p>
      <w:pPr>
        <w:spacing w:after="0" w:line="175" w:lineRule="exact"/>
        <w:rPr>
          <w:sz w:val="20"/>
          <w:szCs w:val="20"/>
          <w:color w:val="auto"/>
        </w:rPr>
      </w:pPr>
    </w:p>
    <w:p>
      <w:pPr>
        <w:ind w:right="60" w:firstLine="638"/>
        <w:spacing w:after="0" w:line="297" w:lineRule="auto"/>
        <w:rPr>
          <w:sz w:val="20"/>
          <w:szCs w:val="20"/>
          <w:color w:val="auto"/>
        </w:rPr>
      </w:pPr>
      <w:r>
        <w:rPr>
          <w:rFonts w:ascii="Arial" w:cs="Arial" w:eastAsia="Arial" w:hAnsi="Arial"/>
          <w:sz w:val="16"/>
          <w:szCs w:val="16"/>
          <w:color w:val="auto"/>
        </w:rPr>
        <w:t>We are also parties to a RMB 70,000,000 (approximately $10 million), one-year revolving credit facility with J.P. Morgan Chase Bank (“Chinese Credit Facility—JPM”). Our Chinese Credit Facility—JPM generally bears interest at a rate based on People’s Bank of China benchmark, including certain adjustments which may be made in accordance with the market condition at the time of borrowing. As of both December 31, 2017 and December 31, 2016, we had $7 million of outstanding borrowings from the Chinese Credit Facility – JPM at a weighted average rate of 5.00% and 4.35%,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Lease Commitments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June 2013, we entered into a lease, for a new corporate headquarters (the “Lease”). Pursuant to the Lease, the landlord built an approximately</w:t>
      </w:r>
    </w:p>
    <w:p>
      <w:pPr>
        <w:spacing w:after="0" w:line="43" w:lineRule="exact"/>
        <w:rPr>
          <w:sz w:val="20"/>
          <w:szCs w:val="20"/>
          <w:color w:val="auto"/>
        </w:rPr>
      </w:pPr>
    </w:p>
    <w:p>
      <w:pPr>
        <w:jc w:val="both"/>
        <w:ind w:right="180"/>
        <w:spacing w:after="0" w:line="251" w:lineRule="auto"/>
        <w:rPr>
          <w:sz w:val="20"/>
          <w:szCs w:val="20"/>
          <w:color w:val="auto"/>
        </w:rPr>
      </w:pPr>
      <w:r>
        <w:rPr>
          <w:rFonts w:ascii="Arial" w:cs="Arial" w:eastAsia="Arial" w:hAnsi="Arial"/>
          <w:sz w:val="18"/>
          <w:szCs w:val="18"/>
          <w:color w:val="auto"/>
        </w:rPr>
        <w:t>280,000 square foot rental building in Needham, Massachusetts (the “Premises”), and leased the Premises to the Company as our new corporate headquarters for an initial term of 15 years and 7 months or through December 2030. The Company also has an option to extend the term of the Lease for two consecutive terms of five years each.</w:t>
      </w:r>
    </w:p>
    <w:p>
      <w:pPr>
        <w:spacing w:after="0" w:line="192" w:lineRule="exact"/>
        <w:rPr>
          <w:sz w:val="20"/>
          <w:szCs w:val="20"/>
          <w:color w:val="auto"/>
        </w:rPr>
      </w:pPr>
    </w:p>
    <w:p>
      <w:pPr>
        <w:ind w:right="60" w:firstLine="598"/>
        <w:spacing w:after="0" w:line="292" w:lineRule="auto"/>
        <w:rPr>
          <w:sz w:val="20"/>
          <w:szCs w:val="20"/>
          <w:color w:val="auto"/>
        </w:rPr>
      </w:pPr>
      <w:r>
        <w:rPr>
          <w:rFonts w:ascii="Arial" w:cs="Arial" w:eastAsia="Arial" w:hAnsi="Arial"/>
          <w:sz w:val="16"/>
          <w:szCs w:val="16"/>
          <w:color w:val="auto"/>
        </w:rPr>
        <w:t>Because we were involved in the construction project and were responsible for paying a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during the construction period incurred by the landlord as a construction-in-progress asset and a related construction financing obligation on our consolidated balance sheets. The amounts that the Company has paid or incurred for normal tenant improvements and structural improvements had also been recorded to the construction-in-progress asset.</w:t>
      </w:r>
    </w:p>
    <w:p>
      <w:pPr>
        <w:spacing w:after="0" w:line="162"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Upon completion of construction at end of the second quarter of 2015, we evaluated the construction-in-progress asset and construction financing obligation for de-recognition under the criteria for “sale-leaseback” treatment under GAAP. We concluded that we have forms of continued economic involvement in the facility, and therefore did not meet the provisions for sale-leaseback accounting. This determination was based on the Company's continuing involvement with the property in the form of non-recourse financing to the lessor. Therefore, the Lease is accounted for as a financing obligation. Accordingly, we began depreciating the building asset over its estimated useful life and incurring interest expense related to the financing obligation imputed using the effective interest rate method. We bifurcate our lease payments pursuant to the Premises into: (i) a portion that is allocated to the building (a reduction to the financing obligation) and; (ii) a portion that is allocated to the land on which the building was constructed. The portion of the lease obligations allocated to the land is treated as an operating lease that commenced in 2013. The lease costs allocated to the land are recognized as rent expense on a straight-line basis over the term of the lease and are recorded in general and administrative expense in the consolidated statements of operations. The financing obligation is considered a long-term finance lease obligation and is recorded to other long-term liabilities on our consolidated balance sheet. At the end of the lease term, the carrying value of the building asset and the remaining financing obligation are expected to be equal, at which time we may either surrender the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54" w:name="page55"/>
    <w:bookmarkEnd w:id="54"/>
    <w:p>
      <w:pPr>
        <w:ind w:right="120"/>
        <w:spacing w:after="0" w:line="255" w:lineRule="auto"/>
        <w:rPr>
          <w:sz w:val="20"/>
          <w:szCs w:val="20"/>
          <w:color w:val="auto"/>
        </w:rPr>
      </w:pPr>
      <w:r>
        <w:rPr>
          <w:rFonts w:ascii="Arial" w:cs="Arial" w:eastAsia="Arial" w:hAnsi="Arial"/>
          <w:sz w:val="18"/>
          <w:szCs w:val="18"/>
          <w:color w:val="auto"/>
        </w:rPr>
        <w:t>leased asset as settlement of the remaining financing obligation or extend the initial term of the lease for the continued use of the asset. In the years ended December 31 2017, 2016, and 2015, the Company recorded $7 million, $7 million, and $4 million of interest expense, respectively, $3 million, $3 million, and $2 million of depreciation expense, respectively, and $2 million, $2 million, $1 million, of rent expense in general and administrative expense on our consolidated statements of operations, respectively, related to the Premises.</w:t>
      </w:r>
    </w:p>
    <w:p>
      <w:pPr>
        <w:spacing w:after="0" w:line="188" w:lineRule="exact"/>
        <w:rPr>
          <w:sz w:val="20"/>
          <w:szCs w:val="20"/>
          <w:color w:val="auto"/>
        </w:rPr>
      </w:pPr>
    </w:p>
    <w:p>
      <w:pPr>
        <w:ind w:right="40" w:firstLine="598"/>
        <w:spacing w:after="0" w:line="281" w:lineRule="auto"/>
        <w:rPr>
          <w:sz w:val="20"/>
          <w:szCs w:val="20"/>
          <w:color w:val="auto"/>
        </w:rPr>
      </w:pPr>
      <w:r>
        <w:rPr>
          <w:rFonts w:ascii="Arial" w:cs="Arial" w:eastAsia="Arial" w:hAnsi="Arial"/>
          <w:sz w:val="17"/>
          <w:szCs w:val="17"/>
          <w:color w:val="auto"/>
        </w:rPr>
        <w:t>We also lease an aggregate of approximately 450,000 square feet of office space at approximately 40 other locations across North America, Europe and Asia Pacific, in cities such as, New York, Boston, London, Sydney, Barcelona, Paris, and Beijing, primarily for our sales offices, subsidiary headquarters, and international management teams, pursuant to leases with various expiration dates, with the latest expiring in June 2027.</w:t>
      </w:r>
    </w:p>
    <w:p>
      <w:pPr>
        <w:spacing w:after="0" w:line="168" w:lineRule="exact"/>
        <w:rPr>
          <w:sz w:val="20"/>
          <w:szCs w:val="20"/>
          <w:color w:val="auto"/>
        </w:rPr>
      </w:pPr>
    </w:p>
    <w:p>
      <w:pPr>
        <w:ind w:right="200" w:firstLine="598"/>
        <w:spacing w:after="0" w:line="270" w:lineRule="auto"/>
        <w:rPr>
          <w:sz w:val="20"/>
          <w:szCs w:val="20"/>
          <w:color w:val="auto"/>
        </w:rPr>
      </w:pPr>
      <w:r>
        <w:rPr>
          <w:rFonts w:ascii="Arial" w:cs="Arial" w:eastAsia="Arial" w:hAnsi="Arial"/>
          <w:sz w:val="18"/>
          <w:szCs w:val="18"/>
          <w:color w:val="auto"/>
        </w:rPr>
        <w:t>As of December 31, 2017, future minimum commitments under our corporate headquarters lease and other non-cancelable operating leases for office space with terms of more than one year and contractual sublease income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Total Lease</w:t>
            </w:r>
          </w:p>
        </w:tc>
        <w:tc>
          <w:tcPr>
            <w:tcW w:w="0" w:type="dxa"/>
            <w:vAlign w:val="bottom"/>
          </w:tcPr>
          <w:p>
            <w:pPr>
              <w:spacing w:after="0"/>
              <w:rPr>
                <w:sz w:val="1"/>
                <w:szCs w:val="1"/>
                <w:color w:val="auto"/>
              </w:rPr>
            </w:pPr>
          </w:p>
        </w:tc>
      </w:tr>
      <w:tr>
        <w:trPr>
          <w:trHeight w:val="147"/>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Other Operating</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Commitments (Net</w:t>
            </w:r>
          </w:p>
        </w:tc>
        <w:tc>
          <w:tcPr>
            <w:tcW w:w="0" w:type="dxa"/>
            <w:vAlign w:val="bottom"/>
          </w:tcPr>
          <w:p>
            <w:pPr>
              <w:spacing w:after="0"/>
              <w:rPr>
                <w:sz w:val="1"/>
                <w:szCs w:val="1"/>
                <w:color w:val="auto"/>
              </w:rPr>
            </w:pPr>
          </w:p>
        </w:tc>
      </w:tr>
      <w:tr>
        <w:trPr>
          <w:trHeight w:val="147"/>
        </w:trPr>
        <w:tc>
          <w:tcPr>
            <w:tcW w:w="5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w w:val="93"/>
              </w:rPr>
              <w:t>Headquarters</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2"/>
              </w:rPr>
              <w:t>Sublease Income</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6"/>
              </w:rPr>
              <w:t>of Sublease</w:t>
            </w:r>
          </w:p>
        </w:tc>
        <w:tc>
          <w:tcPr>
            <w:tcW w:w="0" w:type="dxa"/>
            <w:vAlign w:val="bottom"/>
          </w:tcPr>
          <w:p>
            <w:pPr>
              <w:spacing w:after="0"/>
              <w:rPr>
                <w:sz w:val="1"/>
                <w:szCs w:val="1"/>
                <w:color w:val="auto"/>
              </w:rPr>
            </w:pPr>
          </w:p>
        </w:tc>
      </w:tr>
      <w:tr>
        <w:trPr>
          <w:trHeight w:val="170"/>
        </w:trPr>
        <w:tc>
          <w:tcPr>
            <w:tcW w:w="5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6"/>
              <w:spacing w:after="0"/>
              <w:rPr>
                <w:sz w:val="20"/>
                <w:szCs w:val="20"/>
                <w:color w:val="auto"/>
              </w:rPr>
            </w:pPr>
            <w:r>
              <w:rPr>
                <w:rFonts w:ascii="Arial" w:cs="Arial" w:eastAsia="Arial" w:hAnsi="Arial"/>
                <w:sz w:val="14"/>
                <w:szCs w:val="14"/>
                <w:b w:val="1"/>
                <w:bCs w:val="1"/>
                <w:color w:val="auto"/>
                <w:w w:val="88"/>
              </w:rPr>
              <w:t>Lease (1)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34"/>
        </w:trPr>
        <w:tc>
          <w:tcPr>
            <w:tcW w:w="5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2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Total</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0" w:right="560" w:hanging="593"/>
        <w:spacing w:after="0" w:line="270"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includes an $84 million financing obligation, which we have recorded in other long-term liabilities on our consolidated balance sheet at December 31, 2017, related to our corporate headquarters lease.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As of December 31, 2017, other than the items discussed above,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4" w:lineRule="exact"/>
        <w:rPr>
          <w:sz w:val="20"/>
          <w:szCs w:val="20"/>
          <w:color w:val="auto"/>
        </w:rPr>
      </w:pPr>
    </w:p>
    <w:p>
      <w:pPr>
        <w:ind w:right="20" w:firstLine="445"/>
        <w:spacing w:after="0" w:line="264" w:lineRule="auto"/>
        <w:rPr>
          <w:sz w:val="20"/>
          <w:szCs w:val="20"/>
          <w:color w:val="auto"/>
        </w:rPr>
      </w:pPr>
      <w:r>
        <w:rPr>
          <w:rFonts w:ascii="Arial" w:cs="Arial" w:eastAsia="Arial" w:hAnsi="Arial"/>
          <w:sz w:val="17"/>
          <w:szCs w:val="17"/>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Moreover, such claims, even if not meritorious, could result in the expenditure of significant financial and managerial resources, divert management's attention from the Company's business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55" w:name="page56"/>
    <w:bookmarkEnd w:id="55"/>
    <w:p>
      <w:pPr>
        <w:ind w:right="120"/>
        <w:spacing w:after="0" w:line="287" w:lineRule="auto"/>
        <w:rPr>
          <w:sz w:val="20"/>
          <w:szCs w:val="20"/>
          <w:color w:val="auto"/>
        </w:rPr>
      </w:pPr>
      <w:r>
        <w:rPr>
          <w:rFonts w:ascii="Arial" w:cs="Arial" w:eastAsia="Arial" w:hAnsi="Arial"/>
          <w:sz w:val="16"/>
          <w:szCs w:val="16"/>
          <w:color w:val="auto"/>
        </w:rPr>
        <w:t>objectives and adversely affect the Company's business, results of operations, financial condition and cash flows. There may also be claims or actions pending or threatened against us of which we are currently not aware and the ultimate disposition of which would have a material adverse effect on us.</w:t>
      </w:r>
    </w:p>
    <w:p>
      <w:pPr>
        <w:ind w:right="20" w:firstLine="445"/>
        <w:spacing w:after="0" w:line="288" w:lineRule="auto"/>
        <w:rPr>
          <w:sz w:val="20"/>
          <w:szCs w:val="20"/>
          <w:color w:val="auto"/>
        </w:rPr>
      </w:pPr>
      <w:r>
        <w:rPr>
          <w:rFonts w:ascii="Arial" w:cs="Arial" w:eastAsia="Arial" w:hAnsi="Arial"/>
          <w:sz w:val="16"/>
          <w:szCs w:val="16"/>
          <w:color w:val="auto"/>
        </w:rPr>
        <w:t>On December 22, 2017, the 2017 Tax Act was signed into United States tax law. The legislation significantly changes U.S. tax law by, among other provisions, lowering corporate income tax rates, and imposing a repatriation tax on deemed repatriated earnings of foreign subsidiaries. The 2017 Tax Act permanently reduces the U.S. corporate income tax rate from a maximum of 35% to a flat 21% rate, effective January 1, 2018. Certain income tax effects of the 2017 Tax Act, including $67 million of Transition Tax, and $6 million recorded for the remeasurement of our net deferred tax assets, are reflected in our financial results in accordance with SAB 118, which provides for a measurement period to complete the accounting for certain elements of the tax reform.</w:t>
      </w:r>
    </w:p>
    <w:p>
      <w:pPr>
        <w:spacing w:after="0" w:line="165" w:lineRule="exact"/>
        <w:rPr>
          <w:sz w:val="20"/>
          <w:szCs w:val="20"/>
          <w:color w:val="auto"/>
        </w:rPr>
      </w:pPr>
    </w:p>
    <w:p>
      <w:pPr>
        <w:ind w:right="160" w:firstLine="442"/>
        <w:spacing w:after="0" w:line="250"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3" w:lineRule="exact"/>
        <w:rPr>
          <w:sz w:val="20"/>
          <w:szCs w:val="20"/>
          <w:color w:val="auto"/>
        </w:rPr>
      </w:pPr>
    </w:p>
    <w:p>
      <w:pPr>
        <w:ind w:firstLine="445"/>
        <w:spacing w:after="0" w:line="266" w:lineRule="auto"/>
        <w:rPr>
          <w:sz w:val="20"/>
          <w:szCs w:val="20"/>
          <w:color w:val="auto"/>
        </w:rPr>
      </w:pPr>
      <w:r>
        <w:rPr>
          <w:rFonts w:ascii="Arial" w:cs="Arial" w:eastAsia="Arial" w:hAnsi="Arial"/>
          <w:sz w:val="17"/>
          <w:szCs w:val="17"/>
          <w:color w:val="auto"/>
        </w:rPr>
        <w:t>By virtue of previously filed consolidated income tax returns filed with Expedia, we are currently under an IRS audit for the 2009, 2010, and short-period 2011 tax years, and have various ongoing state income tax audits. We are separately under examination by the IRS for the short-period 2011, 2012 and 2013 tax years and have commenced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2017, no material assessments have resulted, except as noted below regarding our 2009 and 2010 IRS audit with Expedia.</w:t>
      </w:r>
    </w:p>
    <w:p>
      <w:pPr>
        <w:spacing w:after="0" w:line="182" w:lineRule="exact"/>
        <w:rPr>
          <w:sz w:val="20"/>
          <w:szCs w:val="20"/>
          <w:color w:val="auto"/>
        </w:rPr>
      </w:pPr>
    </w:p>
    <w:p>
      <w:pPr>
        <w:ind w:firstLine="598"/>
        <w:spacing w:after="0" w:line="264" w:lineRule="auto"/>
        <w:rPr>
          <w:sz w:val="20"/>
          <w:szCs w:val="20"/>
          <w:color w:val="auto"/>
        </w:rPr>
      </w:pPr>
      <w:r>
        <w:rPr>
          <w:rFonts w:ascii="Arial" w:cs="Arial" w:eastAsia="Arial" w:hAnsi="Arial"/>
          <w:sz w:val="17"/>
          <w:szCs w:val="17"/>
          <w:color w:val="auto"/>
        </w:rPr>
        <w:t>In January 2017, as part of the Company’s IRS audit of Expedia,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of $10 million to $14 million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would be subject to significant additional tax liabilities.</w:t>
      </w:r>
    </w:p>
    <w:p>
      <w:pPr>
        <w:spacing w:after="0" w:line="2" w:lineRule="exact"/>
        <w:rPr>
          <w:sz w:val="20"/>
          <w:szCs w:val="20"/>
          <w:color w:val="auto"/>
        </w:rPr>
      </w:pPr>
    </w:p>
    <w:p>
      <w:pPr>
        <w:ind w:right="180" w:firstLine="598"/>
        <w:spacing w:after="0" w:line="251"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Any repatriation of funds currently held in foreign jurisdictions may result in higher effective tax rates and incremental cash tax payments.</w:t>
      </w:r>
    </w:p>
    <w:p>
      <w:pPr>
        <w:spacing w:after="0" w:line="192" w:lineRule="exact"/>
        <w:rPr>
          <w:sz w:val="20"/>
          <w:szCs w:val="20"/>
          <w:color w:val="auto"/>
        </w:rPr>
      </w:pPr>
    </w:p>
    <w:p>
      <w:pPr>
        <w:ind w:firstLine="598"/>
        <w:spacing w:after="0" w:line="334" w:lineRule="auto"/>
        <w:rPr>
          <w:sz w:val="20"/>
          <w:szCs w:val="20"/>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consolidated financial statements in Item 8 for further information on the impact of the 2017 Tax Act, potential contingencies surrounding current audits by the IRS and various other domestic and foreign tax authorities, and other income tax matters.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8"/>
          <w:szCs w:val="18"/>
          <w:color w:val="auto"/>
        </w:rPr>
        <w:t xml:space="preserve">For information on our relationships with Expedia and Liberty TripAdvisor Holdings, Inc. refer to “Note 16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financial statements in Item 8.</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w:t>
      </w:r>
    </w:p>
    <w:p>
      <w:pPr>
        <w:spacing w:after="0" w:line="184"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157" w:lineRule="exact"/>
        <w:rPr>
          <w:sz w:val="20"/>
          <w:szCs w:val="20"/>
          <w:color w:val="auto"/>
        </w:rPr>
      </w:pPr>
    </w:p>
    <w:p>
      <w:pPr>
        <w:ind w:right="40" w:firstLine="598"/>
        <w:spacing w:after="0" w:line="270"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the consolidated financial statements. We consider an accounting estimate to be critical if:</w:t>
      </w:r>
    </w:p>
    <w:p>
      <w:pPr>
        <w:spacing w:after="0" w:line="68" w:lineRule="exact"/>
        <w:rPr>
          <w:sz w:val="20"/>
          <w:szCs w:val="20"/>
          <w:color w:val="auto"/>
        </w:rPr>
      </w:pPr>
    </w:p>
    <w:p>
      <w:pPr>
        <w:ind w:left="1180" w:right="140" w:hanging="426"/>
        <w:spacing w:after="0" w:line="270"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management was making the estimate; and/or</w:t>
      </w:r>
    </w:p>
    <w:p>
      <w:pPr>
        <w:spacing w:after="0" w:line="68" w:lineRule="exact"/>
        <w:rPr>
          <w:rFonts w:ascii="Arial" w:cs="Arial" w:eastAsia="Arial" w:hAnsi="Arial"/>
          <w:sz w:val="18"/>
          <w:szCs w:val="18"/>
          <w:color w:val="auto"/>
        </w:rPr>
      </w:pPr>
    </w:p>
    <w:p>
      <w:pPr>
        <w:ind w:left="1180" w:right="60" w:hanging="426"/>
        <w:spacing w:after="0" w:line="270"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management could have selected may have had a material impact on our financial condition or results of operations.</w:t>
      </w:r>
    </w:p>
    <w:p>
      <w:pPr>
        <w:spacing w:after="0" w:line="175" w:lineRule="exact"/>
        <w:rPr>
          <w:sz w:val="20"/>
          <w:szCs w:val="20"/>
          <w:color w:val="auto"/>
        </w:rPr>
      </w:pPr>
    </w:p>
    <w:p>
      <w:pPr>
        <w:jc w:val="both"/>
        <w:ind w:right="200" w:firstLine="598"/>
        <w:spacing w:after="0" w:line="259"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financial statements in Item 8 for an overview of our significant accounting policies and new accounting pronouncements that we have adopted or that we plan to adopt that have had or may have an impact on our financial statements.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discussion of information about the nature and rationale for our critical accounting estimates is below.</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ind w:right="80" w:firstLine="598"/>
        <w:spacing w:after="0" w:line="284"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We classify deferred tax assets and liabilities as noncurrent on our consolidated balance sheet.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72" w:lineRule="exact"/>
        <w:rPr>
          <w:sz w:val="20"/>
          <w:szCs w:val="20"/>
          <w:color w:val="auto"/>
        </w:rPr>
      </w:pPr>
    </w:p>
    <w:p>
      <w:pPr>
        <w:ind w:right="60" w:firstLine="598"/>
        <w:spacing w:after="0" w:line="252"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91" w:lineRule="exact"/>
        <w:rPr>
          <w:sz w:val="20"/>
          <w:szCs w:val="20"/>
          <w:color w:val="auto"/>
        </w:rPr>
      </w:pPr>
    </w:p>
    <w:p>
      <w:pPr>
        <w:ind w:right="300" w:firstLine="598"/>
        <w:spacing w:after="0" w:line="259" w:lineRule="auto"/>
        <w:rPr>
          <w:sz w:val="20"/>
          <w:szCs w:val="20"/>
          <w:color w:val="auto"/>
        </w:rPr>
      </w:pPr>
      <w:r>
        <w:rPr>
          <w:rFonts w:ascii="Arial" w:cs="Arial" w:eastAsia="Arial" w:hAnsi="Arial"/>
          <w:sz w:val="18"/>
          <w:szCs w:val="18"/>
          <w:color w:val="auto"/>
        </w:rPr>
        <w:t>On December 22, 2017, the 2017 Tax Act was signed into United States tax law. The legislation significantly changes U.S. tax law by, among other provisions, lowering corporate income tax rates, and imposing a repatriation tax on deemed repatriated earnings of foreign subsidiaries. The 2017 Tax Act permanently reduces the U.S.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57" w:name="page58"/>
    <w:bookmarkEnd w:id="57"/>
    <w:p>
      <w:pPr>
        <w:spacing w:after="0" w:line="259" w:lineRule="auto"/>
        <w:rPr>
          <w:sz w:val="20"/>
          <w:szCs w:val="20"/>
          <w:color w:val="auto"/>
        </w:rPr>
      </w:pPr>
      <w:r>
        <w:rPr>
          <w:rFonts w:ascii="Arial" w:cs="Arial" w:eastAsia="Arial" w:hAnsi="Arial"/>
          <w:sz w:val="18"/>
          <w:szCs w:val="18"/>
          <w:color w:val="auto"/>
        </w:rPr>
        <w:t>corporate income tax rate from a maximum of 35% to a flat 21% rate, effective January 1, 2018. The 2017 Tax Act also provides for a Transition Tax, as well as prospective changes beginning in 2018, including additional limitations on executive compensation. Under GAAP, the effects of changes in tax rates and laws are recognized in the period in which the new legislation is enacted.</w:t>
      </w:r>
    </w:p>
    <w:p>
      <w:pPr>
        <w:spacing w:after="0" w:line="184" w:lineRule="exact"/>
        <w:rPr>
          <w:sz w:val="20"/>
          <w:szCs w:val="20"/>
          <w:color w:val="auto"/>
        </w:rPr>
      </w:pPr>
    </w:p>
    <w:p>
      <w:pPr>
        <w:ind w:right="80" w:firstLine="598"/>
        <w:spacing w:after="0" w:line="253" w:lineRule="auto"/>
        <w:rPr>
          <w:sz w:val="20"/>
          <w:szCs w:val="20"/>
          <w:color w:val="auto"/>
        </w:rPr>
      </w:pPr>
      <w:r>
        <w:rPr>
          <w:rFonts w:ascii="Arial" w:cs="Arial" w:eastAsia="Arial" w:hAnsi="Arial"/>
          <w:sz w:val="18"/>
          <w:szCs w:val="18"/>
          <w:color w:val="auto"/>
        </w:rPr>
        <w:t>On December 22, 2017, the SEC issued SAB 118, which allows us to record provisional amounts during a measurement period not to extend beyond one year of the enactment date.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9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SAB 118 summarizes a three-step process to be applied at each reporting period to account for and qualitatively disclose: (1) the effects of the change in tax law for which accounting is complete; (2) provisional amounts (or adjustments to provisional amounts) for the effects of the tax law where accounting is not complete, but that a reasonable estimate has been determined; and (3) a reasonable estimate cannot yet be made and therefore taxes are reflected in accordance with law prior to the enactment of the 2017 Tax Act.</w:t>
      </w:r>
    </w:p>
    <w:p>
      <w:pPr>
        <w:spacing w:after="0" w:line="188" w:lineRule="exact"/>
        <w:rPr>
          <w:sz w:val="20"/>
          <w:szCs w:val="20"/>
          <w:color w:val="auto"/>
        </w:rPr>
      </w:pPr>
    </w:p>
    <w:p>
      <w:pPr>
        <w:ind w:right="40" w:firstLine="598"/>
        <w:spacing w:after="0" w:line="252" w:lineRule="auto"/>
        <w:rPr>
          <w:sz w:val="20"/>
          <w:szCs w:val="20"/>
          <w:color w:val="auto"/>
        </w:rPr>
      </w:pPr>
      <w:r>
        <w:rPr>
          <w:rFonts w:ascii="Arial" w:cs="Arial" w:eastAsia="Arial" w:hAnsi="Arial"/>
          <w:sz w:val="18"/>
          <w:szCs w:val="18"/>
          <w:color w:val="auto"/>
        </w:rPr>
        <w:t>Our financial results, including an estimate of $67 million of Transition Tax, and $6 million recorded due to a remeasurement of our net deferred tax assets, reflect provisional amounts for those specific income tax effects of the 2017 Tax Act for which the accounting under GAAP is incomplete but a reasonable estimate could be determined. The Company has not obtained, prepared and analyzed the information necessary to finalize its computations and accounting for the Transition Tax. Since there is ongoing guidance and accounting interpretation expected over the next 12 months, we consider the accounting of the Transition Tax, deferred tax remeasurements, and other items to be provisional due to the forthcoming guidance and our ongoing analysis of final year-end data and tax positions.</w:t>
      </w:r>
    </w:p>
    <w:p>
      <w:pPr>
        <w:spacing w:after="0" w:line="191" w:lineRule="exact"/>
        <w:rPr>
          <w:sz w:val="20"/>
          <w:szCs w:val="20"/>
          <w:color w:val="auto"/>
        </w:rPr>
      </w:pPr>
    </w:p>
    <w:p>
      <w:pPr>
        <w:ind w:right="40" w:firstLine="598"/>
        <w:spacing w:after="0" w:line="252" w:lineRule="auto"/>
        <w:rPr>
          <w:sz w:val="20"/>
          <w:szCs w:val="20"/>
          <w:color w:val="auto"/>
        </w:rPr>
      </w:pPr>
      <w:r>
        <w:rPr>
          <w:rFonts w:ascii="Arial" w:cs="Arial" w:eastAsia="Arial" w:hAnsi="Arial"/>
          <w:sz w:val="18"/>
          <w:szCs w:val="18"/>
          <w:color w:val="auto"/>
        </w:rPr>
        <w:t>Other significant provisions that are not yet effective but may impact income taxes in future years include: an exemption from U.S. tax on dividends of future foreign earnings, limitations on the deductibility of certain executive compensation, an incremental tax (base erosion anti-abuse tax or “BEAT”) on excessive amounts paid to foreign related parties, deductions related to foreign derived intangible income, and a minimum tax on certain foreign earnings in excess of 10 percent of the foreign subsidiaries tangible assets (i.e., global intangible low-taxed income or “GILTI”). We are still evaluating whether to make a policy election to treat the GILTI tax as a period expense or to provide U.S. deferred taxes on foreign temporary differences that are expected to generate GILTI income when they reverse in future years.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Refer to “Note 10— </w:t>
      </w:r>
      <w:r>
        <w:rPr>
          <w:rFonts w:ascii="Arial" w:cs="Arial" w:eastAsia="Arial" w:hAnsi="Arial"/>
          <w:sz w:val="17"/>
          <w:szCs w:val="17"/>
          <w:i w:val="1"/>
          <w:iCs w:val="1"/>
          <w:color w:val="auto"/>
        </w:rPr>
        <w:t>Income Taxes</w:t>
      </w:r>
      <w:r>
        <w:rPr>
          <w:rFonts w:ascii="Arial" w:cs="Arial" w:eastAsia="Arial" w:hAnsi="Arial"/>
          <w:sz w:val="17"/>
          <w:szCs w:val="17"/>
          <w:color w:val="auto"/>
        </w:rPr>
        <w:t>” in the notes to our consolidated financial statements in Item 8 for further information on income taxes.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and Recoverability of Goodwill, Definite-Lived Intangibles, and Other Long-Term Assets</w:t>
      </w:r>
    </w:p>
    <w:p>
      <w:pPr>
        <w:spacing w:after="0" w:line="274" w:lineRule="exact"/>
        <w:rPr>
          <w:sz w:val="20"/>
          <w:szCs w:val="20"/>
          <w:color w:val="auto"/>
        </w:rPr>
      </w:pPr>
    </w:p>
    <w:p>
      <w:pPr>
        <w:ind w:right="40" w:firstLine="598"/>
        <w:spacing w:after="0" w:line="267" w:lineRule="auto"/>
        <w:rPr>
          <w:sz w:val="20"/>
          <w:szCs w:val="20"/>
          <w:color w:val="auto"/>
        </w:rPr>
      </w:pPr>
      <w:r>
        <w:rPr>
          <w:rFonts w:ascii="Arial" w:cs="Arial" w:eastAsia="Arial" w:hAnsi="Arial"/>
          <w:sz w:val="17"/>
          <w:szCs w:val="17"/>
          <w:color w:val="auto"/>
        </w:rPr>
        <w:t>We account for acquired businesses using the acquisition method of accounting which requires that the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significant estimates and assumptions, especially with respect to intangible assets. Significant estimates in valuing certain intangible assets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w:t>
      </w:r>
    </w:p>
    <w:p>
      <w:pPr>
        <w:spacing w:after="0" w:line="183"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8" w:name="page59"/>
    <w:bookmarkEnd w:id="58"/>
    <w:p>
      <w:pPr>
        <w:ind w:right="280"/>
        <w:spacing w:after="0" w:line="255" w:lineRule="auto"/>
        <w:rPr>
          <w:sz w:val="20"/>
          <w:szCs w:val="20"/>
          <w:color w:val="auto"/>
        </w:rPr>
      </w:pPr>
      <w:r>
        <w:rPr>
          <w:rFonts w:ascii="Arial" w:cs="Arial" w:eastAsia="Arial" w:hAnsi="Arial"/>
          <w:sz w:val="18"/>
          <w:szCs w:val="18"/>
          <w:color w:val="auto"/>
        </w:rPr>
        <w:t>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188" w:lineRule="exact"/>
        <w:rPr>
          <w:sz w:val="20"/>
          <w:szCs w:val="20"/>
          <w:color w:val="auto"/>
        </w:rPr>
      </w:pPr>
    </w:p>
    <w:p>
      <w:pPr>
        <w:ind w:right="40" w:firstLine="598"/>
        <w:spacing w:after="0" w:line="283" w:lineRule="auto"/>
        <w:rPr>
          <w:sz w:val="20"/>
          <w:szCs w:val="20"/>
          <w:color w:val="auto"/>
        </w:rPr>
      </w:pPr>
      <w:r>
        <w:rPr>
          <w:rFonts w:ascii="Arial" w:cs="Arial" w:eastAsia="Arial" w:hAnsi="Arial"/>
          <w:sz w:val="16"/>
          <w:szCs w:val="16"/>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such as the size of the reporting unit's goodwill, the significance of the excess of the reporting unit's estimated fair value over carrying value at the last quantitative assessment date, and the amount of time in between quantitative fair value assessments and the date of acquisition to establish an updated baseline quantitative analysis.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173"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173"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During the Company's annual goodwill impairment test during the fourth quarter of 2017, a qualitative assessment for all our reporting units' goodwill was performed. For fiscal year 2017, we determined the fair value of all our reporting units were significantly in excess of their carrying values. Accordingly, we did not recognize any impairment charges during the year ending December 31, 2017. As part of our qualitative assessment for our 2017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factoring in the decline in the Company’s stock price during 2017, (h) changes in estimates, valuation inputs, and/or assumptions since the last quantitative analysis of the reporting units, (i) changes in the regulatory environment; and (j) changes in strategic outlook or organizational structure and leadership of the reporting units, and how these factors might impact specific performance in future periods. However, as we periodically reassess estimated future cash flows and asset fair values, changes in our estimates and assumptions may cause us to realize material impairment charges in the future.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59" w:name="page60"/>
    <w:bookmarkEnd w:id="59"/>
    <w:p>
      <w:pPr>
        <w:ind w:firstLine="598"/>
        <w:spacing w:after="0" w:line="283" w:lineRule="auto"/>
        <w:rPr>
          <w:sz w:val="20"/>
          <w:szCs w:val="20"/>
          <w:color w:val="auto"/>
        </w:rPr>
      </w:pPr>
      <w:r>
        <w:rPr>
          <w:rFonts w:ascii="Arial" w:cs="Arial" w:eastAsia="Arial" w:hAnsi="Arial"/>
          <w:sz w:val="16"/>
          <w:szCs w:val="16"/>
          <w:color w:val="auto"/>
        </w:rPr>
        <w:t>We also periodically review the carrying amount of our definite-lived intangible assets and other long-term assets, including property and equipment and website and internal use software,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fair value and would be included in operating income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 lived or other long term assets on our consolidated balance sheet at December 31, 2017.</w:t>
      </w:r>
    </w:p>
    <w:p>
      <w:pPr>
        <w:spacing w:after="0" w:line="27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117"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are exposed to certain market risks, including changes in interest rates and foreign currency exchange rates that could adversely affect our results of operations or financial condition. Our exposure to market risk includes our revolving credit facilities, derivative instruments and cash and cash equivalents, short term and long term marketable securities, accounts receivable, intercompany receivables/payables, accounts payable and deferred merchant payables denominated in foreign currencies.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foreign currency exchange rates and interest rates.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As of December 31, 2017, our exposure to changes in interest rates relate primarily to our investment portfolio and the outstanding debt under our 2015 Credit Facility. Our interest income and expense is most sensitive to fluctuations in U.S. interest rates and Libor. Changes in interest rates affect the interest earned on our cash, cash equivalents and marketable securities and the fair value of those securities, as well as the amount of interest we pay on outstanding debt.</w:t>
      </w:r>
    </w:p>
    <w:p>
      <w:pPr>
        <w:spacing w:after="0" w:line="188"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currently invest our excess cash in cash deposits at major global banks, money market mutual funds and marketable securities. Our investment policy and strategy are focused on preservation of capital and supporting our liquidity requirements. We invest in highly-rated securities, and our investment policy limits the amount of credit exposure to any one issuer. The policy requires investments to be investment grade, with the primary objective of minimizing the potential risk of principal loss.</w:t>
      </w:r>
    </w:p>
    <w:p>
      <w:pPr>
        <w:spacing w:after="0" w:line="188"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In order to provide a meaningful assessment of the interest rate risk associated with our investment portfolio, we performed a sensitivity analysis to determine the impact a change in interest rates would have on the value of our current investment portfolio assuming a 100 basis point parallel shift in the yield curve. Based on our investment positions as of December 31, 2017, a hypothetical 100 basis point increase in interest rates across all maturities would result in less than a $1 million decline in the fair market value of the portfolio. Such losses would only be realized if we sold the investments prior to maturity.</w:t>
      </w:r>
    </w:p>
    <w:p>
      <w:pPr>
        <w:spacing w:after="0" w:line="157" w:lineRule="exact"/>
        <w:rPr>
          <w:sz w:val="20"/>
          <w:szCs w:val="20"/>
          <w:color w:val="auto"/>
        </w:rPr>
      </w:pPr>
    </w:p>
    <w:p>
      <w:pPr>
        <w:jc w:val="both"/>
        <w:ind w:right="80" w:firstLine="598"/>
        <w:spacing w:after="0" w:line="306" w:lineRule="auto"/>
        <w:rPr>
          <w:sz w:val="20"/>
          <w:szCs w:val="20"/>
          <w:color w:val="auto"/>
        </w:rPr>
      </w:pPr>
      <w:r>
        <w:rPr>
          <w:rFonts w:ascii="Arial" w:cs="Arial" w:eastAsia="Arial" w:hAnsi="Arial"/>
          <w:sz w:val="16"/>
          <w:szCs w:val="16"/>
          <w:color w:val="auto"/>
        </w:rPr>
        <w:t>As of December 31, 2017, we had $230 million of debt under our 2015 Credit Facility, which has a variable rate. The variable interest rate on the 2015 Credit Facility is based on current assumptions, leverage and LIBOR rates. Based on our current outstanding debt balance as of December 31, 2017, a 25 basis point change in our interest rates on our 2015 Credit Facility would result in an increase or decrease to interest expense of less than $1</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60" w:name="page61"/>
    <w:bookmarkEnd w:id="60"/>
    <w:p>
      <w:pPr>
        <w:ind w:right="600"/>
        <w:spacing w:after="0" w:line="259" w:lineRule="auto"/>
        <w:rPr>
          <w:sz w:val="20"/>
          <w:szCs w:val="20"/>
          <w:color w:val="auto"/>
        </w:rPr>
      </w:pPr>
      <w:r>
        <w:rPr>
          <w:rFonts w:ascii="Arial" w:cs="Arial" w:eastAsia="Arial" w:hAnsi="Arial"/>
          <w:sz w:val="18"/>
          <w:szCs w:val="18"/>
          <w:color w:val="auto"/>
        </w:rPr>
        <w:t>million per annum. 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did not experience any material financial impact from changes in interest rates for the years ended December 31, 2017, 2016 or 2015.</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We conduct business in certain international markets, primarily the European Union including the United Kingdom, Singapore and Australia. Because we operate in international markets, we have exposure to different economic climates, political arenas, tax systems and regulations that could affect foreign currency exchange rates.</w:t>
      </w:r>
    </w:p>
    <w:p>
      <w:pPr>
        <w:spacing w:after="0" w:line="184"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Some of our foreign subsidiaries maintain their accounting records in their respective local currencies other than the U.S. dollar. Consequently, changes in foreign currency exchange rates may impact the translation of foreign financial statements into U.S. dollars. As a result, we face exposure to adverse movements in foreign currency exchange rates as the financial results of our international operations are translated from local currency, or functional currency, into U.S. dollars upon consolidation. If the U.S. dollar weakens against the local currency, the translation of these foreign-currency-denominated balances will result in increased net assets, revenue, operating expenses, operating income and net income. Similarly, our net assets, revenue, operating expenses, operating income and net income will decrease if the U.S. dollar strengthens against local currency. The effect of foreign currency exchange on our business historically has varied from quarter to quarter and may continue to do so, potentially materially. In order to provide a meaningful assessment of the foreign currency exchange rate risk associated with our overall financials, we performed a sensitivity analysis. A hypothetical 10% decrease of the foreign currency exchange rates relative to the U.S. dollar, or strengthening of the U.S. dollar, would generate an unrealized loss of approximately $27 million related to a decrease in our net assets held in functional currencies other than the U.S. dollar as of December 31, 2017, which would initially be recorded to accumulated other comprehensive income (loss) on our consolidated balance sheet.</w:t>
      </w:r>
    </w:p>
    <w:p>
      <w:pPr>
        <w:spacing w:after="0" w:line="180"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addition, foreign currency exchange rate fluctuations on transactions denominated in currencies other than the functional currency result in gains and losses. We recognize these transactional gains and losses (primarily Euro currency transactions) in our consolidated statements of operations and have recorded a foreign currency exchange gain of $1 million for the year ended December 31, 2017, and losses of $6 million for both the years ended December 31, 2016 and 2015, respectively, in interest income and other, net on our consolidated statements of operations. Future net transactional gains and losses are inherently difficult to predict as they are reliant on how the multiple currencies in which we transact fluctuate in relation to the U.S. dollar and other functional currencies, and the relative composition and denomination of current assets and liabilities each period.</w:t>
      </w:r>
    </w:p>
    <w:p>
      <w:pPr>
        <w:spacing w:after="0" w:line="181" w:lineRule="exact"/>
        <w:rPr>
          <w:sz w:val="20"/>
          <w:szCs w:val="20"/>
          <w:color w:val="auto"/>
        </w:rPr>
      </w:pPr>
    </w:p>
    <w:p>
      <w:pPr>
        <w:ind w:right="220" w:firstLine="598"/>
        <w:spacing w:after="0" w:line="271" w:lineRule="auto"/>
        <w:rPr>
          <w:sz w:val="20"/>
          <w:szCs w:val="20"/>
          <w:color w:val="auto"/>
        </w:rPr>
      </w:pPr>
      <w:r>
        <w:rPr>
          <w:rFonts w:ascii="Arial" w:cs="Arial" w:eastAsia="Arial" w:hAnsi="Arial"/>
          <w:sz w:val="17"/>
          <w:szCs w:val="17"/>
          <w:color w:val="auto"/>
        </w:rPr>
        <w:t>We currently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currency forward exchange contracts to manage certain short-term foreign currency risk to try and reduce the effects of fluctuating foreign currency exchange rates on our cash flows denominated in foreign currencies. We do not use financial instruments for trading purposes and are not a party to any leveraged derivatives.</w:t>
      </w:r>
    </w:p>
    <w:p>
      <w:pPr>
        <w:spacing w:after="0" w:line="178" w:lineRule="exact"/>
        <w:rPr>
          <w:sz w:val="20"/>
          <w:szCs w:val="20"/>
          <w:color w:val="auto"/>
        </w:rPr>
      </w:pPr>
    </w:p>
    <w:p>
      <w:pPr>
        <w:ind w:right="400" w:firstLine="598"/>
        <w:spacing w:after="0" w:line="259" w:lineRule="auto"/>
        <w:rPr>
          <w:sz w:val="20"/>
          <w:szCs w:val="20"/>
          <w:color w:val="auto"/>
        </w:rPr>
      </w:pPr>
      <w:r>
        <w:rPr>
          <w:rFonts w:ascii="Arial" w:cs="Arial" w:eastAsia="Arial" w:hAnsi="Arial"/>
          <w:sz w:val="18"/>
          <w:szCs w:val="18"/>
          <w:color w:val="auto"/>
        </w:rPr>
        <w:t>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w:t>
      </w:r>
    </w:p>
    <w:p>
      <w:pPr>
        <w:spacing w:after="0" w:line="184" w:lineRule="exact"/>
        <w:rPr>
          <w:sz w:val="20"/>
          <w:szCs w:val="20"/>
          <w:color w:val="auto"/>
        </w:rPr>
      </w:pPr>
    </w:p>
    <w:p>
      <w:pPr>
        <w:ind w:firstLine="598"/>
        <w:spacing w:after="0" w:line="274" w:lineRule="auto"/>
        <w:rPr>
          <w:sz w:val="20"/>
          <w:szCs w:val="20"/>
          <w:color w:val="auto"/>
        </w:rPr>
      </w:pPr>
      <w:r>
        <w:rPr>
          <w:rFonts w:ascii="Arial" w:cs="Arial" w:eastAsia="Arial" w:hAnsi="Arial"/>
          <w:sz w:val="17"/>
          <w:szCs w:val="17"/>
          <w:color w:val="auto"/>
        </w:rPr>
        <w:t>Our foreign currency forward exchange contracts, to date, have principally addressed foreign currency exchange fluctuation risk for the Euro versus the U.S. dollar. We have accounted for our derivative instruments to date, which have not been designated as hedges under GAAP, as either assets or liabilities and carry them at fair value. We had no outstanding forward currency contracts as of December 31, 2017. As of December 31, 2016, we had $6 million notional value of outstanding forward currency contracts not designated as hedges. These contracts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had maturities of less than 90 days. The fair value of these derivatives at December 31, 2016 were not material. We recognize gains and losses from our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derivative contract in our consolidated statement of operations and have recorded a loss of $1 million for the year ended December 31, 2017, and gains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 million for both the years ended December 31, 2016 and 2015, respectively, in interest income and other, net on our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Financial Instruments and Fair Value Measurements</w:t>
      </w:r>
      <w:r>
        <w:rPr>
          <w:rFonts w:ascii="Arial" w:cs="Arial" w:eastAsia="Arial" w:hAnsi="Arial"/>
          <w:sz w:val="16"/>
          <w:szCs w:val="16"/>
          <w:color w:val="auto"/>
        </w:rPr>
        <w:t>” in the notes to the consolidated financial statements in Item 8 for further detail on our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w:t>
      </w:r>
    </w:p>
    <w:p>
      <w:pPr>
        <w:spacing w:after="0" w:line="207" w:lineRule="exact"/>
        <w:rPr>
          <w:sz w:val="20"/>
          <w:szCs w:val="20"/>
          <w:color w:val="auto"/>
        </w:rPr>
      </w:pPr>
    </w:p>
    <w:p>
      <w:pPr>
        <w:jc w:val="both"/>
        <w:ind w:right="180" w:firstLine="598"/>
        <w:spacing w:after="0" w:line="281" w:lineRule="auto"/>
        <w:rPr>
          <w:sz w:val="20"/>
          <w:szCs w:val="20"/>
          <w:color w:val="auto"/>
        </w:rPr>
      </w:pPr>
      <w:r>
        <w:rPr>
          <w:rFonts w:ascii="Arial" w:cs="Arial" w:eastAsia="Arial" w:hAnsi="Arial"/>
          <w:sz w:val="17"/>
          <w:szCs w:val="17"/>
          <w:color w:val="auto"/>
        </w:rPr>
        <w:t>As we increase our operations in international markets, our exposure to potentially volatile movements in foreign currency exchange rates increases. The economic impact to us of foreign currency exchange rate movements is linked to variability in real growth, inflation, interest rates, governmental actions and other factors. These changes, if material, could cause us to adjust our foreign currency risk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2" w:right="2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1"/>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140" w:type="dxa"/>
            <w:vAlign w:val="bottom"/>
            <w:gridSpan w:val="8"/>
          </w:tcPr>
          <w:p>
            <w:pPr>
              <w:ind w:left="34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20" w:type="dxa"/>
            <w:vAlign w:val="bottom"/>
          </w:tcPr>
          <w:p>
            <w:pPr>
              <w:spacing w:after="0"/>
              <w:rPr>
                <w:sz w:val="20"/>
                <w:szCs w:val="20"/>
                <w:color w:val="auto"/>
              </w:rPr>
            </w:pPr>
          </w:p>
        </w:tc>
      </w:tr>
      <w:tr>
        <w:trPr>
          <w:trHeight w:val="454"/>
        </w:trPr>
        <w:tc>
          <w:tcPr>
            <w:tcW w:w="10000" w:type="dxa"/>
            <w:vAlign w:val="bottom"/>
            <w:gridSpan w:val="10"/>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1420" w:type="dxa"/>
            <w:vAlign w:val="bottom"/>
          </w:tcPr>
          <w:p>
            <w:pPr>
              <w:spacing w:after="0"/>
              <w:rPr>
                <w:sz w:val="24"/>
                <w:szCs w:val="24"/>
                <w:color w:val="auto"/>
              </w:rPr>
            </w:pPr>
          </w:p>
        </w:tc>
      </w:tr>
      <w:tr>
        <w:trPr>
          <w:trHeight w:val="295"/>
        </w:trPr>
        <w:tc>
          <w:tcPr>
            <w:tcW w:w="41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Report of Independent Registered Public Accounting Firm</w:t>
              </w:r>
            </w:hyperlink>
          </w:p>
        </w:tc>
        <w:tc>
          <w:tcPr>
            <w:tcW w:w="5820" w:type="dxa"/>
            <w:vAlign w:val="bottom"/>
            <w:gridSpan w:val="6"/>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4"/>
        </w:trPr>
        <w:tc>
          <w:tcPr>
            <w:tcW w:w="440" w:type="dxa"/>
            <w:vAlign w:val="bottom"/>
          </w:tcPr>
          <w:p>
            <w:pPr>
              <w:spacing w:after="0"/>
              <w:rPr>
                <w:sz w:val="24"/>
                <w:szCs w:val="24"/>
                <w:color w:val="auto"/>
              </w:rPr>
            </w:pPr>
          </w:p>
        </w:tc>
        <w:tc>
          <w:tcPr>
            <w:tcW w:w="956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Operations for the years ended December 31, 2017, 2016 and 201</w:t>
              </w:r>
            </w:hyperlink>
            <w:r>
              <w:rPr>
                <w:rFonts w:ascii="Arial" w:cs="Arial" w:eastAsia="Arial" w:hAnsi="Arial"/>
                <w:sz w:val="18"/>
                <w:szCs w:val="18"/>
                <w:color w:val="000000"/>
              </w:rPr>
              <w:t>5</w:t>
            </w: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44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9560" w:type="dxa"/>
            <w:vAlign w:val="bottom"/>
            <w:gridSpan w:val="9"/>
          </w:tcPr>
          <w:p>
            <w:pPr>
              <w:spacing w:after="0" w:line="194"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Comprehensive Income for the years ended December 31, 2017, 2016 and 201</w:t>
              </w:r>
            </w:hyperlink>
            <w:r>
              <w:rPr>
                <w:rFonts w:ascii="Arial" w:cs="Arial" w:eastAsia="Arial" w:hAnsi="Arial"/>
                <w:sz w:val="18"/>
                <w:szCs w:val="18"/>
                <w:color w:val="000000"/>
              </w:rPr>
              <w:t>5</w:t>
            </w:r>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64</w:t>
            </w:r>
          </w:p>
        </w:tc>
      </w:tr>
      <w:tr>
        <w:trPr>
          <w:trHeight w:val="194"/>
        </w:trPr>
        <w:tc>
          <w:tcPr>
            <w:tcW w:w="440" w:type="dxa"/>
            <w:vAlign w:val="bottom"/>
          </w:tcPr>
          <w:p>
            <w:pPr>
              <w:spacing w:after="0"/>
              <w:rPr>
                <w:sz w:val="16"/>
                <w:szCs w:val="16"/>
                <w:color w:val="auto"/>
              </w:rPr>
            </w:pPr>
          </w:p>
        </w:tc>
        <w:tc>
          <w:tcPr>
            <w:tcW w:w="760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as of December 31, 2017 and 201</w:t>
              </w:r>
            </w:hyperlink>
            <w:r>
              <w:rPr>
                <w:rFonts w:ascii="Arial" w:cs="Arial" w:eastAsia="Arial" w:hAnsi="Arial"/>
                <w:sz w:val="18"/>
                <w:szCs w:val="18"/>
                <w:color w:val="000000"/>
              </w:rPr>
              <w:t>6</w:t>
            </w:r>
          </w:p>
        </w:tc>
        <w:tc>
          <w:tcPr>
            <w:tcW w:w="1960" w:type="dxa"/>
            <w:vAlign w:val="bottom"/>
            <w:gridSpan w:val="2"/>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65</w:t>
            </w:r>
          </w:p>
        </w:tc>
      </w:tr>
      <w:tr>
        <w:trPr>
          <w:trHeight w:val="20"/>
        </w:trPr>
        <w:tc>
          <w:tcPr>
            <w:tcW w:w="44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4"/>
        </w:trPr>
        <w:tc>
          <w:tcPr>
            <w:tcW w:w="440" w:type="dxa"/>
            <w:vAlign w:val="bottom"/>
          </w:tcPr>
          <w:p>
            <w:pPr>
              <w:spacing w:after="0"/>
              <w:rPr>
                <w:sz w:val="16"/>
                <w:szCs w:val="16"/>
                <w:color w:val="auto"/>
              </w:rPr>
            </w:pPr>
          </w:p>
        </w:tc>
        <w:tc>
          <w:tcPr>
            <w:tcW w:w="8340" w:type="dxa"/>
            <w:vAlign w:val="bottom"/>
            <w:tcBorders>
              <w:bottom w:val="single" w:sz="8" w:color="0000EE"/>
            </w:tcBorders>
            <w:gridSpan w:val="8"/>
          </w:tcPr>
          <w:p>
            <w:pPr>
              <w:spacing w:after="0" w:line="194"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Statements of Changes in Stockholders’ Equity for the years ended December 31, 2017, 2016 and 2015</w:t>
              </w:r>
            </w:hyperlink>
          </w:p>
        </w:tc>
        <w:tc>
          <w:tcPr>
            <w:tcW w:w="1220" w:type="dxa"/>
            <w:vAlign w:val="bottom"/>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66</w:t>
            </w:r>
          </w:p>
        </w:tc>
      </w:tr>
      <w:tr>
        <w:trPr>
          <w:trHeight w:val="194"/>
        </w:trPr>
        <w:tc>
          <w:tcPr>
            <w:tcW w:w="440" w:type="dxa"/>
            <w:vAlign w:val="bottom"/>
          </w:tcPr>
          <w:p>
            <w:pPr>
              <w:spacing w:after="0"/>
              <w:rPr>
                <w:sz w:val="16"/>
                <w:szCs w:val="16"/>
                <w:color w:val="auto"/>
              </w:rPr>
            </w:pPr>
          </w:p>
        </w:tc>
        <w:tc>
          <w:tcPr>
            <w:tcW w:w="9560" w:type="dxa"/>
            <w:vAlign w:val="bottom"/>
            <w:gridSpan w:val="9"/>
          </w:tcPr>
          <w:p>
            <w:pPr>
              <w:spacing w:after="0" w:line="194"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2017, 2016 and 201</w:t>
              </w:r>
            </w:hyperlink>
            <w:r>
              <w:rPr>
                <w:rFonts w:ascii="Arial" w:cs="Arial" w:eastAsia="Arial" w:hAnsi="Arial"/>
                <w:sz w:val="18"/>
                <w:szCs w:val="18"/>
                <w:color w:val="000000"/>
              </w:rPr>
              <w:t>5</w:t>
            </w:r>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67</w:t>
            </w:r>
          </w:p>
        </w:tc>
      </w:tr>
      <w:tr>
        <w:trPr>
          <w:trHeight w:val="194"/>
        </w:trPr>
        <w:tc>
          <w:tcPr>
            <w:tcW w:w="440" w:type="dxa"/>
            <w:vAlign w:val="bottom"/>
          </w:tcPr>
          <w:p>
            <w:pPr>
              <w:spacing w:after="0"/>
              <w:rPr>
                <w:sz w:val="16"/>
                <w:szCs w:val="16"/>
                <w:color w:val="auto"/>
              </w:rPr>
            </w:pPr>
          </w:p>
        </w:tc>
        <w:tc>
          <w:tcPr>
            <w:tcW w:w="6740" w:type="dxa"/>
            <w:vAlign w:val="bottom"/>
            <w:tcBorders>
              <w:top w:val="single" w:sz="8" w:color="0000EE"/>
            </w:tcBorders>
            <w:gridSpan w:val="6"/>
          </w:tcPr>
          <w:p>
            <w:pPr>
              <w:spacing w:after="0" w:line="194"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2820" w:type="dxa"/>
            <w:vAlign w:val="bottom"/>
            <w:gridSpan w:val="3"/>
          </w:tcPr>
          <w:p>
            <w:pPr>
              <w:spacing w:after="0"/>
              <w:rPr>
                <w:sz w:val="16"/>
                <w:szCs w:val="16"/>
                <w:color w:val="auto"/>
              </w:rPr>
            </w:pPr>
          </w:p>
        </w:tc>
        <w:tc>
          <w:tcPr>
            <w:tcW w:w="1420" w:type="dxa"/>
            <w:vAlign w:val="bottom"/>
          </w:tcPr>
          <w:p>
            <w:pPr>
              <w:jc w:val="right"/>
              <w:spacing w:after="0" w:line="194" w:lineRule="exact"/>
              <w:rPr>
                <w:sz w:val="20"/>
                <w:szCs w:val="20"/>
                <w:color w:val="auto"/>
              </w:rPr>
            </w:pPr>
            <w:r>
              <w:rPr>
                <w:rFonts w:ascii="Arial" w:cs="Arial" w:eastAsia="Arial" w:hAnsi="Arial"/>
                <w:sz w:val="18"/>
                <w:szCs w:val="18"/>
                <w:color w:val="auto"/>
              </w:rPr>
              <w:t>68</w:t>
            </w:r>
          </w:p>
        </w:tc>
      </w:tr>
      <w:tr>
        <w:trPr>
          <w:trHeight w:val="20"/>
        </w:trPr>
        <w:tc>
          <w:tcPr>
            <w:tcW w:w="4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20"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We have audited the accompanying consolidated balance sheets of TripAdvisor, Inc. and subsidiaries (the “Company”) as of December 31, 2017 and 2016, the related consolidated statements of operations, comprehensive income, changes in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2017, in conformity with U.S. generally accepted accounting principles.</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 – Integrated Framework (2013) issued by the Committee of Sponsoring Organizations of the Treadway Commission, and our report dated February 21, 2018 expressed an unqualified opinion on the effectiveness of the Company’s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93"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75" w:right="2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3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2"/>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Cost of revenue (1)</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4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Interest income and other, net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3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0"/>
        </w:trPr>
        <w:tc>
          <w:tcPr>
            <w:tcW w:w="63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2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color w:val="auto"/>
              </w:rPr>
              <w:t>Earnings (loss) per share attributable to common stockholders</w:t>
            </w:r>
          </w:p>
        </w:tc>
        <w:tc>
          <w:tcPr>
            <w:tcW w:w="96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(Note 5):</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0.83</w:t>
            </w:r>
          </w:p>
        </w:tc>
        <w:tc>
          <w:tcPr>
            <w:tcW w:w="2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(0.14)</w:t>
            </w:r>
          </w:p>
        </w:tc>
        <w:tc>
          <w:tcPr>
            <w:tcW w:w="46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Weighted average common shares outstanding (Note 5):</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expense as follows:</w:t>
            </w:r>
          </w:p>
        </w:tc>
        <w:tc>
          <w:tcPr>
            <w:tcW w:w="9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Amortization of acquired technology included in</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4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website development costs included in</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depreciation</w:t>
            </w:r>
          </w:p>
        </w:tc>
        <w:tc>
          <w:tcPr>
            <w:tcW w:w="9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9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Selling and marketing</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4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 and content</w:t>
            </w:r>
          </w:p>
        </w:tc>
        <w:tc>
          <w:tcPr>
            <w:tcW w:w="960" w:type="dxa"/>
            <w:vAlign w:val="bottom"/>
            <w:shd w:val="clear" w:color="auto" w:fill="CFF0FC"/>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46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2"/>
              </w:rPr>
              <w:t>Year ended December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620" w:type="dxa"/>
            <w:vAlign w:val="bottom"/>
          </w:tcPr>
          <w:p>
            <w:pPr>
              <w:spacing w:after="0"/>
              <w:rPr>
                <w:sz w:val="14"/>
                <w:szCs w:val="14"/>
                <w:color w:val="auto"/>
              </w:rPr>
            </w:pPr>
          </w:p>
        </w:tc>
        <w:tc>
          <w:tcPr>
            <w:tcW w:w="212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20"/>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1"/>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(1)</w:t>
            </w:r>
          </w:p>
        </w:tc>
        <w:tc>
          <w:tcPr>
            <w:tcW w:w="1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13"/>
        </w:trPr>
        <w:tc>
          <w:tcPr>
            <w:tcW w:w="5620" w:type="dxa"/>
            <w:vAlign w:val="bottom"/>
          </w:tcPr>
          <w:p>
            <w:pPr>
              <w:ind w:left="260"/>
              <w:spacing w:after="0"/>
              <w:rPr>
                <w:sz w:val="20"/>
                <w:szCs w:val="20"/>
                <w:color w:val="auto"/>
              </w:rPr>
            </w:pPr>
            <w:r>
              <w:rPr>
                <w:rFonts w:ascii="Arial" w:cs="Arial" w:eastAsia="Arial" w:hAnsi="Arial"/>
                <w:sz w:val="18"/>
                <w:szCs w:val="18"/>
                <w:color w:val="auto"/>
              </w:rPr>
              <w:t>Reclassification adjustment on sale of business included in</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620" w:type="dxa"/>
            <w:vAlign w:val="bottom"/>
          </w:tcPr>
          <w:p>
            <w:pPr>
              <w:ind w:left="380"/>
              <w:spacing w:after="0"/>
              <w:rPr>
                <w:sz w:val="20"/>
                <w:szCs w:val="20"/>
                <w:color w:val="auto"/>
              </w:rPr>
            </w:pPr>
            <w:r>
              <w:rPr>
                <w:rFonts w:ascii="Arial" w:cs="Arial" w:eastAsia="Arial" w:hAnsi="Arial"/>
                <w:sz w:val="18"/>
                <w:szCs w:val="18"/>
                <w:color w:val="auto"/>
              </w:rPr>
              <w:t>total other income (expense), net (Note 3)</w:t>
            </w: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1"/>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1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Pr>
          <w:p>
            <w:pPr>
              <w:spacing w:after="0"/>
              <w:rPr>
                <w:sz w:val="19"/>
                <w:szCs w:val="19"/>
                <w:color w:val="auto"/>
              </w:rPr>
            </w:pPr>
          </w:p>
        </w:tc>
        <w:tc>
          <w:tcPr>
            <w:tcW w:w="96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600" w:right="160" w:hanging="593"/>
        <w:spacing w:after="0" w:line="288"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Foreign currency translation adjustments exclude income taxes due to our intention to indefinitely reinvest the earnings of our foreign subsidiaries in those operations. Refer to “Note 15 </w:t>
      </w:r>
      <w:r>
        <w:rPr>
          <w:rFonts w:ascii="Arial" w:cs="Arial" w:eastAsia="Arial" w:hAnsi="Arial"/>
          <w:sz w:val="16"/>
          <w:szCs w:val="16"/>
          <w:i w:val="1"/>
          <w:iCs w:val="1"/>
          <w:color w:val="auto"/>
        </w:rPr>
        <w:t>— Stockholders’ Equity”</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79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900" w:type="dxa"/>
            <w:vAlign w:val="bottom"/>
          </w:tcPr>
          <w:p>
            <w:pPr>
              <w:spacing w:after="0"/>
              <w:rPr>
                <w:sz w:val="20"/>
                <w:szCs w:val="20"/>
                <w:color w:val="auto"/>
              </w:rPr>
            </w:pPr>
            <w:r>
              <w:rPr>
                <w:rFonts w:ascii="Arial" w:cs="Arial" w:eastAsia="Arial" w:hAnsi="Arial"/>
                <w:sz w:val="16"/>
                <w:szCs w:val="16"/>
                <w:color w:val="auto"/>
              </w:rPr>
              <w:t>Current assets: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(Note 6)</w:t>
            </w:r>
          </w:p>
        </w:tc>
        <w:tc>
          <w:tcPr>
            <w:tcW w:w="1180" w:type="dxa"/>
            <w:vAlign w:val="bottom"/>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Short-term marketable securities (Note 6)</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 for doubtful accounts of $16 and $9,</w:t>
            </w:r>
          </w:p>
        </w:tc>
        <w:tc>
          <w:tcPr>
            <w:tcW w:w="1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 (Note 2)</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Income taxes receivable (Note 10)</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1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00" w:type="dxa"/>
            <w:vAlign w:val="bottom"/>
          </w:tcPr>
          <w:p>
            <w:pPr>
              <w:spacing w:after="0"/>
              <w:rPr>
                <w:sz w:val="20"/>
                <w:szCs w:val="20"/>
                <w:color w:val="auto"/>
              </w:rPr>
            </w:pPr>
            <w:r>
              <w:rPr>
                <w:rFonts w:ascii="Arial" w:cs="Arial" w:eastAsia="Arial" w:hAnsi="Arial"/>
                <w:sz w:val="16"/>
                <w:szCs w:val="16"/>
                <w:color w:val="auto"/>
              </w:rPr>
              <w:t>Total current assets</w:t>
            </w:r>
          </w:p>
        </w:tc>
        <w:tc>
          <w:tcPr>
            <w:tcW w:w="1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993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marketable securities (Note 6)</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Property and equipment, net (Note 7)</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 net (Note 8)</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Goodwill (Note 8)</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 net (Note 10)</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assets</w:t>
            </w:r>
          </w:p>
        </w:tc>
        <w:tc>
          <w:tcPr>
            <w:tcW w:w="1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180" w:type="dxa"/>
            <w:vAlign w:val="bottom"/>
            <w:tcBorders>
              <w:bottom w:val="single" w:sz="8" w:color="auto"/>
            </w:tcBorders>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4"/>
              </w:rPr>
              <w:t>2,272</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90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180" w:type="dxa"/>
            <w:vAlign w:val="bottom"/>
          </w:tcPr>
          <w:p>
            <w:pPr>
              <w:jc w:val="right"/>
              <w:ind w:right="102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merchant payables (Note 2)</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debt (Note 9)</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Income taxes payable (Note 10)</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 and other current liabilities (Note 11)</w:t>
            </w:r>
          </w:p>
        </w:tc>
        <w:tc>
          <w:tcPr>
            <w:tcW w:w="11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0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1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372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debt (Note 9)</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Deferred income taxes, net (Note 10)</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liabilities (Note 12)</w:t>
            </w:r>
          </w:p>
        </w:tc>
        <w:tc>
          <w:tcPr>
            <w:tcW w:w="11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Liabilities</w:t>
            </w:r>
          </w:p>
        </w:tc>
        <w:tc>
          <w:tcPr>
            <w:tcW w:w="11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13)</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spacing w:after="0"/>
              <w:rPr>
                <w:sz w:val="20"/>
                <w:szCs w:val="20"/>
                <w:color w:val="auto"/>
              </w:rPr>
            </w:pPr>
            <w:r>
              <w:rPr>
                <w:rFonts w:ascii="Arial" w:cs="Arial" w:eastAsia="Arial" w:hAnsi="Arial"/>
                <w:sz w:val="16"/>
                <w:szCs w:val="16"/>
                <w:color w:val="auto"/>
              </w:rPr>
              <w:t>Stockholders’ equity: (Note 15)</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w:t>
            </w:r>
          </w:p>
        </w:tc>
        <w:tc>
          <w:tcPr>
            <w:tcW w:w="1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900" w:type="dxa"/>
            <w:vAlign w:val="bottom"/>
          </w:tcPr>
          <w:p>
            <w:pPr>
              <w:ind w:left="500"/>
              <w:spacing w:after="0"/>
              <w:rPr>
                <w:sz w:val="20"/>
                <w:szCs w:val="20"/>
                <w:color w:val="auto"/>
              </w:rPr>
            </w:pPr>
            <w:r>
              <w:rPr>
                <w:rFonts w:ascii="Arial" w:cs="Arial" w:eastAsia="Arial" w:hAnsi="Arial"/>
                <w:sz w:val="16"/>
                <w:szCs w:val="16"/>
                <w:color w:val="auto"/>
              </w:rPr>
              <w:t>Authorized shares: 100,000,000</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0 and 0</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Common stock, $0.001 par value</w:t>
            </w:r>
          </w:p>
        </w:tc>
        <w:tc>
          <w:tcPr>
            <w:tcW w:w="11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1,600,000,000</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500"/>
              <w:spacing w:after="0"/>
              <w:rPr>
                <w:sz w:val="20"/>
                <w:szCs w:val="20"/>
                <w:color w:val="auto"/>
              </w:rPr>
            </w:pPr>
            <w:r>
              <w:rPr>
                <w:rFonts w:ascii="Arial" w:cs="Arial" w:eastAsia="Arial" w:hAnsi="Arial"/>
                <w:sz w:val="16"/>
                <w:szCs w:val="16"/>
                <w:color w:val="auto"/>
              </w:rPr>
              <w:t>Shares issued: 135,617,263 and 134,706,467, respectively</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outstanding: 126,142,773 and 131,310,980, respectively</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Class B common stock, $0.001 par value</w:t>
            </w:r>
          </w:p>
        </w:tc>
        <w:tc>
          <w:tcPr>
            <w:tcW w:w="11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400,000,000</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50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 income</w:t>
            </w:r>
          </w:p>
        </w:tc>
        <w:tc>
          <w:tcPr>
            <w:tcW w:w="1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1"/>
        </w:trPr>
        <w:tc>
          <w:tcPr>
            <w:tcW w:w="7900" w:type="dxa"/>
            <w:vAlign w:val="bottom"/>
          </w:tcPr>
          <w:p>
            <w:pPr>
              <w:ind w:left="260"/>
              <w:spacing w:after="0"/>
              <w:rPr>
                <w:sz w:val="20"/>
                <w:szCs w:val="20"/>
                <w:color w:val="auto"/>
              </w:rPr>
            </w:pPr>
            <w:r>
              <w:rPr>
                <w:rFonts w:ascii="Arial" w:cs="Arial" w:eastAsia="Arial" w:hAnsi="Arial"/>
                <w:sz w:val="16"/>
                <w:szCs w:val="16"/>
                <w:color w:val="auto"/>
              </w:rPr>
              <w:t>Treasury stock-common stock, at cost, 9,474,490 and 3,395,487 shares, respectively</w:t>
            </w:r>
          </w:p>
        </w:tc>
        <w:tc>
          <w:tcPr>
            <w:tcW w:w="11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(447)</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0"/>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18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4"/>
              </w:rPr>
              <w:t>1,363</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0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180" w:type="dxa"/>
            <w:vAlign w:val="bottom"/>
            <w:tcBorders>
              <w:bottom w:val="single" w:sz="8" w:color="auto"/>
            </w:tcBorders>
          </w:tcPr>
          <w:p>
            <w:pPr>
              <w:jc w:val="right"/>
              <w:ind w:right="102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2,272</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3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3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right"/>
              <w:ind w:right="213"/>
              <w:spacing w:after="0"/>
              <w:rPr>
                <w:sz w:val="20"/>
                <w:szCs w:val="20"/>
                <w:color w:val="auto"/>
              </w:rPr>
            </w:pPr>
            <w:r>
              <w:rPr>
                <w:rFonts w:ascii="Arial" w:cs="Arial" w:eastAsia="Arial" w:hAnsi="Arial"/>
                <w:sz w:val="13"/>
                <w:szCs w:val="13"/>
                <w:b w:val="1"/>
                <w:bCs w:val="1"/>
                <w:color w:val="auto"/>
              </w:rPr>
              <w:t>Class B</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paid-in</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Retained</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3260" w:type="dxa"/>
            <w:vAlign w:val="bottom"/>
          </w:tcPr>
          <w:p>
            <w:pPr>
              <w:spacing w:after="0"/>
              <w:rPr>
                <w:sz w:val="13"/>
                <w:szCs w:val="13"/>
                <w:color w:val="auto"/>
              </w:rPr>
            </w:pPr>
          </w:p>
        </w:tc>
        <w:tc>
          <w:tcPr>
            <w:tcW w:w="12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capital</w:t>
            </w: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earnings</w:t>
            </w:r>
          </w:p>
        </w:tc>
        <w:tc>
          <w:tcPr>
            <w:tcW w:w="1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(loss) income</w:t>
            </w: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Total</w:t>
            </w:r>
          </w:p>
        </w:tc>
      </w:tr>
      <w:tr>
        <w:trPr>
          <w:trHeight w:val="154"/>
        </w:trPr>
        <w:tc>
          <w:tcPr>
            <w:tcW w:w="326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r>
      <w:tr>
        <w:trPr>
          <w:trHeight w:val="154"/>
        </w:trPr>
        <w:tc>
          <w:tcPr>
            <w:tcW w:w="3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2014</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132,315,465</w:t>
            </w:r>
          </w:p>
        </w:tc>
        <w:tc>
          <w:tcPr>
            <w:tcW w:w="46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12,799,999</w:t>
            </w:r>
          </w:p>
        </w:tc>
        <w:tc>
          <w:tcPr>
            <w:tcW w:w="4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673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628</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(31)</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(2,194,173)</w:t>
            </w:r>
          </w:p>
        </w:tc>
        <w:tc>
          <w:tcPr>
            <w:tcW w:w="32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w w:val="98"/>
              </w:rPr>
              <w:t>(145)</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1,125</w:t>
            </w:r>
          </w:p>
        </w:tc>
        <w:tc>
          <w:tcPr>
            <w:tcW w:w="60" w:type="dxa"/>
            <w:vAlign w:val="bottom"/>
            <w:shd w:val="clear" w:color="auto" w:fill="CFF0FC"/>
          </w:tcPr>
          <w:p>
            <w:pPr>
              <w:spacing w:after="0"/>
              <w:rPr>
                <w:sz w:val="13"/>
                <w:szCs w:val="13"/>
                <w:color w:val="auto"/>
              </w:rPr>
            </w:pPr>
          </w:p>
        </w:tc>
      </w:tr>
      <w:tr>
        <w:trPr>
          <w:trHeight w:val="160"/>
        </w:trPr>
        <w:tc>
          <w:tcPr>
            <w:tcW w:w="326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198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198</w:t>
            </w:r>
          </w:p>
        </w:tc>
        <w:tc>
          <w:tcPr>
            <w:tcW w:w="60" w:type="dxa"/>
            <w:vAlign w:val="bottom"/>
          </w:tcPr>
          <w:p>
            <w:pPr>
              <w:spacing w:after="0"/>
              <w:rPr>
                <w:sz w:val="13"/>
                <w:szCs w:val="13"/>
                <w:color w:val="auto"/>
              </w:rPr>
            </w:pPr>
          </w:p>
        </w:tc>
      </w:tr>
      <w:tr>
        <w:trPr>
          <w:trHeight w:val="160"/>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loss</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(32)</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(32)</w:t>
            </w:r>
          </w:p>
        </w:tc>
      </w:tr>
      <w:tr>
        <w:trPr>
          <w:trHeight w:val="149"/>
        </w:trPr>
        <w:tc>
          <w:tcPr>
            <w:tcW w:w="3260" w:type="dxa"/>
            <w:vAlign w:val="bottom"/>
          </w:tcPr>
          <w:p>
            <w:pPr>
              <w:spacing w:after="0"/>
              <w:rPr>
                <w:sz w:val="20"/>
                <w:szCs w:val="20"/>
                <w:color w:val="auto"/>
              </w:rPr>
            </w:pPr>
            <w:r>
              <w:rPr>
                <w:rFonts w:ascii="Arial" w:cs="Arial" w:eastAsia="Arial" w:hAnsi="Arial"/>
                <w:sz w:val="13"/>
                <w:szCs w:val="13"/>
                <w:color w:val="auto"/>
              </w:rPr>
              <w:t>Issuance of common stock related to exercise of options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7"/>
        </w:trPr>
        <w:tc>
          <w:tcPr>
            <w:tcW w:w="3260" w:type="dxa"/>
            <w:vAlign w:val="bottom"/>
          </w:tcPr>
          <w:p>
            <w:pPr>
              <w:spacing w:after="0" w:line="147" w:lineRule="exact"/>
              <w:rPr>
                <w:sz w:val="20"/>
                <w:szCs w:val="20"/>
                <w:color w:val="auto"/>
              </w:rPr>
            </w:pPr>
            <w:r>
              <w:rPr>
                <w:rFonts w:ascii="Arial" w:cs="Arial" w:eastAsia="Arial" w:hAnsi="Arial"/>
                <w:sz w:val="13"/>
                <w:szCs w:val="13"/>
                <w:color w:val="auto"/>
              </w:rPr>
              <w:t>and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8"/>
        </w:trPr>
        <w:tc>
          <w:tcPr>
            <w:tcW w:w="3260" w:type="dxa"/>
            <w:vAlign w:val="bottom"/>
          </w:tcPr>
          <w:p>
            <w:pPr>
              <w:ind w:left="100"/>
              <w:spacing w:after="0"/>
              <w:rPr>
                <w:sz w:val="20"/>
                <w:szCs w:val="20"/>
                <w:color w:val="auto"/>
              </w:rPr>
            </w:pPr>
            <w:r>
              <w:rPr>
                <w:rFonts w:ascii="Arial" w:cs="Arial" w:eastAsia="Arial" w:hAnsi="Arial"/>
                <w:sz w:val="13"/>
                <w:szCs w:val="13"/>
                <w:color w:val="auto"/>
              </w:rPr>
              <w:t>vesting of RSUs</w:t>
            </w:r>
          </w:p>
        </w:tc>
        <w:tc>
          <w:tcPr>
            <w:tcW w:w="800" w:type="dxa"/>
            <w:vAlign w:val="bottom"/>
          </w:tcPr>
          <w:p>
            <w:pPr>
              <w:jc w:val="right"/>
              <w:spacing w:after="0"/>
              <w:rPr>
                <w:sz w:val="20"/>
                <w:szCs w:val="20"/>
                <w:color w:val="auto"/>
              </w:rPr>
            </w:pPr>
            <w:r>
              <w:rPr>
                <w:rFonts w:ascii="Arial" w:cs="Arial" w:eastAsia="Arial" w:hAnsi="Arial"/>
                <w:sz w:val="13"/>
                <w:szCs w:val="13"/>
                <w:color w:val="auto"/>
              </w:rPr>
              <w:t>1,520,777</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3"/>
                <w:szCs w:val="13"/>
                <w:color w:val="auto"/>
              </w:rPr>
            </w:pPr>
          </w:p>
        </w:tc>
      </w:tr>
      <w:tr>
        <w:trPr>
          <w:trHeight w:val="149"/>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w w:val="96"/>
              </w:rPr>
              <w:t>Issuance of treasury stock as charitable contribution (Note</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8"/>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15)</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801,042</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w:t>
            </w:r>
          </w:p>
        </w:tc>
        <w:tc>
          <w:tcPr>
            <w:tcW w:w="60" w:type="dxa"/>
            <w:vAlign w:val="bottom"/>
            <w:shd w:val="clear" w:color="auto" w:fill="CFF0FC"/>
          </w:tcPr>
          <w:p>
            <w:pPr>
              <w:spacing w:after="0"/>
              <w:rPr>
                <w:sz w:val="13"/>
                <w:szCs w:val="13"/>
                <w:color w:val="auto"/>
              </w:rPr>
            </w:pPr>
          </w:p>
        </w:tc>
      </w:tr>
      <w:tr>
        <w:trPr>
          <w:trHeight w:val="160"/>
        </w:trPr>
        <w:tc>
          <w:tcPr>
            <w:tcW w:w="3260" w:type="dxa"/>
            <w:vAlign w:val="bottom"/>
          </w:tcPr>
          <w:p>
            <w:pPr>
              <w:spacing w:after="0"/>
              <w:rPr>
                <w:sz w:val="20"/>
                <w:szCs w:val="20"/>
                <w:color w:val="auto"/>
              </w:rPr>
            </w:pPr>
            <w:r>
              <w:rPr>
                <w:rFonts w:ascii="Arial" w:cs="Arial" w:eastAsia="Arial" w:hAnsi="Arial"/>
                <w:sz w:val="13"/>
                <w:szCs w:val="13"/>
                <w:color w:val="auto"/>
              </w:rPr>
              <w:t>Tax benefits on equity awards, net</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35</w:t>
            </w:r>
          </w:p>
        </w:tc>
        <w:tc>
          <w:tcPr>
            <w:tcW w:w="60" w:type="dxa"/>
            <w:vAlign w:val="bottom"/>
          </w:tcPr>
          <w:p>
            <w:pPr>
              <w:spacing w:after="0"/>
              <w:rPr>
                <w:sz w:val="13"/>
                <w:szCs w:val="13"/>
                <w:color w:val="auto"/>
              </w:rPr>
            </w:pPr>
          </w:p>
        </w:tc>
      </w:tr>
      <w:tr>
        <w:trPr>
          <w:trHeight w:val="149"/>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Withholding taxes on net share settlements of equity</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8"/>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awards</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(73)</w:t>
            </w: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(73)</w:t>
            </w:r>
          </w:p>
        </w:tc>
      </w:tr>
      <w:tr>
        <w:trPr>
          <w:trHeight w:val="160"/>
        </w:trPr>
        <w:tc>
          <w:tcPr>
            <w:tcW w:w="32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Stock-based compensation</w:t>
            </w: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60" w:type="dxa"/>
            <w:vAlign w:val="bottom"/>
            <w:tcBorders>
              <w:bottom w:val="single" w:sz="8" w:color="CFF0FC"/>
            </w:tcBorders>
          </w:tcPr>
          <w:p>
            <w:pPr>
              <w:spacing w:after="0"/>
              <w:rPr>
                <w:sz w:val="13"/>
                <w:szCs w:val="13"/>
                <w:color w:val="auto"/>
              </w:rPr>
            </w:pPr>
          </w:p>
        </w:tc>
      </w:tr>
      <w:tr>
        <w:trPr>
          <w:trHeight w:val="154"/>
        </w:trPr>
        <w:tc>
          <w:tcPr>
            <w:tcW w:w="3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2015</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133,836,242</w:t>
            </w:r>
          </w:p>
        </w:tc>
        <w:tc>
          <w:tcPr>
            <w:tcW w:w="46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12,799,999</w:t>
            </w:r>
          </w:p>
        </w:tc>
        <w:tc>
          <w:tcPr>
            <w:tcW w:w="4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741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826</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(63)</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(1,393,131)</w:t>
            </w:r>
          </w:p>
        </w:tc>
        <w:tc>
          <w:tcPr>
            <w:tcW w:w="32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rPr>
              <w:t>(92)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1,412</w:t>
            </w:r>
          </w:p>
        </w:tc>
        <w:tc>
          <w:tcPr>
            <w:tcW w:w="60" w:type="dxa"/>
            <w:vAlign w:val="bottom"/>
            <w:shd w:val="clear" w:color="auto" w:fill="CFF0FC"/>
          </w:tcPr>
          <w:p>
            <w:pPr>
              <w:spacing w:after="0"/>
              <w:rPr>
                <w:sz w:val="13"/>
                <w:szCs w:val="13"/>
                <w:color w:val="auto"/>
              </w:rPr>
            </w:pPr>
          </w:p>
        </w:tc>
      </w:tr>
      <w:tr>
        <w:trPr>
          <w:trHeight w:val="160"/>
        </w:trPr>
        <w:tc>
          <w:tcPr>
            <w:tcW w:w="3260" w:type="dxa"/>
            <w:vAlign w:val="bottom"/>
          </w:tcPr>
          <w:p>
            <w:pPr>
              <w:spacing w:after="0"/>
              <w:rPr>
                <w:sz w:val="20"/>
                <w:szCs w:val="20"/>
                <w:color w:val="auto"/>
              </w:rPr>
            </w:pPr>
            <w:r>
              <w:rPr>
                <w:rFonts w:ascii="Arial" w:cs="Arial" w:eastAsia="Arial" w:hAnsi="Arial"/>
                <w:sz w:val="13"/>
                <w:szCs w:val="13"/>
                <w:color w:val="auto"/>
              </w:rPr>
              <w:t>Net income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120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120</w:t>
            </w:r>
          </w:p>
        </w:tc>
        <w:tc>
          <w:tcPr>
            <w:tcW w:w="60" w:type="dxa"/>
            <w:vAlign w:val="bottom"/>
          </w:tcPr>
          <w:p>
            <w:pPr>
              <w:spacing w:after="0"/>
              <w:rPr>
                <w:sz w:val="13"/>
                <w:szCs w:val="13"/>
                <w:color w:val="auto"/>
              </w:rPr>
            </w:pPr>
          </w:p>
        </w:tc>
      </w:tr>
      <w:tr>
        <w:trPr>
          <w:trHeight w:val="149"/>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Cumulative effect adjustment from adoption of new</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w:t>
            </w:r>
          </w:p>
        </w:tc>
      </w:tr>
      <w:tr>
        <w:trPr>
          <w:trHeight w:val="147"/>
        </w:trPr>
        <w:tc>
          <w:tcPr>
            <w:tcW w:w="326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accounting</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8"/>
        </w:trPr>
        <w:tc>
          <w:tcPr>
            <w:tcW w:w="3260" w:type="dxa"/>
            <w:vAlign w:val="bottom"/>
            <w:shd w:val="clear" w:color="auto" w:fill="CFF0FC"/>
          </w:tcPr>
          <w:p>
            <w:pPr>
              <w:ind w:left="140"/>
              <w:spacing w:after="0"/>
              <w:rPr>
                <w:sz w:val="20"/>
                <w:szCs w:val="20"/>
                <w:color w:val="auto"/>
              </w:rPr>
            </w:pPr>
            <w:r>
              <w:rPr>
                <w:rFonts w:ascii="Arial" w:cs="Arial" w:eastAsia="Arial" w:hAnsi="Arial"/>
                <w:sz w:val="13"/>
                <w:szCs w:val="13"/>
                <w:color w:val="auto"/>
              </w:rPr>
              <w:t>guidance related to stock-based compensation</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0"/>
        </w:trPr>
        <w:tc>
          <w:tcPr>
            <w:tcW w:w="3260" w:type="dxa"/>
            <w:vAlign w:val="bottom"/>
          </w:tcPr>
          <w:p>
            <w:pPr>
              <w:spacing w:after="0"/>
              <w:rPr>
                <w:sz w:val="20"/>
                <w:szCs w:val="20"/>
                <w:color w:val="auto"/>
              </w:rPr>
            </w:pPr>
            <w:r>
              <w:rPr>
                <w:rFonts w:ascii="Arial" w:cs="Arial" w:eastAsia="Arial" w:hAnsi="Arial"/>
                <w:sz w:val="13"/>
                <w:szCs w:val="13"/>
                <w:color w:val="auto"/>
              </w:rPr>
              <w:t>Other comprehensive loss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(14)</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(14)</w:t>
            </w:r>
          </w:p>
        </w:tc>
      </w:tr>
      <w:tr>
        <w:trPr>
          <w:trHeight w:val="149"/>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related to exercise of options</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7"/>
        </w:trPr>
        <w:tc>
          <w:tcPr>
            <w:tcW w:w="326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and</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8"/>
        </w:trPr>
        <w:tc>
          <w:tcPr>
            <w:tcW w:w="32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vesting of RSUs</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870,225</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FF0FC"/>
          </w:tcPr>
          <w:p>
            <w:pPr>
              <w:spacing w:after="0"/>
              <w:rPr>
                <w:sz w:val="13"/>
                <w:szCs w:val="13"/>
                <w:color w:val="auto"/>
              </w:rPr>
            </w:pPr>
          </w:p>
        </w:tc>
      </w:tr>
      <w:tr>
        <w:trPr>
          <w:trHeight w:val="160"/>
        </w:trPr>
        <w:tc>
          <w:tcPr>
            <w:tcW w:w="3260" w:type="dxa"/>
            <w:vAlign w:val="bottom"/>
          </w:tcPr>
          <w:p>
            <w:pPr>
              <w:spacing w:after="0"/>
              <w:rPr>
                <w:sz w:val="20"/>
                <w:szCs w:val="20"/>
                <w:color w:val="auto"/>
              </w:rPr>
            </w:pPr>
            <w:r>
              <w:rPr>
                <w:rFonts w:ascii="Arial" w:cs="Arial" w:eastAsia="Arial" w:hAnsi="Arial"/>
                <w:sz w:val="13"/>
                <w:szCs w:val="13"/>
                <w:color w:val="auto"/>
              </w:rPr>
              <w:t>Repurchase of common stock (Note 15)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(2,002,356)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(105)</w:t>
            </w: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(105)</w:t>
            </w:r>
          </w:p>
        </w:tc>
      </w:tr>
      <w:tr>
        <w:trPr>
          <w:trHeight w:val="149"/>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Withholding taxes on net share settlements of equity</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8"/>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awards</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(15)</w:t>
            </w: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(15)</w:t>
            </w:r>
          </w:p>
        </w:tc>
      </w:tr>
      <w:tr>
        <w:trPr>
          <w:trHeight w:val="160"/>
        </w:trPr>
        <w:tc>
          <w:tcPr>
            <w:tcW w:w="32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Stock-based compensation</w:t>
            </w: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60" w:type="dxa"/>
            <w:vAlign w:val="bottom"/>
            <w:tcBorders>
              <w:bottom w:val="single" w:sz="8" w:color="CFF0FC"/>
            </w:tcBorders>
          </w:tcPr>
          <w:p>
            <w:pPr>
              <w:spacing w:after="0"/>
              <w:rPr>
                <w:sz w:val="13"/>
                <w:szCs w:val="13"/>
                <w:color w:val="auto"/>
              </w:rPr>
            </w:pPr>
          </w:p>
        </w:tc>
      </w:tr>
      <w:tr>
        <w:trPr>
          <w:trHeight w:val="154"/>
        </w:trPr>
        <w:tc>
          <w:tcPr>
            <w:tcW w:w="3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as of December 31, 2016</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134,706,467</w:t>
            </w:r>
          </w:p>
        </w:tc>
        <w:tc>
          <w:tcPr>
            <w:tcW w:w="46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12,799,999</w:t>
            </w:r>
          </w:p>
        </w:tc>
        <w:tc>
          <w:tcPr>
            <w:tcW w:w="48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831</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945</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(77)</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(3,395,487)</w:t>
            </w:r>
          </w:p>
        </w:tc>
        <w:tc>
          <w:tcPr>
            <w:tcW w:w="32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b w:val="1"/>
                <w:bCs w:val="1"/>
                <w:color w:val="auto"/>
                <w:w w:val="98"/>
              </w:rPr>
              <w:t>(197)</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1,502</w:t>
            </w:r>
          </w:p>
        </w:tc>
        <w:tc>
          <w:tcPr>
            <w:tcW w:w="60" w:type="dxa"/>
            <w:vAlign w:val="bottom"/>
            <w:shd w:val="clear" w:color="auto" w:fill="CFF0FC"/>
          </w:tcPr>
          <w:p>
            <w:pPr>
              <w:spacing w:after="0"/>
              <w:rPr>
                <w:sz w:val="13"/>
                <w:szCs w:val="13"/>
                <w:color w:val="auto"/>
              </w:rPr>
            </w:pPr>
          </w:p>
        </w:tc>
      </w:tr>
      <w:tr>
        <w:trPr>
          <w:trHeight w:val="160"/>
        </w:trPr>
        <w:tc>
          <w:tcPr>
            <w:tcW w:w="326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(19)</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(19)</w:t>
            </w:r>
          </w:p>
        </w:tc>
      </w:tr>
      <w:tr>
        <w:trPr>
          <w:trHeight w:val="160"/>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60" w:type="dxa"/>
            <w:vAlign w:val="bottom"/>
            <w:shd w:val="clear" w:color="auto" w:fill="CFF0FC"/>
          </w:tcPr>
          <w:p>
            <w:pPr>
              <w:spacing w:after="0"/>
              <w:rPr>
                <w:sz w:val="13"/>
                <w:szCs w:val="13"/>
                <w:color w:val="auto"/>
              </w:rPr>
            </w:pPr>
          </w:p>
        </w:tc>
      </w:tr>
      <w:tr>
        <w:trPr>
          <w:trHeight w:val="149"/>
        </w:trPr>
        <w:tc>
          <w:tcPr>
            <w:tcW w:w="3260" w:type="dxa"/>
            <w:vAlign w:val="bottom"/>
          </w:tcPr>
          <w:p>
            <w:pPr>
              <w:spacing w:after="0"/>
              <w:rPr>
                <w:sz w:val="20"/>
                <w:szCs w:val="20"/>
                <w:color w:val="auto"/>
              </w:rPr>
            </w:pPr>
            <w:r>
              <w:rPr>
                <w:rFonts w:ascii="Arial" w:cs="Arial" w:eastAsia="Arial" w:hAnsi="Arial"/>
                <w:sz w:val="13"/>
                <w:szCs w:val="13"/>
                <w:color w:val="auto"/>
              </w:rPr>
              <w:t>Issuance of common stock related to exercise of options</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7"/>
        </w:trPr>
        <w:tc>
          <w:tcPr>
            <w:tcW w:w="3260" w:type="dxa"/>
            <w:vAlign w:val="bottom"/>
          </w:tcPr>
          <w:p>
            <w:pPr>
              <w:spacing w:after="0" w:line="147" w:lineRule="exact"/>
              <w:rPr>
                <w:sz w:val="20"/>
                <w:szCs w:val="20"/>
                <w:color w:val="auto"/>
              </w:rPr>
            </w:pPr>
            <w:r>
              <w:rPr>
                <w:rFonts w:ascii="Arial" w:cs="Arial" w:eastAsia="Arial" w:hAnsi="Arial"/>
                <w:sz w:val="13"/>
                <w:szCs w:val="13"/>
                <w:color w:val="auto"/>
              </w:rPr>
              <w:t>and</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8"/>
        </w:trPr>
        <w:tc>
          <w:tcPr>
            <w:tcW w:w="3260" w:type="dxa"/>
            <w:vAlign w:val="bottom"/>
          </w:tcPr>
          <w:p>
            <w:pPr>
              <w:ind w:left="100"/>
              <w:spacing w:after="0"/>
              <w:rPr>
                <w:sz w:val="20"/>
                <w:szCs w:val="20"/>
                <w:color w:val="auto"/>
              </w:rPr>
            </w:pPr>
            <w:r>
              <w:rPr>
                <w:rFonts w:ascii="Arial" w:cs="Arial" w:eastAsia="Arial" w:hAnsi="Arial"/>
                <w:sz w:val="13"/>
                <w:szCs w:val="13"/>
                <w:color w:val="auto"/>
              </w:rPr>
              <w:t>vesting of RSUs</w:t>
            </w:r>
          </w:p>
        </w:tc>
        <w:tc>
          <w:tcPr>
            <w:tcW w:w="800" w:type="dxa"/>
            <w:vAlign w:val="bottom"/>
          </w:tcPr>
          <w:p>
            <w:pPr>
              <w:jc w:val="right"/>
              <w:spacing w:after="0"/>
              <w:rPr>
                <w:sz w:val="20"/>
                <w:szCs w:val="20"/>
                <w:color w:val="auto"/>
              </w:rPr>
            </w:pPr>
            <w:r>
              <w:rPr>
                <w:rFonts w:ascii="Arial" w:cs="Arial" w:eastAsia="Arial" w:hAnsi="Arial"/>
                <w:sz w:val="13"/>
                <w:szCs w:val="13"/>
                <w:color w:val="auto"/>
              </w:rPr>
              <w:t>910,796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r>
      <w:tr>
        <w:trPr>
          <w:trHeight w:val="160"/>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Repurchase of common stock (Note 15)</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(6,079,003)</w:t>
            </w: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w w:val="98"/>
              </w:rPr>
              <w:t>(250)</w:t>
            </w: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(250)</w:t>
            </w:r>
          </w:p>
        </w:tc>
      </w:tr>
      <w:tr>
        <w:trPr>
          <w:trHeight w:val="149"/>
        </w:trPr>
        <w:tc>
          <w:tcPr>
            <w:tcW w:w="3260" w:type="dxa"/>
            <w:vAlign w:val="bottom"/>
          </w:tcPr>
          <w:p>
            <w:pPr>
              <w:spacing w:after="0"/>
              <w:rPr>
                <w:sz w:val="20"/>
                <w:szCs w:val="20"/>
                <w:color w:val="auto"/>
              </w:rPr>
            </w:pPr>
            <w:r>
              <w:rPr>
                <w:rFonts w:ascii="Arial" w:cs="Arial" w:eastAsia="Arial" w:hAnsi="Arial"/>
                <w:sz w:val="13"/>
                <w:szCs w:val="13"/>
                <w:color w:val="auto"/>
              </w:rPr>
              <w:t>Withholding taxes on net share settlements of equity</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8"/>
        </w:trPr>
        <w:tc>
          <w:tcPr>
            <w:tcW w:w="3260" w:type="dxa"/>
            <w:vAlign w:val="bottom"/>
          </w:tcPr>
          <w:p>
            <w:pPr>
              <w:spacing w:after="0"/>
              <w:rPr>
                <w:sz w:val="20"/>
                <w:szCs w:val="20"/>
                <w:color w:val="auto"/>
              </w:rPr>
            </w:pPr>
            <w:r>
              <w:rPr>
                <w:rFonts w:ascii="Arial" w:cs="Arial" w:eastAsia="Arial" w:hAnsi="Arial"/>
                <w:sz w:val="13"/>
                <w:szCs w:val="13"/>
                <w:color w:val="auto"/>
              </w:rPr>
              <w:t>awards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(17)</w:t>
            </w:r>
          </w:p>
        </w:tc>
      </w:tr>
      <w:tr>
        <w:trPr>
          <w:trHeight w:val="160"/>
        </w:trPr>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80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60" w:type="dxa"/>
            <w:vAlign w:val="bottom"/>
            <w:shd w:val="clear" w:color="auto" w:fill="CFF0FC"/>
          </w:tcPr>
          <w:p>
            <w:pPr>
              <w:spacing w:after="0"/>
              <w:rPr>
                <w:sz w:val="13"/>
                <w:szCs w:val="13"/>
                <w:color w:val="auto"/>
              </w:rPr>
            </w:pPr>
          </w:p>
        </w:tc>
      </w:tr>
      <w:tr>
        <w:trPr>
          <w:trHeight w:val="154"/>
        </w:trPr>
        <w:tc>
          <w:tcPr>
            <w:tcW w:w="3260" w:type="dxa"/>
            <w:vAlign w:val="bottom"/>
          </w:tcPr>
          <w:p>
            <w:pPr>
              <w:spacing w:after="0"/>
              <w:rPr>
                <w:sz w:val="20"/>
                <w:szCs w:val="20"/>
                <w:color w:val="auto"/>
              </w:rPr>
            </w:pPr>
            <w:r>
              <w:rPr>
                <w:rFonts w:ascii="Arial" w:cs="Arial" w:eastAsia="Arial" w:hAnsi="Arial"/>
                <w:sz w:val="13"/>
                <w:szCs w:val="13"/>
                <w:b w:val="1"/>
                <w:bCs w:val="1"/>
                <w:color w:val="auto"/>
              </w:rPr>
              <w:t>Balance as of December 31, 2017</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135,617,263</w:t>
            </w:r>
          </w:p>
        </w:tc>
        <w:tc>
          <w:tcPr>
            <w:tcW w:w="46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ind w:left="100"/>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12,799,999</w:t>
            </w:r>
          </w:p>
        </w:tc>
        <w:tc>
          <w:tcPr>
            <w:tcW w:w="480" w:type="dxa"/>
            <w:vAlign w:val="bottom"/>
            <w:gridSpan w:val="2"/>
          </w:tcPr>
          <w:p>
            <w:pPr>
              <w:jc w:val="right"/>
              <w:ind w:right="173"/>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r>
              <w:rPr>
                <w:rFonts w:ascii="Arial" w:cs="Arial" w:eastAsia="Arial" w:hAnsi="Arial"/>
                <w:sz w:val="13"/>
                <w:szCs w:val="13"/>
                <w:b w:val="1"/>
                <w:bCs w:val="1"/>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926</w:t>
            </w:r>
          </w:p>
        </w:tc>
        <w:tc>
          <w:tcPr>
            <w:tcW w:w="2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926</w:t>
            </w:r>
          </w:p>
        </w:tc>
        <w:tc>
          <w:tcPr>
            <w:tcW w:w="18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(42)</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(9,474,490)</w:t>
            </w:r>
          </w:p>
        </w:tc>
        <w:tc>
          <w:tcPr>
            <w:tcW w:w="32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8"/>
              </w:rPr>
              <w:t>(447)</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1,363</w:t>
            </w:r>
          </w:p>
        </w:tc>
        <w:tc>
          <w:tcPr>
            <w:tcW w:w="60" w:type="dxa"/>
            <w:vAlign w:val="bottom"/>
          </w:tcPr>
          <w:p>
            <w:pPr>
              <w:spacing w:after="0"/>
              <w:rPr>
                <w:sz w:val="13"/>
                <w:szCs w:val="13"/>
                <w:color w:val="auto"/>
              </w:rPr>
            </w:pPr>
          </w:p>
        </w:tc>
      </w:tr>
      <w:tr>
        <w:trPr>
          <w:trHeight w:val="20"/>
        </w:trPr>
        <w:tc>
          <w:tcPr>
            <w:tcW w:w="3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8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4"/>
              <w:spacing w:after="0" w:line="153"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4"/>
              <w:spacing w:after="0" w:line="153"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80" w:type="dxa"/>
            <w:vAlign w:val="bottom"/>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Operating activities:</w:t>
            </w:r>
          </w:p>
        </w:tc>
        <w:tc>
          <w:tcPr>
            <w:tcW w:w="1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color w:val="auto"/>
              </w:rPr>
              <w:t>Net income (loss)</w:t>
            </w:r>
          </w:p>
        </w:tc>
        <w:tc>
          <w:tcPr>
            <w:tcW w:w="1940" w:type="dxa"/>
            <w:vAlign w:val="bottom"/>
            <w:gridSpan w:val="2"/>
          </w:tcPr>
          <w:p>
            <w:pPr>
              <w:jc w:val="right"/>
              <w:ind w:right="489"/>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(19)</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120</w:t>
            </w:r>
          </w:p>
        </w:tc>
        <w:tc>
          <w:tcPr>
            <w:tcW w:w="14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80" w:type="dxa"/>
            <w:vAlign w:val="bottom"/>
          </w:tcPr>
          <w:p>
            <w:pPr>
              <w:ind w:left="260"/>
              <w:spacing w:after="0" w:line="161" w:lineRule="exact"/>
              <w:rPr>
                <w:sz w:val="20"/>
                <w:szCs w:val="20"/>
                <w:color w:val="auto"/>
              </w:rPr>
            </w:pPr>
            <w:r>
              <w:rPr>
                <w:rFonts w:ascii="Arial" w:cs="Arial" w:eastAsia="Arial" w:hAnsi="Arial"/>
                <w:sz w:val="15"/>
                <w:szCs w:val="15"/>
                <w:color w:val="auto"/>
              </w:rPr>
              <w:t>Depreciation of property and equipment, including amortization of internal-use</w:t>
            </w: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tcPr>
          <w:p>
            <w:pPr>
              <w:ind w:left="360"/>
              <w:spacing w:after="0"/>
              <w:rPr>
                <w:sz w:val="20"/>
                <w:szCs w:val="20"/>
                <w:color w:val="auto"/>
              </w:rPr>
            </w:pPr>
            <w:r>
              <w:rPr>
                <w:rFonts w:ascii="Arial" w:cs="Arial" w:eastAsia="Arial" w:hAnsi="Arial"/>
                <w:sz w:val="15"/>
                <w:szCs w:val="15"/>
                <w:color w:val="auto"/>
              </w:rPr>
              <w:t>software and website development</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79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intangible assets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Stock-based compensation expense (Note 4)</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96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Non-cash contribution to charitable foundation (Note 17)</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Gain on sale of business (Note 3)</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tax expense (benefit)</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Other, net</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80" w:type="dxa"/>
            <w:vAlign w:val="bottom"/>
            <w:shd w:val="clear" w:color="auto" w:fill="CFF0FC"/>
          </w:tcPr>
          <w:p>
            <w:pPr>
              <w:ind w:left="260"/>
              <w:spacing w:after="0" w:line="161" w:lineRule="exact"/>
              <w:rPr>
                <w:sz w:val="20"/>
                <w:szCs w:val="20"/>
                <w:color w:val="auto"/>
              </w:rPr>
            </w:pPr>
            <w:r>
              <w:rPr>
                <w:rFonts w:ascii="Arial" w:cs="Arial" w:eastAsia="Arial" w:hAnsi="Arial"/>
                <w:sz w:val="15"/>
                <w:szCs w:val="15"/>
                <w:color w:val="auto"/>
              </w:rPr>
              <w:t>Changes in operating assets and liabilities, net of effects from acquisitions, other</w:t>
            </w:r>
          </w:p>
        </w:tc>
        <w:tc>
          <w:tcPr>
            <w:tcW w:w="1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investments and dispositions: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500"/>
              <w:spacing w:after="0"/>
              <w:rPr>
                <w:sz w:val="20"/>
                <w:szCs w:val="20"/>
                <w:color w:val="auto"/>
              </w:rPr>
            </w:pPr>
            <w:r>
              <w:rPr>
                <w:rFonts w:ascii="Arial" w:cs="Arial" w:eastAsia="Arial" w:hAnsi="Arial"/>
                <w:sz w:val="15"/>
                <w:szCs w:val="15"/>
                <w:color w:val="auto"/>
              </w:rPr>
              <w:t>Accounts receivable, prepaid expenses and other assets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 accrued expenses and other liabilities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500"/>
              <w:spacing w:after="0"/>
              <w:rPr>
                <w:sz w:val="20"/>
                <w:szCs w:val="20"/>
                <w:color w:val="auto"/>
              </w:rPr>
            </w:pPr>
            <w:r>
              <w:rPr>
                <w:rFonts w:ascii="Arial" w:cs="Arial" w:eastAsia="Arial" w:hAnsi="Arial"/>
                <w:sz w:val="15"/>
                <w:szCs w:val="15"/>
                <w:color w:val="auto"/>
              </w:rPr>
              <w:t>Deferred merchant payables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Income tax receivables/payables, net</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500"/>
              <w:spacing w:after="0"/>
              <w:rPr>
                <w:sz w:val="20"/>
                <w:szCs w:val="20"/>
                <w:color w:val="auto"/>
              </w:rPr>
            </w:pPr>
            <w:r>
              <w:rPr>
                <w:rFonts w:ascii="Arial" w:cs="Arial" w:eastAsia="Arial" w:hAnsi="Arial"/>
                <w:sz w:val="15"/>
                <w:szCs w:val="15"/>
                <w:color w:val="auto"/>
              </w:rPr>
              <w:t>Deferred revenue</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580" w:type="dxa"/>
            <w:vAlign w:val="bottom"/>
            <w:tcBorders>
              <w:top w:val="single" w:sz="8" w:color="CFF0FC"/>
            </w:tcBorders>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Net cash provided by operating activities</w:t>
            </w:r>
          </w:p>
        </w:tc>
        <w:tc>
          <w:tcPr>
            <w:tcW w:w="1300" w:type="dxa"/>
            <w:vAlign w:val="bottom"/>
            <w:tcBorders>
              <w:top w:val="single" w:sz="8" w:color="CFF0FC"/>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238</w:t>
            </w: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321</w:t>
            </w: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line="167" w:lineRule="exact"/>
              <w:rPr>
                <w:sz w:val="20"/>
                <w:szCs w:val="20"/>
                <w:color w:val="auto"/>
              </w:rPr>
            </w:pPr>
            <w:r>
              <w:rPr>
                <w:rFonts w:ascii="Arial" w:cs="Arial" w:eastAsia="Arial" w:hAnsi="Arial"/>
                <w:sz w:val="15"/>
                <w:szCs w:val="15"/>
                <w:color w:val="auto"/>
              </w:rPr>
              <w:t>418</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58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 expenditures, including internal-use software and website development</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Acquisitions and other investments, net of cash acquired (Note 3)</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sale of business, net of cash sold (Note 3)</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Purchases of marketable securities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Sales of marketable securities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Maturities of marketable securities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investing activities, net</w:t>
            </w:r>
          </w:p>
        </w:tc>
        <w:tc>
          <w:tcPr>
            <w:tcW w:w="1300" w:type="dxa"/>
            <w:vAlign w:val="bottom"/>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580" w:type="dxa"/>
            <w:vAlign w:val="bottom"/>
          </w:tcPr>
          <w:p>
            <w:pPr>
              <w:spacing w:after="0" w:line="167" w:lineRule="exact"/>
              <w:rPr>
                <w:sz w:val="20"/>
                <w:szCs w:val="20"/>
                <w:color w:val="auto"/>
              </w:rPr>
            </w:pPr>
            <w:r>
              <w:rPr>
                <w:rFonts w:ascii="Arial" w:cs="Arial" w:eastAsia="Arial" w:hAnsi="Arial"/>
                <w:sz w:val="15"/>
                <w:szCs w:val="15"/>
                <w:b w:val="1"/>
                <w:bCs w:val="1"/>
                <w:color w:val="auto"/>
              </w:rPr>
              <w:t>Net cash provided by (used in) investing activities</w:t>
            </w: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jc w:val="right"/>
              <w:spacing w:after="0" w:line="167" w:lineRule="exact"/>
              <w:rPr>
                <w:sz w:val="20"/>
                <w:szCs w:val="20"/>
                <w:color w:val="auto"/>
              </w:rPr>
            </w:pPr>
            <w:r>
              <w:rPr>
                <w:rFonts w:ascii="Arial" w:cs="Arial" w:eastAsia="Arial" w:hAnsi="Arial"/>
                <w:sz w:val="15"/>
                <w:szCs w:val="15"/>
                <w:color w:val="auto"/>
              </w:rPr>
              <w:t>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(163)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60"/>
              <w:spacing w:after="0" w:line="167"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Financing activities: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Repurchase of common stock (Note 15)</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Chinese credit facilities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Payments to Chinese credit facilities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Principal payments on 2011 credit facility</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Proceeds from 2015 credit facility, net of financing costs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433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to 2015 credit facility</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(296)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Proceeds from 2016 credit facility, net of financing costs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to 2016 credit facility</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 of withholding taxes on net share settlements of equity awards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74"/>
        </w:trPr>
        <w:tc>
          <w:tcPr>
            <w:tcW w:w="65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financing activities, net</w:t>
            </w:r>
          </w:p>
        </w:tc>
        <w:tc>
          <w:tcPr>
            <w:tcW w:w="130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580" w:type="dxa"/>
            <w:vAlign w:val="bottom"/>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Net cash used in financing activities</w:t>
            </w:r>
          </w:p>
        </w:tc>
        <w:tc>
          <w:tcPr>
            <w:tcW w:w="1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00"/>
              <w:spacing w:after="0" w:line="167" w:lineRule="exact"/>
              <w:rPr>
                <w:sz w:val="20"/>
                <w:szCs w:val="20"/>
                <w:color w:val="auto"/>
              </w:rPr>
            </w:pPr>
            <w:r>
              <w:rPr>
                <w:rFonts w:ascii="Arial" w:cs="Arial" w:eastAsia="Arial" w:hAnsi="Arial"/>
                <w:sz w:val="15"/>
                <w:szCs w:val="15"/>
                <w:color w:val="auto"/>
              </w:rPr>
              <w:t>(200)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line="167" w:lineRule="exact"/>
              <w:rPr>
                <w:sz w:val="20"/>
                <w:szCs w:val="20"/>
                <w:color w:val="auto"/>
              </w:rPr>
            </w:pPr>
            <w:r>
              <w:rPr>
                <w:rFonts w:ascii="Arial" w:cs="Arial" w:eastAsia="Arial" w:hAnsi="Arial"/>
                <w:sz w:val="15"/>
                <w:szCs w:val="15"/>
                <w:color w:val="auto"/>
              </w:rPr>
              <w:t>(143)</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line="167" w:lineRule="exact"/>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Effect of exchange rate changes on cash and cash equivalents</w:t>
            </w: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13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580" w:type="dxa"/>
            <w:vAlign w:val="bottom"/>
            <w:vMerge w:val="continue"/>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line="167" w:lineRule="exact"/>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5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and cash equivalents at beginning of period</w:t>
            </w:r>
          </w:p>
        </w:tc>
        <w:tc>
          <w:tcPr>
            <w:tcW w:w="130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614</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580" w:type="dxa"/>
            <w:vAlign w:val="bottom"/>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Cash and cash equivalents at end of period</w:t>
            </w:r>
          </w:p>
        </w:tc>
        <w:tc>
          <w:tcPr>
            <w:tcW w:w="1940" w:type="dxa"/>
            <w:vAlign w:val="bottom"/>
            <w:gridSpan w:val="2"/>
            <w:shd w:val="clear" w:color="auto" w:fill="CFF0FC"/>
          </w:tcPr>
          <w:p>
            <w:pPr>
              <w:jc w:val="right"/>
              <w:ind w:right="489"/>
              <w:spacing w:after="0" w:line="167" w:lineRule="exact"/>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673</w:t>
            </w: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20"/>
              <w:spacing w:after="0" w:line="167"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612</w:t>
            </w:r>
          </w:p>
        </w:tc>
        <w:tc>
          <w:tcPr>
            <w:tcW w:w="14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line="167" w:lineRule="exact"/>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5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paid during the period for income taxes, net of refunds</w:t>
            </w:r>
          </w:p>
        </w:tc>
        <w:tc>
          <w:tcPr>
            <w:tcW w:w="1940" w:type="dxa"/>
            <w:vAlign w:val="bottom"/>
            <w:gridSpan w:val="2"/>
            <w:shd w:val="clear" w:color="auto" w:fill="CFF0FC"/>
          </w:tcPr>
          <w:p>
            <w:pPr>
              <w:jc w:val="right"/>
              <w:ind w:right="489"/>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w:t>
            </w:r>
          </w:p>
        </w:tc>
        <w:tc>
          <w:tcPr>
            <w:tcW w:w="1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tcPr>
          <w:p>
            <w:pPr>
              <w:ind w:left="260"/>
              <w:spacing w:after="0"/>
              <w:rPr>
                <w:sz w:val="20"/>
                <w:szCs w:val="20"/>
                <w:color w:val="auto"/>
              </w:rPr>
            </w:pPr>
            <w:r>
              <w:rPr>
                <w:rFonts w:ascii="Arial" w:cs="Arial" w:eastAsia="Arial" w:hAnsi="Arial"/>
                <w:sz w:val="15"/>
                <w:szCs w:val="15"/>
                <w:color w:val="auto"/>
              </w:rPr>
              <w:t>Cash paid during the period for interest</w:t>
            </w:r>
          </w:p>
        </w:tc>
        <w:tc>
          <w:tcPr>
            <w:tcW w:w="1940" w:type="dxa"/>
            <w:vAlign w:val="bottom"/>
            <w:gridSpan w:val="2"/>
          </w:tcPr>
          <w:p>
            <w:pPr>
              <w:jc w:val="right"/>
              <w:ind w:right="489"/>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3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580" w:type="dxa"/>
            <w:vAlign w:val="bottom"/>
          </w:tcPr>
          <w:p>
            <w:pPr>
              <w:ind w:left="260"/>
              <w:spacing w:after="0" w:line="161" w:lineRule="exact"/>
              <w:rPr>
                <w:sz w:val="20"/>
                <w:szCs w:val="20"/>
                <w:color w:val="auto"/>
              </w:rPr>
            </w:pPr>
            <w:r>
              <w:rPr>
                <w:rFonts w:ascii="Arial" w:cs="Arial" w:eastAsia="Arial" w:hAnsi="Arial"/>
                <w:sz w:val="15"/>
                <w:szCs w:val="15"/>
                <w:color w:val="auto"/>
              </w:rPr>
              <w:t>Stock-based compensation capitalized with internal-use software and website</w:t>
            </w: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tcPr>
          <w:p>
            <w:pPr>
              <w:ind w:left="360"/>
              <w:spacing w:after="0"/>
              <w:rPr>
                <w:sz w:val="20"/>
                <w:szCs w:val="20"/>
                <w:color w:val="auto"/>
              </w:rPr>
            </w:pPr>
            <w:r>
              <w:rPr>
                <w:rFonts w:ascii="Arial" w:cs="Arial" w:eastAsia="Arial" w:hAnsi="Arial"/>
                <w:sz w:val="15"/>
                <w:szCs w:val="15"/>
                <w:color w:val="auto"/>
              </w:rPr>
              <w:t>development costs</w:t>
            </w:r>
          </w:p>
        </w:tc>
        <w:tc>
          <w:tcPr>
            <w:tcW w:w="1940" w:type="dxa"/>
            <w:vAlign w:val="bottom"/>
            <w:gridSpan w:val="2"/>
          </w:tcPr>
          <w:p>
            <w:pPr>
              <w:jc w:val="right"/>
              <w:ind w:right="489"/>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Capitalization of construction in-process related to build to suit lease</w:t>
            </w:r>
          </w:p>
        </w:tc>
        <w:tc>
          <w:tcPr>
            <w:tcW w:w="1940" w:type="dxa"/>
            <w:vAlign w:val="bottom"/>
            <w:gridSpan w:val="2"/>
            <w:shd w:val="clear" w:color="auto" w:fill="CFF0FC"/>
          </w:tcPr>
          <w:p>
            <w:pPr>
              <w:jc w:val="right"/>
              <w:ind w:right="489"/>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DESCRIPTION</w:t>
      </w:r>
    </w:p>
    <w:p>
      <w:pPr>
        <w:spacing w:after="0" w:line="117" w:lineRule="exact"/>
        <w:rPr>
          <w:sz w:val="20"/>
          <w:szCs w:val="20"/>
          <w:color w:val="auto"/>
        </w:rPr>
      </w:pPr>
    </w:p>
    <w:p>
      <w:pPr>
        <w:ind w:right="700" w:firstLine="598"/>
        <w:spacing w:after="0" w:line="270"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consolidated financial statements.</w:t>
      </w:r>
    </w:p>
    <w:p>
      <w:pPr>
        <w:spacing w:after="0" w:line="17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On December 20, 2011 Expedia, Inc. completed a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84" w:lineRule="exact"/>
        <w:rPr>
          <w:sz w:val="20"/>
          <w:szCs w:val="20"/>
          <w:color w:val="auto"/>
        </w:rPr>
      </w:pPr>
    </w:p>
    <w:p>
      <w:pPr>
        <w:ind w:right="240" w:firstLine="598"/>
        <w:spacing w:after="0" w:line="281"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68" w:lineRule="exact"/>
        <w:rPr>
          <w:sz w:val="20"/>
          <w:szCs w:val="20"/>
          <w:color w:val="auto"/>
        </w:rPr>
      </w:pPr>
    </w:p>
    <w:p>
      <w:pPr>
        <w:ind w:firstLine="598"/>
        <w:spacing w:after="0" w:line="274" w:lineRule="auto"/>
        <w:rPr>
          <w:sz w:val="20"/>
          <w:szCs w:val="20"/>
          <w:color w:val="auto"/>
        </w:rPr>
      </w:pPr>
      <w:r>
        <w:rPr>
          <w:rFonts w:ascii="Arial" w:cs="Arial" w:eastAsia="Arial" w:hAnsi="Arial"/>
          <w:sz w:val="17"/>
          <w:szCs w:val="17"/>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75" w:lineRule="exact"/>
        <w:rPr>
          <w:sz w:val="20"/>
          <w:szCs w:val="20"/>
          <w:color w:val="auto"/>
        </w:rPr>
      </w:pPr>
    </w:p>
    <w:p>
      <w:pPr>
        <w:ind w:right="80" w:firstLine="598"/>
        <w:spacing w:after="0" w:line="292" w:lineRule="auto"/>
        <w:rPr>
          <w:sz w:val="20"/>
          <w:szCs w:val="20"/>
          <w:color w:val="auto"/>
        </w:rPr>
      </w:pPr>
      <w:r>
        <w:rPr>
          <w:rFonts w:ascii="Arial" w:cs="Arial" w:eastAsia="Arial" w:hAnsi="Arial"/>
          <w:sz w:val="16"/>
          <w:szCs w:val="16"/>
          <w:color w:val="auto"/>
        </w:rPr>
        <w:t>As a result of these transactions, as of December 31, 2017, LTRIP beneficially owned approximately 18.2 million shares of our common stock and 12.8 million shares of our Class B common stock, which constitute 14.4% of the outstanding shares of common stock and 100% of the outstanding shares of Class B common stock. Assuming the conversion of all of LTRIP’s shares of Class B common stock into common stock, LTRIP would beneficially own 22.3% of the outstanding common stock. Because each share of Class B common stock generally is entitled to ten votes per share and each share of common stock is entitled to one vote per share, LTRIP may be deemed to beneficially own equity securities representing 57.5% of our voting power.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3" w:lineRule="exact"/>
        <w:rPr>
          <w:sz w:val="20"/>
          <w:szCs w:val="20"/>
          <w:color w:val="auto"/>
        </w:rPr>
      </w:pPr>
    </w:p>
    <w:p>
      <w:pPr>
        <w:ind w:right="60" w:firstLine="598"/>
        <w:spacing w:after="0" w:line="281" w:lineRule="auto"/>
        <w:rPr>
          <w:sz w:val="20"/>
          <w:szCs w:val="20"/>
          <w:color w:val="auto"/>
        </w:rPr>
      </w:pPr>
      <w:r>
        <w:rPr>
          <w:rFonts w:ascii="Arial" w:cs="Arial" w:eastAsia="Arial" w:hAnsi="Arial"/>
          <w:sz w:val="17"/>
          <w:szCs w:val="17"/>
          <w:color w:val="auto"/>
        </w:rPr>
        <w:t>TripAdvisor is an online travel company and our mission is to help people around the world to plan, book and experience the perfect trip. We seek to achieve our mission by providing users and travel partners a global platform about destinations, accommodations, activities and attractions, and restaurants that encompasses rich user-generated content, price comparison tools and online reservation and related services.</w:t>
      </w:r>
    </w:p>
    <w:p>
      <w:pPr>
        <w:spacing w:after="0" w:line="168" w:lineRule="exact"/>
        <w:rPr>
          <w:sz w:val="20"/>
          <w:szCs w:val="20"/>
          <w:color w:val="auto"/>
        </w:rPr>
      </w:pPr>
    </w:p>
    <w:p>
      <w:pPr>
        <w:ind w:right="180" w:firstLine="598"/>
        <w:spacing w:after="0" w:line="284" w:lineRule="auto"/>
        <w:rPr>
          <w:sz w:val="20"/>
          <w:szCs w:val="20"/>
          <w:color w:val="auto"/>
        </w:rPr>
      </w:pPr>
      <w:r>
        <w:rPr>
          <w:rFonts w:ascii="Arial" w:cs="Arial" w:eastAsia="Arial" w:hAnsi="Arial"/>
          <w:sz w:val="16"/>
          <w:szCs w:val="16"/>
          <w:color w:val="auto"/>
        </w:rPr>
        <w:t>TripAdvisor, Inc., by and through its subsidiaries, owns and operates a portfolio of leading online travel brands. Our flagship brand is TripAdvisor. TripAdvisor-branded websites include tripadvisor.com in the United States and localized versions of the website in 48 markets worldwide and 28 languages worldwide. TripAdvisor features approximately 600 million reviews and opinions on approximately 7.5 million places to stay, places to eat and things to do – including approximately 1.2 million hotels, inns, B&amp;Bs and specialty lodging and 750,000 vacation rentals, 4.6 million restaurants and 915,000 activities and attractions worldwide. In addition to the flagship TripAdvisor brand, we manage and operate the following 20 other media brands, connected by the common goal of providing users the most comprehensive travel-planning and trip-taking resources in the travel industry: www.airfarewatchdog.com, www.bookingbuddy.com, www.citymaps.com, www.cruisecritic.com, www.familyvacationcritic.com, www.flipkey.com, www.thefork.com (including www.lafourchette.com, www.eltenedor.com, www.iens.nl, and www.dimmi.com.au), www.gateguru.com, www.holidaylettings.co.uk, www.holidaywatchdog.com, www.housetrip.com, www.jetsetter.com, www.niumba.com, www.onetime.com, www.oyster.com, www.seatguru.com, www.smartertravel.com, www.tingo.com, www.vacationhomerentals.com, and www.viator.com.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3" w:lineRule="exact"/>
        <w:rPr>
          <w:sz w:val="20"/>
          <w:szCs w:val="20"/>
          <w:color w:val="auto"/>
        </w:rPr>
      </w:pPr>
    </w:p>
    <w:p>
      <w:pPr>
        <w:ind w:firstLine="598"/>
        <w:spacing w:after="0" w:line="292" w:lineRule="auto"/>
        <w:rPr>
          <w:sz w:val="20"/>
          <w:szCs w:val="20"/>
          <w:color w:val="auto"/>
        </w:rPr>
      </w:pPr>
      <w:r>
        <w:rPr>
          <w:rFonts w:ascii="Arial" w:cs="Arial" w:eastAsia="Arial" w:hAnsi="Arial"/>
          <w:sz w:val="16"/>
          <w:szCs w:val="16"/>
          <w:color w:val="auto"/>
        </w:rPr>
        <w:t>Traveler expenditures in the global travel market tend to follow a seasonal pattern. As such, expenditures by travel partners/advertisers to market to potential travelers and, therefore, our financial performance, or revenue and profits, tend to be seasonal as well. As a result, our financial performance tends to be seasonally highest in the second and third quarters of a year, as it is a key period for leisure travel research and trip-taking, which includes the seasonal peak in traveler hotel and vacation rental stays, and tours and attractions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3"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Additionally, certain prior period amounts have been reclassified for comparability with the current period presentation.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the results of our future operations and cash flows.</w:t>
      </w:r>
    </w:p>
    <w:p>
      <w:pPr>
        <w:spacing w:after="0" w:line="74"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financials were not material for all periods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3" w:lineRule="exact"/>
        <w:rPr>
          <w:sz w:val="20"/>
          <w:szCs w:val="20"/>
          <w:color w:val="auto"/>
        </w:rPr>
      </w:pPr>
    </w:p>
    <w:p>
      <w:pPr>
        <w:ind w:right="120" w:firstLine="598"/>
        <w:spacing w:after="0" w:line="269" w:lineRule="auto"/>
        <w:rPr>
          <w:sz w:val="20"/>
          <w:szCs w:val="20"/>
          <w:color w:val="auto"/>
        </w:rPr>
      </w:pPr>
      <w:r>
        <w:rPr>
          <w:rFonts w:ascii="Arial" w:cs="Arial" w:eastAsia="Arial" w:hAnsi="Arial"/>
          <w:sz w:val="17"/>
          <w:szCs w:val="17"/>
          <w:color w:val="auto"/>
        </w:rPr>
        <w:t xml:space="preserve">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(i) recognition and recoverability of goodwill, definite-lived intangibles and other long-lived assets; and (ii) accounting for income taxes. Refer to “Note 10 -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further discussion of our significant income tax amounts included in our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jc w:val="both"/>
        <w:ind w:right="20" w:firstLine="598"/>
        <w:spacing w:after="0" w:line="255" w:lineRule="auto"/>
        <w:rPr>
          <w:sz w:val="20"/>
          <w:szCs w:val="20"/>
          <w:color w:val="auto"/>
        </w:rPr>
      </w:pPr>
      <w:r>
        <w:rPr>
          <w:rFonts w:ascii="Arial" w:cs="Arial" w:eastAsia="Arial" w:hAnsi="Arial"/>
          <w:sz w:val="18"/>
          <w:szCs w:val="18"/>
          <w:color w:val="auto"/>
        </w:rPr>
        <w:t>We recognize revenue from our services rendered when the following four revenue recognition criteria are met: persuasive evidence of an arrangement exists, services have been rendered, the price is fixed or determinable, and collectability is reasonably assured. Deferred revenue, which primarily relates to our subscription-based and commission based arrangements, is recorded when payments are received in advance of our performance as required by the underlying agreements.</w:t>
      </w:r>
    </w:p>
    <w:p>
      <w:pPr>
        <w:spacing w:after="0" w:line="188"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i w:val="1"/>
          <w:iCs w:val="1"/>
          <w:color w:val="auto"/>
        </w:rPr>
        <w:t>Click-based advertising and transaction revenue</w:t>
      </w:r>
      <w:r>
        <w:rPr>
          <w:rFonts w:ascii="Arial" w:cs="Arial" w:eastAsia="Arial" w:hAnsi="Arial"/>
          <w:sz w:val="18"/>
          <w:szCs w:val="18"/>
          <w:color w:val="auto"/>
        </w:rPr>
        <w:t>. Click-based revenue is derived primarily from click-through fees charged to our travel partners for</w:t>
      </w:r>
      <w:r>
        <w:rPr>
          <w:rFonts w:ascii="Arial" w:cs="Arial" w:eastAsia="Arial" w:hAnsi="Arial"/>
          <w:sz w:val="18"/>
          <w:szCs w:val="18"/>
          <w:i w:val="1"/>
          <w:iCs w:val="1"/>
          <w:color w:val="auto"/>
        </w:rPr>
        <w:t xml:space="preserve"> </w:t>
      </w:r>
      <w:r>
        <w:rPr>
          <w:rFonts w:ascii="Arial" w:cs="Arial" w:eastAsia="Arial" w:hAnsi="Arial"/>
          <w:sz w:val="18"/>
          <w:szCs w:val="18"/>
          <w:color w:val="auto"/>
        </w:rPr>
        <w:t>traveler leads sent to the travel partners’ website. We record revenue from click-through fees in the same period as when the traveler makes the click-through to the travel partners’ website. Our instant booking transaction model revenue is comprised of commissions earned on all valid instant booking reservations. In a transaction model, our instant booking commission revenue is recorded at the time a traveler books a hotel transaction on our partner’s site where we, as facilitator for such booking, do not assume associated cancellation risk. Under the other instant booking model, called the consumption model, we assume cancellation risk</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59" w:right="279" w:bottom="1440" w:gutter="0" w:footer="0" w:header="0"/>
        </w:sectPr>
      </w:pPr>
    </w:p>
    <w:bookmarkStart w:id="71" w:name="page72"/>
    <w:bookmarkEnd w:id="71"/>
    <w:p>
      <w:pPr>
        <w:ind w:right="440"/>
        <w:spacing w:after="0" w:line="270" w:lineRule="auto"/>
        <w:rPr>
          <w:sz w:val="20"/>
          <w:szCs w:val="20"/>
          <w:color w:val="auto"/>
        </w:rPr>
      </w:pPr>
      <w:r>
        <w:rPr>
          <w:rFonts w:ascii="Arial" w:cs="Arial" w:eastAsia="Arial" w:hAnsi="Arial"/>
          <w:sz w:val="18"/>
          <w:szCs w:val="18"/>
          <w:color w:val="auto"/>
        </w:rPr>
        <w:t>associated with booking, and we record that revenue when the traveler’s stay at a hotel occurs. We have no post-booking service obligations for all instant booking transactions, regardless of the model chosen.</w:t>
      </w:r>
    </w:p>
    <w:p>
      <w:pPr>
        <w:spacing w:after="0" w:line="175"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i w:val="1"/>
          <w:iCs w:val="1"/>
          <w:color w:val="auto"/>
        </w:rPr>
        <w:t>Display-based and subscription-based advertising</w:t>
      </w:r>
      <w:r>
        <w:rPr>
          <w:rFonts w:ascii="Arial" w:cs="Arial" w:eastAsia="Arial" w:hAnsi="Arial"/>
          <w:sz w:val="18"/>
          <w:szCs w:val="18"/>
          <w:color w:val="auto"/>
        </w:rPr>
        <w:t>. We recognize display-based advertising revenue ratably over the advertising period or upon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advertising impressions, depending on the terms of the advertising contract. Subscription-based advertising revenue is recognized ratably over the related contractual period over which service is delivered.</w:t>
      </w:r>
    </w:p>
    <w:p>
      <w:pPr>
        <w:spacing w:after="0" w:line="184" w:lineRule="exact"/>
        <w:rPr>
          <w:sz w:val="20"/>
          <w:szCs w:val="20"/>
          <w:color w:val="auto"/>
        </w:rPr>
      </w:pPr>
    </w:p>
    <w:p>
      <w:pPr>
        <w:ind w:right="120" w:firstLine="598"/>
        <w:spacing w:after="0" w:line="269" w:lineRule="auto"/>
        <w:rPr>
          <w:sz w:val="20"/>
          <w:szCs w:val="20"/>
          <w:color w:val="auto"/>
        </w:rPr>
      </w:pPr>
      <w:r>
        <w:rPr>
          <w:rFonts w:ascii="Arial" w:cs="Arial" w:eastAsia="Arial" w:hAnsi="Arial"/>
          <w:sz w:val="17"/>
          <w:szCs w:val="17"/>
          <w:i w:val="1"/>
          <w:iCs w:val="1"/>
          <w:color w:val="auto"/>
        </w:rPr>
        <w:t>Attractions</w:t>
      </w:r>
      <w:r>
        <w:rPr>
          <w:rFonts w:ascii="Arial" w:cs="Arial" w:eastAsia="Arial" w:hAnsi="Arial"/>
          <w:sz w:val="17"/>
          <w:szCs w:val="17"/>
          <w:color w:val="auto"/>
        </w:rPr>
        <w:t>. We work with local operators, or merchant partners, to provide travelers with access to tours and activities in popular destinations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earning a commission for such service. While the merchant of record, we receive cash from the consumer at the time of booking of the destination activity and record these amounts, net of commissions, as deferred merchant payables on our consolidated balance sheet. Commission revenue is recorded as deferred revenue at the time of booking and later recognized when the consumer has completed the destination activity. We pay the destination activity operators after the travelers’ use. In transactions where we are not the merchant of record, we invoice and receive commissions directly from our merchant partners and record commission revenue when the consumer has completed the destination activity.</w:t>
      </w:r>
    </w:p>
    <w:p>
      <w:pPr>
        <w:spacing w:after="0" w:line="181" w:lineRule="exact"/>
        <w:rPr>
          <w:sz w:val="20"/>
          <w:szCs w:val="20"/>
          <w:color w:val="auto"/>
        </w:rPr>
      </w:pPr>
    </w:p>
    <w:p>
      <w:pPr>
        <w:ind w:right="240" w:firstLine="598"/>
        <w:spacing w:after="0" w:line="300" w:lineRule="auto"/>
        <w:rPr>
          <w:sz w:val="20"/>
          <w:szCs w:val="20"/>
          <w:color w:val="auto"/>
        </w:rPr>
      </w:pPr>
      <w:r>
        <w:rPr>
          <w:rFonts w:ascii="Arial" w:cs="Arial" w:eastAsia="Arial" w:hAnsi="Arial"/>
          <w:sz w:val="17"/>
          <w:szCs w:val="17"/>
          <w:i w:val="1"/>
          <w:iCs w:val="1"/>
          <w:color w:val="auto"/>
        </w:rPr>
        <w:t xml:space="preserve">Restaurants. </w:t>
      </w:r>
      <w:r>
        <w:rPr>
          <w:rFonts w:ascii="Arial" w:cs="Arial" w:eastAsia="Arial" w:hAnsi="Arial"/>
          <w:sz w:val="17"/>
          <w:szCs w:val="17"/>
          <w:color w:val="auto"/>
        </w:rPr>
        <w:t>We recognize reservation revenues (or per seated diner fees) on a transaction-by-transaction basis as diners are seated by our restaurant</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Subscription-based revenue is recognized ratably over the related contractual period over which the service is delivered.</w:t>
      </w:r>
    </w:p>
    <w:p>
      <w:pPr>
        <w:spacing w:after="0" w:line="152"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i w:val="1"/>
          <w:iCs w:val="1"/>
          <w:color w:val="auto"/>
        </w:rPr>
        <w:t xml:space="preserve">Vacation Rentals. </w:t>
      </w:r>
      <w:r>
        <w:rPr>
          <w:rFonts w:ascii="Arial" w:cs="Arial" w:eastAsia="Arial" w:hAnsi="Arial"/>
          <w:sz w:val="17"/>
          <w:szCs w:val="17"/>
          <w:color w:val="auto"/>
        </w:rPr>
        <w:t>We generate revenue from customers primarily on either a subscription basis over a fixed-term, or on a commission basis for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that are booked on our platform. Payments for term-based subscriptions, related to online advertising services for the listing of vacation rental properties for rent, received in advance of services being rendered are recorded as deferred revenue and recognized ratably to revenue on a straight-line basis over the listing period. Our commission revenue is primarily generated on our free-to-list option, in lieu of a pre-paid subscription fee. When a commissionable transaction is booked on our platform, we act as the merchant of record and receive cash from the traveler that includes both our commission, which is recorded as deferred revenue, and the amount due to the property owner, which is recorded to deferred merchant payables on our consolidated balance sheet. We pay the amount due to the property owner and recognize our commission revenue at the time of the traveler’s stay. Additional revenues are also derived on a pay-per-lead basis, as we provide leads for rental properties to property managers. Pay-per-lead revenue is billed and recognized in the period when the leads are delivered to the property managers.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3"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ad serving fees, flight search fees, credit card fees and other transaction costs, and data center costs. In addition, cost of revenue includes personnel and overhead expenses, including salaries, benefits, stock-based compensation expense and bonuses for certain customer support personnel who are directly involved in revenue generation.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3"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promotions and public relations. In addition, our sales and marketing expenses consist of indirect costs such as personnel and overhead expenses, including salaries, commissions, benefits, stock-based compensation expense and bonuses for sales, sales support, customer support and marketing employees.</w:t>
      </w:r>
    </w:p>
    <w:p>
      <w:pPr>
        <w:spacing w:after="0" w:line="50" w:lineRule="exact"/>
        <w:rPr>
          <w:sz w:val="20"/>
          <w:szCs w:val="20"/>
          <w:color w:val="auto"/>
        </w:rPr>
      </w:pPr>
    </w:p>
    <w:p>
      <w:pPr>
        <w:ind w:right="120" w:firstLine="598"/>
        <w:spacing w:after="0" w:line="274" w:lineRule="auto"/>
        <w:rPr>
          <w:sz w:val="20"/>
          <w:szCs w:val="20"/>
          <w:color w:val="auto"/>
        </w:rPr>
      </w:pPr>
      <w:r>
        <w:rPr>
          <w:rFonts w:ascii="Arial" w:cs="Arial" w:eastAsia="Arial" w:hAnsi="Arial"/>
          <w:sz w:val="17"/>
          <w:szCs w:val="17"/>
          <w:color w:val="auto"/>
        </w:rPr>
        <w:t>We incur advertising expense, which includes traffic generation costs from SEM and other online traffic costs, affiliate program commissions, display advertising, social media, and other online, and offline (including television) advertising expense, promotions and public relations to promote our brands. We expense the costs associated with communicating the advertisements in the period in which the advertisement takes place. We expense the production costs associated with advertisements in the period in which the advertisement first takes place. For the years ended</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72" w:name="page73"/>
    <w:bookmarkEnd w:id="72"/>
    <w:p>
      <w:pPr>
        <w:ind w:right="200"/>
        <w:spacing w:after="0" w:line="255" w:lineRule="auto"/>
        <w:rPr>
          <w:sz w:val="20"/>
          <w:szCs w:val="20"/>
          <w:color w:val="auto"/>
        </w:rPr>
      </w:pPr>
      <w:r>
        <w:rPr>
          <w:rFonts w:ascii="Arial" w:cs="Arial" w:eastAsia="Arial" w:hAnsi="Arial"/>
          <w:sz w:val="18"/>
          <w:szCs w:val="18"/>
          <w:color w:val="auto"/>
        </w:rPr>
        <w:t>December 31, 2017, 2016 and 2015, we recorded advertising expense of $629 million, $543 million, and $507 million, respectively, in selling and marketing expense on our consolidated statements of operations. As of both December 31, 2017 and 2016, we had $5 million of prepaid marketing expenses included in prepaid expenses and other current assets on our consolidated balance sheets. We expect to fully expense our prepaid marketing asset of $5 million as of December 31, 2017 to the consolidated statement of operations during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3" w:lineRule="exact"/>
        <w:rPr>
          <w:sz w:val="20"/>
          <w:szCs w:val="20"/>
          <w:color w:val="auto"/>
        </w:rPr>
      </w:pPr>
    </w:p>
    <w:p>
      <w:pPr>
        <w:ind w:right="60" w:firstLine="598"/>
        <w:spacing w:after="0" w:line="306" w:lineRule="auto"/>
        <w:rPr>
          <w:sz w:val="20"/>
          <w:szCs w:val="20"/>
          <w:color w:val="auto"/>
        </w:rPr>
      </w:pPr>
      <w:r>
        <w:rPr>
          <w:rFonts w:ascii="Arial" w:cs="Arial" w:eastAsia="Arial" w:hAnsi="Arial"/>
          <w:sz w:val="16"/>
          <w:szCs w:val="16"/>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3"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executive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 and charitable contributions.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0" w:lineRule="exact"/>
        <w:rPr>
          <w:sz w:val="20"/>
          <w:szCs w:val="20"/>
          <w:color w:val="auto"/>
        </w:rPr>
      </w:pPr>
    </w:p>
    <w:p>
      <w:pPr>
        <w:ind w:right="40" w:firstLine="598"/>
        <w:spacing w:after="0" w:line="252"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exercise price for all stock options granted by us to date has been equal to the market price of the underlying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the date of grant. In this regard, when making stock option awards, our practice is to determine the applicable grant date and to specify that the exercise price shall be the closing price of our common stock on the date of grant. 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84"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 Our risk-free interest rate is based on the rates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common stock. Historical volatility is determined using actual daily price observations of our common stock price over a period equivalent to or approximate to the expected term of our stock option grants to date. Implied volatility represents the volatility calculated from the observed prices of our actively traded options on our common stock, with remaining maturities in excess of six months and market prices approximate to the exercise prices of the stock option grant. We estimate our expected term using historical exercise behavior and expected post-vest termination data. Our expected dividend yield is zero, as we have not paid any dividends on our common stock to date and do not expect to pay any cash dividends for the foreseeable future.</w:t>
      </w:r>
    </w:p>
    <w:p>
      <w:pPr>
        <w:spacing w:after="0" w:line="183" w:lineRule="exact"/>
        <w:rPr>
          <w:sz w:val="20"/>
          <w:szCs w:val="20"/>
          <w:color w:val="auto"/>
        </w:rPr>
      </w:pPr>
    </w:p>
    <w:p>
      <w:pPr>
        <w:ind w:right="340" w:firstLine="598"/>
        <w:spacing w:after="0" w:line="282"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RSUs are stock awards that are granted to employees entitling the holder to shares of our common stock as the award vests.</w:t>
      </w:r>
      <w:r>
        <w:rPr>
          <w:rFonts w:ascii="Arial" w:cs="Arial" w:eastAsia="Arial" w:hAnsi="Arial"/>
          <w:sz w:val="16"/>
          <w:szCs w:val="16"/>
          <w:i w:val="1"/>
          <w:iCs w:val="1"/>
          <w:color w:val="auto"/>
        </w:rPr>
        <w:t xml:space="preserve"> </w:t>
      </w:r>
      <w:r>
        <w:rPr>
          <w:rFonts w:ascii="Arial" w:cs="Arial" w:eastAsia="Arial" w:hAnsi="Arial"/>
          <w:sz w:val="16"/>
          <w:szCs w:val="16"/>
          <w:color w:val="auto"/>
        </w:rPr>
        <w:t>RSUs are measured at fair value based on the number of shares granted and the quoted price of our common stock at the date of grant. We amortize the fair value of RSUs as stock-based compensation expense over the vesting term, which is typically four years on a straight-line basis, with the amount of compensation expense recognized at any date at least equaling the portion of the grant-date fair value of the award that is vested at that date.</w:t>
      </w:r>
    </w:p>
    <w:p>
      <w:pPr>
        <w:spacing w:after="0" w:line="3"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Performance-based stock options and RSUs vest upon achievement of certain company-based performance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 requisite service period. On the date of grant, the fair value of 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73" w:name="page74"/>
    <w:bookmarkEnd w:id="73"/>
    <w:p>
      <w:pPr>
        <w:ind w:right="40"/>
        <w:spacing w:after="0" w:line="264" w:lineRule="auto"/>
        <w:rPr>
          <w:sz w:val="20"/>
          <w:szCs w:val="20"/>
          <w:color w:val="auto"/>
        </w:rPr>
      </w:pPr>
      <w:r>
        <w:rPr>
          <w:rFonts w:ascii="Arial" w:cs="Arial" w:eastAsia="Arial" w:hAnsi="Arial"/>
          <w:sz w:val="17"/>
          <w:szCs w:val="17"/>
          <w:color w:val="auto"/>
        </w:rPr>
        <w:t>performance-based award is calculated using the same method as our service based stock options and RSUs described above. We then assess whether it is probable that the individual performance targets would be achieved. If assessed as probable, compensation expense will be recorded for these awards over the estimated performance period.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ind w:firstLine="598"/>
        <w:spacing w:after="0" w:line="249" w:lineRule="auto"/>
        <w:rPr>
          <w:sz w:val="20"/>
          <w:szCs w:val="20"/>
          <w:color w:val="auto"/>
        </w:rPr>
      </w:pPr>
      <w:r>
        <w:rPr>
          <w:rFonts w:ascii="Arial" w:cs="Arial" w:eastAsia="Arial" w:hAnsi="Arial"/>
          <w:sz w:val="18"/>
          <w:szCs w:val="18"/>
          <w:color w:val="auto"/>
        </w:rPr>
        <w:t>Market-based performance RSUs, or market-based RSUs, vest upon achievement of specified levels of market conditions. The fair value of our market-based RSUs is estimated at the date of grant using a Monte-Carlo simulation model. The probabilities of the actual number of market-based performance units expected to vest and resultant actual number of shares of common stock expected to be awarded are reflected in the grant date fair values; therefore, the compensation expense for these awards will be recognized assuming the requisite service period is rendered and are not adjusted based on the actual number of awards that ultimately vest.</w:t>
      </w:r>
    </w:p>
    <w:p>
      <w:pPr>
        <w:spacing w:after="0" w:line="195"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The Company accounts for forfeitures in the period in which they occur, rather than estimate expected forfeitures.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We classify deferred tax assets and liabilities as noncurrent on our consolidated balance sheet.</w:t>
      </w:r>
    </w:p>
    <w:p>
      <w:pPr>
        <w:spacing w:after="0" w:line="17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3" w:lineRule="exact"/>
        <w:rPr>
          <w:sz w:val="20"/>
          <w:szCs w:val="20"/>
          <w:color w:val="auto"/>
        </w:rPr>
      </w:pPr>
    </w:p>
    <w:p>
      <w:pPr>
        <w:ind w:right="400" w:firstLine="598"/>
        <w:spacing w:after="0" w:line="270" w:lineRule="auto"/>
        <w:rPr>
          <w:sz w:val="20"/>
          <w:szCs w:val="20"/>
          <w:color w:val="auto"/>
        </w:rPr>
      </w:pPr>
      <w:r>
        <w:rPr>
          <w:rFonts w:ascii="Arial" w:cs="Arial" w:eastAsia="Arial" w:hAnsi="Arial"/>
          <w:sz w:val="18"/>
          <w:szCs w:val="18"/>
          <w:color w:val="auto"/>
        </w:rPr>
        <w:t>Our cash consists of cash deposits held in global financial institutions. Our cash equivalents consist of highly liquid investments, including money market funds, with maturities of 90 days or less at the date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Short-term and Long-term Marketable Securities</w:t>
      </w:r>
    </w:p>
    <w:p>
      <w:pPr>
        <w:spacing w:after="0" w:line="20" w:lineRule="exact"/>
        <w:rPr>
          <w:sz w:val="20"/>
          <w:szCs w:val="20"/>
          <w:color w:val="auto"/>
        </w:rPr>
      </w:pPr>
    </w:p>
    <w:p>
      <w:pPr>
        <w:ind w:right="120" w:firstLine="598"/>
        <w:spacing w:after="0" w:line="249" w:lineRule="auto"/>
        <w:rPr>
          <w:sz w:val="20"/>
          <w:szCs w:val="20"/>
          <w:color w:val="auto"/>
        </w:rPr>
      </w:pPr>
      <w:r>
        <w:rPr>
          <w:rFonts w:ascii="Arial" w:cs="Arial" w:eastAsia="Arial" w:hAnsi="Arial"/>
          <w:sz w:val="18"/>
          <w:szCs w:val="18"/>
          <w:color w:val="auto"/>
        </w:rPr>
        <w:t>We classify our marketable debt securities as either short-term or long-term based on each instrument’s underlying contractual maturity date and as to whether and when we intend to sell a particular security prior to its maturity date. Marketable debt securities with maturities greater than 90 days at the date of purchase and 12 months or less remaining at the balance sheet date will be classified as short-term and marketable debt securities with maturities greater than 12 months from the balance sheet date will generally be classified as long-term. We classify our marketable equity securities, limited by policy to money market funds and mutual funds, as either a cash equivalent, short-term or long-term based on the nature of each security and its availability for use in current operations.</w:t>
      </w:r>
    </w:p>
    <w:p>
      <w:pPr>
        <w:spacing w:after="0" w:line="87" w:lineRule="exact"/>
        <w:rPr>
          <w:sz w:val="20"/>
          <w:szCs w:val="20"/>
          <w:color w:val="auto"/>
        </w:rPr>
      </w:pPr>
    </w:p>
    <w:p>
      <w:pPr>
        <w:ind w:right="40" w:firstLine="598"/>
        <w:spacing w:after="0" w:line="266" w:lineRule="auto"/>
        <w:rPr>
          <w:sz w:val="20"/>
          <w:szCs w:val="20"/>
          <w:color w:val="auto"/>
        </w:rPr>
      </w:pPr>
      <w:r>
        <w:rPr>
          <w:rFonts w:ascii="Arial" w:cs="Arial" w:eastAsia="Arial" w:hAnsi="Arial"/>
          <w:sz w:val="17"/>
          <w:szCs w:val="17"/>
          <w:color w:val="auto"/>
        </w:rPr>
        <w:t>As of December 31, 2017, our marketable securities have been classified and accounted for as available-for-sale, and therefore are carried at fair value, with the unrealized gains and losses, net of taxes, reported in accumulated other comprehensive income (loss) as a component of stockholders’ equity. Fair values are determined for each individual security in the investment portfolio. We determine the appropriate classification of our marketable securities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 Realized gains and losses on the sale of marketable securities are determined by specific identification of each security’s cost basis. We may sell certain of our marketable securities prior to their stated maturities for strategic reasons including, but not limited to, anticipation of credit deterioration, liquidity, and duration management. The weighted average maturity of our total invested cash shall not exceed 18 months, and no security shall have a final maturity date greater than three years, according to our investment policy.</w:t>
      </w:r>
    </w:p>
    <w:p>
      <w:pPr>
        <w:spacing w:after="0" w:line="183"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We continually review our available for sale securities to determine whether a decline in fair value below the carrying value is other than temporary.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it will be required to sell the investment before recovery of the investment’s cost basis. Once a decline in fair value is determined to be other than temporary, an impairment charge is recorded and a new cost basis in the investment is established. If we do not intend to sell the security, but it is probable that we will not collect all amounts due, then only the impairment due to the credit risk would be recognized in earnings and the remaining amount of the impairment would be recognized in accumulated other comprehensive loss within stockholders’ equity.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3" w:lineRule="exact"/>
        <w:rPr>
          <w:sz w:val="20"/>
          <w:szCs w:val="20"/>
          <w:color w:val="auto"/>
        </w:rPr>
      </w:pPr>
    </w:p>
    <w:p>
      <w:pPr>
        <w:ind w:right="80" w:firstLine="598"/>
        <w:spacing w:after="0" w:line="274" w:lineRule="auto"/>
        <w:rPr>
          <w:sz w:val="20"/>
          <w:szCs w:val="20"/>
          <w:color w:val="auto"/>
        </w:rPr>
      </w:pPr>
      <w:r>
        <w:rPr>
          <w:rFonts w:ascii="Arial" w:cs="Arial" w:eastAsia="Arial" w:hAnsi="Arial"/>
          <w:sz w:val="17"/>
          <w:szCs w:val="17"/>
          <w:color w:val="auto"/>
        </w:rPr>
        <w:t>Accounts receivable are generally due within 30 days and are recorded net of an allowance for doubtful accounts. We record accounts receivable at the invoiced amount. Collateral is not required for accounts receivable. For accounts outstanding longer than the contractual payment terms, we determine an allowance by considering a number of factors, including the length of time trade accounts receivable are past due, previous loss history, a specific customer’s ability to pay its obligations to us, and the condition of the general economy and industry as a whole.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5" w:name="page76"/>
    <w:bookmarkEnd w:id="75"/>
    <w:p>
      <w:pPr>
        <w:ind w:left="600"/>
        <w:spacing w:after="0"/>
        <w:rPr>
          <w:sz w:val="20"/>
          <w:szCs w:val="20"/>
          <w:color w:val="auto"/>
        </w:rPr>
      </w:pPr>
      <w:r>
        <w:rPr>
          <w:rFonts w:ascii="Arial" w:cs="Arial" w:eastAsia="Arial" w:hAnsi="Arial"/>
          <w:sz w:val="18"/>
          <w:szCs w:val="18"/>
          <w:color w:val="auto"/>
        </w:rPr>
        <w:t>The following table presents the changes in our allowance for doubtful accounts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
              <w:spacing w:after="0" w:line="153"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5"/>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4"/>
        </w:trPr>
        <w:tc>
          <w:tcPr>
            <w:tcW w:w="20" w:type="dxa"/>
            <w:vAlign w:val="bottom"/>
          </w:tcPr>
          <w:p>
            <w:pPr>
              <w:spacing w:after="0"/>
              <w:rPr>
                <w:sz w:val="22"/>
                <w:szCs w:val="22"/>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4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27"/>
        </w:trPr>
        <w:tc>
          <w:tcPr>
            <w:tcW w:w="2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Balance, beginning of period</w:t>
            </w:r>
          </w:p>
        </w:tc>
        <w:tc>
          <w:tcPr>
            <w:tcW w:w="2100" w:type="dxa"/>
            <w:vAlign w:val="bottom"/>
            <w:gridSpan w:val="2"/>
          </w:tcPr>
          <w:p>
            <w:pPr>
              <w:jc w:val="right"/>
              <w:ind w:right="50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Charges (recoveries) to earnings</w:t>
            </w:r>
          </w:p>
        </w:tc>
        <w:tc>
          <w:tcPr>
            <w:tcW w:w="14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Write-offs, net of recoveries and other</w:t>
            </w: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4380" w:type="dxa"/>
            <w:vAlign w:val="bottom"/>
          </w:tcPr>
          <w:p>
            <w:pPr>
              <w:ind w:left="360"/>
              <w:spacing w:after="0"/>
              <w:rPr>
                <w:sz w:val="20"/>
                <w:szCs w:val="20"/>
                <w:color w:val="auto"/>
              </w:rPr>
            </w:pPr>
            <w:r>
              <w:rPr>
                <w:rFonts w:ascii="Arial" w:cs="Arial" w:eastAsia="Arial" w:hAnsi="Arial"/>
                <w:sz w:val="18"/>
                <w:szCs w:val="18"/>
                <w:color w:val="auto"/>
              </w:rPr>
              <w:t>adjustments</w:t>
            </w:r>
          </w:p>
        </w:tc>
        <w:tc>
          <w:tcPr>
            <w:tcW w:w="1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21"/>
        </w:trPr>
        <w:tc>
          <w:tcPr>
            <w:tcW w:w="20" w:type="dxa"/>
            <w:vAlign w:val="bottom"/>
          </w:tcPr>
          <w:p>
            <w:pPr>
              <w:spacing w:after="0"/>
              <w:rPr>
                <w:sz w:val="19"/>
                <w:szCs w:val="19"/>
                <w:color w:val="auto"/>
              </w:rPr>
            </w:pPr>
          </w:p>
        </w:tc>
        <w:tc>
          <w:tcPr>
            <w:tcW w:w="43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3"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goal in managing our foreign currency exchange risk is to reduce, to the extent practicable, our potential exposure to the changes that exchange rates might have on our earnings, cash flows and financial position. We do not use derivatives for trading or speculative purposes. We account for our derivative instruments as either assets or liabilities and carry them at fair value.</w:t>
      </w:r>
    </w:p>
    <w:p>
      <w:pPr>
        <w:spacing w:after="0" w:line="184" w:lineRule="exact"/>
        <w:rPr>
          <w:sz w:val="20"/>
          <w:szCs w:val="20"/>
          <w:color w:val="auto"/>
        </w:rPr>
      </w:pPr>
    </w:p>
    <w:p>
      <w:pPr>
        <w:jc w:val="both"/>
        <w:ind w:right="180" w:firstLine="598"/>
        <w:spacing w:after="0" w:line="284" w:lineRule="auto"/>
        <w:rPr>
          <w:sz w:val="20"/>
          <w:szCs w:val="20"/>
          <w:color w:val="auto"/>
        </w:rPr>
      </w:pPr>
      <w:r>
        <w:rPr>
          <w:rFonts w:ascii="Arial" w:cs="Arial" w:eastAsia="Arial" w:hAnsi="Arial"/>
          <w:sz w:val="16"/>
          <w:szCs w:val="16"/>
          <w:color w:val="auto"/>
        </w:rPr>
        <w:t>In certain circumstances, we enter into foreign currency forward exchange contracts (“forward contracts”) to reduce the effects of fluctuating foreign currency exchange rates on our cash flows denominated in foreign currencies. Our derivative instruments, or forward contracts, that the Company has entered into to date have not been designated as hedges. Derivatives that do not qualify for hedge accounting must be adjusted to fair value through current income.</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Monetary assets and liabilities denominated in a currency other than the functional currency of a given subsidiary are remeasured at spot rates in effect on the balance sheet date with the effects of changes in spot rates reported in interest income and other, net on our consolidated statements of operations.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had maturities at inception of 90 days or less. The net cash received or paid related to our derivative instruments are classified in other investing activities in our consolidated statements of cash flow.</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had not entered into any cash flow, fair value or net investment hedges as of December 31, 2017.</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Including Website and Software Development Costs</w:t>
      </w:r>
    </w:p>
    <w:p>
      <w:pPr>
        <w:spacing w:after="0" w:line="113"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81" w:lineRule="exact"/>
        <w:rPr>
          <w:sz w:val="20"/>
          <w:szCs w:val="20"/>
          <w:color w:val="auto"/>
        </w:rPr>
      </w:pPr>
    </w:p>
    <w:p>
      <w:pPr>
        <w:ind w:right="140" w:firstLine="598"/>
        <w:spacing w:after="0" w:line="281" w:lineRule="auto"/>
        <w:rPr>
          <w:sz w:val="20"/>
          <w:szCs w:val="20"/>
          <w:color w:val="auto"/>
        </w:rPr>
      </w:pPr>
      <w:r>
        <w:rPr>
          <w:rFonts w:ascii="Arial" w:cs="Arial" w:eastAsia="Arial" w:hAnsi="Arial"/>
          <w:sz w:val="17"/>
          <w:szCs w:val="17"/>
          <w:color w:val="auto"/>
        </w:rPr>
        <w:t>We compute depreciation using the straight-line method over the estimated useful lives of the assets, which is three to five years for computer equipment, capitalized software and website development, office furniture and other equipment. We depreciate leasehold improvements using the straight-line method, over the shorter of the estimated useful life of the improvement or the remaining term of the lease.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Leases</w:t>
      </w:r>
    </w:p>
    <w:p>
      <w:pPr>
        <w:spacing w:after="0" w:line="113" w:lineRule="exact"/>
        <w:rPr>
          <w:sz w:val="20"/>
          <w:szCs w:val="20"/>
          <w:color w:val="auto"/>
        </w:rPr>
      </w:pPr>
    </w:p>
    <w:p>
      <w:pPr>
        <w:ind w:right="120" w:firstLine="598"/>
        <w:spacing w:after="0" w:line="292" w:lineRule="auto"/>
        <w:rPr>
          <w:sz w:val="20"/>
          <w:szCs w:val="20"/>
          <w:color w:val="auto"/>
        </w:rPr>
      </w:pPr>
      <w:r>
        <w:rPr>
          <w:rFonts w:ascii="Arial" w:cs="Arial" w:eastAsia="Arial" w:hAnsi="Arial"/>
          <w:sz w:val="16"/>
          <w:szCs w:val="16"/>
          <w:color w:val="auto"/>
        </w:rPr>
        <w:t>We lease office space in many countries around the world under non-cancelable lease agreements. We generally lease our office facilities under operating lease agreements. Office facilities subject to an operating lease and the related lease payments are not recorded on our balance sheet. The terms of certain lease agreements provide for rental payments on a graduated basis, however, we recognize rent expense on a straight-line basis over the lease period in accordance with GAAP. Any lease incentives are recognized as reductions of rental expense on a straight-line basis over the term of the lease. The lease term begins on the date we become legally obligated for the rent payments or when we take possession of the office space, whichever is earlier.</w:t>
      </w:r>
    </w:p>
    <w:p>
      <w:pPr>
        <w:spacing w:after="0" w:line="162"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financing obligations.</w:t>
      </w:r>
    </w:p>
    <w:p>
      <w:pPr>
        <w:spacing w:after="0" w:line="191" w:lineRule="exact"/>
        <w:rPr>
          <w:sz w:val="20"/>
          <w:szCs w:val="20"/>
          <w:color w:val="auto"/>
        </w:rPr>
      </w:pPr>
    </w:p>
    <w:p>
      <w:pPr>
        <w:jc w:val="both"/>
        <w:ind w:right="140" w:firstLine="598"/>
        <w:spacing w:after="0" w:line="274" w:lineRule="auto"/>
        <w:rPr>
          <w:sz w:val="20"/>
          <w:szCs w:val="20"/>
          <w:color w:val="auto"/>
        </w:rPr>
      </w:pPr>
      <w:r>
        <w:rPr>
          <w:rFonts w:ascii="Arial" w:cs="Arial" w:eastAsia="Arial" w:hAnsi="Arial"/>
          <w:sz w:val="17"/>
          <w:szCs w:val="17"/>
          <w:color w:val="auto"/>
        </w:rPr>
        <w:t>We also establish assets and liabilities for the present value of estimated future costs to return certain of our leased facilities to their original condition for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December 31, 2017 and December 31, 2016,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3" w:lineRule="exact"/>
        <w:rPr>
          <w:sz w:val="20"/>
          <w:szCs w:val="20"/>
          <w:color w:val="auto"/>
        </w:rPr>
      </w:pPr>
    </w:p>
    <w:p>
      <w:pPr>
        <w:ind w:right="20" w:firstLine="598"/>
        <w:spacing w:after="0" w:line="266" w:lineRule="auto"/>
        <w:rPr>
          <w:sz w:val="20"/>
          <w:szCs w:val="20"/>
          <w:color w:val="auto"/>
        </w:rPr>
      </w:pPr>
      <w:r>
        <w:rPr>
          <w:rFonts w:ascii="Arial" w:cs="Arial" w:eastAsia="Arial" w:hAnsi="Arial"/>
          <w:sz w:val="17"/>
          <w:szCs w:val="17"/>
          <w:color w:val="auto"/>
        </w:rPr>
        <w:t>We account for acquired businesses using the acquisition method of accounting which requires that the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significant estimates and assumptions, especially with respect to intangible assets. Significant estimates in valuing certain intangible assets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 Any changes to provisional amounts identified during the measurement period, calculated as if the accounting had been completed as of the acquisition date, are recognized in the consolidated statement of operations in the reporting period in which the adjustment amounts are determined.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Goodwill</w:t>
      </w:r>
    </w:p>
    <w:p>
      <w:pPr>
        <w:spacing w:after="0" w:line="113"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181" w:lineRule="exact"/>
        <w:rPr>
          <w:sz w:val="20"/>
          <w:szCs w:val="20"/>
          <w:color w:val="auto"/>
        </w:rPr>
      </w:pPr>
    </w:p>
    <w:p>
      <w:pPr>
        <w:ind w:right="40" w:firstLine="598"/>
        <w:spacing w:after="0" w:line="274" w:lineRule="auto"/>
        <w:rPr>
          <w:sz w:val="20"/>
          <w:szCs w:val="20"/>
          <w:color w:val="auto"/>
        </w:rPr>
      </w:pPr>
      <w:r>
        <w:rPr>
          <w:rFonts w:ascii="Arial" w:cs="Arial" w:eastAsia="Arial" w:hAnsi="Arial"/>
          <w:sz w:val="17"/>
          <w:szCs w:val="17"/>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77" w:name="page78"/>
    <w:bookmarkEnd w:id="77"/>
    <w:p>
      <w:pPr>
        <w:ind w:right="20"/>
        <w:spacing w:after="0" w:line="286" w:lineRule="auto"/>
        <w:rPr>
          <w:sz w:val="20"/>
          <w:szCs w:val="20"/>
          <w:color w:val="auto"/>
        </w:rPr>
      </w:pPr>
      <w:r>
        <w:rPr>
          <w:rFonts w:ascii="Arial" w:cs="Arial" w:eastAsia="Arial" w:hAnsi="Arial"/>
          <w:sz w:val="16"/>
          <w:szCs w:val="16"/>
          <w:color w:val="auto"/>
        </w:rPr>
        <w:t>assessing goodwill for impairment, our decision to perform a qualitative impairment assessment for an individual reporting unit in a given year is influenced by a number of factors, such as the size of the reporting unit's goodwill, the significance of the excess of the reporting unit's estimated fair value over carrying value at the last quantitative assessment date, and the amount of time in between quantitative fair value assessments and the date of acquisition to establish an updated baseline quantitative analysis.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168"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173"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During the Company's annual goodwill impairment test during the fourth quarter of 2017, a qualitative assessment for all our reporting units' goodwill was performed. For fiscal year 2017, we determined the fair value of all our reporting units were significantly in excess of their carrying values. Accordingly, we did not recognize any impairment charges during the year ending December 31, 2017. As part of our qualitative assessment for our 2017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factoring in the decline in the Company’s stock price during 2017, (h) changes in estimates, valuation inputs, and/or assumptions since the last quantitative analysis of the reporting units, (i) changes in the regulatory environment; and (j) changes in strategic outlook or organizational structure and leadership of the reporting units, and how these factors might impact specific performance in future periods. However, as we periodically reassess estimated future cash flows and asset fair values, changes in our estimates and assumptions may cause us to realize material impairment charges in the future.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Intangible Assets</w:t>
      </w:r>
    </w:p>
    <w:p>
      <w:pPr>
        <w:spacing w:after="0" w:line="220" w:lineRule="exact"/>
        <w:rPr>
          <w:sz w:val="20"/>
          <w:szCs w:val="20"/>
          <w:color w:val="auto"/>
        </w:rPr>
      </w:pPr>
    </w:p>
    <w:p>
      <w:pPr>
        <w:ind w:right="220" w:firstLine="598"/>
        <w:spacing w:after="0" w:line="306" w:lineRule="auto"/>
        <w:rPr>
          <w:sz w:val="20"/>
          <w:szCs w:val="20"/>
          <w:color w:val="auto"/>
        </w:rPr>
      </w:pPr>
      <w:r>
        <w:rPr>
          <w:rFonts w:ascii="Arial" w:cs="Arial" w:eastAsia="Arial" w:hAnsi="Arial"/>
          <w:sz w:val="16"/>
          <w:szCs w:val="16"/>
          <w:color w:val="auto"/>
        </w:rPr>
        <w:t>Intangible assets with estimable useful lives, or definite-live intangibles, are carried at cost and are amortized on a straight-line basis over their estimated useful lives and reviewed for impairment upon certain triggering events. We routinely review the remaining estimated useful lives of definite-lived intangible assets. If we reduce the estimated useful life assumption, the remaining unamortized balance is amortized over the revised estimated useful life.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78" w:name="page79"/>
    <w:bookmarkEnd w:id="78"/>
    <w:p>
      <w:pPr>
        <w:ind w:right="80" w:firstLine="598"/>
        <w:spacing w:after="0" w:line="283" w:lineRule="auto"/>
        <w:rPr>
          <w:sz w:val="20"/>
          <w:szCs w:val="20"/>
          <w:color w:val="auto"/>
        </w:rPr>
      </w:pPr>
      <w:r>
        <w:rPr>
          <w:rFonts w:ascii="Arial" w:cs="Arial" w:eastAsia="Arial" w:hAnsi="Arial"/>
          <w:sz w:val="16"/>
          <w:szCs w:val="16"/>
          <w:color w:val="auto"/>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value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measurement of fair value of indefinite-lived intangible assets,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170"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The carrying value of indefinite-lived intangible assets that is subject to annual assessment for impairment is $30 million at December 31, 2017 and consists of trademarks and tradenames. During the Company's annual indefinite-lived intangible impairment test during the fourth quarter of 2017, a qualitative assessment was performed. As part of our qualitative assessment we considered, amongst other factors, the amount of excess fair value of our trade names and trademarks to the carrying value of those same assets, using the results of our most recent quantitative assessment, while also considering changes in estimates and/or valuation input assumptions since the last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3"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We periodically review the carrying amount of our definite-lived intangible assets and other long term assets, including property and equipment and website and internal use software,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fair value and would be included in operating income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 lived or other long term assets on our consolidated balance sheet at December 31,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113" w:lineRule="exact"/>
        <w:rPr>
          <w:sz w:val="20"/>
          <w:szCs w:val="20"/>
          <w:color w:val="auto"/>
        </w:rPr>
      </w:pPr>
    </w:p>
    <w:p>
      <w:pPr>
        <w:jc w:val="both"/>
        <w:ind w:right="200" w:firstLine="598"/>
        <w:spacing w:after="0" w:line="306" w:lineRule="auto"/>
        <w:rPr>
          <w:sz w:val="20"/>
          <w:szCs w:val="20"/>
          <w:color w:val="auto"/>
        </w:rPr>
      </w:pPr>
      <w:r>
        <w:rPr>
          <w:rFonts w:ascii="Arial" w:cs="Arial" w:eastAsia="Arial" w:hAnsi="Arial"/>
          <w:sz w:val="16"/>
          <w:szCs w:val="16"/>
          <w:color w:val="auto"/>
        </w:rPr>
        <w:t>In our Vacation Rentals free-to-list model and our Attractions businesses, we receive cash from travelers at the time of booking and we record these amounts, net of commissions, on our consolidated balance sheets as deferred merchant payables. We pay the suppliers, or the vacation rental owners and tour providers, respectively, after the travelers’ use. Therefore, we receive cash from the traveler prior to paying the supplier and this operating cycle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79" w:name="page80"/>
    <w:bookmarkEnd w:id="79"/>
    <w:p>
      <w:pPr>
        <w:ind w:right="60"/>
        <w:spacing w:after="0" w:line="270" w:lineRule="auto"/>
        <w:rPr>
          <w:sz w:val="20"/>
          <w:szCs w:val="20"/>
          <w:color w:val="auto"/>
        </w:rPr>
      </w:pPr>
      <w:r>
        <w:rPr>
          <w:rFonts w:ascii="Arial" w:cs="Arial" w:eastAsia="Arial" w:hAnsi="Arial"/>
          <w:sz w:val="18"/>
          <w:szCs w:val="18"/>
          <w:color w:val="auto"/>
        </w:rPr>
        <w:t>represents a working capital source or use of cash to us. Our deferred merchant payables balance was $156 million and $128 million at December 31, 2017 and 2016, respectively, on our consolidated balance sheets.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113" w:lineRule="exact"/>
        <w:rPr>
          <w:sz w:val="20"/>
          <w:szCs w:val="20"/>
          <w:color w:val="auto"/>
        </w:rPr>
      </w:pPr>
    </w:p>
    <w:p>
      <w:pPr>
        <w:ind w:right="40" w:firstLine="598"/>
        <w:spacing w:after="0" w:line="253" w:lineRule="auto"/>
        <w:rPr>
          <w:sz w:val="20"/>
          <w:szCs w:val="20"/>
          <w:color w:val="auto"/>
        </w:rPr>
      </w:pPr>
      <w:r>
        <w:rPr>
          <w:rFonts w:ascii="Arial" w:cs="Arial" w:eastAsia="Arial" w:hAnsi="Arial"/>
          <w:sz w:val="18"/>
          <w:szCs w:val="18"/>
          <w:color w:val="auto"/>
        </w:rPr>
        <w:t>Our consolidated financial statements are reported in U.S. dollars. Certain of our subsidiaries outside of the United States use the related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period. The resulting unrealized cumulative translation adjustment is recorded as a component of accumulated other comprehensive income (loss) in stockholders’ equity on our consolidated balance sheet.</w:t>
      </w:r>
    </w:p>
    <w:p>
      <w:pPr>
        <w:spacing w:after="0" w:line="84"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We also have subsidiaries that have transactions in foreign currencies other than their functional currency. Transactions denominated in currencies other than the functional currency are recorded based on exchange rates at the time such transactions arise. Subsequent changes in exchange rates result in transaction gains and losses which are reflected in our consolidated statements of operations as unrealized (based on the applicable period-end exchange rate) or realized upon settlement of the transactions. Accordingly, we have recorded net foreign currency exchange gains of $1 million and losses of $4 million and $4 million for the years ended December 31, 2017, 2016 and 2015, respectively, in interest income and other, net on our consolidated statement of operations. These amounts also include transaction gains and losses, both realized and unrealized from forward contracts.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and Disclosures</w:t>
      </w:r>
    </w:p>
    <w:p>
      <w:pPr>
        <w:spacing w:after="0" w:line="113" w:lineRule="exact"/>
        <w:rPr>
          <w:sz w:val="20"/>
          <w:szCs w:val="20"/>
          <w:color w:val="auto"/>
        </w:rPr>
      </w:pPr>
    </w:p>
    <w:p>
      <w:pPr>
        <w:ind w:right="40" w:firstLine="598"/>
        <w:spacing w:after="0" w:line="268" w:lineRule="auto"/>
        <w:rPr>
          <w:sz w:val="20"/>
          <w:szCs w:val="20"/>
          <w:color w:val="auto"/>
        </w:rPr>
      </w:pPr>
      <w:r>
        <w:rPr>
          <w:rFonts w:ascii="Arial" w:cs="Arial" w:eastAsia="Arial" w:hAnsi="Arial"/>
          <w:sz w:val="17"/>
          <w:szCs w:val="17"/>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GAAP provides the following hierarchical levels of inputs used to measure fair value:</w:t>
      </w:r>
    </w:p>
    <w:p>
      <w:pPr>
        <w:spacing w:after="0" w:line="7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3" w:lineRule="exact"/>
        <w:rPr>
          <w:sz w:val="20"/>
          <w:szCs w:val="20"/>
          <w:color w:val="auto"/>
        </w:rPr>
      </w:pPr>
    </w:p>
    <w:p>
      <w:pPr>
        <w:ind w:left="600" w:right="180" w:firstLine="567"/>
        <w:spacing w:after="0" w:line="259"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7" w:lineRule="exact"/>
        <w:rPr>
          <w:sz w:val="20"/>
          <w:szCs w:val="20"/>
          <w:color w:val="auto"/>
        </w:rPr>
      </w:pPr>
    </w:p>
    <w:p>
      <w:pPr>
        <w:ind w:left="600" w:right="80" w:firstLine="567"/>
        <w:spacing w:after="0" w:line="270"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113" w:lineRule="exact"/>
        <w:rPr>
          <w:sz w:val="20"/>
          <w:szCs w:val="20"/>
          <w:color w:val="auto"/>
        </w:rPr>
      </w:pPr>
    </w:p>
    <w:p>
      <w:pPr>
        <w:jc w:val="both"/>
        <w:ind w:right="140" w:firstLine="598"/>
        <w:spacing w:after="0" w:line="284" w:lineRule="auto"/>
        <w:rPr>
          <w:sz w:val="20"/>
          <w:szCs w:val="20"/>
          <w:color w:val="auto"/>
        </w:rPr>
      </w:pPr>
      <w:r>
        <w:rPr>
          <w:rFonts w:ascii="Arial" w:cs="Arial" w:eastAsia="Arial" w:hAnsi="Arial"/>
          <w:sz w:val="16"/>
          <w:szCs w:val="16"/>
          <w:color w:val="auto"/>
        </w:rPr>
        <w:t>Our business is subject to certain risks and concentrations, including concentration related to dependence on our relationships with our customers. For the years ended December 31, 2017, 2016 and 2015 our two most significant travel partners, Expedia (and its subsidiaries) and Priceline (and its subsidiaries), each accounted for more than 10% of our consolidated revenue and combined accounted for 43%, 46% and 46%, respectively, of our consolidated revenue.</w:t>
      </w:r>
    </w:p>
    <w:p>
      <w:pPr>
        <w:spacing w:after="0" w:line="1" w:lineRule="exact"/>
        <w:rPr>
          <w:sz w:val="20"/>
          <w:szCs w:val="20"/>
          <w:color w:val="auto"/>
        </w:rPr>
      </w:pPr>
    </w:p>
    <w:p>
      <w:pPr>
        <w:ind w:right="760"/>
        <w:spacing w:after="0" w:line="255" w:lineRule="auto"/>
        <w:rPr>
          <w:sz w:val="20"/>
          <w:szCs w:val="20"/>
          <w:color w:val="auto"/>
        </w:rPr>
      </w:pPr>
      <w:r>
        <w:rPr>
          <w:rFonts w:ascii="Arial" w:cs="Arial" w:eastAsia="Arial" w:hAnsi="Arial"/>
          <w:sz w:val="18"/>
          <w:szCs w:val="18"/>
          <w:color w:val="auto"/>
        </w:rPr>
        <w:t xml:space="preserve">Nearly all of this concentration of revenue is recorded in our Hotel segment for these reporting periods. Refer to “Note 17 – </w:t>
      </w:r>
      <w:r>
        <w:rPr>
          <w:rFonts w:ascii="Arial" w:cs="Arial" w:eastAsia="Arial" w:hAnsi="Arial"/>
          <w:sz w:val="18"/>
          <w:szCs w:val="18"/>
          <w:i w:val="1"/>
          <w:iCs w:val="1"/>
          <w:color w:val="auto"/>
        </w:rPr>
        <w:t>Segment and Geographic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for further disclosure on our concentrations for geographic revenue and products.</w:t>
      </w:r>
    </w:p>
    <w:p>
      <w:pPr>
        <w:spacing w:after="0" w:line="81"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Financial instruments, which potentially subject us to concentration of credit risk, consist primarily of cash and cash equivalents, corporate debt securities, foreign currency exchange contracts, and accounts receivable. We maintain some cash and cash equivalents balances with financial institutions that are in excess of Federal Deposit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0" w:name="page81"/>
    <w:bookmarkEnd w:id="80"/>
    <w:p>
      <w:pPr>
        <w:spacing w:after="0" w:line="269" w:lineRule="auto"/>
        <w:rPr>
          <w:sz w:val="20"/>
          <w:szCs w:val="20"/>
          <w:color w:val="auto"/>
        </w:rPr>
      </w:pPr>
      <w:r>
        <w:rPr>
          <w:rFonts w:ascii="Arial" w:cs="Arial" w:eastAsia="Arial" w:hAnsi="Arial"/>
          <w:sz w:val="17"/>
          <w:szCs w:val="17"/>
          <w:color w:val="auto"/>
        </w:rPr>
        <w:t>Insurance Corporation insurance limits. Our cash and cash equivalents are primarily composed of bank account balances with financial institutions primarily denominated in U.S. dollars, Euros, British pound sterling, and Australian dollars, as well as, money market funds.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Foreign currency exchange contracts are transacted with various international financial institutions with high credit standings, which to date, have had maturities of less than 90 days. Our overall credit risk related to accounts receivable is mitigated by the relatively short collection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3"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financial statements for loss contingencies that do not meet both these conditions if there is a reasonable possibility that a loss may have been incurred that would be material to the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3" w:lineRule="exact"/>
        <w:rPr>
          <w:sz w:val="20"/>
          <w:szCs w:val="20"/>
          <w:color w:val="auto"/>
        </w:rPr>
      </w:pPr>
    </w:p>
    <w:p>
      <w:pPr>
        <w:ind w:right="80" w:firstLine="598"/>
        <w:spacing w:after="0" w:line="253" w:lineRule="auto"/>
        <w:rPr>
          <w:sz w:val="20"/>
          <w:szCs w:val="20"/>
          <w:color w:val="auto"/>
        </w:rPr>
      </w:pPr>
      <w:r>
        <w:rPr>
          <w:rFonts w:ascii="Arial" w:cs="Arial" w:eastAsia="Arial" w:hAnsi="Arial"/>
          <w:sz w:val="18"/>
          <w:szCs w:val="18"/>
          <w:color w:val="auto"/>
        </w:rPr>
        <w:t>Shares of our common stock repurchased are recorded at cost as treasury stock and result in the reduction of stockholders' equity in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the remaining balance is charged to retained earnings.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113"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 xml:space="preserve">We compute basic earnings per share by dividing net income by the weighted average number of common and Class B common shares outstanding during the period. Diluted earnings per share include the potential dilution of common equivalent shares outstanding that could occur from stock-based awards and other stock-based commitments using the treasury stock method. We compute diluted earnings per share by dividing net income by the sum of the weighted average number of common and common equivalent shares outstanding during the period. In periods when we recognize a net loss, we exclude the impact of outstanding stock awards from the diluted loss per share calculation as their inclusion would have an antidilutive effect. For additional information on how we compute EPS, see Note 5 —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0" w:lineRule="exact"/>
        <w:rPr>
          <w:sz w:val="20"/>
          <w:szCs w:val="20"/>
          <w:color w:val="auto"/>
        </w:rPr>
      </w:pPr>
    </w:p>
    <w:p>
      <w:pPr>
        <w:ind w:right="60" w:firstLine="598"/>
        <w:spacing w:after="0" w:line="285" w:lineRule="auto"/>
        <w:rPr>
          <w:sz w:val="20"/>
          <w:szCs w:val="20"/>
          <w:color w:val="auto"/>
        </w:rPr>
      </w:pPr>
      <w:r>
        <w:rPr>
          <w:rFonts w:ascii="Arial" w:cs="Arial" w:eastAsia="Arial" w:hAnsi="Arial"/>
          <w:sz w:val="16"/>
          <w:szCs w:val="16"/>
          <w:color w:val="auto"/>
        </w:rPr>
        <w:t>In May 2017, the Financial Accounting Standard Board (“FASB”) issued new accounting guidance that clarifies when changes to the terms or conditions of a share-based payment award must be accounted for as modifications which will reduce diversity in practice. Under the new guidance, an entity will not apply modification accounting to a share-based payment award if the award’s fair value (or calculated value or intrinsic value, if those measurement methods are used), the award’s vesting conditions, and the award’s classification as an equity or liability instrument are the same immediately before and after the change. The guidance also states that an entity is not required to estimate the value of the award immediately before and after the change if the change does not affect any of the inputs to the model used to value the award. The guidance is effective for fiscal years, and interim periods within those fiscal years, beginning after December 15, 2017, and will be applied prospectively to awards modified on or after the adoption date. Early adoption is permitted, including adoption in any interim period for which financial statements have not yet been issued or made available for issuance. We will adopt this new guidance on January 1, 2018. Upon adoption, we believe the new guidance will likely result in fewer changes to the terms of 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award being accounted for as modifications.</w:t>
      </w:r>
    </w:p>
    <w:p>
      <w:pPr>
        <w:spacing w:after="0" w:line="220" w:lineRule="exact"/>
        <w:rPr>
          <w:sz w:val="20"/>
          <w:szCs w:val="20"/>
          <w:color w:val="auto"/>
        </w:rPr>
      </w:pPr>
    </w:p>
    <w:p>
      <w:pPr>
        <w:ind w:right="40" w:firstLine="598"/>
        <w:spacing w:after="0" w:line="267" w:lineRule="auto"/>
        <w:rPr>
          <w:sz w:val="20"/>
          <w:szCs w:val="20"/>
          <w:color w:val="auto"/>
        </w:rPr>
      </w:pPr>
      <w:r>
        <w:rPr>
          <w:rFonts w:ascii="Arial" w:cs="Arial" w:eastAsia="Arial" w:hAnsi="Arial"/>
          <w:sz w:val="17"/>
          <w:szCs w:val="17"/>
          <w:color w:val="auto"/>
        </w:rPr>
        <w:t>In March 2017, the FASB issued new accounting guidance which shortens the amortization period for the premium paid on certain purchased callable debt securities to the earliest call date instead of the bond’s maturity. The amendments do not require an accounting change for securities held at a discount; instead, the discount continues to be amortized to maturity. The guidance is effective for fiscal years, and interim periods within those fiscal years, beginning after December 15, 2018, and will be applied on a modified retrospective basis through a cumulative-effect adjustment directly to retained earnings as of the beginning of the period of adoption. Early adoption is permitted, including adoption in an interim period. If an entity early adopts the amendments in an interim period, any adjustments should be reflected as of the beginning of the fiscal year that includes that interim period. We anticipate adopting this new guidance on January 1, 2019 and based on the composition of our current investment portfolio we do not expect the new guidance will have a material impact on our consolidated financial statements and related disclosures.</w:t>
      </w:r>
    </w:p>
    <w:p>
      <w:pPr>
        <w:spacing w:after="0" w:line="183"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In January 2017, the FASB issued new accounting guidance to clarify the definition of a business and provide additional guidance to assist entities with evaluating whether transactions should be accounted for as asset acquisitions (or asset disposals) or business combinations (or disposals of a business). Under this new guidance, an entity first determines whether substantially all of the fair value of the assets acquired is concentrated in a single identifiable asset or a group of similar identifiable assets. If this criterion is met, the transaction should be accounted for as an asset acquisition as opposed to a business combination. This distinction is important because the accounting for an asset acquisition significantly differs from the accounting for a business combination. This new guidance eliminates the requirement to evaluate whether a market participant could replace missing elements (e.g. inputs or processes), narrows the definition of outputs and requires that a business include, at a minimum, an input and a substantive process that together significantly contribute to the ability to create outputs. This new guidance is effective for fiscal years beginning after December 15, 2017 and interim periods within those years. Early adoption is permitted including adoption in any interim or annual periods in which the financial statements have not been issued or made available for issuance. The new guidance will be applied prospectively to any transactions occurring within the period of adoption. We will adopt this new guidance on January 1, 2018. Upon adoption, the new guidance will impact how we assess any prospective acquisitions (or disposals) of assets or businesses.</w:t>
      </w:r>
    </w:p>
    <w:p>
      <w:pPr>
        <w:spacing w:after="0" w:line="168" w:lineRule="exact"/>
        <w:rPr>
          <w:sz w:val="20"/>
          <w:szCs w:val="20"/>
          <w:color w:val="auto"/>
        </w:rPr>
      </w:pPr>
    </w:p>
    <w:p>
      <w:pPr>
        <w:ind w:right="60" w:firstLine="598"/>
        <w:spacing w:after="0" w:line="286" w:lineRule="auto"/>
        <w:rPr>
          <w:sz w:val="20"/>
          <w:szCs w:val="20"/>
          <w:color w:val="auto"/>
        </w:rPr>
      </w:pPr>
      <w:r>
        <w:rPr>
          <w:rFonts w:ascii="Arial" w:cs="Arial" w:eastAsia="Arial" w:hAnsi="Arial"/>
          <w:sz w:val="16"/>
          <w:szCs w:val="16"/>
          <w:color w:val="auto"/>
        </w:rPr>
        <w:t>In November 2016, the FASB issued new accounting guidance on the classification and presentation of restricted cash in the statement of cash flows to address the diversity in practice. This new guidance requires entities to show changes in cash, cash equivalents and restricted cash on a combined basis in the statement of cash flows. In addition, this accounting guidance requires a reconciliation of the total cash, cash equivalent and restricted cash in the statement of cash flows to the related captions in the balance sheet if cash, cash equivalents and restricted cash are presented in more than one line item in the balance sheet. The guidance is effective for fiscal years, and interim periods within those fiscal years, beginning after December 15, 2017, with early adoption permitted, including adoption in an interim period, but any adjustments must be reflected as of the beginning of the fiscal year that includes that interim period. We will adopt this new guidance on January 1, 2018 and apply it retrospectively to all prior periods presented in the financial statements as required under the new guidance. We do not expect a material impact on our consolidated financial statements and related disclosures upon the adoption of this new guidance.</w:t>
      </w:r>
    </w:p>
    <w:p>
      <w:pPr>
        <w:spacing w:after="0" w:line="168" w:lineRule="exact"/>
        <w:rPr>
          <w:sz w:val="20"/>
          <w:szCs w:val="20"/>
          <w:color w:val="auto"/>
        </w:rPr>
      </w:pPr>
    </w:p>
    <w:p>
      <w:pPr>
        <w:ind w:right="40" w:firstLine="598"/>
        <w:spacing w:after="0" w:line="267" w:lineRule="auto"/>
        <w:rPr>
          <w:sz w:val="20"/>
          <w:szCs w:val="20"/>
          <w:color w:val="auto"/>
        </w:rPr>
      </w:pPr>
      <w:r>
        <w:rPr>
          <w:rFonts w:ascii="Arial" w:cs="Arial" w:eastAsia="Arial" w:hAnsi="Arial"/>
          <w:sz w:val="17"/>
          <w:szCs w:val="17"/>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The guidance is effective for fiscal years, and interim periods within those fiscal years, beginning after December 15, 2017. Early adoption is permitted as of the beginning of an annual reporting period for which interim or annual financial statements have not been issued. Upon our adoption of this new guidance on January 1, 2018, we are required to apply the new guidance only on a modified retrospective basis through a cumulative-effect adjustment directly to retained earnings as of the beginning of the period of adoption, which we do not expect to be material to our consolidated financial statements and related disclosures.</w:t>
      </w:r>
    </w:p>
    <w:p>
      <w:pPr>
        <w:spacing w:after="0" w:line="183" w:lineRule="exact"/>
        <w:rPr>
          <w:sz w:val="20"/>
          <w:szCs w:val="20"/>
          <w:color w:val="auto"/>
        </w:rPr>
      </w:pPr>
    </w:p>
    <w:p>
      <w:pPr>
        <w:ind w:firstLine="598"/>
        <w:spacing w:after="0" w:line="270" w:lineRule="auto"/>
        <w:rPr>
          <w:sz w:val="20"/>
          <w:szCs w:val="20"/>
          <w:color w:val="auto"/>
        </w:rPr>
      </w:pPr>
      <w:r>
        <w:rPr>
          <w:rFonts w:ascii="Arial" w:cs="Arial" w:eastAsia="Arial" w:hAnsi="Arial"/>
          <w:sz w:val="18"/>
          <w:szCs w:val="18"/>
          <w:color w:val="auto"/>
        </w:rPr>
        <w:t>In August 2016, the FASB issued new accounting guidance which clarifies how companies present and classify certain cash receipts and cash payments in the statement of cash flows. The new guidance specifically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2" w:name="page83"/>
    <w:bookmarkEnd w:id="82"/>
    <w:p>
      <w:pPr>
        <w:ind w:right="140"/>
        <w:spacing w:after="0" w:line="287" w:lineRule="auto"/>
        <w:rPr>
          <w:sz w:val="20"/>
          <w:szCs w:val="20"/>
          <w:color w:val="auto"/>
        </w:rPr>
      </w:pPr>
      <w:r>
        <w:rPr>
          <w:rFonts w:ascii="Arial" w:cs="Arial" w:eastAsia="Arial" w:hAnsi="Arial"/>
          <w:sz w:val="16"/>
          <w:szCs w:val="16"/>
          <w:color w:val="auto"/>
        </w:rPr>
        <w:t>addresses the following cash flow topics in an effort to reduce diversity in practice: (1) 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guidance is effective for fiscal years, and interim periods within those fiscal years, beginning after December 15, 2017, with early adoption permitted. Upon adoption, an entity may apply the new guidance only retrospectively to all prior periods presented in the financial statements. We will adopt this new guidance on January 1, 2018 and we do not expect this new guidance will have a material impact on our consolidated financial statements and related disclosures.</w:t>
      </w:r>
    </w:p>
    <w:p>
      <w:pPr>
        <w:spacing w:after="0" w:line="169"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In June 2016, the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currently considering our timing of adoption and in the process of evaluating the impact of adopting this guidance on our consolidated financial statements and related disclosures.</w:t>
      </w:r>
    </w:p>
    <w:p>
      <w:pPr>
        <w:spacing w:after="0" w:line="173" w:lineRule="exact"/>
        <w:rPr>
          <w:sz w:val="20"/>
          <w:szCs w:val="20"/>
          <w:color w:val="auto"/>
        </w:rPr>
      </w:pPr>
    </w:p>
    <w:p>
      <w:pPr>
        <w:ind w:right="20" w:firstLine="598"/>
        <w:spacing w:after="0" w:line="285" w:lineRule="auto"/>
        <w:rPr>
          <w:sz w:val="20"/>
          <w:szCs w:val="20"/>
          <w:color w:val="auto"/>
        </w:rPr>
      </w:pPr>
      <w:r>
        <w:rPr>
          <w:rFonts w:ascii="Arial" w:cs="Arial" w:eastAsia="Arial" w:hAnsi="Arial"/>
          <w:sz w:val="16"/>
          <w:szCs w:val="16"/>
          <w:color w:val="auto"/>
        </w:rPr>
        <w:t>In February 2016, the FASB issued new guidance related to accounting for leases. The new standard requires the recognition of assets (right-of-use-assets) and liabilities arising from lease transactions on the balance sheet and the disclosure of key information about leasing arrangements. Accordingly, a lessee will recognize a lease asset for its right to use the underlying asset and a lease liability for the corresponding lease obligation. Both the asset and liability will initially be measured at the present value of the future minimum lease payments over the lease term. The new guidance will classify leases as either finance or operating leases, with classification determining the presentation of expenses and cash flows on our consolidated financial statements. Initial costs directly attributable to negotiating and arranging the lease will be included in the asset. For leases with a term of 12 months or less, a lessee can make an accounting policy election by class of underlying asset to not recognize an asset and corresponding liability. The transition guidance also provides specific guidance for sale and leaseback transactions, build-to-suit leases and amounts previously recognized in accordance with the business combinations guidance for leases. We will also be required to provide additional qualitative and quantitative disclosures regarding the amount, timing and uncertainty of cash flows arising from leases which include, among other things, the computation and disclosure of our weighted average remaining lease term and discount rate, cash paid for amounts included in the measurement of lease liabilities, and supplemental non-cash information on lease liabilities arising from obtaining the right-of-use assets. These disclosures are intended to provide supplemental information to the amounts recorded in the financial statements so that users can better understand the nature of an entity’s leasing activities. This guidance is effective for fiscal years, and interim periods within those fiscal years, beginning after December 15, 2018, with early adoption permitted, which will require the recognition and measurement of leases at the beginning of the earliest comparative period presented in the financial statements using a modified retrospective approach. We anticipate adopting this new guidance on January 1, 2019.</w:t>
      </w:r>
    </w:p>
    <w:p>
      <w:pPr>
        <w:spacing w:after="0" w:line="167" w:lineRule="exact"/>
        <w:rPr>
          <w:sz w:val="20"/>
          <w:szCs w:val="20"/>
          <w:color w:val="auto"/>
        </w:rPr>
      </w:pPr>
    </w:p>
    <w:p>
      <w:pPr>
        <w:ind w:right="40" w:firstLine="598"/>
        <w:spacing w:after="0" w:line="274" w:lineRule="auto"/>
        <w:rPr>
          <w:sz w:val="20"/>
          <w:szCs w:val="20"/>
          <w:color w:val="auto"/>
        </w:rPr>
      </w:pPr>
      <w:r>
        <w:rPr>
          <w:rFonts w:ascii="Arial" w:cs="Arial" w:eastAsia="Arial" w:hAnsi="Arial"/>
          <w:sz w:val="17"/>
          <w:szCs w:val="17"/>
          <w:color w:val="auto"/>
        </w:rPr>
        <w:t>To date, we have made measurable progress toward evaluating the new lease guidance and are in the process of updating accounting policies, accounting position memos, and evaluating our existing population of contracts to ensure all contracts that meet the definition of a lease contract under the new standard are identified. We are also in the process of implementing additional lease software to support our accounting and reporting process, including the new quantitative and qualitative financial disclosure requirements. In addition, we are evaluating the impact of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3" w:name="page84"/>
    <w:bookmarkEnd w:id="83"/>
    <w:p>
      <w:pPr>
        <w:spacing w:after="0" w:line="259" w:lineRule="auto"/>
        <w:rPr>
          <w:sz w:val="20"/>
          <w:szCs w:val="20"/>
          <w:color w:val="auto"/>
        </w:rPr>
      </w:pPr>
      <w:r>
        <w:rPr>
          <w:rFonts w:ascii="Arial" w:cs="Arial" w:eastAsia="Arial" w:hAnsi="Arial"/>
          <w:sz w:val="18"/>
          <w:szCs w:val="18"/>
          <w:color w:val="auto"/>
        </w:rPr>
        <w:t>system implementation and new accounting guidance on our internal controls. We will continue to provide updates of our assessment of the effect, that this new lease guidance will have on our consolidated financial statements, disclosures, systems and related internal controls, and will disclose any material effects, if any, when known.</w:t>
      </w:r>
    </w:p>
    <w:p>
      <w:pPr>
        <w:spacing w:after="0" w:line="184" w:lineRule="exact"/>
        <w:rPr>
          <w:sz w:val="20"/>
          <w:szCs w:val="20"/>
          <w:color w:val="auto"/>
        </w:rPr>
      </w:pPr>
    </w:p>
    <w:p>
      <w:pPr>
        <w:ind w:firstLine="598"/>
        <w:spacing w:after="0" w:line="281" w:lineRule="auto"/>
        <w:rPr>
          <w:sz w:val="20"/>
          <w:szCs w:val="20"/>
          <w:color w:val="auto"/>
        </w:rPr>
      </w:pPr>
      <w:r>
        <w:rPr>
          <w:rFonts w:ascii="Arial" w:cs="Arial" w:eastAsia="Arial" w:hAnsi="Arial"/>
          <w:sz w:val="16"/>
          <w:szCs w:val="16"/>
          <w:color w:val="auto"/>
        </w:rPr>
        <w:t>In January 2016, the FASB issued a new accounting update which amends the guidance on the classification and measurement of financial instruments. Although the accounting update retains many current requirements, it significantly revises accounting related to (1) the classification and measurement of investments in equity securities and (2) the presentation of certain fair value changes for financial liabilities measured at fair value. The accounting update also amends certain fair value disclosures of financial instruments and clarifies that an entity should evaluate the need for a valuation allowance on a deferred tax asset related to available-for-sale debt securities in combination with the entity’s evaluation of their other deferred tax assets. The update requires entities to carry all investments in equity securities, including other ownership interests such as partnerships, unincorporated joint ventures and limited liability companies at fair value, with fair value changes recognized through net income. This requirement does not apply to investments that qualify for equity method accounting, investments that result in consolidation of the investee or investments in which the entity has elected the practicability exception to fair value measurement. Under current GAAP, available-for-sale investments in equity securities, with a readily determinable fair value, are re-measured to fair value at each reporting period with changes in fair value recognized in accumulated other comprehensive income (loss). However, under the new guidance, fair value adjustments will be recognized through net income. For equity securities currently accounted for under the cost method (as they do not have a readily determinable fair value), the new guidance requires those equity investments to be carried at fair value with changes in net income, unless an entity elects to measure those investments, at cost less impairment, if any, plus or minus changes resulting from observable price changes in orderly transactions for the identical or a similar investment of the same issuer. The Company intends to elect this measurement alternative for equity securities without a readily determinable fair value. Additionally, this accounting update will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In addition, this accounting update eliminates the requirement for public business entities to disclose the methods and significant assumptions used to estimate the fair value that is currently required to be disclosed for financial instruments measured at amortized cost in the balance sheet. This guidance is effective for fiscal years, and interim periods within those fiscal years, beginning after December 15, 2017, with early adoption permitted for the provision to record fair value changes for financial liabilities under the fair value option resulting from instrument-specific credit risk in other comprehensive income. We will adopt this new guidance on January 1, 2018 on a modified retrospective basis, which requires an entity to recognize the cumulative effect of adopting this guidance as an adjustment to the opening balance of retained earnings, which we do not expect to be material. We also do not expect a material impact on our consolidated financial statements and related disclosures upon the adoption of this new guidance.</w:t>
      </w:r>
    </w:p>
    <w:p>
      <w:pPr>
        <w:spacing w:after="0" w:line="172"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In May 2014, the FASB issued new accounting guidance on revenue from contracts with customers which will replace numerous requirements in GAAP, and provide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addition, the FASB has also issued several amendments to the standard, which clarify certain aspects of the guidance, including principal versus agent considerations and identifying performance obligations.</w:t>
      </w:r>
    </w:p>
    <w:p>
      <w:pPr>
        <w:spacing w:after="0" w:line="169"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The two permitted transition methods under this new accounting guidance are the full retrospective method, in which case the guidance would be applied to each prior reporting period presented and the cumulative effect of applying the guidance would be recognized at the earliest period shown, or the modified retrospective method, in which case the cumulative effect of applying the guidance would be recognized at the date of initial application. We will adopt this new guidance on January 1, 2018 under the modified retrospective method applied to those contracts which were not completed as of that date. Upon adoption, we will recognize the cumulative effect of adopting this guidance as an adjustment to our opening balance of retained earnings. We do not expect this adjustment to be material. Prior periods will not be retrospectively adjusted, however, revenues for 2018 will be reported on the new</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basis and also disclosed on the historical basis.</w:t>
      </w:r>
    </w:p>
    <w:p>
      <w:pPr>
        <w:spacing w:after="0" w:line="220"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We have evaluated our revenue streams and based on the Company's analysis; the adoption of this new revenue guidance will result primarily in immaterial timing changes in recognition of revenue to certain revenue streams, such as for our instant booking revenue recorded under the consumption model, which will be recognized at the transaction booking date for a hotel accommodation rather than upon completion of the stay by the traveler. We expect the adoption of this new revenue standard will not have a material impact, either on an annual or quarterly basis, to our consolidated financial statements on a go-forward basis. Our systems and internal controls were not significantly impacted related to the identified accounting changes. While we have made the necessary changes to our accounting policies and internal processes to support the new revenue recognition standard, we are continuing our assessment of potential changes to our disclosures under the new guidance.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0" w:lineRule="exact"/>
        <w:rPr>
          <w:sz w:val="20"/>
          <w:szCs w:val="20"/>
          <w:color w:val="auto"/>
        </w:rPr>
      </w:pPr>
    </w:p>
    <w:p>
      <w:pPr>
        <w:ind w:right="20" w:firstLine="439"/>
        <w:spacing w:after="0" w:line="282" w:lineRule="auto"/>
        <w:rPr>
          <w:sz w:val="20"/>
          <w:szCs w:val="20"/>
          <w:color w:val="auto"/>
        </w:rPr>
      </w:pPr>
      <w:r>
        <w:rPr>
          <w:rFonts w:ascii="Arial" w:cs="Arial" w:eastAsia="Arial" w:hAnsi="Arial"/>
          <w:sz w:val="16"/>
          <w:szCs w:val="16"/>
          <w:color w:val="auto"/>
        </w:rPr>
        <w:t xml:space="preserve">On December 22, 2017, the SEC published Staff Accounting Bulletin (SAB) No. 118, which expresses views of the staff regarding application of FASB Accounting Standards Codification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reporting period that includes December 22, 2017, the date on which the 2017 Tax Act was signed into law. The 2017 Tax Act changes existing United States tax law and includes numerous provisions that will affect businesses. The 2017 Tax Act, for instance, introduces changes that impact U.S. corporate tax rates, business-related exclusions, and deductions and credits. The 2017 Tax Act will also have international tax consequences for many companies that operate internationally. Specifically, the staff issued this SAB to address situations where the accounting under ASC Topic 740 is incomplete for certain income tax effects of the 2017 Tax Act upon issuance of an entity’s financial statements for the reporting period in which the 2017 Tax Act was enacted. A company would report provisional amounts for the specific income tax effects of the 2017 Tax Act for which the accounting under FASB ASC Topic 740 will be incomplete but a reasonable estimate can be determined. Such provisional amounts would be subject to adjustment during a “measurement period,” i.e., begins on December 22, 2017 and ends when a company has obtained, prepared, and analyzed the information that was needed in order to complete the accounting requirements under ASC Topic 740, until the accounting under FASB ASC Topic 740 is complete and in no circumstances should the measurement period extend beyond one year from the enactment date. Additionally, supplemental disclosures should accompany the provisional amounts, including the reasons for the incomplete accounting, additional information or analysis that is needed, and other information relevant to why the registrant was not able to complete the accounting required under FASB ASC Topic 740 in a timely manner. For any specific income tax effects of the 2017 Tax Act for which a reasonable estimate cannot be determined, the company would continue to apply FASB ASC Topic 740 based on the provisions of the tax laws that were in effect immediately prior to the 2017 Tax Act being enacted, and would report provisional amounts in the first reporting period in which a reasonable estimate can be determined. Refer to “Note 10 -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for further discussion on the impact of the 2017 Tax Act on our consolidated financial statements and related disclosures.</w:t>
      </w:r>
    </w:p>
    <w:p>
      <w:pPr>
        <w:spacing w:after="0" w:line="170" w:lineRule="exact"/>
        <w:rPr>
          <w:sz w:val="20"/>
          <w:szCs w:val="20"/>
          <w:color w:val="auto"/>
        </w:rPr>
      </w:pPr>
    </w:p>
    <w:p>
      <w:pPr>
        <w:ind w:right="20" w:firstLine="439"/>
        <w:spacing w:after="0" w:line="284" w:lineRule="auto"/>
        <w:rPr>
          <w:sz w:val="20"/>
          <w:szCs w:val="20"/>
          <w:color w:val="auto"/>
        </w:rPr>
      </w:pPr>
      <w:r>
        <w:rPr>
          <w:rFonts w:ascii="Arial" w:cs="Arial" w:eastAsia="Arial" w:hAnsi="Arial"/>
          <w:sz w:val="16"/>
          <w:szCs w:val="16"/>
          <w:color w:val="auto"/>
        </w:rPr>
        <w:t>In January 2017, the FASB issued new accounting guidance to simplify the accounting for goodwill impairment. The new guidance removes step two of the goodwill impairment test, which measures a goodwill impairment loss by comparing the implied fair value of a reporting unit’s goodwill, which requires a hypothetical purchase price allocation, with the carrying amount of that reporting unit’s goodwill. Under this new guidance, an entity should perform its annual, or interim, quantitative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All other goodwill impairment guidance will remain largely unchanged. Entities will continue to have the option to perform a qualitative assessment to determine if a quantitative impairment test is necessary. The new guidance is effective for annual and interim periods in fiscal years beginning after December 15, 2019. Early adoption is permitted for interim or annual goodwill impairment tests occurring after January 1, 2017. The new guidance will be applied prospectively. We early adopted this new guidance in the fourth quarter of 2017. The adoption of this new guidance had no impact on our annual goodwill impairment analysis, or on our consolidated financial statements and related disclosures.</w:t>
      </w:r>
    </w:p>
    <w:p>
      <w:pPr>
        <w:spacing w:after="0" w:line="66" w:lineRule="exact"/>
        <w:rPr>
          <w:sz w:val="20"/>
          <w:szCs w:val="20"/>
          <w:color w:val="auto"/>
        </w:rPr>
      </w:pPr>
    </w:p>
    <w:p>
      <w:pPr>
        <w:jc w:val="both"/>
        <w:ind w:right="380" w:firstLine="598"/>
        <w:spacing w:after="0" w:line="259" w:lineRule="auto"/>
        <w:rPr>
          <w:sz w:val="20"/>
          <w:szCs w:val="20"/>
          <w:color w:val="auto"/>
        </w:rPr>
      </w:pPr>
      <w:r>
        <w:rPr>
          <w:rFonts w:ascii="Arial" w:cs="Arial" w:eastAsia="Arial" w:hAnsi="Arial"/>
          <w:sz w:val="18"/>
          <w:szCs w:val="18"/>
          <w:color w:val="auto"/>
        </w:rPr>
        <w:t>In October 2016, the FASB issued new accounting guidance which amends the consolidation guidance on how a reporting entity that is the single decision maker of a variable interest entity should treat indirect interests in the entity held through related parties that are under common control within the reporting entity when determining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5" w:name="page86"/>
    <w:bookmarkEnd w:id="85"/>
    <w:p>
      <w:pPr>
        <w:ind w:right="100"/>
        <w:spacing w:after="0" w:line="270" w:lineRule="auto"/>
        <w:rPr>
          <w:sz w:val="20"/>
          <w:szCs w:val="20"/>
          <w:color w:val="auto"/>
        </w:rPr>
      </w:pPr>
      <w:r>
        <w:rPr>
          <w:rFonts w:ascii="Arial" w:cs="Arial" w:eastAsia="Arial" w:hAnsi="Arial"/>
          <w:sz w:val="18"/>
          <w:szCs w:val="18"/>
          <w:color w:val="auto"/>
        </w:rPr>
        <w:t>whether it is the primary beneficiary of that variable interest entity. We adopted this new guidance on January 1, 2017, on a retrospective basis, with no impact on our consolidated financial statements and related disclosures.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DISPOSITIONS</w:t>
      </w:r>
    </w:p>
    <w:p>
      <w:pPr>
        <w:spacing w:after="0" w:line="117" w:lineRule="exact"/>
        <w:rPr>
          <w:sz w:val="20"/>
          <w:szCs w:val="20"/>
          <w:color w:val="auto"/>
        </w:rPr>
      </w:pPr>
    </w:p>
    <w:p>
      <w:pPr>
        <w:ind w:firstLine="598"/>
        <w:spacing w:after="0" w:line="266" w:lineRule="auto"/>
        <w:rPr>
          <w:sz w:val="20"/>
          <w:szCs w:val="20"/>
          <w:color w:val="auto"/>
        </w:rPr>
      </w:pPr>
      <w:r>
        <w:rPr>
          <w:rFonts w:ascii="Arial" w:cs="Arial" w:eastAsia="Arial" w:hAnsi="Arial"/>
          <w:sz w:val="17"/>
          <w:szCs w:val="17"/>
          <w:color w:val="auto"/>
        </w:rPr>
        <w:t>During the years ended December 31, 2016 and 2015, we acquired a number of businesses in which business combinations were accounted for as purchases of businesses under the acquisition method. The fair value of purchase consideration has been allocated to tangible and identifiable intangible assets acquired and liabilities assumed, based on their respective fair values on the acquisition date, with the remaining amount recorded to goodwill. Acquired goodwill represents the premium we paid over the fair value of the net tangible and intangible assets acquired. We paid a premium in each of these transactions for a number of reasons, including expected operational synergies, the assembled workforces, and the future development initiatives of the assembled workforces. The results of each of these acquired businesses have been included in the consolidated financial statements beginning on the respective acquisition dates. Pro-forma results of operations for these acquisitions have not been presented as the financial impact to our consolidated financial statements, both individually and in aggregate, would not be materially different from historical results. For both the years ended December 31, 2016 and 2015, acquisition-related costs were expensed as incurred and were $1 million, respectively, which are included in general and administrative expenses on our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 of Businesses</w:t>
      </w:r>
    </w:p>
    <w:p>
      <w:pPr>
        <w:spacing w:after="0" w:line="113" w:lineRule="exact"/>
        <w:rPr>
          <w:sz w:val="20"/>
          <w:szCs w:val="20"/>
          <w:color w:val="auto"/>
        </w:rPr>
      </w:pPr>
    </w:p>
    <w:p>
      <w:pPr>
        <w:ind w:right="160" w:firstLine="598"/>
        <w:spacing w:after="0" w:line="268" w:lineRule="auto"/>
        <w:rPr>
          <w:sz w:val="20"/>
          <w:szCs w:val="20"/>
          <w:color w:val="auto"/>
        </w:rPr>
      </w:pPr>
      <w:r>
        <w:rPr>
          <w:rFonts w:ascii="Arial" w:cs="Arial" w:eastAsia="Arial" w:hAnsi="Arial"/>
          <w:sz w:val="17"/>
          <w:szCs w:val="17"/>
          <w:color w:val="auto"/>
        </w:rPr>
        <w:t>During the year ended December 31, 2016, we completed five acquisitions with a total purchase price of $34 million. The Company paid net cash consideration of $28 million, which is net of $4 million of cash acquired, and includes $2 million in future holdback payments, which we currently expect to settle with Company common stock over the next three years. The cash consideration was paid primarily from our U.S. cash. We acquired 100% of the outstanding capital stock of the following companies: Tous Au Restaurant, a leading restaurant event week brand in France, purchased in January 2016; HouseTrip, a European-based vacation rental website, purchased in April 2016; Citymaps, a social mapping platform, purchased in August 2016; Sneat, a provider of a mobile reservation platform for restaurants in France, purchased in October 2016; and Couverts, a provider of an online and mobile reservations platform for restaurants in the Netherlands, purchased in October 2016.</w:t>
      </w:r>
    </w:p>
    <w:p>
      <w:pPr>
        <w:spacing w:after="0" w:line="181" w:lineRule="exact"/>
        <w:rPr>
          <w:sz w:val="20"/>
          <w:szCs w:val="20"/>
          <w:color w:val="auto"/>
        </w:rPr>
      </w:pPr>
    </w:p>
    <w:p>
      <w:pPr>
        <w:ind w:right="380" w:firstLine="598"/>
        <w:spacing w:after="0" w:line="270" w:lineRule="auto"/>
        <w:rPr>
          <w:sz w:val="20"/>
          <w:szCs w:val="20"/>
          <w:color w:val="auto"/>
        </w:rPr>
      </w:pPr>
      <w:r>
        <w:rPr>
          <w:rFonts w:ascii="Arial" w:cs="Arial" w:eastAsia="Arial" w:hAnsi="Arial"/>
          <w:sz w:val="18"/>
          <w:szCs w:val="18"/>
          <w:color w:val="auto"/>
        </w:rPr>
        <w:t>The aggregate purchase price consideration of $34 million was allocated to the fair value of assets acquired and liabilities assumed. The following summarizes the final allocation, in millions: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Total</w:t>
            </w:r>
          </w:p>
        </w:tc>
      </w:tr>
      <w:tr>
        <w:trPr>
          <w:trHeight w:val="220"/>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Intangible assets (2)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tangible assets (liabilities) (3)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0"/>
        </w:trPr>
        <w:tc>
          <w:tcPr>
            <w:tcW w:w="20" w:type="dxa"/>
            <w:vAlign w:val="bottom"/>
          </w:tcPr>
          <w:p>
            <w:pPr>
              <w:spacing w:after="0"/>
              <w:rPr>
                <w:sz w:val="19"/>
                <w:szCs w:val="19"/>
                <w:color w:val="auto"/>
              </w:rPr>
            </w:pPr>
          </w:p>
        </w:tc>
        <w:tc>
          <w:tcPr>
            <w:tcW w:w="6600" w:type="dxa"/>
            <w:vAlign w:val="bottom"/>
          </w:tcPr>
          <w:p>
            <w:pPr>
              <w:ind w:left="240"/>
              <w:spacing w:after="0"/>
              <w:rPr>
                <w:sz w:val="20"/>
                <w:szCs w:val="20"/>
                <w:color w:val="auto"/>
              </w:rPr>
            </w:pPr>
            <w:r>
              <w:rPr>
                <w:rFonts w:ascii="Arial" w:cs="Arial" w:eastAsia="Arial" w:hAnsi="Arial"/>
                <w:sz w:val="18"/>
                <w:szCs w:val="18"/>
                <w:color w:val="auto"/>
              </w:rPr>
              <w:t>Total purchase price consideration (4)</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580" w:hanging="573"/>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Goodwill is not deductible for tax purposes.</w:t>
      </w:r>
    </w:p>
    <w:p>
      <w:pPr>
        <w:spacing w:after="0" w:line="19" w:lineRule="exact"/>
        <w:rPr>
          <w:rFonts w:ascii="Arial" w:cs="Arial" w:eastAsia="Arial" w:hAnsi="Arial"/>
          <w:sz w:val="18"/>
          <w:szCs w:val="18"/>
          <w:color w:val="auto"/>
        </w:rPr>
      </w:pPr>
    </w:p>
    <w:p>
      <w:pPr>
        <w:ind w:left="580" w:right="200" w:hanging="573"/>
        <w:spacing w:after="0" w:line="262"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Identifiable definite-lived intangible assets acquired during 2016 were comprised of trade names of $4 million with a weighted average life of 10 years, customer lists and supplier relationships of $4 million with a weighted average life of 6 years, subscriber relationships of $5 million with a weighted average life of approximately 7 years, and technology and other of $12 million with a weighted average life of approximately 5 years. The overall weighted-average life of the identifiable definite-lived intangible assets acquired in the purchase of these businesses during 2016 was 6 years, and will be amortized on a straight-line basis over their estimated useful lives from acquisition date.</w:t>
      </w:r>
    </w:p>
    <w:p>
      <w:pPr>
        <w:spacing w:after="0" w:line="1" w:lineRule="exact"/>
        <w:rPr>
          <w:rFonts w:ascii="Arial" w:cs="Arial" w:eastAsia="Arial" w:hAnsi="Arial"/>
          <w:sz w:val="17"/>
          <w:szCs w:val="17"/>
          <w:color w:val="auto"/>
        </w:rPr>
      </w:pPr>
    </w:p>
    <w:p>
      <w:pPr>
        <w:ind w:left="580" w:right="360" w:hanging="573"/>
        <w:spacing w:after="0" w:line="262"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Primarily includes cash acquired of $4 million, accounts receivable of $2 million, and liabilities assumed, including accrued expenses and deferred merchant payables of $3 million and $10 million, respectively, which reflect their respective fair values at acquisition.</w:t>
      </w:r>
    </w:p>
    <w:p>
      <w:pPr>
        <w:ind w:left="580" w:hanging="573"/>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Subject to adjustment based on indemnification obligations for general representations and warranties of certain acquired company stockholders.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2016 Other Investments</w:t>
      </w:r>
    </w:p>
    <w:p>
      <w:pPr>
        <w:spacing w:after="0" w:line="220"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During the year ended December 31, 2016, we also invested a total of $14 million in the equity securities of privately-held companies. The cash consideration was paid primarily from our non-U.S. subsidiaries. These investments were recorded to other long-term assets on our consolidated balance sheet on the acquisition date as cost method investments.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 of Businesses</w:t>
      </w:r>
    </w:p>
    <w:p>
      <w:pPr>
        <w:spacing w:after="0" w:line="113"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During the year ended December 31, 2015, we completed three acquisitions for a total purchase price consideration of $28 million and paid in cash. The cash consideration was paid primarily from our non-U.S. subsidiaries. We acquired 100% of the outstanding capital stock of the following companies: ZeTrip, a personal journal app that helps users log activities, including places they have visited and photos they have taken, purchased in January 2015; BestTables, a provider of an online and mobile reservations platform for restaurants in Portugal and Brazil, purchased in March 2015; and Dimmi, a provider of an online and mobile reservations platform for restaurants in Australia, purchased in May 2015.</w:t>
      </w:r>
    </w:p>
    <w:p>
      <w:pPr>
        <w:spacing w:after="0" w:line="178" w:lineRule="exact"/>
        <w:rPr>
          <w:sz w:val="20"/>
          <w:szCs w:val="20"/>
          <w:color w:val="auto"/>
        </w:rPr>
      </w:pPr>
    </w:p>
    <w:p>
      <w:pPr>
        <w:ind w:right="180" w:firstLine="598"/>
        <w:spacing w:after="0" w:line="270" w:lineRule="auto"/>
        <w:rPr>
          <w:sz w:val="20"/>
          <w:szCs w:val="20"/>
          <w:color w:val="auto"/>
        </w:rPr>
      </w:pPr>
      <w:r>
        <w:rPr>
          <w:rFonts w:ascii="Arial" w:cs="Arial" w:eastAsia="Arial" w:hAnsi="Arial"/>
          <w:sz w:val="18"/>
          <w:szCs w:val="18"/>
          <w:color w:val="auto"/>
        </w:rPr>
        <w:t>The aggregate purchase price consideration of $28 million was allocated to the fair value of assets acquired and liabilities. The following summarizes the final allocation, in millions:</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Total</w:t>
            </w:r>
          </w:p>
        </w:tc>
      </w:tr>
      <w:tr>
        <w:trPr>
          <w:trHeight w:val="220"/>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560" w:type="dxa"/>
            <w:vAlign w:val="bottom"/>
            <w:tcBorders>
              <w:top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Intangible assets (2)</w:t>
            </w:r>
          </w:p>
        </w:tc>
        <w:tc>
          <w:tcPr>
            <w:tcW w:w="5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tangible assets (liabilities)</w:t>
            </w:r>
          </w:p>
        </w:tc>
        <w:tc>
          <w:tcPr>
            <w:tcW w:w="5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56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0"/>
        </w:trPr>
        <w:tc>
          <w:tcPr>
            <w:tcW w:w="20" w:type="dxa"/>
            <w:vAlign w:val="bottom"/>
          </w:tcPr>
          <w:p>
            <w:pPr>
              <w:spacing w:after="0"/>
              <w:rPr>
                <w:sz w:val="19"/>
                <w:szCs w:val="19"/>
                <w:color w:val="auto"/>
              </w:rPr>
            </w:pPr>
          </w:p>
        </w:tc>
        <w:tc>
          <w:tcPr>
            <w:tcW w:w="6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purchase price consideration</w:t>
            </w:r>
          </w:p>
        </w:tc>
        <w:tc>
          <w:tcPr>
            <w:tcW w:w="560" w:type="dxa"/>
            <w:vAlign w:val="bottom"/>
            <w:tcBorders>
              <w:top w:val="single" w:sz="8" w:color="auto"/>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620" w:hanging="613"/>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Goodwill is not deductible for tax purposes.</w:t>
      </w:r>
    </w:p>
    <w:p>
      <w:pPr>
        <w:spacing w:after="0" w:line="19" w:lineRule="exact"/>
        <w:rPr>
          <w:rFonts w:ascii="Arial" w:cs="Arial" w:eastAsia="Arial" w:hAnsi="Arial"/>
          <w:sz w:val="18"/>
          <w:szCs w:val="18"/>
          <w:color w:val="auto"/>
        </w:rPr>
      </w:pPr>
    </w:p>
    <w:p>
      <w:pPr>
        <w:ind w:left="620" w:right="200" w:hanging="613"/>
        <w:spacing w:after="0" w:line="249"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Identifiable definite-lived intangible assets acquired during 2015 were comprised of trade names of $2 million with a weighted average life of approximately 10 years, customer lists and supplier relationships of $7 million with a weighted average life of approximately 6 years and technology and other of $3 million with a weighted average life of approximately 2 years. The overall weighted-average life of the identifiable definite-lived intangible assets acquired in the purchase of these businesses during 2015 was 6 years, and will be amortized on a straight-line basis over their estimated useful lives from acquisition date.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Sale of Business</w:t>
      </w:r>
    </w:p>
    <w:p>
      <w:pPr>
        <w:spacing w:after="0" w:line="11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August 2015, we sold 100% interest in one of our Chinese subsidiaries to an unrelated third party for $28 million in cash consideration. Accordingly, we deconsolidated $11 million of assets (which included $3 million of cash sold) and $4 million of liabilities from our consolidated balance sheet and recognized a $20 million gain on sale of subsidiary on our consolidated statement of operations in interest income and other, net during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87" w:name="page88"/>
    <w:bookmarkEnd w:id="87"/>
    <w:p>
      <w:pPr>
        <w:ind w:right="5380"/>
        <w:spacing w:after="0" w:line="373" w:lineRule="auto"/>
        <w:rPr>
          <w:sz w:val="20"/>
          <w:szCs w:val="20"/>
          <w:color w:val="auto"/>
        </w:rPr>
      </w:pPr>
      <w:r>
        <w:rPr>
          <w:rFonts w:ascii="Arial" w:cs="Arial" w:eastAsia="Arial" w:hAnsi="Arial"/>
          <w:sz w:val="18"/>
          <w:szCs w:val="18"/>
          <w:b w:val="1"/>
          <w:bCs w:val="1"/>
          <w:color w:val="auto"/>
        </w:rPr>
        <w:t xml:space="preserve">NOTE 4: STOCK BASED AWARDS AND OTHER EQUITY INSTRUMENTS </w:t>
      </w:r>
      <w:r>
        <w:rPr>
          <w:rFonts w:ascii="Arial" w:cs="Arial" w:eastAsia="Arial" w:hAnsi="Arial"/>
          <w:sz w:val="18"/>
          <w:szCs w:val="18"/>
          <w:b w:val="1"/>
          <w:bCs w:val="1"/>
          <w:i w:val="1"/>
          <w:iCs w:val="1"/>
          <w:color w:val="auto"/>
        </w:rPr>
        <w:t>Stock-based Compensation Expense</w:t>
      </w:r>
    </w:p>
    <w:p>
      <w:pPr>
        <w:spacing w:after="0" w:line="1" w:lineRule="exact"/>
        <w:rPr>
          <w:sz w:val="20"/>
          <w:szCs w:val="20"/>
          <w:color w:val="auto"/>
        </w:rPr>
      </w:pPr>
    </w:p>
    <w:p>
      <w:pPr>
        <w:ind w:firstLine="598"/>
        <w:spacing w:after="0" w:line="270"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consolidated statements of operations during the periods presented:</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Year ended December 31,</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3"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75"/>
              <w:spacing w:after="0" w:line="153"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680" w:type="dxa"/>
            <w:vAlign w:val="bottom"/>
            <w:gridSpan w:val="2"/>
          </w:tcPr>
          <w:p>
            <w:pPr>
              <w:spacing w:after="0"/>
              <w:rPr>
                <w:sz w:val="20"/>
                <w:szCs w:val="20"/>
                <w:color w:val="auto"/>
              </w:rPr>
            </w:pPr>
            <w:r>
              <w:rPr>
                <w:rFonts w:ascii="Arial" w:cs="Arial" w:eastAsia="Arial" w:hAnsi="Arial"/>
                <w:sz w:val="18"/>
                <w:szCs w:val="18"/>
                <w:color w:val="auto"/>
              </w:rPr>
              <w:t>Technology and content</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97"/>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60" w:type="dxa"/>
            <w:vAlign w:val="bottom"/>
          </w:tcPr>
          <w:p>
            <w:pPr>
              <w:ind w:left="240"/>
              <w:spacing w:after="0" w:line="206" w:lineRule="exact"/>
              <w:rPr>
                <w:sz w:val="20"/>
                <w:szCs w:val="20"/>
                <w:color w:val="auto"/>
              </w:rPr>
            </w:pPr>
            <w:r>
              <w:rPr>
                <w:rFonts w:ascii="Arial" w:cs="Arial" w:eastAsia="Arial" w:hAnsi="Arial"/>
                <w:sz w:val="18"/>
                <w:szCs w:val="18"/>
                <w:color w:val="auto"/>
              </w:rPr>
              <w:t>Total stock-based compensation expense, net of</w:t>
            </w:r>
          </w:p>
        </w:tc>
        <w:tc>
          <w:tcPr>
            <w:tcW w:w="10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60" w:type="dxa"/>
            <w:vAlign w:val="bottom"/>
          </w:tcPr>
          <w:p>
            <w:pPr>
              <w:ind w:left="360"/>
              <w:spacing w:after="0"/>
              <w:rPr>
                <w:sz w:val="20"/>
                <w:szCs w:val="20"/>
                <w:color w:val="auto"/>
              </w:rPr>
            </w:pPr>
            <w:r>
              <w:rPr>
                <w:rFonts w:ascii="Arial" w:cs="Arial" w:eastAsia="Arial" w:hAnsi="Arial"/>
                <w:sz w:val="18"/>
                <w:szCs w:val="18"/>
                <w:color w:val="auto"/>
              </w:rPr>
              <w:t>tax effect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ind w:right="520" w:firstLine="598"/>
        <w:spacing w:after="0" w:line="270" w:lineRule="auto"/>
        <w:rPr>
          <w:sz w:val="20"/>
          <w:szCs w:val="20"/>
          <w:color w:val="auto"/>
        </w:rPr>
      </w:pPr>
      <w:r>
        <w:rPr>
          <w:rFonts w:ascii="Arial" w:cs="Arial" w:eastAsia="Arial" w:hAnsi="Arial"/>
          <w:sz w:val="18"/>
          <w:szCs w:val="18"/>
          <w:color w:val="auto"/>
        </w:rPr>
        <w:t>During the years ended December 31, 2017, 2016 and 2015, we capitalized $13 million, $12 million and $8 million, respectively, of stock-based compensation expense as internal-use software and website development costs.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and Incentive Plans</w:t>
      </w:r>
    </w:p>
    <w:p>
      <w:pPr>
        <w:spacing w:after="0" w:line="113" w:lineRule="exact"/>
        <w:rPr>
          <w:sz w:val="20"/>
          <w:szCs w:val="20"/>
          <w:color w:val="auto"/>
        </w:rPr>
      </w:pPr>
    </w:p>
    <w:p>
      <w:pPr>
        <w:ind w:right="40" w:firstLine="598"/>
        <w:spacing w:after="0" w:line="286" w:lineRule="auto"/>
        <w:rPr>
          <w:sz w:val="20"/>
          <w:szCs w:val="20"/>
          <w:color w:val="auto"/>
        </w:rPr>
      </w:pPr>
      <w:r>
        <w:rPr>
          <w:rFonts w:ascii="Arial" w:cs="Arial" w:eastAsia="Arial" w:hAnsi="Arial"/>
          <w:sz w:val="16"/>
          <w:szCs w:val="16"/>
          <w:color w:val="auto"/>
        </w:rPr>
        <w:t xml:space="preserve">On December 20, 2011, our 2011 Stock and Annual Incentive Plan became effective and we filed Post-Effective Amendment No. 1 on Form S-8 to Registration Statement on Form S-4 (File No. 333-178637) (the “Prior Registration Statement”) with the SEC, registering a total of 17,500,000 shares of our common stock, of which 17,400,000 shares were issuable in connection with grants of equity-based awards under our 2011 Incentive Plan (7,400,000 of which shares were originally registered on the Form S-4 and 10,000,000 of which shares were first registered on the Prior Registration Statement) and 100,000 shares were issuable under our Deferred Compensation Plan for Non-Employee Directors (refer to “Note 14— </w:t>
      </w:r>
      <w:r>
        <w:rPr>
          <w:rFonts w:ascii="Arial" w:cs="Arial" w:eastAsia="Arial" w:hAnsi="Arial"/>
          <w:sz w:val="16"/>
          <w:szCs w:val="16"/>
          <w:i w:val="1"/>
          <w:iCs w:val="1"/>
          <w:color w:val="auto"/>
        </w:rPr>
        <w:t>Employee Benefit Plans”</w:t>
      </w:r>
      <w:r>
        <w:rPr>
          <w:rFonts w:ascii="Arial" w:cs="Arial" w:eastAsia="Arial" w:hAnsi="Arial"/>
          <w:sz w:val="16"/>
          <w:szCs w:val="16"/>
          <w:color w:val="auto"/>
        </w:rPr>
        <w:t xml:space="preserve"> below for information on our Deferred Compensation Plan for Non-Employee Directors). At our annual meeting of stockholders held on June 28, 2013, our stockholders approved an amendment to our 2011 Stock and Annual Incentive Plan to, among other things, increase the aggregate number of shares of common stock authorized for issuance thereunder by 15,000,000 shares. We refer to our 2011 Stock and Annual Incentive Plan, as amended, the “2011 Incentive Plan”.</w:t>
      </w:r>
    </w:p>
    <w:p>
      <w:pPr>
        <w:spacing w:after="0" w:line="168" w:lineRule="exact"/>
        <w:rPr>
          <w:sz w:val="20"/>
          <w:szCs w:val="20"/>
          <w:color w:val="auto"/>
        </w:rPr>
      </w:pPr>
    </w:p>
    <w:p>
      <w:pPr>
        <w:ind w:right="280" w:firstLine="643"/>
        <w:spacing w:after="0" w:line="259" w:lineRule="auto"/>
        <w:rPr>
          <w:sz w:val="20"/>
          <w:szCs w:val="20"/>
          <w:color w:val="auto"/>
        </w:rPr>
      </w:pPr>
      <w:r>
        <w:rPr>
          <w:rFonts w:ascii="Arial" w:cs="Arial" w:eastAsia="Arial" w:hAnsi="Arial"/>
          <w:sz w:val="18"/>
          <w:szCs w:val="18"/>
          <w:color w:val="auto"/>
        </w:rPr>
        <w:t>Pursuant to the 2011 Incentive Plan, we may, among other things, grant RSUs, restricted stock, stock options and other stock-based awards to our directors, officers, employees and consultants. The summary of the material terms of the 2011 Incentive Plan is qualified in its entirety by the full text of the 2011 Incentive Plan previously filed.</w:t>
      </w:r>
    </w:p>
    <w:p>
      <w:pPr>
        <w:spacing w:after="0" w:line="184"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As of December 31, 2017, the total number of shares reserved for future stock-based awards under the 2011 Incentive Plan is approximately 9.4 million shares. All shares of common stock issued in respect of the exercise of options or other equity awards since Spin-Off have been issued from authorized, but unissued common stock.</w:t>
      </w:r>
    </w:p>
    <w:p>
      <w:pPr>
        <w:spacing w:after="0" w:line="291" w:lineRule="exact"/>
        <w:rPr>
          <w:sz w:val="20"/>
          <w:szCs w:val="20"/>
          <w:color w:val="auto"/>
        </w:rPr>
      </w:pPr>
    </w:p>
    <w:p>
      <w:pPr>
        <w:jc w:val="center"/>
        <w:ind w:right="8300"/>
        <w:spacing w:after="0"/>
        <w:rPr>
          <w:sz w:val="20"/>
          <w:szCs w:val="20"/>
          <w:color w:val="auto"/>
        </w:rPr>
      </w:pPr>
      <w:r>
        <w:rPr>
          <w:rFonts w:ascii="Arial" w:cs="Arial" w:eastAsia="Arial" w:hAnsi="Arial"/>
          <w:sz w:val="14"/>
          <w:szCs w:val="14"/>
          <w:b w:val="1"/>
          <w:bCs w:val="1"/>
          <w:i w:val="1"/>
          <w:iCs w:val="1"/>
          <w:color w:val="auto"/>
        </w:rPr>
        <w:t>Stock Based Award Activity and Valuation</w:t>
      </w:r>
    </w:p>
    <w:p>
      <w:pPr>
        <w:spacing w:after="0" w:line="159" w:lineRule="exact"/>
        <w:rPr>
          <w:sz w:val="20"/>
          <w:szCs w:val="20"/>
          <w:color w:val="auto"/>
        </w:rPr>
      </w:pPr>
    </w:p>
    <w:p>
      <w:pPr>
        <w:jc w:val="center"/>
        <w:ind w:right="8280"/>
        <w:spacing w:after="0"/>
        <w:rPr>
          <w:sz w:val="20"/>
          <w:szCs w:val="20"/>
          <w:color w:val="auto"/>
        </w:rPr>
      </w:pPr>
      <w:r>
        <w:rPr>
          <w:rFonts w:ascii="Arial" w:cs="Arial" w:eastAsia="Arial" w:hAnsi="Arial"/>
          <w:sz w:val="18"/>
          <w:szCs w:val="18"/>
          <w:i w:val="1"/>
          <w:iCs w:val="1"/>
          <w:color w:val="auto"/>
        </w:rPr>
        <w:t>2017 Stock Option Activity</w:t>
      </w:r>
    </w:p>
    <w:p>
      <w:pPr>
        <w:spacing w:after="0" w:line="113" w:lineRule="exact"/>
        <w:rPr>
          <w:sz w:val="20"/>
          <w:szCs w:val="20"/>
          <w:color w:val="auto"/>
        </w:rPr>
      </w:pPr>
    </w:p>
    <w:p>
      <w:pPr>
        <w:ind w:right="20" w:firstLine="598"/>
        <w:spacing w:after="0" w:line="300" w:lineRule="auto"/>
        <w:rPr>
          <w:sz w:val="20"/>
          <w:szCs w:val="20"/>
          <w:color w:val="auto"/>
        </w:rPr>
      </w:pPr>
      <w:r>
        <w:rPr>
          <w:rFonts w:ascii="Arial" w:cs="Arial" w:eastAsia="Arial" w:hAnsi="Arial"/>
          <w:sz w:val="17"/>
          <w:szCs w:val="17"/>
          <w:color w:val="auto"/>
        </w:rPr>
        <w:t>During the year ended December 31, 2017, we have issued 2,333,361 of service-based non-qualified stock options from the 2011 Incentive Plan. These stock options generally have a term of ten years from the date of grant and typically vest equally over a four-year requisite service period.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88" w:name="page89"/>
    <w:bookmarkEnd w:id="88"/>
    <w:p>
      <w:pPr>
        <w:ind w:left="60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2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Price Per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0"/>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4"/>
        </w:trPr>
        <w:tc>
          <w:tcPr>
            <w:tcW w:w="536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years)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61"/>
              <w:spacing w:after="0" w:line="153" w:lineRule="exact"/>
              <w:rPr>
                <w:sz w:val="20"/>
                <w:szCs w:val="20"/>
                <w:color w:val="auto"/>
              </w:rPr>
            </w:pPr>
            <w:r>
              <w:rPr>
                <w:rFonts w:ascii="Arial" w:cs="Arial" w:eastAsia="Arial" w:hAnsi="Arial"/>
                <w:sz w:val="14"/>
                <w:szCs w:val="14"/>
                <w:b w:val="1"/>
                <w:bCs w:val="1"/>
                <w:color w:val="auto"/>
                <w:w w:val="91"/>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2016</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8"/>
                <w:szCs w:val="18"/>
                <w:color w:val="auto"/>
              </w:rPr>
              <w:t>Granted (1)</w:t>
            </w:r>
          </w:p>
        </w:tc>
        <w:tc>
          <w:tcPr>
            <w:tcW w:w="1020" w:type="dxa"/>
            <w:vAlign w:val="bottom"/>
          </w:tcPr>
          <w:p>
            <w:pPr>
              <w:jc w:val="right"/>
              <w:spacing w:after="0"/>
              <w:rPr>
                <w:sz w:val="20"/>
                <w:szCs w:val="20"/>
                <w:color w:val="auto"/>
              </w:rPr>
            </w:pPr>
            <w:r>
              <w:rPr>
                <w:rFonts w:ascii="Arial" w:cs="Arial" w:eastAsia="Arial" w:hAnsi="Arial"/>
                <w:sz w:val="18"/>
                <w:szCs w:val="18"/>
                <w:color w:val="auto"/>
              </w:rPr>
              <w:t>2,333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 (2)</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60" w:type="dxa"/>
            <w:vAlign w:val="bottom"/>
          </w:tcPr>
          <w:p>
            <w:pPr>
              <w:spacing w:after="0"/>
              <w:rPr>
                <w:sz w:val="20"/>
                <w:szCs w:val="20"/>
                <w:color w:val="auto"/>
              </w:rPr>
            </w:pPr>
            <w:r>
              <w:rPr>
                <w:rFonts w:ascii="Arial" w:cs="Arial" w:eastAsia="Arial" w:hAnsi="Arial"/>
                <w:sz w:val="18"/>
                <w:szCs w:val="18"/>
                <w:color w:val="auto"/>
              </w:rPr>
              <w:t>Cancelled or expired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65.13</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as of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Exercisable as of December 31, 2017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52.69</w:t>
            </w:r>
          </w:p>
        </w:tc>
        <w:tc>
          <w:tcPr>
            <w:tcW w:w="2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3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940" w:type="dxa"/>
            <w:vAlign w:val="bottom"/>
            <w:tcBorders>
              <w:bottom w:val="single" w:sz="8" w:color="CFF0FC"/>
            </w:tcBorders>
            <w:vMerge w:val="continue"/>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360" w:type="dxa"/>
            <w:vAlign w:val="bottom"/>
            <w:tcBorders>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Vested and expected to vest after December 31, 2017 (3)</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52.78</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6.5</w:t>
            </w:r>
          </w:p>
        </w:tc>
        <w:tc>
          <w:tcPr>
            <w:tcW w:w="340" w:type="dxa"/>
            <w:vAlign w:val="bottom"/>
            <w:tcBorders>
              <w:bottom w:val="single" w:sz="8" w:color="CFF0FC"/>
            </w:tcBorders>
            <w:gridSpan w:val="2"/>
            <w:shd w:val="clear" w:color="auto" w:fill="CFF0FC"/>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860" w:right="180" w:hanging="426"/>
        <w:spacing w:after="0" w:line="282"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Inclusive of 780,000 stock options awarded to our Chief Executive Officer and President, or CEO, during November 2017. The estimated grant-date fair value per option, using a Black-Scholes option pricing model was $17.33. These stock options shall vest in equal installments on each of August 1, 2021 and August 1, 2022, subject to the CEO’s continuous employment with, or performance of services for, the Company. The estimated grant-date fair value of this award will be amortized on a straight-line basis over the requisite service period through August 1, 2022.</w:t>
      </w:r>
    </w:p>
    <w:p>
      <w:pPr>
        <w:spacing w:after="0" w:line="2" w:lineRule="exact"/>
        <w:rPr>
          <w:rFonts w:ascii="Arial" w:cs="Arial" w:eastAsia="Arial" w:hAnsi="Arial"/>
          <w:sz w:val="16"/>
          <w:szCs w:val="16"/>
          <w:color w:val="auto"/>
        </w:rPr>
      </w:pPr>
    </w:p>
    <w:p>
      <w:pPr>
        <w:ind w:left="860" w:hanging="426"/>
        <w:spacing w:after="0" w:line="24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Inclusive of 294,410 options,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consolidated statements of cash flows.</w:t>
      </w:r>
    </w:p>
    <w:p>
      <w:pPr>
        <w:spacing w:after="0" w:line="2" w:lineRule="exact"/>
        <w:rPr>
          <w:rFonts w:ascii="Arial" w:cs="Arial" w:eastAsia="Arial" w:hAnsi="Arial"/>
          <w:sz w:val="18"/>
          <w:szCs w:val="18"/>
          <w:color w:val="auto"/>
        </w:rPr>
      </w:pPr>
    </w:p>
    <w:p>
      <w:pPr>
        <w:ind w:left="860" w:hanging="426"/>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accounts for forfeitures as they occur, rather than estimate expected forfeitures as allowed</w:t>
      </w:r>
    </w:p>
    <w:p>
      <w:pPr>
        <w:spacing w:after="0" w:line="7" w:lineRule="exact"/>
        <w:rPr>
          <w:sz w:val="20"/>
          <w:szCs w:val="20"/>
          <w:color w:val="auto"/>
        </w:rPr>
      </w:pPr>
    </w:p>
    <w:p>
      <w:pPr>
        <w:ind w:left="880" w:right="560"/>
        <w:spacing w:after="0" w:line="255" w:lineRule="auto"/>
        <w:rPr>
          <w:sz w:val="20"/>
          <w:szCs w:val="20"/>
          <w:color w:val="auto"/>
        </w:rPr>
      </w:pPr>
      <w:r>
        <w:rPr>
          <w:rFonts w:ascii="Arial" w:cs="Arial" w:eastAsia="Arial" w:hAnsi="Arial"/>
          <w:sz w:val="18"/>
          <w:szCs w:val="18"/>
          <w:color w:val="auto"/>
        </w:rPr>
        <w:t>under GAAP and therefore do not include a forfeiture rate in our vested and expected to vest calculation unless necessary for a performance condition award.</w:t>
      </w:r>
    </w:p>
    <w:p>
      <w:pPr>
        <w:spacing w:after="0" w:line="188" w:lineRule="exact"/>
        <w:rPr>
          <w:sz w:val="20"/>
          <w:szCs w:val="20"/>
          <w:color w:val="auto"/>
        </w:rPr>
      </w:pPr>
    </w:p>
    <w:p>
      <w:pPr>
        <w:jc w:val="both"/>
        <w:ind w:right="140" w:firstLine="598"/>
        <w:spacing w:after="0" w:line="281"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NASDAQ as of December 31, 2017 was $34.46. The total intrinsic value of stock options exercised for the years ended December 31, 2017, 2016 and 2015 were $8 million, $24 million, and $149 million, respectively.</w:t>
      </w:r>
    </w:p>
    <w:p>
      <w:pPr>
        <w:spacing w:after="0" w:line="168" w:lineRule="exact"/>
        <w:rPr>
          <w:sz w:val="20"/>
          <w:szCs w:val="20"/>
          <w:color w:val="auto"/>
        </w:rPr>
      </w:pPr>
    </w:p>
    <w:p>
      <w:pPr>
        <w:ind w:right="420" w:firstLine="598"/>
        <w:spacing w:after="0" w:line="270"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5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51"/>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4"/>
        </w:trPr>
        <w:tc>
          <w:tcPr>
            <w:tcW w:w="45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5"/>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257"/>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5"/>
              <w:spacing w:after="0" w:line="153"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4"/>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r>
      <w:tr>
        <w:trPr>
          <w:trHeight w:val="227"/>
        </w:trPr>
        <w:tc>
          <w:tcPr>
            <w:tcW w:w="45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00" w:type="dxa"/>
            <w:vAlign w:val="bottom"/>
          </w:tcPr>
          <w:p>
            <w:pPr>
              <w:jc w:val="right"/>
              <w:spacing w:after="0"/>
              <w:rPr>
                <w:sz w:val="20"/>
                <w:szCs w:val="20"/>
                <w:color w:val="auto"/>
              </w:rPr>
            </w:pPr>
            <w:r>
              <w:rPr>
                <w:rFonts w:ascii="Arial" w:cs="Arial" w:eastAsia="Arial" w:hAnsi="Arial"/>
                <w:sz w:val="18"/>
                <w:szCs w:val="18"/>
                <w:color w:val="auto"/>
              </w:rPr>
              <w:t>6.13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19"/>
                <w:szCs w:val="19"/>
                <w:color w:val="auto"/>
              </w:rPr>
            </w:pPr>
          </w:p>
        </w:tc>
      </w:tr>
      <w:tr>
        <w:trPr>
          <w:trHeight w:val="22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42.14%</w:t>
            </w:r>
          </w:p>
        </w:tc>
        <w:tc>
          <w:tcPr>
            <w:tcW w:w="120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41.81%</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41.79%</w:t>
            </w:r>
          </w:p>
        </w:tc>
      </w:tr>
      <w:tr>
        <w:trPr>
          <w:trHeight w:val="227"/>
        </w:trPr>
        <w:tc>
          <w:tcPr>
            <w:tcW w:w="45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gridSpan w:val="2"/>
          </w:tcPr>
          <w:p>
            <w:pPr>
              <w:jc w:val="right"/>
              <w:ind w:right="211"/>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ind w:right="211"/>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weighted-average grant date fair value of options granted was $16.50, $22.95, and $33.02 for the years ended December 31, 2017, 2016 and 2015, respectively. The total fair value of stock options vested for the years ended December 31, 2017, 2016 and 2015 were $40 million, $28 million, and $36 million, respectively. Cash received from stock option exercises for the years ended December 31, 2017, 2016 and 2015 were $3 million, $7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89" w:name="page90"/>
    <w:bookmarkEnd w:id="89"/>
    <w:p>
      <w:pPr>
        <w:ind w:right="140" w:firstLine="598"/>
        <w:spacing w:after="0" w:line="253" w:lineRule="auto"/>
        <w:rPr>
          <w:sz w:val="20"/>
          <w:szCs w:val="20"/>
          <w:color w:val="auto"/>
        </w:rPr>
      </w:pPr>
      <w:r>
        <w:rPr>
          <w:rFonts w:ascii="Arial" w:cs="Arial" w:eastAsia="Arial" w:hAnsi="Arial"/>
          <w:sz w:val="18"/>
          <w:szCs w:val="18"/>
          <w:color w:val="auto"/>
        </w:rPr>
        <w:t>On June 5, 2017, the Section 16 Committee of our Board of Directors approved an amendment to the nonqualified stock option award (the “Option”) granted on August 28, 2013 to Stephen Kaufer, the Company’s CEO. The amendment provides that the Option will expire on the tenth anniversary, instead of the seventh anniversary, of the grant date. Vesting conditions under the Option were not affected by this amendment. As a result of the modification, incremental fair value of $5 million will be recognized to stock-based compensation expense on a straight-line basis over the remaining vesting term, which is through August 2018.</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2017 RSU Activity</w:t>
      </w:r>
    </w:p>
    <w:p>
      <w:pPr>
        <w:spacing w:after="0" w:line="113" w:lineRule="exact"/>
        <w:rPr>
          <w:sz w:val="20"/>
          <w:szCs w:val="20"/>
          <w:color w:val="auto"/>
        </w:rPr>
      </w:pPr>
    </w:p>
    <w:p>
      <w:pPr>
        <w:ind w:right="240" w:firstLine="598"/>
        <w:spacing w:after="0" w:line="270" w:lineRule="auto"/>
        <w:rPr>
          <w:sz w:val="20"/>
          <w:szCs w:val="20"/>
          <w:color w:val="auto"/>
        </w:rPr>
      </w:pPr>
      <w:r>
        <w:rPr>
          <w:rFonts w:ascii="Arial" w:cs="Arial" w:eastAsia="Arial" w:hAnsi="Arial"/>
          <w:sz w:val="18"/>
          <w:szCs w:val="18"/>
          <w:color w:val="auto"/>
        </w:rPr>
        <w:t>During the year ended December 31, 2017, we issued 5,042,160 RSUs under the 2011 Incentive Plan, which typically vest over a four-year requisite service period.</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RSU activity, including service based awards and performance-based awards, is presented below:</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Grant-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3"/>
                <w:szCs w:val="13"/>
                <w:color w:val="auto"/>
              </w:rPr>
            </w:pPr>
          </w:p>
        </w:tc>
        <w:tc>
          <w:tcPr>
            <w:tcW w:w="122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Date Fair</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0"/>
        </w:trPr>
        <w:tc>
          <w:tcPr>
            <w:tcW w:w="678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120" w:type="dxa"/>
            <w:vAlign w:val="bottom"/>
          </w:tcPr>
          <w:p>
            <w:pPr>
              <w:spacing w:after="0"/>
              <w:rPr>
                <w:sz w:val="14"/>
                <w:szCs w:val="14"/>
                <w:color w:val="auto"/>
              </w:rPr>
            </w:pPr>
          </w:p>
        </w:tc>
        <w:tc>
          <w:tcPr>
            <w:tcW w:w="12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Value Per Share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4"/>
        </w:trPr>
        <w:tc>
          <w:tcPr>
            <w:tcW w:w="678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43"/>
              <w:spacing w:after="0" w:line="153"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2016</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Granted (1)(2)</w:t>
            </w:r>
          </w:p>
        </w:tc>
        <w:tc>
          <w:tcPr>
            <w:tcW w:w="1340" w:type="dxa"/>
            <w:vAlign w:val="bottom"/>
          </w:tcPr>
          <w:p>
            <w:pPr>
              <w:jc w:val="right"/>
              <w:spacing w:after="0"/>
              <w:rPr>
                <w:sz w:val="20"/>
                <w:szCs w:val="20"/>
                <w:color w:val="auto"/>
              </w:rPr>
            </w:pPr>
            <w:r>
              <w:rPr>
                <w:rFonts w:ascii="Arial" w:cs="Arial" w:eastAsia="Arial" w:hAnsi="Arial"/>
                <w:sz w:val="18"/>
                <w:szCs w:val="18"/>
                <w:color w:val="auto"/>
              </w:rPr>
              <w:t>5,042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(3)</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Cancelled</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2017</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48.14</w:t>
            </w:r>
          </w:p>
        </w:tc>
        <w:tc>
          <w:tcPr>
            <w:tcW w:w="4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color w:val="auto"/>
              </w:rPr>
              <w:t>Expected to vest after December 31, 2017 (4)</w:t>
            </w: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48.14</w:t>
            </w: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vMerge w:val="continue"/>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6,015</w:t>
            </w:r>
          </w:p>
        </w:tc>
        <w:tc>
          <w:tcPr>
            <w:tcW w:w="2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040" w:right="140" w:hanging="606"/>
        <w:spacing w:after="0" w:line="280"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the following RSU grants awarded to our CEO, during November 2017: 1) 426,000 service-based RSUs; and 2) 213,000 market-based RSUs. The service-based RSU award provides for vesting in two equal annual installments on each of August 1, 2021 and August 1, 2022, subject to the CEO’s continuous employment with, or performance of services for, the Company. The estimated grant-date fair value per RSU, based on the quoted price of our common stock on the date of grant, was $34.71. The estimated grant-date fair value of this award will be amortized on a straight-line basis over the requisite service period through August 1, 2022. The market-based RSU award provides for vesting based upon the Company’s total shareholder return, or TSR, performance over the period commencing January 1, 2018 through December 31, 2020 relative to the TSR performance of the Nasdaq Composite Total Return Index. A Monte-Carlo simulation model, which simulated the present value of the potential outcomes of future stock prices and TSR of the Company and the Nasdaq Composite Total Return Index over the performance period, was used to calculate the grant-date fair value of these awards, or $30.04 per RSU. The estimated grant-date fair value of this award will be amortized on a straight-line basis over the requisite service period through December 31, 2020. Based upon actual attainment relative to the target performance metric, the CEO has the ability to receive up to 125% of the target number of market-based RSUs originally granted, or to be issued none at all.</w:t>
      </w:r>
    </w:p>
    <w:p>
      <w:pPr>
        <w:ind w:left="1040" w:right="20" w:hanging="606"/>
        <w:spacing w:after="0" w:line="265"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Excludes a performance-based RSU grant for 213,000 shares awarded to our CEO during November 2017. This award provides for vesting based on the extent to which the Company achieves certain financial and/or the CEO achieves certain strategic performance metrics relative to the targets to be established by the Company’s Compensation Committee. One quarter of these RSUs may vest and settle annually based on actual performance relative to the targets established annually for each of the four fiscal years ending December 31, 2018; December 31, 2019; December 31, 2020 and December 31, 2021. The estimated grant-date fair value per RSU will be calculated upon the establishment of annual performance targets and each tranche will be amortized on a straight-line basis over its requisite service period. At any point in time during the vesting period, the award’s expense to date will at least equal the portion of the grant-date fair value that is expected to vest at that date. Based upon actual attainment relative to the target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0" w:name="page91"/>
    <w:bookmarkEnd w:id="90"/>
    <w:p>
      <w:pPr>
        <w:ind w:left="1040"/>
        <w:spacing w:after="0"/>
        <w:rPr>
          <w:sz w:val="20"/>
          <w:szCs w:val="20"/>
          <w:color w:val="auto"/>
        </w:rPr>
      </w:pPr>
      <w:r>
        <w:rPr>
          <w:rFonts w:ascii="Arial" w:cs="Arial" w:eastAsia="Arial" w:hAnsi="Arial"/>
          <w:sz w:val="17"/>
          <w:szCs w:val="17"/>
          <w:color w:val="auto"/>
        </w:rPr>
        <w:t>performance metrics, the CEO has the ability to receive up to 125% of the target number originally granted, or to be issued none at all.</w:t>
      </w:r>
    </w:p>
    <w:p>
      <w:pPr>
        <w:spacing w:after="0" w:line="31" w:lineRule="exact"/>
        <w:rPr>
          <w:sz w:val="20"/>
          <w:szCs w:val="20"/>
          <w:color w:val="auto"/>
        </w:rPr>
      </w:pPr>
    </w:p>
    <w:p>
      <w:pPr>
        <w:ind w:left="1040" w:right="40" w:hanging="606"/>
        <w:spacing w:after="0" w:line="262"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Inclusive of 301,932 RSUs withheld to satisfy required employee tax withholding requirements due to net share settlement.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consolidated statements of cash flows.</w:t>
      </w:r>
    </w:p>
    <w:p>
      <w:pPr>
        <w:ind w:left="1040" w:right="460" w:hanging="606"/>
        <w:spacing w:after="0" w:line="317"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accounts for forfeitures as they occur, rather than estimate expected forfeitures as allowed under GAAP and therefore do not include a forfeiture rate in our expected to vest calculation unless necessary for a performance condition award, respectively.</w:t>
      </w:r>
    </w:p>
    <w:p>
      <w:pPr>
        <w:spacing w:after="0" w:line="249" w:lineRule="exact"/>
        <w:rPr>
          <w:sz w:val="20"/>
          <w:szCs w:val="20"/>
          <w:color w:val="auto"/>
        </w:rPr>
      </w:pPr>
    </w:p>
    <w:p>
      <w:pPr>
        <w:ind w:right="60" w:firstLine="598"/>
        <w:spacing w:after="0" w:line="270"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during the years ended December 31, 2017, 2016, and 2015 were $27 million, $21 million and $63 million,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3" w:lineRule="exact"/>
        <w:rPr>
          <w:sz w:val="20"/>
          <w:szCs w:val="20"/>
          <w:color w:val="auto"/>
        </w:rPr>
      </w:pPr>
    </w:p>
    <w:p>
      <w:pPr>
        <w:ind w:right="380" w:firstLine="598"/>
        <w:spacing w:after="0" w:line="270" w:lineRule="auto"/>
        <w:rPr>
          <w:sz w:val="20"/>
          <w:szCs w:val="20"/>
          <w:color w:val="auto"/>
        </w:rPr>
      </w:pPr>
      <w:r>
        <w:rPr>
          <w:rFonts w:ascii="Arial" w:cs="Arial" w:eastAsia="Arial" w:hAnsi="Arial"/>
          <w:sz w:val="18"/>
          <w:szCs w:val="18"/>
          <w:color w:val="auto"/>
        </w:rPr>
        <w:t>A summary of our remaining unrecognized compensation expense and the weighted average remaining amortization period at December 31, 2017 related to our non-vested stock options and RSU awards is presented below (in millions, except in years information):</w:t>
      </w: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860" w:type="dxa"/>
            <w:vAlign w:val="bottom"/>
          </w:tcPr>
          <w:p>
            <w:pPr>
              <w:jc w:val="center"/>
              <w:ind w:left="203"/>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5460" w:type="dxa"/>
            <w:vAlign w:val="bottom"/>
          </w:tcPr>
          <w:p>
            <w:pPr>
              <w:spacing w:after="0"/>
              <w:rPr>
                <w:sz w:val="14"/>
                <w:szCs w:val="14"/>
                <w:color w:val="auto"/>
              </w:rPr>
            </w:pPr>
          </w:p>
        </w:tc>
        <w:tc>
          <w:tcPr>
            <w:tcW w:w="860" w:type="dxa"/>
            <w:vAlign w:val="bottom"/>
          </w:tcPr>
          <w:p>
            <w:pPr>
              <w:jc w:val="center"/>
              <w:ind w:left="183"/>
              <w:spacing w:after="0"/>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RSUs</w:t>
            </w:r>
          </w:p>
        </w:tc>
      </w:tr>
      <w:tr>
        <w:trPr>
          <w:trHeight w:val="220"/>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860" w:type="dxa"/>
            <w:vAlign w:val="bottom"/>
            <w:tcBorders>
              <w:top w:val="single" w:sz="8" w:color="auto"/>
            </w:tcBorders>
            <w:shd w:val="clear" w:color="auto" w:fill="CFF0FC"/>
          </w:tcPr>
          <w:p>
            <w:pPr>
              <w:jc w:val="right"/>
              <w:ind w:right="683"/>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546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2.9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13" w:lineRule="exact"/>
        <w:rPr>
          <w:sz w:val="20"/>
          <w:szCs w:val="20"/>
          <w:color w:val="auto"/>
        </w:rPr>
      </w:pPr>
    </w:p>
    <w:p>
      <w:pPr>
        <w:ind w:right="40" w:firstLine="598"/>
        <w:spacing w:after="0" w:line="274" w:lineRule="auto"/>
        <w:rPr>
          <w:sz w:val="20"/>
          <w:szCs w:val="20"/>
          <w:color w:val="auto"/>
        </w:rPr>
      </w:pPr>
      <w:r>
        <w:rPr>
          <w:rFonts w:ascii="Arial" w:cs="Arial" w:eastAsia="Arial" w:hAnsi="Arial"/>
          <w:sz w:val="17"/>
          <w:szCs w:val="17"/>
          <w:color w:val="auto"/>
        </w:rPr>
        <w:t>We compute basic earnings per share, or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13"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Diluted earnings per share, or Diluted EPS, include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76" w:lineRule="exact"/>
        <w:rPr>
          <w:sz w:val="20"/>
          <w:szCs w:val="20"/>
          <w:color w:val="auto"/>
        </w:rPr>
      </w:pPr>
    </w:p>
    <w:p>
      <w:pPr>
        <w:jc w:val="both"/>
        <w:ind w:right="320" w:firstLine="598"/>
        <w:spacing w:after="0" w:line="306"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91" w:name="page92"/>
    <w:bookmarkEnd w:id="91"/>
    <w:p>
      <w:pPr>
        <w:ind w:right="120" w:firstLine="598"/>
        <w:spacing w:after="0" w:line="259" w:lineRule="auto"/>
        <w:rPr>
          <w:sz w:val="20"/>
          <w:szCs w:val="20"/>
          <w:color w:val="auto"/>
        </w:rPr>
      </w:pPr>
      <w:r>
        <w:rPr>
          <w:rFonts w:ascii="Arial" w:cs="Arial" w:eastAsia="Arial" w:hAnsi="Arial"/>
          <w:sz w:val="18"/>
          <w:szCs w:val="18"/>
          <w:color w:val="auto"/>
        </w:rPr>
        <w:t>In periods of a net loss, common equivalent shares are excluded from the calculation of Diluted EPS as their inclusion would have an antidilutive effect. Accordingly, for periods in which we report a net loss, Diluted EPS is the same as Basic EPS, since dilutive common equivalent shares are not assumed to have been issued if their effect is anti-dilutive.</w:t>
      </w:r>
    </w:p>
    <w:p>
      <w:pPr>
        <w:spacing w:after="0" w:line="184" w:lineRule="exact"/>
        <w:rPr>
          <w:sz w:val="20"/>
          <w:szCs w:val="20"/>
          <w:color w:val="auto"/>
        </w:rPr>
      </w:pPr>
    </w:p>
    <w:p>
      <w:pPr>
        <w:ind w:right="140" w:firstLine="598"/>
        <w:spacing w:after="0" w:line="270"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00"/>
        </w:trPr>
        <w:tc>
          <w:tcPr>
            <w:tcW w:w="920" w:type="dxa"/>
            <w:vAlign w:val="bottom"/>
            <w:tcBorders>
              <w:bottom w:val="single" w:sz="8" w:color="auto"/>
            </w:tcBorders>
            <w:shd w:val="clear" w:color="auto" w:fill="CFF0FC"/>
          </w:tcPr>
          <w:p>
            <w:pPr>
              <w:spacing w:after="0" w:line="181" w:lineRule="exact"/>
              <w:rPr>
                <w:sz w:val="20"/>
                <w:szCs w:val="20"/>
                <w:color w:val="auto"/>
              </w:rPr>
            </w:pPr>
            <w:r>
              <w:rPr>
                <w:rFonts w:ascii="Arial" w:cs="Arial" w:eastAsia="Arial" w:hAnsi="Arial"/>
                <w:sz w:val="18"/>
                <w:szCs w:val="18"/>
                <w:b w:val="1"/>
                <w:bCs w:val="1"/>
                <w:color w:val="auto"/>
                <w:w w:val="92"/>
              </w:rPr>
              <w:t>Numerator:</w:t>
            </w:r>
          </w:p>
        </w:tc>
        <w:tc>
          <w:tcPr>
            <w:tcW w:w="5840" w:type="dxa"/>
            <w:vAlign w:val="bottom"/>
            <w:tcBorders>
              <w:bottom w:val="single" w:sz="8" w:color="CFF0FC"/>
            </w:tcBorders>
            <w:gridSpan w:val="2"/>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227"/>
        </w:trPr>
        <w:tc>
          <w:tcPr>
            <w:tcW w:w="6760" w:type="dxa"/>
            <w:vAlign w:val="bottom"/>
            <w:gridSpan w:val="3"/>
          </w:tcPr>
          <w:p>
            <w:pPr>
              <w:ind w:left="26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r>
      <w:tr>
        <w:trPr>
          <w:trHeight w:val="207"/>
        </w:trPr>
        <w:tc>
          <w:tcPr>
            <w:tcW w:w="1080" w:type="dxa"/>
            <w:vAlign w:val="bottom"/>
            <w:tcBorders>
              <w:bottom w:val="single" w:sz="8" w:color="auto"/>
            </w:tcBorders>
            <w:gridSpan w:val="2"/>
            <w:shd w:val="clear" w:color="auto" w:fill="CFF0FC"/>
          </w:tcPr>
          <w:p>
            <w:pPr>
              <w:spacing w:after="0" w:line="188" w:lineRule="exact"/>
              <w:rPr>
                <w:sz w:val="20"/>
                <w:szCs w:val="20"/>
                <w:color w:val="auto"/>
              </w:rPr>
            </w:pPr>
            <w:r>
              <w:rPr>
                <w:rFonts w:ascii="Arial" w:cs="Arial" w:eastAsia="Arial" w:hAnsi="Arial"/>
                <w:sz w:val="18"/>
                <w:szCs w:val="18"/>
                <w:b w:val="1"/>
                <w:bCs w:val="1"/>
                <w:color w:val="auto"/>
                <w:w w:val="90"/>
              </w:rPr>
              <w:t>Denominator:</w:t>
            </w:r>
          </w:p>
        </w:tc>
        <w:tc>
          <w:tcPr>
            <w:tcW w:w="56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r>
      <w:tr>
        <w:trPr>
          <w:trHeight w:val="213"/>
        </w:trPr>
        <w:tc>
          <w:tcPr>
            <w:tcW w:w="6760" w:type="dxa"/>
            <w:vAlign w:val="bottom"/>
            <w:gridSpan w:val="3"/>
          </w:tcPr>
          <w:p>
            <w:pPr>
              <w:ind w:left="260"/>
              <w:spacing w:after="0"/>
              <w:rPr>
                <w:sz w:val="20"/>
                <w:szCs w:val="20"/>
                <w:color w:val="auto"/>
              </w:rPr>
            </w:pPr>
            <w:r>
              <w:rPr>
                <w:rFonts w:ascii="Arial" w:cs="Arial" w:eastAsia="Arial" w:hAnsi="Arial"/>
                <w:sz w:val="18"/>
                <w:szCs w:val="18"/>
                <w:color w:val="auto"/>
              </w:rPr>
              <w:t>Weighted average shares used to compute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7"/>
        </w:trPr>
        <w:tc>
          <w:tcPr>
            <w:tcW w:w="6760" w:type="dxa"/>
            <w:vAlign w:val="bottom"/>
            <w:gridSpan w:val="3"/>
          </w:tcPr>
          <w:p>
            <w:pPr>
              <w:ind w:left="380"/>
              <w:spacing w:after="0"/>
              <w:rPr>
                <w:sz w:val="20"/>
                <w:szCs w:val="20"/>
                <w:color w:val="auto"/>
              </w:rPr>
            </w:pPr>
            <w:r>
              <w:rPr>
                <w:rFonts w:ascii="Arial" w:cs="Arial" w:eastAsia="Arial" w:hAnsi="Arial"/>
                <w:sz w:val="18"/>
                <w:szCs w:val="18"/>
                <w:color w:val="auto"/>
              </w:rPr>
              <w:t>Basic EPS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145,443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143,836</w:t>
            </w:r>
          </w:p>
        </w:tc>
        <w:tc>
          <w:tcPr>
            <w:tcW w:w="120" w:type="dxa"/>
            <w:vAlign w:val="bottom"/>
          </w:tcPr>
          <w:p>
            <w:pPr>
              <w:spacing w:after="0"/>
              <w:rPr>
                <w:sz w:val="19"/>
                <w:szCs w:val="19"/>
                <w:color w:val="auto"/>
              </w:rPr>
            </w:pPr>
          </w:p>
        </w:tc>
      </w:tr>
      <w:tr>
        <w:trPr>
          <w:trHeight w:val="213"/>
        </w:trPr>
        <w:tc>
          <w:tcPr>
            <w:tcW w:w="67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Weighted average effect of dilutive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8"/>
        </w:trPr>
        <w:tc>
          <w:tcPr>
            <w:tcW w:w="67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676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19"/>
                <w:szCs w:val="19"/>
                <w:color w:val="auto"/>
              </w:rPr>
            </w:pPr>
          </w:p>
        </w:tc>
      </w:tr>
      <w:tr>
        <w:trPr>
          <w:trHeight w:val="227"/>
        </w:trPr>
        <w:tc>
          <w:tcPr>
            <w:tcW w:w="67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r>
      <w:tr>
        <w:trPr>
          <w:trHeight w:val="206"/>
        </w:trPr>
        <w:tc>
          <w:tcPr>
            <w:tcW w:w="6760" w:type="dxa"/>
            <w:vAlign w:val="bottom"/>
            <w:gridSpan w:val="3"/>
          </w:tcPr>
          <w:p>
            <w:pPr>
              <w:ind w:left="260"/>
              <w:spacing w:after="0" w:line="206" w:lineRule="exact"/>
              <w:rPr>
                <w:sz w:val="20"/>
                <w:szCs w:val="20"/>
                <w:color w:val="auto"/>
              </w:rPr>
            </w:pPr>
            <w:r>
              <w:rPr>
                <w:rFonts w:ascii="Arial" w:cs="Arial" w:eastAsia="Arial" w:hAnsi="Arial"/>
                <w:sz w:val="18"/>
                <w:szCs w:val="18"/>
                <w:color w:val="auto"/>
              </w:rPr>
              <w:t>Weighted average shares used to compute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7"/>
        </w:trPr>
        <w:tc>
          <w:tcPr>
            <w:tcW w:w="6760" w:type="dxa"/>
            <w:vAlign w:val="bottom"/>
            <w:tcBorders>
              <w:bottom w:val="single" w:sz="8" w:color="CFF0FC"/>
            </w:tcBorders>
            <w:gridSpan w:val="3"/>
          </w:tcPr>
          <w:p>
            <w:pPr>
              <w:ind w:left="380"/>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140,445</w:t>
            </w:r>
          </w:p>
        </w:tc>
        <w:tc>
          <w:tcPr>
            <w:tcW w:w="100" w:type="dxa"/>
            <w:vAlign w:val="bottom"/>
            <w:tcBorders>
              <w:bottom w:val="single" w:sz="8" w:color="CFF0FC"/>
            </w:tcBorders>
          </w:tcPr>
          <w:p>
            <w:pPr>
              <w:spacing w:after="0"/>
              <w:rPr>
                <w:sz w:val="23"/>
                <w:szCs w:val="23"/>
                <w:color w:val="auto"/>
              </w:rPr>
            </w:pPr>
          </w:p>
        </w:tc>
        <w:tc>
          <w:tcPr>
            <w:tcW w:w="1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146,893</w:t>
            </w:r>
          </w:p>
        </w:tc>
        <w:tc>
          <w:tcPr>
            <w:tcW w:w="18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145,967</w:t>
            </w:r>
          </w:p>
        </w:tc>
        <w:tc>
          <w:tcPr>
            <w:tcW w:w="120" w:type="dxa"/>
            <w:vAlign w:val="bottom"/>
            <w:tcBorders>
              <w:bottom w:val="single" w:sz="8" w:color="CFF0FC"/>
            </w:tcBorders>
          </w:tcPr>
          <w:p>
            <w:pPr>
              <w:spacing w:after="0"/>
              <w:rPr>
                <w:sz w:val="23"/>
                <w:szCs w:val="23"/>
                <w:color w:val="auto"/>
              </w:rPr>
            </w:pPr>
          </w:p>
        </w:tc>
      </w:tr>
      <w:tr>
        <w:trPr>
          <w:trHeight w:val="208"/>
        </w:trPr>
        <w:tc>
          <w:tcPr>
            <w:tcW w:w="6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8"/>
                <w:szCs w:val="18"/>
                <w:color w:val="auto"/>
              </w:rPr>
            </w:pPr>
          </w:p>
        </w:tc>
      </w:tr>
      <w:tr>
        <w:trPr>
          <w:trHeight w:val="227"/>
        </w:trPr>
        <w:tc>
          <w:tcPr>
            <w:tcW w:w="676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4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0.82</w:t>
            </w:r>
          </w:p>
        </w:tc>
        <w:tc>
          <w:tcPr>
            <w:tcW w:w="180" w:type="dxa"/>
            <w:vAlign w:val="bottom"/>
          </w:tcPr>
          <w:p>
            <w:pPr>
              <w:spacing w:after="0"/>
              <w:rPr>
                <w:sz w:val="19"/>
                <w:szCs w:val="19"/>
                <w:color w:val="auto"/>
              </w:rPr>
            </w:pPr>
          </w:p>
        </w:tc>
        <w:tc>
          <w:tcPr>
            <w:tcW w:w="3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r>
    </w:tbl>
    <w:p>
      <w:pPr>
        <w:ind w:right="20" w:firstLine="598"/>
        <w:spacing w:after="0" w:line="267" w:lineRule="auto"/>
        <w:rPr>
          <w:sz w:val="20"/>
          <w:szCs w:val="20"/>
          <w:color w:val="auto"/>
        </w:rPr>
      </w:pPr>
      <w:r>
        <w:rPr>
          <w:rFonts w:ascii="Arial" w:cs="Arial" w:eastAsia="Arial" w:hAnsi="Arial"/>
          <w:sz w:val="17"/>
          <w:szCs w:val="17"/>
          <w:color w:val="auto"/>
        </w:rPr>
        <w:t>Potential common shares, consisting of outstanding stock options and RSUs, totaling approximately 12.5 million, 3.9 million, and 2.7 million, respectively, for the years ending December 31, 2017, 2016 and 2015, have been excluded from the calculations of Diluted EPS because their effect would have been antidilutive. In addition, potential common shares of approximately 0.6 million, 0.1 million, and 0.1 million, respectively, for the years ending December 31, 2017, 2016 and 2015, consisting of performance-based options and RSUs, for which all targets required to trigger vesting had not been achieved, were excluded from the calculation of weighted average shares used to compute Diluted EPS for those reporting periods.</w:t>
      </w:r>
    </w:p>
    <w:p>
      <w:pPr>
        <w:spacing w:after="0" w:line="180" w:lineRule="exact"/>
        <w:rPr>
          <w:sz w:val="20"/>
          <w:szCs w:val="20"/>
          <w:color w:val="auto"/>
        </w:rPr>
      </w:pPr>
    </w:p>
    <w:p>
      <w:pPr>
        <w:ind w:right="360" w:firstLine="598"/>
        <w:spacing w:after="0" w:line="270"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92" w:name="page93"/>
    <w:bookmarkEnd w:id="92"/>
    <w:p>
      <w:pPr>
        <w:ind w:right="5200"/>
        <w:spacing w:after="0" w:line="373" w:lineRule="auto"/>
        <w:rPr>
          <w:sz w:val="20"/>
          <w:szCs w:val="20"/>
          <w:color w:val="auto"/>
        </w:rPr>
      </w:pPr>
      <w:r>
        <w:rPr>
          <w:rFonts w:ascii="Arial" w:cs="Arial" w:eastAsia="Arial" w:hAnsi="Arial"/>
          <w:sz w:val="18"/>
          <w:szCs w:val="18"/>
          <w:b w:val="1"/>
          <w:bCs w:val="1"/>
          <w:color w:val="auto"/>
        </w:rPr>
        <w:t xml:space="preserve">NOTE 6: FINANCIAL INSTRUMENTS AND FAIR VALUE MEASUREMENTS </w:t>
      </w:r>
      <w:r>
        <w:rPr>
          <w:rFonts w:ascii="Arial" w:cs="Arial" w:eastAsia="Arial" w:hAnsi="Arial"/>
          <w:sz w:val="18"/>
          <w:szCs w:val="18"/>
          <w:b w:val="1"/>
          <w:bCs w:val="1"/>
          <w:i w:val="1"/>
          <w:iCs w:val="1"/>
          <w:color w:val="auto"/>
        </w:rPr>
        <w:t>Cash, Cash Equivalents and Marketable Securities</w:t>
      </w:r>
    </w:p>
    <w:p>
      <w:pPr>
        <w:spacing w:after="0" w:line="1" w:lineRule="exact"/>
        <w:rPr>
          <w:sz w:val="20"/>
          <w:szCs w:val="20"/>
          <w:color w:val="auto"/>
        </w:rPr>
      </w:pPr>
    </w:p>
    <w:p>
      <w:pPr>
        <w:ind w:right="200" w:firstLine="598"/>
        <w:spacing w:after="0" w:line="259" w:lineRule="auto"/>
        <w:rPr>
          <w:sz w:val="20"/>
          <w:szCs w:val="20"/>
          <w:color w:val="auto"/>
        </w:rPr>
      </w:pPr>
      <w:r>
        <w:rPr>
          <w:rFonts w:ascii="Arial" w:cs="Arial" w:eastAsia="Arial" w:hAnsi="Arial"/>
          <w:sz w:val="18"/>
          <w:szCs w:val="18"/>
          <w:color w:val="auto"/>
        </w:rPr>
        <w:t>The following tables show our cash and available-for-sale securities’ amortized cost, gross unrealized gains, gross unrealized losses and fair value by fair value hierarchy and significant investment category recorded as cash and cash equivalents or short and long-term marketable securities as of the dates presented (in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3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4"/>
              <w:spacing w:after="0" w:line="145"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2"/>
                <w:szCs w:val="12"/>
                <w:color w:val="auto"/>
              </w:rPr>
            </w:pPr>
          </w:p>
        </w:tc>
        <w:tc>
          <w:tcPr>
            <w:tcW w:w="8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Short-Term</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5"/>
              <w:spacing w:after="0" w:line="145" w:lineRule="exact"/>
              <w:rPr>
                <w:sz w:val="20"/>
                <w:szCs w:val="20"/>
                <w:color w:val="auto"/>
              </w:rPr>
            </w:pPr>
            <w:r>
              <w:rPr>
                <w:rFonts w:ascii="Arial" w:cs="Arial" w:eastAsia="Arial" w:hAnsi="Arial"/>
                <w:sz w:val="14"/>
                <w:szCs w:val="14"/>
                <w:b w:val="1"/>
                <w:bCs w:val="1"/>
                <w:color w:val="auto"/>
                <w:w w:val="92"/>
              </w:rPr>
              <w:t>Long-Term</w:t>
            </w:r>
          </w:p>
        </w:tc>
        <w:tc>
          <w:tcPr>
            <w:tcW w:w="120" w:type="dxa"/>
            <w:vAlign w:val="bottom"/>
          </w:tcPr>
          <w:p>
            <w:pPr>
              <w:spacing w:after="0"/>
              <w:rPr>
                <w:sz w:val="12"/>
                <w:szCs w:val="12"/>
                <w:color w:val="auto"/>
              </w:rPr>
            </w:pPr>
          </w:p>
        </w:tc>
      </w:tr>
      <w:tr>
        <w:trPr>
          <w:trHeight w:val="160"/>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Marketable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Marketable</w:t>
            </w:r>
          </w:p>
        </w:tc>
      </w:tr>
      <w:tr>
        <w:trPr>
          <w:trHeight w:val="170"/>
        </w:trPr>
        <w:tc>
          <w:tcPr>
            <w:tcW w:w="3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r>
      <w:tr>
        <w:trPr>
          <w:trHeight w:val="220"/>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9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3000" w:type="dxa"/>
            <w:vAlign w:val="bottom"/>
          </w:tcPr>
          <w:p>
            <w:pPr>
              <w:spacing w:after="0"/>
              <w:rPr>
                <w:sz w:val="20"/>
                <w:szCs w:val="20"/>
                <w:color w:val="auto"/>
              </w:rPr>
            </w:pPr>
            <w:r>
              <w:rPr>
                <w:rFonts w:ascii="Arial" w:cs="Arial" w:eastAsia="Arial" w:hAnsi="Arial"/>
                <w:sz w:val="18"/>
                <w:szCs w:val="18"/>
                <w:color w:val="auto"/>
              </w:rPr>
              <w:t>Level 1:</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3000" w:type="dxa"/>
            <w:vAlign w:val="bottom"/>
          </w:tcPr>
          <w:p>
            <w:pPr>
              <w:spacing w:after="0"/>
              <w:rPr>
                <w:sz w:val="20"/>
                <w:szCs w:val="20"/>
                <w:color w:val="auto"/>
              </w:rPr>
            </w:pPr>
            <w:r>
              <w:rPr>
                <w:rFonts w:ascii="Arial" w:cs="Arial" w:eastAsia="Arial" w:hAnsi="Arial"/>
                <w:sz w:val="18"/>
                <w:szCs w:val="18"/>
                <w:color w:val="auto"/>
              </w:rPr>
              <w:t>Level 2:</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r>
      <w:tr>
        <w:trPr>
          <w:trHeight w:val="227"/>
        </w:trPr>
        <w:tc>
          <w:tcPr>
            <w:tcW w:w="300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30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9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r>
        <w:trPr>
          <w:trHeight w:val="220"/>
        </w:trPr>
        <w:tc>
          <w:tcPr>
            <w:tcW w:w="3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9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tcPr>
          <w:p>
            <w:pPr>
              <w:spacing w:after="0"/>
              <w:rPr>
                <w:sz w:val="19"/>
                <w:szCs w:val="19"/>
                <w:color w:val="auto"/>
              </w:rPr>
            </w:pPr>
          </w:p>
        </w:tc>
      </w:tr>
      <w:tr>
        <w:trPr>
          <w:trHeight w:val="220"/>
        </w:trPr>
        <w:tc>
          <w:tcPr>
            <w:tcW w:w="30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8"/>
        </w:trPr>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4"/>
              <w:spacing w:after="0" w:line="145" w:lineRule="exact"/>
              <w:rPr>
                <w:sz w:val="20"/>
                <w:szCs w:val="20"/>
                <w:color w:val="auto"/>
              </w:rPr>
            </w:pPr>
            <w:r>
              <w:rPr>
                <w:rFonts w:ascii="Arial" w:cs="Arial" w:eastAsia="Arial" w:hAnsi="Arial"/>
                <w:sz w:val="14"/>
                <w:szCs w:val="14"/>
                <w:b w:val="1"/>
                <w:bCs w:val="1"/>
                <w:color w:val="auto"/>
                <w:w w:val="91"/>
              </w:rPr>
              <w:t>Cash and</w:t>
            </w:r>
          </w:p>
        </w:tc>
        <w:tc>
          <w:tcPr>
            <w:tcW w:w="200" w:type="dxa"/>
            <w:vAlign w:val="bottom"/>
          </w:tcPr>
          <w:p>
            <w:pPr>
              <w:spacing w:after="0"/>
              <w:rPr>
                <w:sz w:val="12"/>
                <w:szCs w:val="12"/>
                <w:color w:val="auto"/>
              </w:rPr>
            </w:pPr>
          </w:p>
        </w:tc>
        <w:tc>
          <w:tcPr>
            <w:tcW w:w="8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Short-Term</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5"/>
              <w:spacing w:after="0" w:line="145" w:lineRule="exact"/>
              <w:rPr>
                <w:sz w:val="20"/>
                <w:szCs w:val="20"/>
                <w:color w:val="auto"/>
              </w:rPr>
            </w:pPr>
            <w:r>
              <w:rPr>
                <w:rFonts w:ascii="Arial" w:cs="Arial" w:eastAsia="Arial" w:hAnsi="Arial"/>
                <w:sz w:val="14"/>
                <w:szCs w:val="14"/>
                <w:b w:val="1"/>
                <w:bCs w:val="1"/>
                <w:color w:val="auto"/>
                <w:w w:val="92"/>
              </w:rPr>
              <w:t>Long-Term</w:t>
            </w:r>
          </w:p>
        </w:tc>
        <w:tc>
          <w:tcPr>
            <w:tcW w:w="120" w:type="dxa"/>
            <w:vAlign w:val="bottom"/>
          </w:tcPr>
          <w:p>
            <w:pPr>
              <w:spacing w:after="0"/>
              <w:rPr>
                <w:sz w:val="12"/>
                <w:szCs w:val="12"/>
                <w:color w:val="auto"/>
              </w:rPr>
            </w:pPr>
          </w:p>
        </w:tc>
      </w:tr>
      <w:tr>
        <w:trPr>
          <w:trHeight w:val="160"/>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Marketable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Marketable</w:t>
            </w:r>
          </w:p>
        </w:tc>
      </w:tr>
      <w:tr>
        <w:trPr>
          <w:trHeight w:val="170"/>
        </w:trPr>
        <w:tc>
          <w:tcPr>
            <w:tcW w:w="3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r>
      <w:tr>
        <w:trPr>
          <w:trHeight w:val="220"/>
        </w:trPr>
        <w:tc>
          <w:tcPr>
            <w:tcW w:w="3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9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3000" w:type="dxa"/>
            <w:vAlign w:val="bottom"/>
          </w:tcPr>
          <w:p>
            <w:pPr>
              <w:spacing w:after="0"/>
              <w:rPr>
                <w:sz w:val="20"/>
                <w:szCs w:val="20"/>
                <w:color w:val="auto"/>
              </w:rPr>
            </w:pPr>
            <w:r>
              <w:rPr>
                <w:rFonts w:ascii="Arial" w:cs="Arial" w:eastAsia="Arial" w:hAnsi="Arial"/>
                <w:sz w:val="18"/>
                <w:szCs w:val="18"/>
                <w:color w:val="auto"/>
              </w:rPr>
              <w:t>Level 1:</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3000" w:type="dxa"/>
            <w:vAlign w:val="bottom"/>
          </w:tcPr>
          <w:p>
            <w:pPr>
              <w:spacing w:after="0"/>
              <w:rPr>
                <w:sz w:val="20"/>
                <w:szCs w:val="20"/>
                <w:color w:val="auto"/>
              </w:rPr>
            </w:pPr>
            <w:r>
              <w:rPr>
                <w:rFonts w:ascii="Arial" w:cs="Arial" w:eastAsia="Arial" w:hAnsi="Arial"/>
                <w:sz w:val="18"/>
                <w:szCs w:val="18"/>
                <w:color w:val="auto"/>
              </w:rPr>
              <w:t>Level 2:</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27"/>
        </w:trPr>
        <w:tc>
          <w:tcPr>
            <w:tcW w:w="300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Certificates of deposit</w:t>
            </w: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7"/>
        </w:trPr>
        <w:tc>
          <w:tcPr>
            <w:tcW w:w="300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3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9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20"/>
        </w:trPr>
        <w:tc>
          <w:tcPr>
            <w:tcW w:w="3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Subtotal</w:t>
            </w:r>
          </w:p>
        </w:tc>
        <w:tc>
          <w:tcPr>
            <w:tcW w:w="9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r>
      <w:tr>
        <w:trPr>
          <w:trHeight w:val="220"/>
        </w:trPr>
        <w:tc>
          <w:tcPr>
            <w:tcW w:w="30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had 12 months or less remaining at December 31, 2017 and 2016, respectively.</w:t>
      </w:r>
    </w:p>
    <w:p>
      <w:pPr>
        <w:spacing w:after="0" w:line="188"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93" w:name="page94"/>
    <w:bookmarkEnd w:id="93"/>
    <w:p>
      <w:pPr>
        <w:ind w:right="240" w:firstLine="598"/>
        <w:spacing w:after="0" w:line="255"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years ended December 31, 2017, 2016, and 2015. There were also no material unrealized gains or losses related to our marketable securities held at December 31, 2017 and 2016. We consider any individual investments in an unrealized loss position to be temporary in nature and do not consider any of our investments other-than-temporarily impaired as of December 31,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3" w:lineRule="exact"/>
        <w:rPr>
          <w:sz w:val="20"/>
          <w:szCs w:val="20"/>
          <w:color w:val="auto"/>
        </w:rPr>
      </w:pPr>
    </w:p>
    <w:p>
      <w:pPr>
        <w:ind w:right="40" w:firstLine="598"/>
        <w:spacing w:after="0" w:line="274" w:lineRule="auto"/>
        <w:rPr>
          <w:sz w:val="20"/>
          <w:szCs w:val="20"/>
          <w:color w:val="auto"/>
        </w:rPr>
      </w:pPr>
      <w:r>
        <w:rPr>
          <w:rFonts w:ascii="Arial" w:cs="Arial" w:eastAsia="Arial" w:hAnsi="Arial"/>
          <w:sz w:val="17"/>
          <w:szCs w:val="17"/>
          <w:color w:val="auto"/>
        </w:rPr>
        <w:t>Our forward contracts, which we have entered into to date, have not been designated as hedges and have had maturities of less than 90 days. Consequently, any gain or loss resulting from the change in fair value has been recognized in our consolidated statement of operations. We recorded a net loss of $1 million for the year ended December 31, 2017, and a net gain of $2 million for both the years ended December 31, 2016 and 2015, respectively, related to our forward contracts in our consolidated statements of operations in interest income and other, net.</w:t>
      </w:r>
    </w:p>
    <w:p>
      <w:pPr>
        <w:spacing w:after="0" w:line="175" w:lineRule="exact"/>
        <w:rPr>
          <w:sz w:val="20"/>
          <w:szCs w:val="20"/>
          <w:color w:val="auto"/>
        </w:rPr>
      </w:pPr>
    </w:p>
    <w:p>
      <w:pPr>
        <w:ind w:right="120" w:firstLine="598"/>
        <w:spacing w:after="0" w:line="270" w:lineRule="auto"/>
        <w:rPr>
          <w:sz w:val="20"/>
          <w:szCs w:val="20"/>
          <w:color w:val="auto"/>
        </w:rPr>
      </w:pPr>
      <w:r>
        <w:rPr>
          <w:rFonts w:ascii="Arial" w:cs="Arial" w:eastAsia="Arial" w:hAnsi="Arial"/>
          <w:sz w:val="18"/>
          <w:szCs w:val="18"/>
          <w:color w:val="auto"/>
        </w:rPr>
        <w:t>The following table shows the notional principal amounts of our outstanding derivative instruments that are not designated as hedging instruments for the periods presented:</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 2016</w:t>
            </w:r>
          </w:p>
        </w:tc>
      </w:tr>
      <w:tr>
        <w:trPr>
          <w:trHeight w:val="154"/>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40"/>
        </w:trPr>
        <w:tc>
          <w:tcPr>
            <w:tcW w:w="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(1)(2)</w:t>
            </w:r>
          </w:p>
        </w:tc>
        <w:tc>
          <w:tcPr>
            <w:tcW w:w="1880" w:type="dxa"/>
            <w:vAlign w:val="bottom"/>
            <w:gridSpan w:val="2"/>
            <w:shd w:val="clear" w:color="auto" w:fill="CFF0FC"/>
          </w:tcPr>
          <w:p>
            <w:pPr>
              <w:jc w:val="right"/>
              <w:ind w:right="389"/>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0"/>
                <w:szCs w:val="20"/>
                <w:color w:val="auto"/>
              </w:rPr>
            </w:pPr>
          </w:p>
        </w:tc>
      </w:tr>
    </w:tbl>
    <w:p>
      <w:pPr>
        <w:spacing w:after="0" w:line="199" w:lineRule="exact"/>
        <w:rPr>
          <w:sz w:val="20"/>
          <w:szCs w:val="20"/>
          <w:color w:val="auto"/>
        </w:rPr>
      </w:pPr>
    </w:p>
    <w:p>
      <w:pPr>
        <w:ind w:left="600" w:right="240" w:hanging="593"/>
        <w:spacing w:after="0" w:line="255"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Derivative contracts address foreign currency exchange fluctuations for the Euro versus the U.S. dollar. The Company had no outstanding derivative contracts as of December 31, 2017 and two outstanding derivative contracts as of December 31, 2016.</w:t>
      </w:r>
    </w:p>
    <w:p>
      <w:pPr>
        <w:ind w:left="600" w:right="140" w:hanging="593"/>
        <w:spacing w:after="0" w:line="297" w:lineRule="auto"/>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fair value of our outstanding derivatives as of December 31, 2016 was not material and was reported as an asset in prepaid expenses and other current assets on our consolidated balance sheet. We measure the fair value of our outstanding or unsettled derivatives using Level 2 fair value inputs, as we use a pricing model that takes into account the contract terms as well as current foreign currency exchange rates in active markets.</w:t>
      </w:r>
    </w:p>
    <w:p>
      <w:pPr>
        <w:spacing w:after="0" w:line="158"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Counterparties to foreign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3"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Other financial assets and liabilities not measured at fair value on a recurring basis, or carried at cost, include accounts receivable, accounts payable, deferred merchant payables, short-term debt, accrued and other current liabilities and long-term debt. With the exception of long-term debt, the carrying amount approximates fair value because of the short maturity of these instruments as reported on our consolidated balance sheets as of December 31, 2017 and December 31, 2016, respectively. The carrying value of the long-term debt from our 2015 Credit Facility bears interest at a variable rate and therefore is also considered to approximate fair value.</w:t>
      </w:r>
    </w:p>
    <w:p>
      <w:pPr>
        <w:spacing w:after="0" w:line="191"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We also hold investments in equity securities of privately-held companies with a total carrying value of $12 million and $14 million at December 31, 2017 and 2016, respectively. These investments are accounted for under the cost method and included in other long-term assets on our consolidated balance sheet. Under cost method accounting, investments are carried at cost and are adjusted only for other-than-temporary declines in fair value, certain distributions, and additional investments. The Company evaluates its investments at each reporting period or on a quarterly basis, to determine if any indicators of other-than-temporary impairment exist. Accordingly, we recognized a loss of $2 million related to the investment in one of these privately-held companies during the year ended December 31, 2017, which is included in interest income and other, net on our consolidated statement of operations. We did not have any losses or impairments related to our cost method investments during the year ended December 31, 2016.</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94" w:name="page95"/>
    <w:bookmarkEnd w:id="94"/>
    <w:p>
      <w:pPr>
        <w:ind w:right="580" w:firstLine="598"/>
        <w:spacing w:after="0" w:line="270" w:lineRule="auto"/>
        <w:rPr>
          <w:sz w:val="20"/>
          <w:szCs w:val="20"/>
          <w:color w:val="auto"/>
        </w:rPr>
      </w:pPr>
      <w:r>
        <w:rPr>
          <w:rFonts w:ascii="Arial" w:cs="Arial" w:eastAsia="Arial" w:hAnsi="Arial"/>
          <w:sz w:val="18"/>
          <w:szCs w:val="18"/>
          <w:color w:val="auto"/>
        </w:rPr>
        <w:t>The Company did not have any recurring assets or liabilities measured at fair value that would be considered Level 3 at December 31, 2017 and December 31, 2016.</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consists of the following for the periods presented: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December 31,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2016</w:t>
            </w:r>
          </w:p>
        </w:tc>
      </w:tr>
      <w:tr>
        <w:trPr>
          <w:trHeight w:val="154"/>
        </w:trPr>
        <w:tc>
          <w:tcPr>
            <w:tcW w:w="7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80" w:type="dxa"/>
            <w:vAlign w:val="bottom"/>
            <w:tcBorders>
              <w:top w:val="single" w:sz="8" w:color="auto"/>
            </w:tcBorders>
            <w:gridSpan w:val="5"/>
          </w:tcPr>
          <w:p>
            <w:pPr>
              <w:jc w:val="right"/>
              <w:ind w:right="1273"/>
              <w:spacing w:after="0" w:line="153"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3"/>
                <w:szCs w:val="13"/>
                <w:color w:val="auto"/>
              </w:rPr>
            </w:pPr>
          </w:p>
        </w:tc>
      </w:tr>
      <w:tr>
        <w:trPr>
          <w:trHeight w:val="227"/>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9"/>
                <w:szCs w:val="19"/>
                <w:color w:val="auto"/>
              </w:rPr>
            </w:pPr>
          </w:p>
        </w:tc>
      </w:tr>
      <w:tr>
        <w:trPr>
          <w:trHeight w:val="227"/>
        </w:trPr>
        <w:tc>
          <w:tcPr>
            <w:tcW w:w="7900" w:type="dxa"/>
            <w:vAlign w:val="bottom"/>
          </w:tcPr>
          <w:p>
            <w:pPr>
              <w:spacing w:after="0"/>
              <w:rPr>
                <w:sz w:val="20"/>
                <w:szCs w:val="20"/>
                <w:color w:val="auto"/>
              </w:rPr>
            </w:pPr>
            <w:r>
              <w:rPr>
                <w:rFonts w:ascii="Arial" w:cs="Arial" w:eastAsia="Arial" w:hAnsi="Arial"/>
                <w:sz w:val="18"/>
                <w:szCs w:val="18"/>
                <w:color w:val="auto"/>
              </w:rPr>
              <w:t>Building (1)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27"/>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27"/>
        </w:trPr>
        <w:tc>
          <w:tcPr>
            <w:tcW w:w="790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27"/>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Furniture, office equipment and other</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20"/>
        </w:trPr>
        <w:tc>
          <w:tcPr>
            <w:tcW w:w="7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r>
      <w:tr>
        <w:trPr>
          <w:trHeight w:val="227"/>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r>
      <w:tr>
        <w:trPr>
          <w:trHeight w:val="220"/>
        </w:trPr>
        <w:tc>
          <w:tcPr>
            <w:tcW w:w="7900" w:type="dxa"/>
            <w:vAlign w:val="bottom"/>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600" w:right="60" w:hanging="593"/>
        <w:spacing w:after="0" w:line="259" w:lineRule="auto"/>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Company is deemed for accounting purposes to be the owner of its corporate headquarters building under GAAP, and depreciates the asset over its estimated useful life of 40 years on a straight-line basis. Refer to “Note 13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our corporate headquarters lease.</w:t>
      </w:r>
    </w:p>
    <w:p>
      <w:pPr>
        <w:spacing w:after="0" w:line="184" w:lineRule="exact"/>
        <w:rPr>
          <w:sz w:val="20"/>
          <w:szCs w:val="20"/>
          <w:color w:val="auto"/>
        </w:rPr>
      </w:pPr>
    </w:p>
    <w:p>
      <w:pPr>
        <w:ind w:right="60" w:firstLine="598"/>
        <w:spacing w:after="0" w:line="253" w:lineRule="auto"/>
        <w:rPr>
          <w:sz w:val="20"/>
          <w:szCs w:val="20"/>
          <w:color w:val="auto"/>
        </w:rPr>
      </w:pPr>
      <w:r>
        <w:rPr>
          <w:rFonts w:ascii="Arial" w:cs="Arial" w:eastAsia="Arial" w:hAnsi="Arial"/>
          <w:sz w:val="18"/>
          <w:szCs w:val="18"/>
          <w:color w:val="auto"/>
        </w:rPr>
        <w:t>As of December 31, 2017 and December 31, 2016, the carrying value of our capitalized software and website development costs, net of accumulated amortization, were $97 million and $86 million, respectively. For the years ended December 31, 2017, 2016 and 2015, we capitalized $65 million, $62 million and $52 million, respectively, related to software and website development costs. For the years ended December 31, 2017, 2016 and 2015, we recorded amortization of capitalized software and website development costs of $54 million, $46 million and $37 million, respectively, which is included in depreciation expense on our consolidated statements of operations for those years.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INTANGIBLE ASSETS,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goodwill activity by reportable segment for the periods presented: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Arial" w:cs="Arial" w:eastAsia="Arial" w:hAnsi="Arial"/>
                <w:sz w:val="14"/>
                <w:szCs w:val="14"/>
                <w:b w:val="1"/>
                <w:bCs w:val="1"/>
                <w:color w:val="auto"/>
              </w:rPr>
              <w:t>Hotel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Non-Hotel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Consolidated</w:t>
            </w:r>
          </w:p>
        </w:tc>
      </w:tr>
      <w:tr>
        <w:trPr>
          <w:trHeight w:val="220"/>
        </w:trPr>
        <w:tc>
          <w:tcPr>
            <w:tcW w:w="4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3120" w:type="dxa"/>
            <w:vAlign w:val="bottom"/>
            <w:gridSpan w:val="2"/>
            <w:shd w:val="clear" w:color="auto" w:fill="CFF0FC"/>
          </w:tcPr>
          <w:p>
            <w:pPr>
              <w:jc w:val="right"/>
              <w:ind w:right="757"/>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FF0FC"/>
          </w:tcPr>
          <w:p>
            <w:pPr>
              <w:spacing w:after="0"/>
              <w:rPr>
                <w:sz w:val="19"/>
                <w:szCs w:val="19"/>
                <w:color w:val="auto"/>
              </w:rPr>
            </w:pPr>
          </w:p>
        </w:tc>
      </w:tr>
      <w:tr>
        <w:trPr>
          <w:trHeight w:val="227"/>
        </w:trPr>
        <w:tc>
          <w:tcPr>
            <w:tcW w:w="4600" w:type="dxa"/>
            <w:vAlign w:val="bottom"/>
          </w:tcPr>
          <w:p>
            <w:pPr>
              <w:ind w:left="260"/>
              <w:spacing w:after="0"/>
              <w:rPr>
                <w:sz w:val="20"/>
                <w:szCs w:val="20"/>
                <w:color w:val="auto"/>
              </w:rPr>
            </w:pPr>
            <w:r>
              <w:rPr>
                <w:rFonts w:ascii="Arial" w:cs="Arial" w:eastAsia="Arial" w:hAnsi="Arial"/>
                <w:sz w:val="18"/>
                <w:szCs w:val="18"/>
                <w:color w:val="auto"/>
              </w:rPr>
              <w:t>Acquisitions (1)</w:t>
            </w:r>
          </w:p>
        </w:tc>
        <w:tc>
          <w:tcPr>
            <w:tcW w:w="2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27"/>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adjustments (2)</w:t>
            </w:r>
          </w:p>
        </w:tc>
        <w:tc>
          <w:tcPr>
            <w:tcW w:w="2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20"/>
        </w:trPr>
        <w:tc>
          <w:tcPr>
            <w:tcW w:w="4600" w:type="dxa"/>
            <w:vAlign w:val="bottom"/>
          </w:tcPr>
          <w:p>
            <w:pPr>
              <w:spacing w:after="0"/>
              <w:rPr>
                <w:sz w:val="20"/>
                <w:szCs w:val="20"/>
                <w:color w:val="auto"/>
              </w:rPr>
            </w:pPr>
            <w:r>
              <w:rPr>
                <w:rFonts w:ascii="Arial" w:cs="Arial" w:eastAsia="Arial" w:hAnsi="Arial"/>
                <w:sz w:val="18"/>
                <w:szCs w:val="18"/>
                <w:color w:val="auto"/>
              </w:rPr>
              <w:t>Balance as of December 31, 2016</w:t>
            </w:r>
          </w:p>
        </w:tc>
        <w:tc>
          <w:tcPr>
            <w:tcW w:w="2180" w:type="dxa"/>
            <w:vAlign w:val="bottom"/>
          </w:tcPr>
          <w:p>
            <w:pPr>
              <w:spacing w:after="0"/>
              <w:rPr>
                <w:sz w:val="19"/>
                <w:szCs w:val="19"/>
                <w:color w:val="auto"/>
              </w:rPr>
            </w:pPr>
          </w:p>
        </w:tc>
        <w:tc>
          <w:tcPr>
            <w:tcW w:w="940" w:type="dxa"/>
            <w:vAlign w:val="bottom"/>
            <w:tcBorders>
              <w:top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r>
      <w:tr>
        <w:trPr>
          <w:trHeight w:val="227"/>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adjustments (2)</w:t>
            </w:r>
          </w:p>
        </w:tc>
        <w:tc>
          <w:tcPr>
            <w:tcW w:w="21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r>
      <w:tr>
        <w:trPr>
          <w:trHeight w:val="220"/>
        </w:trPr>
        <w:tc>
          <w:tcPr>
            <w:tcW w:w="460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2180" w:type="dxa"/>
            <w:vAlign w:val="bottom"/>
          </w:tcPr>
          <w:p>
            <w:pPr>
              <w:spacing w:after="0"/>
              <w:rPr>
                <w:sz w:val="19"/>
                <w:szCs w:val="19"/>
                <w:color w:val="auto"/>
              </w:rPr>
            </w:pP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ind w:left="600" w:hanging="593"/>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additions to goodwill relate to our business acquisitions. Refer to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for further information.</w:t>
      </w:r>
    </w:p>
    <w:p>
      <w:pPr>
        <w:spacing w:after="0" w:line="19" w:lineRule="exact"/>
        <w:rPr>
          <w:rFonts w:ascii="Arial" w:cs="Arial" w:eastAsia="Arial" w:hAnsi="Arial"/>
          <w:sz w:val="18"/>
          <w:szCs w:val="18"/>
          <w:color w:val="auto"/>
        </w:rPr>
      </w:pPr>
    </w:p>
    <w:p>
      <w:pPr>
        <w:ind w:left="600" w:hanging="593"/>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Primarily related to impact of changes in foreign currency exchange rates to goodwill.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95" w:name="page96"/>
    <w:bookmarkEnd w:id="95"/>
    <w:p>
      <w:pPr>
        <w:ind w:right="380" w:firstLine="598"/>
        <w:spacing w:after="0" w:line="270" w:lineRule="auto"/>
        <w:rPr>
          <w:sz w:val="20"/>
          <w:szCs w:val="20"/>
          <w:color w:val="auto"/>
        </w:rPr>
      </w:pPr>
      <w:r>
        <w:rPr>
          <w:rFonts w:ascii="Arial" w:cs="Arial" w:eastAsia="Arial" w:hAnsi="Arial"/>
          <w:sz w:val="18"/>
          <w:szCs w:val="18"/>
          <w:color w:val="auto"/>
        </w:rPr>
        <w:t>Intangible assets, which were acquired in business combinations and recorded at fair value on the date of purchase, consist of the following for the periods presented: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0"/>
        </w:trPr>
        <w:tc>
          <w:tcPr>
            <w:tcW w:w="7860" w:type="dxa"/>
            <w:vAlign w:val="bottom"/>
          </w:tcPr>
          <w:p>
            <w:pPr>
              <w:spacing w:after="0"/>
              <w:rPr>
                <w:sz w:val="19"/>
                <w:szCs w:val="19"/>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r>
      <w:tr>
        <w:trPr>
          <w:trHeight w:val="220"/>
        </w:trPr>
        <w:tc>
          <w:tcPr>
            <w:tcW w:w="7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4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definite lives</w:t>
            </w: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r>
      <w:tr>
        <w:trPr>
          <w:trHeight w:val="227"/>
        </w:trPr>
        <w:tc>
          <w:tcPr>
            <w:tcW w:w="78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4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r>
      <w:tr>
        <w:trPr>
          <w:trHeight w:val="221"/>
        </w:trPr>
        <w:tc>
          <w:tcPr>
            <w:tcW w:w="78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Intangible assets with definite lives, net</w:t>
            </w: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with indefinite lives</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0"/>
        </w:trPr>
        <w:tc>
          <w:tcPr>
            <w:tcW w:w="7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580" w:firstLine="598"/>
        <w:spacing w:after="0" w:line="281" w:lineRule="auto"/>
        <w:rPr>
          <w:sz w:val="20"/>
          <w:szCs w:val="20"/>
          <w:color w:val="auto"/>
        </w:rPr>
      </w:pPr>
      <w:r>
        <w:rPr>
          <w:rFonts w:ascii="Arial" w:cs="Arial" w:eastAsia="Arial" w:hAnsi="Arial"/>
          <w:sz w:val="17"/>
          <w:szCs w:val="17"/>
          <w:color w:val="auto"/>
        </w:rPr>
        <w:t>Amortization expense was $32 million, $32 million, and $36 million, respectively, for the years ended December 31, 2017, 2016 and 2015. Our indefinite-lived intangible assets relate to trade names and trademarks. There were no impairment charges recognized to our consolidated statement of operations during the years ended December 31, 2017, 2016 and 2015 related to our goodwill or intangible assets.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components of our intangible assets with definite lives for the periods presented: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2016</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tcPr>
          <w:p>
            <w:pPr>
              <w:spacing w:after="0"/>
              <w:rPr>
                <w:sz w:val="13"/>
                <w:szCs w:val="13"/>
                <w:color w:val="auto"/>
              </w:rPr>
            </w:pPr>
          </w:p>
        </w:tc>
        <w:tc>
          <w:tcPr>
            <w:tcW w:w="184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3"/>
              </w:rPr>
              <w:t>Remaining Life</w:t>
            </w:r>
          </w:p>
        </w:tc>
        <w:tc>
          <w:tcPr>
            <w:tcW w:w="100" w:type="dxa"/>
            <w:vAlign w:val="bottom"/>
          </w:tcPr>
          <w:p>
            <w:pPr>
              <w:spacing w:after="0"/>
              <w:rPr>
                <w:sz w:val="13"/>
                <w:szCs w:val="13"/>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0"/>
        </w:trPr>
        <w:tc>
          <w:tcPr>
            <w:tcW w:w="3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0"/>
        </w:trPr>
        <w:tc>
          <w:tcPr>
            <w:tcW w:w="3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Trade names and trademarks</w:t>
            </w:r>
          </w:p>
        </w:tc>
        <w:tc>
          <w:tcPr>
            <w:tcW w:w="164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(14)</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spacing w:after="0"/>
              <w:rPr>
                <w:sz w:val="20"/>
                <w:szCs w:val="20"/>
                <w:color w:val="auto"/>
              </w:rPr>
            </w:pPr>
            <w:r>
              <w:rPr>
                <w:rFonts w:ascii="Arial" w:cs="Arial" w:eastAsia="Arial" w:hAnsi="Arial"/>
                <w:sz w:val="18"/>
                <w:szCs w:val="18"/>
                <w:color w:val="auto"/>
              </w:rPr>
              <w:t>Customer lists and supplier relationships</w:t>
            </w:r>
          </w:p>
        </w:tc>
        <w:tc>
          <w:tcPr>
            <w:tcW w:w="1640" w:type="dxa"/>
            <w:vAlign w:val="bottom"/>
            <w:gridSpan w:val="2"/>
          </w:tcPr>
          <w:p>
            <w:pPr>
              <w:jc w:val="right"/>
              <w:ind w:right="229"/>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640" w:type="dxa"/>
            <w:vAlign w:val="bottom"/>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spacing w:after="0"/>
              <w:rPr>
                <w:sz w:val="20"/>
                <w:szCs w:val="20"/>
                <w:color w:val="auto"/>
              </w:rPr>
            </w:pPr>
            <w:r>
              <w:rPr>
                <w:rFonts w:ascii="Arial" w:cs="Arial" w:eastAsia="Arial" w:hAnsi="Arial"/>
                <w:sz w:val="18"/>
                <w:szCs w:val="18"/>
                <w:color w:val="auto"/>
              </w:rPr>
              <w:t>Technology and other</w:t>
            </w:r>
          </w:p>
        </w:tc>
        <w:tc>
          <w:tcPr>
            <w:tcW w:w="1640" w:type="dxa"/>
            <w:vAlign w:val="bottom"/>
            <w:gridSpan w:val="2"/>
          </w:tcPr>
          <w:p>
            <w:pPr>
              <w:jc w:val="right"/>
              <w:ind w:right="229"/>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CFF0FC"/>
              <w:bottom w:val="single" w:sz="8" w:color="CFF0FC"/>
            </w:tcBorders>
            <w:gridSpan w:val="2"/>
            <w:shd w:val="clear" w:color="auto" w:fill="CFF0FC"/>
          </w:tcPr>
          <w:p>
            <w:pPr>
              <w:jc w:val="right"/>
              <w:ind w:right="229"/>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7"/>
                <w:szCs w:val="17"/>
                <w:color w:val="auto"/>
                <w:w w:val="72"/>
              </w:rPr>
              <w:t>(80)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80" w:firstLine="598"/>
        <w:spacing w:after="0" w:line="270"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above for a discussion of definite lived intangible assets acquired in business combinations during the years ended December 31, 2016 and 2015.</w:t>
      </w:r>
    </w:p>
    <w:p>
      <w:pPr>
        <w:spacing w:after="0" w:line="175" w:lineRule="exact"/>
        <w:rPr>
          <w:sz w:val="20"/>
          <w:szCs w:val="20"/>
          <w:color w:val="auto"/>
        </w:rPr>
      </w:pPr>
    </w:p>
    <w:p>
      <w:pPr>
        <w:ind w:right="80" w:firstLine="598"/>
        <w:spacing w:after="0" w:line="270" w:lineRule="auto"/>
        <w:rPr>
          <w:sz w:val="20"/>
          <w:szCs w:val="20"/>
          <w:color w:val="auto"/>
        </w:rPr>
      </w:pPr>
      <w:r>
        <w:rPr>
          <w:rFonts w:ascii="Arial" w:cs="Arial" w:eastAsia="Arial" w:hAnsi="Arial"/>
          <w:sz w:val="18"/>
          <w:szCs w:val="18"/>
          <w:color w:val="auto"/>
        </w:rPr>
        <w:t>Our definite-lived intangible assets are being amortized on a straight-line basis. The straight-line method of amortization is currently our best estimate, or approximates to date, the distribution of the economic use of these intangible assets.</w:t>
      </w:r>
    </w:p>
    <w:p>
      <w:pPr>
        <w:spacing w:after="0" w:line="175" w:lineRule="exact"/>
        <w:rPr>
          <w:sz w:val="20"/>
          <w:szCs w:val="20"/>
          <w:color w:val="auto"/>
        </w:rPr>
      </w:pPr>
    </w:p>
    <w:p>
      <w:pPr>
        <w:ind w:right="360" w:firstLine="598"/>
        <w:spacing w:after="0" w:line="300" w:lineRule="auto"/>
        <w:rPr>
          <w:sz w:val="20"/>
          <w:szCs w:val="20"/>
          <w:color w:val="auto"/>
        </w:rPr>
      </w:pPr>
      <w:r>
        <w:rPr>
          <w:rFonts w:ascii="Arial" w:cs="Arial" w:eastAsia="Arial" w:hAnsi="Arial"/>
          <w:sz w:val="17"/>
          <w:szCs w:val="17"/>
          <w:color w:val="auto"/>
        </w:rPr>
        <w:t>The estimated amortization expense for intangible assets with definite lives for each of the next five years, and the expense thereafter, assuming no subsequent impairment of the underlying assets or change in estimate of remaining lives, is expected to be as follows (in millions):</w:t>
      </w:r>
    </w:p>
    <w:p>
      <w:pPr>
        <w:spacing w:after="0" w:line="380" w:lineRule="exact"/>
        <w:rPr>
          <w:sz w:val="20"/>
          <w:szCs w:val="20"/>
          <w:color w:val="auto"/>
        </w:rPr>
      </w:pPr>
    </w:p>
    <w:tbl>
      <w:tblPr>
        <w:tblLayout w:type="fixed"/>
        <w:tblInd w:w="2280" w:type="dxa"/>
        <w:tblCellMar>
          <w:top w:w="0" w:type="dxa"/>
          <w:left w:w="0" w:type="dxa"/>
          <w:bottom w:w="0" w:type="dxa"/>
          <w:right w:w="0" w:type="dxa"/>
        </w:tblCellMar>
      </w:tblPr>
      <w:tr>
        <w:trPr>
          <w:trHeight w:val="227"/>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600" w:type="dxa"/>
            <w:vAlign w:val="bottom"/>
            <w:gridSpan w:val="2"/>
            <w:shd w:val="clear" w:color="auto" w:fill="CFF0FC"/>
          </w:tcPr>
          <w:p>
            <w:pPr>
              <w:jc w:val="right"/>
              <w:ind w:right="3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FF0FC"/>
          </w:tcPr>
          <w:p>
            <w:pPr>
              <w:spacing w:after="0"/>
              <w:rPr>
                <w:sz w:val="19"/>
                <w:szCs w:val="19"/>
                <w:color w:val="auto"/>
              </w:rPr>
            </w:pPr>
          </w:p>
        </w:tc>
      </w:tr>
      <w:tr>
        <w:trPr>
          <w:trHeight w:val="227"/>
        </w:trPr>
        <w:tc>
          <w:tcPr>
            <w:tcW w:w="3500" w:type="dxa"/>
            <w:vAlign w:val="bottom"/>
          </w:tcPr>
          <w:p>
            <w:pPr>
              <w:spacing w:after="0"/>
              <w:rPr>
                <w:sz w:val="20"/>
                <w:szCs w:val="20"/>
                <w:color w:val="auto"/>
              </w:rPr>
            </w:pPr>
            <w:r>
              <w:rPr>
                <w:rFonts w:ascii="Arial" w:cs="Arial" w:eastAsia="Arial" w:hAnsi="Arial"/>
                <w:sz w:val="18"/>
                <w:szCs w:val="18"/>
                <w:color w:val="auto"/>
              </w:rPr>
              <w:t>2019</w:t>
            </w:r>
          </w:p>
        </w:tc>
        <w:tc>
          <w:tcPr>
            <w:tcW w:w="2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r>
      <w:tr>
        <w:trPr>
          <w:trHeight w:val="227"/>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r>
      <w:tr>
        <w:trPr>
          <w:trHeight w:val="227"/>
        </w:trPr>
        <w:tc>
          <w:tcPr>
            <w:tcW w:w="3500" w:type="dxa"/>
            <w:vAlign w:val="bottom"/>
          </w:tcPr>
          <w:p>
            <w:pPr>
              <w:spacing w:after="0"/>
              <w:rPr>
                <w:sz w:val="20"/>
                <w:szCs w:val="20"/>
                <w:color w:val="auto"/>
              </w:rPr>
            </w:pPr>
            <w:r>
              <w:rPr>
                <w:rFonts w:ascii="Arial" w:cs="Arial" w:eastAsia="Arial" w:hAnsi="Arial"/>
                <w:sz w:val="18"/>
                <w:szCs w:val="18"/>
                <w:color w:val="auto"/>
              </w:rPr>
              <w:t>2021</w:t>
            </w:r>
          </w:p>
        </w:tc>
        <w:tc>
          <w:tcPr>
            <w:tcW w:w="2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27"/>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r>
      <w:tr>
        <w:trPr>
          <w:trHeight w:val="227"/>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 and thereafter</w:t>
            </w:r>
          </w:p>
        </w:tc>
        <w:tc>
          <w:tcPr>
            <w:tcW w:w="2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FF0FC"/>
            </w:tcBorders>
          </w:tcPr>
          <w:p>
            <w:pPr>
              <w:spacing w:after="0"/>
              <w:rPr>
                <w:sz w:val="19"/>
                <w:szCs w:val="19"/>
                <w:color w:val="auto"/>
              </w:rPr>
            </w:pPr>
          </w:p>
        </w:tc>
      </w:tr>
      <w:tr>
        <w:trPr>
          <w:trHeight w:val="220"/>
        </w:trPr>
        <w:tc>
          <w:tcPr>
            <w:tcW w:w="3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9: DEBT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2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right"/>
              <w:ind w:right="936"/>
              <w:spacing w:after="0" w:line="153"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2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Chinese Credit Facilities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2016 Credit Facility</w:t>
            </w:r>
          </w:p>
        </w:tc>
        <w:tc>
          <w:tcPr>
            <w:tcW w:w="2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4160" w:type="dxa"/>
            <w:vAlign w:val="bottom"/>
            <w:gridSpan w:val="2"/>
          </w:tcPr>
          <w:p>
            <w:pPr>
              <w:spacing w:after="0"/>
              <w:rPr>
                <w:sz w:val="20"/>
                <w:szCs w:val="20"/>
                <w:color w:val="auto"/>
              </w:rPr>
            </w:pPr>
            <w:r>
              <w:rPr>
                <w:rFonts w:ascii="Arial" w:cs="Arial" w:eastAsia="Arial" w:hAnsi="Arial"/>
                <w:sz w:val="18"/>
                <w:szCs w:val="18"/>
                <w:color w:val="auto"/>
              </w:rPr>
              <w:t>Total Short-Term Debt (1)</w:t>
            </w:r>
          </w:p>
        </w:tc>
        <w:tc>
          <w:tcPr>
            <w:tcW w:w="2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18"/>
                <w:szCs w:val="18"/>
                <w:color w:val="auto"/>
              </w:rPr>
            </w:pPr>
          </w:p>
        </w:tc>
        <w:tc>
          <w:tcPr>
            <w:tcW w:w="2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Long-Term Debt:</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2015 Credit Facility</w:t>
            </w:r>
          </w:p>
        </w:tc>
        <w:tc>
          <w:tcPr>
            <w:tcW w:w="2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1780" w:hanging="585"/>
        <w:spacing w:after="0"/>
        <w:tabs>
          <w:tab w:leader="none" w:pos="1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weighted-average interest rate on short-term debt was 5.0% as of December 31, 2017 and 2.1% as of December 31, 2016.</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Credit Facility</w:t>
      </w:r>
    </w:p>
    <w:p>
      <w:pPr>
        <w:spacing w:after="0" w:line="113" w:lineRule="exact"/>
        <w:rPr>
          <w:sz w:val="20"/>
          <w:szCs w:val="20"/>
          <w:color w:val="auto"/>
        </w:rPr>
      </w:pPr>
    </w:p>
    <w:p>
      <w:pPr>
        <w:ind w:right="120" w:firstLine="598"/>
        <w:spacing w:after="0" w:line="270" w:lineRule="auto"/>
        <w:rPr>
          <w:sz w:val="20"/>
          <w:szCs w:val="20"/>
          <w:color w:val="auto"/>
        </w:rPr>
      </w:pPr>
      <w:r>
        <w:rPr>
          <w:rFonts w:ascii="Arial" w:cs="Arial" w:eastAsia="Arial" w:hAnsi="Arial"/>
          <w:sz w:val="18"/>
          <w:szCs w:val="18"/>
          <w:color w:val="auto"/>
        </w:rPr>
        <w:t>In December 2011, we entered into a credit agreement (the “2011 Credit Facility”) with a group of lenders, which provided $600 million of borrowing including:</w:t>
      </w:r>
    </w:p>
    <w:p>
      <w:pPr>
        <w:spacing w:after="0" w:line="75" w:lineRule="exact"/>
        <w:rPr>
          <w:sz w:val="20"/>
          <w:szCs w:val="20"/>
          <w:color w:val="auto"/>
        </w:rPr>
      </w:pPr>
    </w:p>
    <w:p>
      <w:pPr>
        <w:ind w:left="880" w:right="3580" w:hanging="227"/>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17"/>
          <w:szCs w:val="17"/>
          <w:color w:val="auto"/>
        </w:rPr>
        <w:t>a term loan facility in an aggregate principal amount of $400 million with a term of five years due</w:t>
      </w:r>
      <w:r>
        <w:rPr>
          <w:rFonts w:ascii="Arial" w:cs="Arial" w:eastAsia="Arial" w:hAnsi="Arial"/>
          <w:sz w:val="21"/>
          <w:szCs w:val="21"/>
          <w:color w:val="auto"/>
        </w:rPr>
        <w:t xml:space="preserve"> </w:t>
      </w:r>
      <w:r>
        <w:rPr>
          <w:rFonts w:ascii="Arial" w:cs="Arial" w:eastAsia="Arial" w:hAnsi="Arial"/>
          <w:sz w:val="17"/>
          <w:szCs w:val="17"/>
          <w:color w:val="auto"/>
        </w:rPr>
        <w:t>December 2016 (“Term Loan”); and</w:t>
      </w:r>
    </w:p>
    <w:p>
      <w:pPr>
        <w:ind w:left="880" w:right="3400" w:hanging="227"/>
        <w:spacing w:after="0" w:line="212" w:lineRule="auto"/>
        <w:rPr>
          <w:sz w:val="20"/>
          <w:szCs w:val="20"/>
          <w:color w:val="auto"/>
        </w:rPr>
      </w:pPr>
      <w:r>
        <w:rPr>
          <w:rFonts w:ascii="Arial" w:cs="Arial" w:eastAsia="Arial" w:hAnsi="Arial"/>
          <w:sz w:val="21"/>
          <w:szCs w:val="21"/>
          <w:color w:val="auto"/>
        </w:rPr>
        <w:t>—</w:t>
      </w:r>
      <w:r>
        <w:rPr>
          <w:rFonts w:ascii="Arial" w:cs="Arial" w:eastAsia="Arial" w:hAnsi="Arial"/>
          <w:sz w:val="17"/>
          <w:szCs w:val="17"/>
          <w:color w:val="auto"/>
        </w:rPr>
        <w:t>a revolving credit facility in an aggregate principal amount of $200 million available in U.S. dollars,</w:t>
      </w:r>
      <w:r>
        <w:rPr>
          <w:rFonts w:ascii="Arial" w:cs="Arial" w:eastAsia="Arial" w:hAnsi="Arial"/>
          <w:sz w:val="21"/>
          <w:szCs w:val="21"/>
          <w:color w:val="auto"/>
        </w:rPr>
        <w:t xml:space="preserve"> </w:t>
      </w:r>
      <w:r>
        <w:rPr>
          <w:rFonts w:ascii="Arial" w:cs="Arial" w:eastAsia="Arial" w:hAnsi="Arial"/>
          <w:sz w:val="17"/>
          <w:szCs w:val="17"/>
          <w:color w:val="auto"/>
        </w:rPr>
        <w:t>Euros and British pound sterling with a term of five years expiring December 2016.</w:t>
      </w:r>
    </w:p>
    <w:p>
      <w:pPr>
        <w:spacing w:after="0" w:line="24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In June 2015, the entire outstanding principal on our Term Loan in the amount of $290 million was repaid with borrowings from our 2015 Credit Facility (described below) and the 2011 Credit Facility was subsequently terminated. During the year ended December 31, 2015, we recorded total interest and commitment fees on our 2011 Credit Facility of $3 million to interest expense on our consolidated statements of operations. There was no resulting loss on early extinguishment of this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Credit Facility</w:t>
      </w:r>
    </w:p>
    <w:p>
      <w:pPr>
        <w:spacing w:after="0" w:line="113" w:lineRule="exact"/>
        <w:rPr>
          <w:sz w:val="20"/>
          <w:szCs w:val="20"/>
          <w:color w:val="auto"/>
        </w:rPr>
      </w:pPr>
    </w:p>
    <w:p>
      <w:pPr>
        <w:ind w:firstLine="631"/>
        <w:spacing w:after="0" w:line="281" w:lineRule="auto"/>
        <w:rPr>
          <w:sz w:val="20"/>
          <w:szCs w:val="20"/>
          <w:color w:val="auto"/>
        </w:rPr>
      </w:pPr>
      <w:r>
        <w:rPr>
          <w:rFonts w:ascii="Arial" w:cs="Arial" w:eastAsia="Arial" w:hAnsi="Arial"/>
          <w:sz w:val="16"/>
          <w:szCs w:val="16"/>
          <w:color w:val="auto"/>
        </w:rPr>
        <w:t>In June 2015, we entered into a five year credit agreement with a group of lenders which, among other things, provided for a $1 billion unsecured revolving credit facility (the “2015 Credit Facility”) and immediately borrowed $290 million. In May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w:t>
      </w:r>
    </w:p>
    <w:p>
      <w:pPr>
        <w:jc w:val="both"/>
        <w:ind w:right="200"/>
        <w:spacing w:after="0" w:line="251" w:lineRule="auto"/>
        <w:rPr>
          <w:sz w:val="20"/>
          <w:szCs w:val="20"/>
          <w:color w:val="auto"/>
        </w:rPr>
      </w:pPr>
      <w:r>
        <w:rPr>
          <w:rFonts w:ascii="Arial" w:cs="Arial" w:eastAsia="Arial" w:hAnsi="Arial"/>
          <w:sz w:val="18"/>
          <w:szCs w:val="18"/>
          <w:color w:val="auto"/>
        </w:rPr>
        <w:t>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revolving credit facility in U.S dollars, Euros and British pound sterling.</w:t>
      </w:r>
    </w:p>
    <w:p>
      <w:pPr>
        <w:spacing w:after="0" w:line="85" w:lineRule="exact"/>
        <w:rPr>
          <w:sz w:val="20"/>
          <w:szCs w:val="20"/>
          <w:color w:val="auto"/>
        </w:rPr>
      </w:pPr>
    </w:p>
    <w:p>
      <w:pPr>
        <w:ind w:right="100" w:firstLine="631"/>
        <w:spacing w:after="0" w:line="306" w:lineRule="auto"/>
        <w:rPr>
          <w:sz w:val="20"/>
          <w:szCs w:val="20"/>
          <w:color w:val="auto"/>
        </w:rPr>
      </w:pPr>
      <w:r>
        <w:rPr>
          <w:rFonts w:ascii="Arial" w:cs="Arial" w:eastAsia="Arial" w:hAnsi="Arial"/>
          <w:sz w:val="16"/>
          <w:szCs w:val="16"/>
          <w:color w:val="auto"/>
        </w:rPr>
        <w:t xml:space="preserve">During the year ended December 31, 2017, the Company borrowed an additional $435 million and repaid $296 million of our outstanding borrowings under the 2015 Credit Facility. These net borrowings during the year were primarily used to repurchase shares of our outstanding common stock under the Company’s repurchase program, which is described in “Note 15 - </w:t>
      </w:r>
      <w:r>
        <w:rPr>
          <w:rFonts w:ascii="Arial" w:cs="Arial" w:eastAsia="Arial" w:hAnsi="Arial"/>
          <w:sz w:val="16"/>
          <w:szCs w:val="16"/>
          <w:i w:val="1"/>
          <w:iCs w:val="1"/>
          <w:color w:val="auto"/>
        </w:rPr>
        <w:t>Stockholders Equity</w:t>
      </w:r>
      <w:r>
        <w:rPr>
          <w:rFonts w:ascii="Arial" w:cs="Arial" w:eastAsia="Arial" w:hAnsi="Arial"/>
          <w:sz w:val="16"/>
          <w:szCs w:val="16"/>
          <w:color w:val="auto"/>
        </w:rPr>
        <w:t>”. During the year ended December 31, 2016,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Company borrowed an additional $101 million and repaid $210 million of our outstanding borrowings on the 2015 Credit Facility.</w:t>
      </w:r>
    </w:p>
    <w:p>
      <w:pPr>
        <w:spacing w:after="0" w:line="113" w:lineRule="exact"/>
        <w:rPr>
          <w:sz w:val="20"/>
          <w:szCs w:val="20"/>
          <w:color w:val="auto"/>
        </w:rPr>
      </w:pPr>
    </w:p>
    <w:p>
      <w:pPr>
        <w:ind w:right="80" w:firstLine="631"/>
        <w:spacing w:after="0" w:line="282" w:lineRule="auto"/>
        <w:rPr>
          <w:sz w:val="20"/>
          <w:szCs w:val="20"/>
          <w:color w:val="auto"/>
        </w:rPr>
      </w:pPr>
      <w:r>
        <w:rPr>
          <w:rFonts w:ascii="Arial" w:cs="Arial" w:eastAsia="Arial" w:hAnsi="Arial"/>
          <w:sz w:val="16"/>
          <w:szCs w:val="16"/>
          <w:color w:val="auto"/>
        </w:rPr>
        <w:t>As of December 31, 2017, based on the Company’s leverage ratio, our borrowings bear interest at LIBO rate; plus an applicable margin of 1.25%, or the Eurocurrency Spread. The Company was borrowing under a one-month interest rate period or a weighted average rate of 2.74% per annum as of December 31, 2017, using a one-month interest period Eurocurrency Spread, which will reset periodically. Interest will be payable on a monthly basis while the Company is borrowing under the one-month interest rate period. We are also required to pay a quarterly commitment fee, at an applicable rate ranging from 0.15% to</w:t>
      </w:r>
    </w:p>
    <w:p>
      <w:pPr>
        <w:spacing w:after="0" w:line="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0.30%, on the daily unused portion of the revolving credit facility for each fiscal quarter and additional fees in connection with the issuance of letters of credit. As of December 31, 2017, our unused revolver capacity was subject to a commitment fee of 0.15%, given the Company’s leverage ratio. The 2015 Credit Facility includes $15 million of borrowing capacity available for letters of credit and $40 million for Swing Line borrowings on same-day notice. As of December 31, 2017, we had issued $3 million of outstanding letters of credit under the 2015 Credit Facility. We recorded total interest expense and commitment fees on our 2015 Credit Facility of $6 million, $4 million and $2 million for the years ended December 31, 2017, 2016 and 2015, respectively, to interest expense on our consolidated statements of operations. All unpaid interest and commitment fee amounts as of December 31, 2017 and December 31, 2016, respectively, were not material.</w:t>
      </w:r>
    </w:p>
    <w:p>
      <w:pPr>
        <w:spacing w:after="0" w:line="199"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We also incurred lender fees and debt financing costs totaling $3 million in connection with entering into the 2015 Credit Facility in June 2015, which were capitalized as deferred financing costs and recorded to other long-term assets on the consolidated balance sheet. In connection with the First Amendment, in May 2017, we incurred additional lender fees and debt financing costs totaling $2 million, which were capitalized as deferred financing costs and recorded to other long-term assets on the consolidated balance sheet. As of December 31, 2017, the Company has $3 million remaining in deferred financing costs in connection with the 2015 Credit Facility. These costs are being amortized over the remaining term on a straight line basis and recorded to interest expense on our consolidated statements of operations. The resulting write down of previous deferred financing costs as a result of the First Amendment was not material.</w:t>
      </w:r>
    </w:p>
    <w:p>
      <w:pPr>
        <w:spacing w:after="0" w:line="166" w:lineRule="exact"/>
        <w:rPr>
          <w:sz w:val="20"/>
          <w:szCs w:val="20"/>
          <w:color w:val="auto"/>
        </w:rPr>
      </w:pPr>
    </w:p>
    <w:p>
      <w:pPr>
        <w:ind w:right="60" w:firstLine="598"/>
        <w:spacing w:after="0" w:line="266" w:lineRule="auto"/>
        <w:rPr>
          <w:sz w:val="20"/>
          <w:szCs w:val="20"/>
          <w:color w:val="auto"/>
        </w:rPr>
      </w:pPr>
      <w:r>
        <w:rPr>
          <w:rFonts w:ascii="Arial" w:cs="Arial" w:eastAsia="Arial" w:hAnsi="Arial"/>
          <w:sz w:val="17"/>
          <w:szCs w:val="17"/>
          <w:color w:val="auto"/>
        </w:rPr>
        <w:t>There is no specific repayment date prior to the maturity date for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December 31, 2017, we were in compliance with all of our debt covenants.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113" w:lineRule="exact"/>
        <w:rPr>
          <w:sz w:val="20"/>
          <w:szCs w:val="20"/>
          <w:color w:val="auto"/>
        </w:rPr>
      </w:pPr>
    </w:p>
    <w:p>
      <w:pPr>
        <w:ind w:right="80" w:firstLine="598"/>
        <w:spacing w:after="0" w:line="268" w:lineRule="auto"/>
        <w:rPr>
          <w:sz w:val="20"/>
          <w:szCs w:val="20"/>
          <w:color w:val="auto"/>
        </w:rPr>
      </w:pPr>
      <w:r>
        <w:rPr>
          <w:rFonts w:ascii="Arial" w:cs="Arial" w:eastAsia="Arial" w:hAnsi="Arial"/>
          <w:sz w:val="17"/>
          <w:szCs w:val="17"/>
          <w:color w:val="auto"/>
        </w:rPr>
        <w:t>In September 2016, we entered into an uncommitted facility agreement which provides for a $73 million unsecured revolving credit facility (the “2016 Credit Facility”) with no specific expiration date. The 2016 Credit Facility is available at the Lender’s discretion and can be canceled at any time. Repayment terms for borrowings under the 2016 Credit Facility are generally one to six month periods, or such other periods as the parties may mutually agree, and bear interest at LIBOR plus 112.5 basis points. The Company may borrow from the 2016 Credit Facility in U.S dollars only and we may voluntarily repay any outstanding borrowing at any time without premium or penalty. Any overdue amounts under or in respect of the 2016 Credit Facility not paid when due shall bear interest in the case of principal at the applicable interest rate plus 1.50% per annum. In connection with the 2016 Credit Facility, any lender fees and debt financing costs paid were not material. There are no specific financial or incurrence covenants.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8" w:name="page99"/>
    <w:bookmarkEnd w:id="98"/>
    <w:p>
      <w:pPr>
        <w:ind w:right="80" w:firstLine="598"/>
        <w:spacing w:after="0" w:line="253" w:lineRule="auto"/>
        <w:rPr>
          <w:sz w:val="20"/>
          <w:szCs w:val="20"/>
          <w:color w:val="auto"/>
        </w:rPr>
      </w:pPr>
      <w:r>
        <w:rPr>
          <w:rFonts w:ascii="Arial" w:cs="Arial" w:eastAsia="Arial" w:hAnsi="Arial"/>
          <w:sz w:val="18"/>
          <w:szCs w:val="18"/>
          <w:color w:val="auto"/>
        </w:rPr>
        <w:t>We borrowed $73 million from this uncommitted credit facility in September 2016 and repaid the full amount during the first three months of 2017. These funds were used for general working capital needs of the Company, primarily for partial repayment of our 2015 Credit Facility and recorded in current portion of debt on our consolidated balance sheet at December 31, 2016. We had no outstanding borrowings under this 2016 Credit Facility as of December 31, 2017. During the years ended December 31, 2017 and 2016, total interest recorded with respect to our 2016 Credit Facility to interest expense on our consolidated statement of operations were not material.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addition to our 2015 Credit Facility and 2016 Credit Facility, we maintain two credit facilities in China (jointly, the “Chinese Credit Facilities”).</w:t>
      </w:r>
    </w:p>
    <w:p>
      <w:pPr>
        <w:spacing w:after="0" w:line="232" w:lineRule="exact"/>
        <w:rPr>
          <w:sz w:val="20"/>
          <w:szCs w:val="20"/>
          <w:color w:val="auto"/>
        </w:rPr>
      </w:pPr>
    </w:p>
    <w:p>
      <w:pPr>
        <w:jc w:val="both"/>
        <w:ind w:right="80" w:firstLine="598"/>
        <w:spacing w:after="0" w:line="274" w:lineRule="auto"/>
        <w:rPr>
          <w:sz w:val="20"/>
          <w:szCs w:val="20"/>
          <w:color w:val="auto"/>
        </w:rPr>
      </w:pPr>
      <w:r>
        <w:rPr>
          <w:rFonts w:ascii="Arial" w:cs="Arial" w:eastAsia="Arial" w:hAnsi="Arial"/>
          <w:sz w:val="17"/>
          <w:szCs w:val="17"/>
          <w:color w:val="auto"/>
        </w:rPr>
        <w:t>We are parties to a $30 million, one-year revolving credit facility with Bank of America (the “Chinese Credit Facility—BOA”) that is currently subject to review on a periodic basis with no specific expiration period. Borrowings under our Chinese Credit Facility – BOA generally bear interest at a rate based on People’s Bank of China benchmark, including certain adjustments which may be made in accordance with the market condition at the time of borrowing. As of December 31, 2017 and 2016, there were no outstanding borrowings under our Chinese Credit Facility—BOA.</w:t>
      </w:r>
    </w:p>
    <w:p>
      <w:pPr>
        <w:spacing w:after="0" w:line="175"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We are also parties to a RMB 70,000,000 (approximately $10 million) one-year revolving credit facility with J.P. Morgan Chase Bank (“Chinese Credit Facility-JPM”). Our Chinese Credit Facility—JPM generally bears interest at a rate based on People’s Bank of China benchmark, including certain adjustments which may be made in accordance with the market condition at the time of borrowing. As of both December 31, 2017 and December 31, 2016, we had $7 million of outstanding borrowings from the Chinese Credit Facility – JPM at a weighted average rate of 5.00% and 4.35%, respectively.</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our domestic and foreign income before income taxes:</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8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8"/>
              <w:spacing w:after="0" w:line="153"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20" w:type="dxa"/>
            <w:vAlign w:val="bottom"/>
          </w:tcPr>
          <w:p>
            <w:pPr>
              <w:spacing w:after="0"/>
              <w:rPr>
                <w:sz w:val="19"/>
                <w:szCs w:val="19"/>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300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2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2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80" w:type="dxa"/>
            <w:vAlign w:val="bottom"/>
            <w:tcBorders>
              <w:bottom w:val="single" w:sz="8" w:color="CFF0FC"/>
            </w:tcBorders>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the components of our provision for income taxes: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4"/>
              <w:spacing w:after="0" w:line="153"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1160" w:type="dxa"/>
            <w:vAlign w:val="bottom"/>
          </w:tcPr>
          <w:p>
            <w:pPr>
              <w:spacing w:after="0"/>
              <w:rPr>
                <w:sz w:val="22"/>
                <w:szCs w:val="22"/>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14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Federal</w:t>
            </w:r>
          </w:p>
        </w:tc>
        <w:tc>
          <w:tcPr>
            <w:tcW w:w="226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260" w:type="dxa"/>
            <w:vAlign w:val="bottom"/>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4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14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Deferred income tax expense (benefit):</w:t>
            </w:r>
          </w:p>
        </w:tc>
        <w:tc>
          <w:tcPr>
            <w:tcW w:w="1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4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State</w:t>
            </w: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4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Deferred income tax expense (benefit):</w:t>
            </w:r>
          </w:p>
        </w:tc>
        <w:tc>
          <w:tcPr>
            <w:tcW w:w="14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80" w:type="dxa"/>
            <w:vAlign w:val="bottom"/>
            <w:vMerge w:val="restart"/>
          </w:tcPr>
          <w:p>
            <w:pPr>
              <w:jc w:val="right"/>
              <w:ind w:right="371"/>
              <w:spacing w:after="0"/>
              <w:rPr>
                <w:sz w:val="20"/>
                <w:szCs w:val="20"/>
                <w:color w:val="auto"/>
              </w:rPr>
            </w:pPr>
            <w:r>
              <w:rPr>
                <w:rFonts w:ascii="Arial" w:cs="Arial" w:eastAsia="Arial" w:hAnsi="Arial"/>
                <w:sz w:val="18"/>
                <w:szCs w:val="18"/>
                <w:color w:val="auto"/>
              </w:rPr>
              <w:t>97</w:t>
            </w: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2" w:right="219" w:bottom="1440" w:gutter="0" w:footer="0" w:header="0"/>
        </w:sectPr>
      </w:pPr>
    </w:p>
    <w:bookmarkStart w:id="99" w:name="page100"/>
    <w:bookmarkEnd w:id="99"/>
    <w:p>
      <w:pPr>
        <w:ind w:right="240" w:firstLine="598"/>
        <w:spacing w:after="0" w:line="270" w:lineRule="auto"/>
        <w:rPr>
          <w:sz w:val="20"/>
          <w:szCs w:val="20"/>
          <w:color w:val="auto"/>
        </w:rPr>
      </w:pPr>
      <w:r>
        <w:rPr>
          <w:rFonts w:ascii="Arial" w:cs="Arial" w:eastAsia="Arial" w:hAnsi="Arial"/>
          <w:sz w:val="18"/>
          <w:szCs w:val="18"/>
          <w:color w:val="auto"/>
        </w:rPr>
        <w:t>The Company reduced its current income tax payable by $27 million, $21 million and $63 million for the years ended December 31, 2017, 2016 and 2015, respectively, for tax deductions attributable to the exercise or settlement of the Company’s stock-based awards.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our deferred tax assets and deferred tax liabilities as of December 31, 2017 and 2016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60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00" w:type="dxa"/>
            <w:vAlign w:val="bottom"/>
            <w:tcBorders>
              <w:bottom w:val="single" w:sz="8" w:color="auto"/>
            </w:tcBorders>
          </w:tcPr>
          <w:p>
            <w:pPr>
              <w:jc w:val="right"/>
              <w:ind w:right="15"/>
              <w:spacing w:after="0" w:line="153"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2"/>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4"/>
        </w:trPr>
        <w:tc>
          <w:tcPr>
            <w:tcW w:w="60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3"/>
          </w:tcPr>
          <w:p>
            <w:pPr>
              <w:jc w:val="right"/>
              <w:ind w:right="108"/>
              <w:spacing w:after="0" w:line="153" w:lineRule="exact"/>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4"/>
        </w:trPr>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1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2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2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Lease financing obligation</w:t>
            </w:r>
          </w:p>
        </w:tc>
        <w:tc>
          <w:tcPr>
            <w:tcW w:w="2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Foreign advertising spend</w:t>
            </w:r>
          </w:p>
        </w:tc>
        <w:tc>
          <w:tcPr>
            <w:tcW w:w="2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Deferred expense related to cost-sharing arrangement</w:t>
            </w:r>
          </w:p>
        </w:tc>
        <w:tc>
          <w:tcPr>
            <w:tcW w:w="2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Interest carryforward</w:t>
            </w:r>
          </w:p>
        </w:tc>
        <w:tc>
          <w:tcPr>
            <w:tcW w:w="2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Charitable contribution carryforward</w:t>
            </w:r>
          </w:p>
        </w:tc>
        <w:tc>
          <w:tcPr>
            <w:tcW w:w="2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20"/>
        </w:trPr>
        <w:tc>
          <w:tcPr>
            <w:tcW w:w="60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80" w:type="dxa"/>
            <w:vAlign w:val="bottom"/>
          </w:tcPr>
          <w:p>
            <w:pPr>
              <w:spacing w:after="0"/>
              <w:rPr>
                <w:sz w:val="19"/>
                <w:szCs w:val="19"/>
                <w:color w:val="auto"/>
              </w:rPr>
            </w:pPr>
          </w:p>
        </w:tc>
        <w:tc>
          <w:tcPr>
            <w:tcW w:w="900" w:type="dxa"/>
            <w:vAlign w:val="bottom"/>
          </w:tcPr>
          <w:p>
            <w:pPr>
              <w:jc w:val="right"/>
              <w:ind w:right="71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2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20"/>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deferred tax assets</w:t>
            </w:r>
          </w:p>
        </w:tc>
        <w:tc>
          <w:tcPr>
            <w:tcW w:w="228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FF0FC"/>
            </w:tcBorders>
          </w:tcPr>
          <w:p>
            <w:pPr>
              <w:spacing w:after="0"/>
              <w:rPr>
                <w:sz w:val="19"/>
                <w:szCs w:val="19"/>
                <w:color w:val="auto"/>
              </w:rPr>
            </w:pPr>
          </w:p>
        </w:tc>
      </w:tr>
      <w:tr>
        <w:trPr>
          <w:trHeight w:val="247"/>
        </w:trPr>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2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Intangible assets</w:t>
            </w:r>
          </w:p>
        </w:tc>
        <w:tc>
          <w:tcPr>
            <w:tcW w:w="3180" w:type="dxa"/>
            <w:vAlign w:val="bottom"/>
            <w:gridSpan w:val="2"/>
          </w:tcPr>
          <w:p>
            <w:pPr>
              <w:jc w:val="right"/>
              <w:ind w:right="71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Prepaid expenses</w:t>
            </w:r>
          </w:p>
        </w:tc>
        <w:tc>
          <w:tcPr>
            <w:tcW w:w="2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Building - corporate headquarters</w:t>
            </w:r>
          </w:p>
        </w:tc>
        <w:tc>
          <w:tcPr>
            <w:tcW w:w="2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Deferred income related to cost-sharing arrangement</w:t>
            </w:r>
          </w:p>
        </w:tc>
        <w:tc>
          <w:tcPr>
            <w:tcW w:w="2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20"/>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1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(117)</w:t>
            </w:r>
          </w:p>
        </w:tc>
        <w:tc>
          <w:tcPr>
            <w:tcW w:w="3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6080" w:type="dxa"/>
            <w:vAlign w:val="bottom"/>
          </w:tcPr>
          <w:p>
            <w:pPr>
              <w:spacing w:after="0"/>
              <w:rPr>
                <w:sz w:val="20"/>
                <w:szCs w:val="20"/>
                <w:color w:val="auto"/>
              </w:rPr>
            </w:pPr>
            <w:r>
              <w:rPr>
                <w:rFonts w:ascii="Arial" w:cs="Arial" w:eastAsia="Arial" w:hAnsi="Arial"/>
                <w:sz w:val="18"/>
                <w:szCs w:val="18"/>
                <w:color w:val="auto"/>
              </w:rPr>
              <w:t>Net deferred tax asset (liability)</w:t>
            </w:r>
          </w:p>
        </w:tc>
        <w:tc>
          <w:tcPr>
            <w:tcW w:w="2280" w:type="dxa"/>
            <w:vAlign w:val="bottom"/>
          </w:tcPr>
          <w:p>
            <w:pPr>
              <w:spacing w:after="0"/>
              <w:rPr>
                <w:sz w:val="19"/>
                <w:szCs w:val="19"/>
                <w:color w:val="auto"/>
              </w:rPr>
            </w:pP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At December 31, 2017, we had federal, state and foreign net operating loss carryforwards (“NOLs”) of approximately $9 million, $41 million and $171 million, respectively. If not utilized, the federal and state NOLs will expire at various times between 2020 and 2037 and the foreign NOLs will expire at various times between 2018 and 2028.</w:t>
      </w:r>
    </w:p>
    <w:p>
      <w:pPr>
        <w:spacing w:after="0" w:line="184" w:lineRule="exact"/>
        <w:rPr>
          <w:sz w:val="20"/>
          <w:szCs w:val="20"/>
          <w:color w:val="auto"/>
        </w:rPr>
      </w:pPr>
    </w:p>
    <w:p>
      <w:pPr>
        <w:ind w:right="280" w:firstLine="598"/>
        <w:spacing w:after="0" w:line="297" w:lineRule="auto"/>
        <w:rPr>
          <w:sz w:val="20"/>
          <w:szCs w:val="20"/>
          <w:color w:val="auto"/>
        </w:rPr>
      </w:pPr>
      <w:r>
        <w:rPr>
          <w:rFonts w:ascii="Arial" w:cs="Arial" w:eastAsia="Arial" w:hAnsi="Arial"/>
          <w:sz w:val="16"/>
          <w:szCs w:val="16"/>
          <w:color w:val="auto"/>
        </w:rPr>
        <w:t>As of December 31, 2017, we had a valuation allowance of approximately of $55 million related to certain NOL carryforwards for which it is more likely than not, the tax benefit will not be realized. This amount represented an overall increase of $28 million over the amount recorded as of December 31, 2016. The increase is primarily related to additional foreign net operating losses. Except for such foreign deferred tax assets, we expect to realize all of our deferred tax assets based on a strong history of earnings in the U.S. and other jurisdictions, as well as future reversals of taxable temporary differences.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00" w:name="page101"/>
    <w:bookmarkEnd w:id="100"/>
    <w:p>
      <w:pPr>
        <w:ind w:right="100" w:firstLine="598"/>
        <w:spacing w:after="0" w:line="270" w:lineRule="auto"/>
        <w:rPr>
          <w:sz w:val="20"/>
          <w:szCs w:val="20"/>
          <w:color w:val="auto"/>
        </w:rPr>
      </w:pPr>
      <w:r>
        <w:rPr>
          <w:rFonts w:ascii="Arial" w:cs="Arial" w:eastAsia="Arial" w:hAnsi="Arial"/>
          <w:sz w:val="18"/>
          <w:szCs w:val="18"/>
          <w:color w:val="auto"/>
        </w:rPr>
        <w:t>A reconciliation of the provision for income taxes to the amounts computed by applying the statutory federal income tax rate to income before income taxes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730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4"/>
              <w:spacing w:after="0" w:line="153"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3"/>
        </w:trPr>
        <w:tc>
          <w:tcPr>
            <w:tcW w:w="7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Income tax expense at the federal statutory rate of 35%</w:t>
            </w:r>
          </w:p>
        </w:tc>
        <w:tc>
          <w:tcPr>
            <w:tcW w:w="800" w:type="dxa"/>
            <w:vAlign w:val="bottom"/>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r>
      <w:tr>
        <w:trPr>
          <w:trHeight w:val="228"/>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7"/>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and related interest</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Change in cost-sharing treatment of stock-based compensation</w:t>
            </w:r>
          </w:p>
        </w:tc>
        <w:tc>
          <w:tcPr>
            <w:tcW w:w="8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27"/>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Non-deductible transaction costs</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Impacts related to the 2017 Tax Act</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Research tax credit</w:t>
            </w:r>
          </w:p>
        </w:tc>
        <w:tc>
          <w:tcPr>
            <w:tcW w:w="8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7"/>
        </w:trPr>
        <w:tc>
          <w:tcPr>
            <w:tcW w:w="7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7"/>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7"/>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0"/>
        </w:trPr>
        <w:tc>
          <w:tcPr>
            <w:tcW w:w="7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bottom w:val="single" w:sz="8" w:color="auto"/>
            </w:tcBorders>
            <w:shd w:val="clear" w:color="auto" w:fill="CFF0FC"/>
          </w:tcPr>
          <w:p>
            <w:pPr>
              <w:jc w:val="right"/>
              <w:ind w:right="617"/>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During 2011, the Singapore Economic Development Board accepted our application to receive a tax incentive under the International Headquarters Award. This incentive provides for a reduced tax rate on qualifying income of 5% as compared to Singapore’s statutory tax rate of 17% and is conditional upon our meeting certain employment and investment thresholds. This agreement has been extended until June 30, 2021 as we have met certain employment and investment thresholds. This benefit resulted in a decrease to our 2017 provision for income tax expense of $1 million.</w:t>
      </w:r>
    </w:p>
    <w:p>
      <w:pPr>
        <w:spacing w:after="0" w:line="157" w:lineRule="exact"/>
        <w:rPr>
          <w:sz w:val="20"/>
          <w:szCs w:val="20"/>
          <w:color w:val="auto"/>
        </w:rPr>
      </w:pPr>
    </w:p>
    <w:p>
      <w:pPr>
        <w:ind w:right="60" w:firstLine="598"/>
        <w:spacing w:after="0" w:line="253" w:lineRule="auto"/>
        <w:rPr>
          <w:sz w:val="20"/>
          <w:szCs w:val="20"/>
          <w:color w:val="auto"/>
        </w:rPr>
      </w:pPr>
      <w:r>
        <w:rPr>
          <w:rFonts w:ascii="Arial" w:cs="Arial" w:eastAsia="Arial" w:hAnsi="Arial"/>
          <w:sz w:val="18"/>
          <w:szCs w:val="18"/>
          <w:color w:val="auto"/>
        </w:rPr>
        <w:t>The 2017 Tax Act was signed into United States tax law on December 22, 2017. The 2017 Tax Act significantly changes the U.S. corporate income tax regime by, among other things, lowering the U.S. corporate tax rate from 35% to 21% effective January 1, 2018. The 2017 Tax Act also provides for a mandatory one-time tax on the deemed repatriation of accumulative foreign earnings of foreign subsidiaries (the “Transition Tax”), as well as prospective changes beginning in 2018, including additional limitations on executive compensation. Under GAAP, the effects of changes in tax rates and laws are recognized in the period in which the new legislation is enacted.</w:t>
      </w:r>
    </w:p>
    <w:p>
      <w:pPr>
        <w:spacing w:after="0" w:line="84" w:lineRule="exact"/>
        <w:rPr>
          <w:sz w:val="20"/>
          <w:szCs w:val="20"/>
          <w:color w:val="auto"/>
        </w:rPr>
      </w:pPr>
    </w:p>
    <w:p>
      <w:pPr>
        <w:ind w:right="300" w:firstLine="598"/>
        <w:spacing w:after="0" w:line="253" w:lineRule="auto"/>
        <w:rPr>
          <w:sz w:val="20"/>
          <w:szCs w:val="20"/>
          <w:color w:val="auto"/>
        </w:rPr>
      </w:pPr>
      <w:r>
        <w:rPr>
          <w:rFonts w:ascii="Arial" w:cs="Arial" w:eastAsia="Arial" w:hAnsi="Arial"/>
          <w:sz w:val="18"/>
          <w:szCs w:val="18"/>
          <w:color w:val="auto"/>
        </w:rPr>
        <w:t>On December 22, 2017, the Securities and Exchange Commission issued SAB 118, which allows us to record provisional amounts during a measurement period not to extend beyond one year of the enactment date. The measurement period is deemed to have ended earlier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9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SAB 118 summarizes a three-step process to be applied at each reporting period to account for and qualitatively disclose: (1) the effects of the change in tax law for which accounting is complete; (2) provisional amounts (or adjustments to provisional amounts) for the effects of the tax law where accounting is not complete, but that a reasonable estimate has been determined; and (3) a reasonable estimate cannot yet be made and therefore taxes are reflected in accordance with law prior to the enactment of the 2017 Tax Act.</w:t>
      </w:r>
    </w:p>
    <w:p>
      <w:pPr>
        <w:spacing w:after="0" w:line="188"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Our financial results, including an estimate of $67 million of Transition Tax, and $6 million recorded due to a remeasurement of our net deferred tax assets, reflect provisional amounts for those specific income tax effects of the 2017 Tax Act for which the accounting under ASC Topic 740 is incomplete but a reasonable estimate could be determined. The Company has not obtained, prepared and analyzed the information necessary to finalize its computations and accounting for the Transition Tax. Since there is ongoing guidance and accounting interpretation expected over the next 12 months, we consider the accounting of the Transition Tax, deferred tax remeasurements, and other items to be provisional due to the forthcoming guidance and our ongoing analysis of final year-end data and tax positions.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01" w:name="page102"/>
    <w:bookmarkEnd w:id="101"/>
    <w:p>
      <w:pPr>
        <w:ind w:right="20" w:firstLine="598"/>
        <w:spacing w:after="0" w:line="252" w:lineRule="auto"/>
        <w:rPr>
          <w:sz w:val="20"/>
          <w:szCs w:val="20"/>
          <w:color w:val="auto"/>
        </w:rPr>
      </w:pPr>
      <w:r>
        <w:rPr>
          <w:rFonts w:ascii="Arial" w:cs="Arial" w:eastAsia="Arial" w:hAnsi="Arial"/>
          <w:sz w:val="18"/>
          <w:szCs w:val="18"/>
          <w:color w:val="auto"/>
        </w:rPr>
        <w:t>Other significant provisions that are not yet effective but may impact income taxes in future years include: an exemption from U.S. tax on dividends of future foreign earnings, limitations on the deductibility of certain executive compensation, an incremental tax (base erosion anti-abuse tax or “BEAT”) on excessive amounts paid to foreign related parties, deductions related to foreign derived intangible income, and a minimum tax on certain foreign earnings in excess of 10 percent of the foreign subsidiaries tangible assets (i.e., global intangible low-taxed income or “GILTI”). We are still evaluating whether to make a policy election to treat the GILTI tax as a period expense or to provide U.S. deferred taxes on foreign temporary differences that are expected to generate GILTI income when they reverse in future years.</w:t>
      </w:r>
    </w:p>
    <w:p>
      <w:pPr>
        <w:spacing w:after="0" w:line="191"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By virtue of previously filed consolidated income tax returns filed with Expedia, we are currently under an IRS audit for the 2009, 2010, and short-period 2011 tax years, and have various ongoing state income tax audits. We are separately under examination by the IRS for the short-period 2011, 2012 and 2013 tax years and have commenced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2017, no material assessments have resulted, except as noted below regarding our 2009 and 2010 IRS audit with Expedia.</w:t>
      </w:r>
    </w:p>
    <w:p>
      <w:pPr>
        <w:spacing w:after="0" w:line="181" w:lineRule="exact"/>
        <w:rPr>
          <w:sz w:val="20"/>
          <w:szCs w:val="20"/>
          <w:color w:val="auto"/>
        </w:rPr>
      </w:pPr>
    </w:p>
    <w:p>
      <w:pPr>
        <w:ind w:firstLine="598"/>
        <w:spacing w:after="0" w:line="267" w:lineRule="auto"/>
        <w:rPr>
          <w:sz w:val="20"/>
          <w:szCs w:val="20"/>
          <w:color w:val="auto"/>
        </w:rPr>
      </w:pPr>
      <w:r>
        <w:rPr>
          <w:rFonts w:ascii="Arial" w:cs="Arial" w:eastAsia="Arial" w:hAnsi="Arial"/>
          <w:sz w:val="17"/>
          <w:szCs w:val="17"/>
          <w:color w:val="auto"/>
        </w:rPr>
        <w:t>In January 2017, as part of the Company’s IRS audit of Expedia,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of $10 million to $14 million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would be subject to significant additional tax liabilities.</w:t>
      </w:r>
    </w:p>
    <w:p>
      <w:pPr>
        <w:spacing w:after="0" w:line="183" w:lineRule="exact"/>
        <w:rPr>
          <w:sz w:val="20"/>
          <w:szCs w:val="20"/>
          <w:color w:val="auto"/>
        </w:rPr>
      </w:pPr>
    </w:p>
    <w:p>
      <w:pPr>
        <w:ind w:right="40" w:firstLine="598"/>
        <w:spacing w:after="0" w:line="250" w:lineRule="auto"/>
        <w:rPr>
          <w:sz w:val="20"/>
          <w:szCs w:val="20"/>
          <w:color w:val="auto"/>
        </w:rPr>
      </w:pPr>
      <w:r>
        <w:rPr>
          <w:rFonts w:ascii="Arial" w:cs="Arial" w:eastAsia="Arial" w:hAnsi="Arial"/>
          <w:sz w:val="18"/>
          <w:szCs w:val="18"/>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$5 million and $6 million in its consolidated statements of operations for the years ended December 31, 2017 and 2016, respectively. The Company will continue to monitor this matter and related potential impacts to its consolidated financial statements.</w:t>
      </w:r>
    </w:p>
    <w:p>
      <w:pPr>
        <w:spacing w:after="0" w:line="264"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 xml:space="preserve">Cumulative undistributed earnings of foreign subsidiaries totaled approximately $882 million as of December 31, 2017. Subsequent to December 31, 2017, on February 2, 2018, TripAdvisor made a one-time repatriation of $325 million of foreign earnings to the United States primarily to repay our remaining outstanding debt under the 2015 Credit Facility. Refer to “Note 20— </w:t>
      </w:r>
      <w:r>
        <w:rPr>
          <w:rFonts w:ascii="Arial" w:cs="Arial" w:eastAsia="Arial" w:hAnsi="Arial"/>
          <w:sz w:val="16"/>
          <w:szCs w:val="16"/>
          <w:i w:val="1"/>
          <w:iCs w:val="1"/>
          <w:color w:val="auto"/>
        </w:rPr>
        <w:t>Subsequent Events</w:t>
      </w:r>
      <w:r>
        <w:rPr>
          <w:rFonts w:ascii="Arial" w:cs="Arial" w:eastAsia="Arial" w:hAnsi="Arial"/>
          <w:sz w:val="16"/>
          <w:szCs w:val="16"/>
          <w:color w:val="auto"/>
        </w:rPr>
        <w:t>” for additional information on this repatriation. TripAdvisor intends to indefinitely reinvest the remaining foreign undistributed earnings of $557 million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 The majority of cash on hand is denominated in U.S. dollars.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02" w:name="page103"/>
    <w:bookmarkEnd w:id="102"/>
    <w:p>
      <w:pPr>
        <w:ind w:left="600"/>
        <w:spacing w:after="0"/>
        <w:rPr>
          <w:sz w:val="20"/>
          <w:szCs w:val="20"/>
          <w:color w:val="auto"/>
        </w:rPr>
      </w:pPr>
      <w:r>
        <w:rPr>
          <w:rFonts w:ascii="Arial" w:cs="Arial" w:eastAsia="Arial" w:hAnsi="Arial"/>
          <w:sz w:val="18"/>
          <w:szCs w:val="18"/>
          <w:color w:val="auto"/>
        </w:rPr>
        <w:t>A reconciliation of the beginning and ending amount of gross unrecognized tax benefits (excluding interest and penalties) is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7260" w:type="dxa"/>
            <w:vAlign w:val="bottom"/>
          </w:tcPr>
          <w:p>
            <w:pPr>
              <w:spacing w:after="0"/>
              <w:rPr>
                <w:sz w:val="13"/>
                <w:szCs w:val="13"/>
                <w:color w:val="auto"/>
              </w:rPr>
            </w:pPr>
          </w:p>
        </w:tc>
        <w:tc>
          <w:tcPr>
            <w:tcW w:w="82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6"/>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3"/>
        </w:trPr>
        <w:tc>
          <w:tcPr>
            <w:tcW w:w="7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520"/>
              <w:spacing w:after="0" w:line="153"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7"/>
        </w:trPr>
        <w:tc>
          <w:tcPr>
            <w:tcW w:w="7260" w:type="dxa"/>
            <w:vAlign w:val="bottom"/>
          </w:tcPr>
          <w:p>
            <w:pPr>
              <w:spacing w:after="0"/>
              <w:rPr>
                <w:sz w:val="20"/>
                <w:szCs w:val="20"/>
                <w:color w:val="auto"/>
              </w:rPr>
            </w:pPr>
            <w:r>
              <w:rPr>
                <w:rFonts w:ascii="Arial" w:cs="Arial" w:eastAsia="Arial" w:hAnsi="Arial"/>
                <w:sz w:val="18"/>
                <w:szCs w:val="18"/>
                <w:color w:val="auto"/>
              </w:rPr>
              <w:t>Balance, beginning of year</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228"/>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Increases to tax positions related to the current year</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7"/>
        </w:trPr>
        <w:tc>
          <w:tcPr>
            <w:tcW w:w="7260" w:type="dxa"/>
            <w:vAlign w:val="bottom"/>
          </w:tcPr>
          <w:p>
            <w:pPr>
              <w:spacing w:after="0"/>
              <w:rPr>
                <w:sz w:val="20"/>
                <w:szCs w:val="20"/>
                <w:color w:val="auto"/>
              </w:rPr>
            </w:pPr>
            <w:r>
              <w:rPr>
                <w:rFonts w:ascii="Arial" w:cs="Arial" w:eastAsia="Arial" w:hAnsi="Arial"/>
                <w:sz w:val="18"/>
                <w:szCs w:val="18"/>
                <w:color w:val="auto"/>
              </w:rPr>
              <w:t>Increases to tax positions related to the prior year</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7"/>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Reductions due to lapsed statute of limitations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7260" w:type="dxa"/>
            <w:vAlign w:val="bottom"/>
          </w:tcPr>
          <w:p>
            <w:pPr>
              <w:spacing w:after="0"/>
              <w:rPr>
                <w:sz w:val="20"/>
                <w:szCs w:val="20"/>
                <w:color w:val="auto"/>
              </w:rPr>
            </w:pPr>
            <w:r>
              <w:rPr>
                <w:rFonts w:ascii="Arial" w:cs="Arial" w:eastAsia="Arial" w:hAnsi="Arial"/>
                <w:sz w:val="18"/>
                <w:szCs w:val="18"/>
                <w:color w:val="auto"/>
              </w:rPr>
              <w:t>Decreases to tax positions related to the prior year</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Settlements during current year</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7260" w:type="dxa"/>
            <w:vAlign w:val="bottom"/>
          </w:tcPr>
          <w:p>
            <w:pPr>
              <w:spacing w:after="0"/>
              <w:rPr>
                <w:sz w:val="20"/>
                <w:szCs w:val="20"/>
                <w:color w:val="auto"/>
              </w:rPr>
            </w:pPr>
            <w:r>
              <w:rPr>
                <w:rFonts w:ascii="Arial" w:cs="Arial" w:eastAsia="Arial" w:hAnsi="Arial"/>
                <w:sz w:val="18"/>
                <w:szCs w:val="18"/>
                <w:color w:val="auto"/>
              </w:rPr>
              <w:t>Balance, end of year</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2" w:lineRule="exact"/>
        <w:rPr>
          <w:sz w:val="20"/>
          <w:szCs w:val="20"/>
          <w:color w:val="auto"/>
        </w:rPr>
      </w:pPr>
    </w:p>
    <w:p>
      <w:pPr>
        <w:ind w:right="260" w:firstLine="598"/>
        <w:spacing w:after="0" w:line="271" w:lineRule="auto"/>
        <w:rPr>
          <w:sz w:val="20"/>
          <w:szCs w:val="20"/>
          <w:color w:val="auto"/>
        </w:rPr>
      </w:pPr>
      <w:r>
        <w:rPr>
          <w:rFonts w:ascii="Arial" w:cs="Arial" w:eastAsia="Arial" w:hAnsi="Arial"/>
          <w:sz w:val="17"/>
          <w:szCs w:val="17"/>
          <w:color w:val="auto"/>
        </w:rPr>
        <w:t>As of December 31, 2017, we had $123 million of unrecognized tax benefits, net of interest, which is classified as long-term and included in other long-term liabilities and deferred income taxes, net on our consolidated balance sheet. The amount of unrecognized tax benefits, if recognized, would reduce income tax expense by $78 million, due to correlative adjustments in other tax jurisdictions. We recognize interest and penalties related to unrecognized tax benefits in income tax expense on our consolidated statement of operations. As of December 31, 2017 and 2016, total gross interest accrued was $13 million and $9 million, respectively. We do not anticipate any material changes in the next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EXPENSES AND OTHER CURRENT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4"/>
          </w:tcPr>
          <w:p>
            <w:pPr>
              <w:ind w:left="620"/>
              <w:spacing w:after="0" w:line="153" w:lineRule="exact"/>
              <w:rPr>
                <w:sz w:val="20"/>
                <w:szCs w:val="20"/>
                <w:color w:val="auto"/>
              </w:rPr>
            </w:pPr>
            <w:r>
              <w:rPr>
                <w:rFonts w:ascii="Arial" w:cs="Arial" w:eastAsia="Arial" w:hAnsi="Arial"/>
                <w:sz w:val="14"/>
                <w:szCs w:val="14"/>
                <w:b w:val="1"/>
                <w:bCs w:val="1"/>
                <w:color w:val="auto"/>
                <w:w w:val="99"/>
              </w:rPr>
              <w:t>(in millions)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salary, bonus, and related benefits</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12: OTHER LONG-TERM LIABILITIES</w:t>
            </w: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670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700" w:type="dxa"/>
            <w:vAlign w:val="bottom"/>
            <w:gridSpan w:val="3"/>
          </w:tcPr>
          <w:p>
            <w:pPr>
              <w:ind w:left="600"/>
              <w:spacing w:after="0"/>
              <w:rPr>
                <w:sz w:val="20"/>
                <w:szCs w:val="20"/>
                <w:color w:val="auto"/>
              </w:rPr>
            </w:pPr>
            <w:r>
              <w:rPr>
                <w:rFonts w:ascii="Arial" w:cs="Arial" w:eastAsia="Arial" w:hAnsi="Arial"/>
                <w:sz w:val="18"/>
                <w:szCs w:val="18"/>
                <w:color w:val="auto"/>
                <w:w w:val="98"/>
              </w:rPr>
              <w:t>Other long-term liabilities consisted of the following for the periods presented: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Pr>
          <w:p>
            <w:pPr>
              <w:spacing w:after="0"/>
              <w:rPr>
                <w:sz w:val="24"/>
                <w:szCs w:val="24"/>
                <w:color w:val="auto"/>
              </w:rPr>
            </w:pP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6"/>
          </w:tcPr>
          <w:p>
            <w:pPr>
              <w:ind w:left="120"/>
              <w:spacing w:after="0" w:line="153"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Unrecognized tax benefits (1)</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2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Long-term income taxes payable (2)</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Financing obligation, net of current portion (3)</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(4)</w:t>
            </w:r>
          </w:p>
        </w:tc>
        <w:tc>
          <w:tcPr>
            <w:tcW w:w="4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55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2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040" w:right="140" w:hanging="606"/>
        <w:spacing w:after="0" w:line="255"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Refer to “Note 10—</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 on our unrecognized tax benefits. Amount includes accrued interest related to this liability.</w:t>
      </w:r>
    </w:p>
    <w:p>
      <w:pPr>
        <w:ind w:left="1040" w:right="20" w:hanging="606"/>
        <w:spacing w:after="0" w:line="24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Amount relates to the long-term portion of Transition Tax related to 2017 Tax Act at December 31, 2017. Refer to “Note 10 –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1040" w:hanging="606"/>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Refer to “Note 13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our corporate headquarters lease.</w:t>
      </w:r>
    </w:p>
    <w:p>
      <w:pPr>
        <w:spacing w:after="0" w:line="6" w:lineRule="exact"/>
        <w:rPr>
          <w:rFonts w:ascii="Arial" w:cs="Arial" w:eastAsia="Arial" w:hAnsi="Arial"/>
          <w:sz w:val="18"/>
          <w:szCs w:val="18"/>
          <w:color w:val="auto"/>
        </w:rPr>
      </w:pPr>
    </w:p>
    <w:p>
      <w:pPr>
        <w:ind w:left="1040" w:hanging="606"/>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primarily consist of long-term deferred rent balances related to our operating leases for office space.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7" w:lineRule="exact"/>
        <w:rPr>
          <w:sz w:val="20"/>
          <w:szCs w:val="20"/>
          <w:color w:val="auto"/>
        </w:rPr>
      </w:pPr>
    </w:p>
    <w:p>
      <w:pPr>
        <w:ind w:right="180" w:firstLine="598"/>
        <w:spacing w:after="0" w:line="270" w:lineRule="auto"/>
        <w:rPr>
          <w:sz w:val="20"/>
          <w:szCs w:val="20"/>
          <w:color w:val="auto"/>
        </w:rPr>
      </w:pPr>
      <w:r>
        <w:rPr>
          <w:rFonts w:ascii="Arial" w:cs="Arial" w:eastAsia="Arial" w:hAnsi="Arial"/>
          <w:sz w:val="18"/>
          <w:szCs w:val="18"/>
          <w:color w:val="auto"/>
        </w:rPr>
        <w:t>We have material commitments and obligations that include office space leases, and expected interest and commitment fees on long-term debt, which are not accrued on the consolidated balance sheet at December 31, 2017 but we expect to require future cash outflows.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material commitments and obligations as of December 31,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By Period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4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1"/>
                <w:szCs w:val="11"/>
                <w:color w:val="auto"/>
              </w:rPr>
            </w:pPr>
          </w:p>
        </w:tc>
        <w:tc>
          <w:tcPr>
            <w:tcW w:w="82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88"/>
              </w:rPr>
              <w:t>1 to 3 years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8"/>
              </w:rPr>
              <w:t>3 to 5 years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58"/>
              <w:spacing w:after="0" w:line="131"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78"/>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Property leases, net of sublease income (1)</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w w:val="96"/>
              </w:rPr>
              <w:t>Expected interest and commitment fee payments on 2015 Credit Facility (2)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(3)</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600" w:right="480" w:hanging="593"/>
        <w:spacing w:after="0" w:line="255"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Estimated future minimum rental payments under operating leases with non-cancelable lease terms, including our corporate headquarters lease in Needham, MA.</w:t>
      </w:r>
    </w:p>
    <w:p>
      <w:pPr>
        <w:ind w:left="600" w:right="100" w:hanging="593"/>
        <w:spacing w:after="0" w:line="262" w:lineRule="auto"/>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Expected interest payments on the 2015 Credit Facility are based on the effective interest rate and outstanding borrowings as of December 31, 2017, but could change significantly in the future. Amounts assume that our existing debt is repaid at the end of the credit agreement and do not assume additional borrowings or refinancing of existing debt. Expected commitment fee payments are based on the unused portion of credit facility, issued letters of credit, and current effective commitment fee rate as of December 31, 2017; however, these variables could change significantly in the future. Refer to “Note 9— </w:t>
      </w:r>
      <w:r>
        <w:rPr>
          <w:rFonts w:ascii="Arial" w:cs="Arial" w:eastAsia="Arial" w:hAnsi="Arial"/>
          <w:sz w:val="17"/>
          <w:szCs w:val="17"/>
          <w:i w:val="1"/>
          <w:iCs w:val="1"/>
          <w:color w:val="auto"/>
        </w:rPr>
        <w:t>Debt</w:t>
      </w:r>
      <w:r>
        <w:rPr>
          <w:rFonts w:ascii="Arial" w:cs="Arial" w:eastAsia="Arial" w:hAnsi="Arial"/>
          <w:sz w:val="17"/>
          <w:szCs w:val="17"/>
          <w:color w:val="auto"/>
        </w:rPr>
        <w:t xml:space="preserve">” and “Note 20— </w:t>
      </w:r>
      <w:r>
        <w:rPr>
          <w:rFonts w:ascii="Arial" w:cs="Arial" w:eastAsia="Arial" w:hAnsi="Arial"/>
          <w:sz w:val="17"/>
          <w:szCs w:val="17"/>
          <w:i w:val="1"/>
          <w:iCs w:val="1"/>
          <w:color w:val="auto"/>
        </w:rPr>
        <w:t>Subsequent Events</w:t>
      </w:r>
      <w:r>
        <w:rPr>
          <w:rFonts w:ascii="Arial" w:cs="Arial" w:eastAsia="Arial" w:hAnsi="Arial"/>
          <w:sz w:val="17"/>
          <w:szCs w:val="17"/>
          <w:color w:val="auto"/>
        </w:rPr>
        <w:t>” for additional information on our 2015 Credit Facility and subsequent repayment of our outstanding borrowings on our 2015 Credit Facility in 2018, respectively.</w:t>
      </w:r>
    </w:p>
    <w:p>
      <w:pPr>
        <w:spacing w:after="0" w:line="1" w:lineRule="exact"/>
        <w:rPr>
          <w:rFonts w:ascii="Arial" w:cs="Arial" w:eastAsia="Arial" w:hAnsi="Arial"/>
          <w:sz w:val="17"/>
          <w:szCs w:val="17"/>
          <w:color w:val="auto"/>
        </w:rPr>
      </w:pPr>
    </w:p>
    <w:p>
      <w:pPr>
        <w:ind w:left="600" w:right="100" w:hanging="593"/>
        <w:spacing w:after="0" w:line="267" w:lineRule="auto"/>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Excluded from the table was $127 million of unrecognized tax benefits, including accrued interest, that we have recorded in other long-term liabilities on our consolidated balance sheet for which we cannot make a reasonably reliable estimate of the amount and period of payment. We do not anticipate any material changes in the next year. Also excluded from the table was $61 million of estimated Transition Tax related to 2017 Tax Act recorded in long-term liabilities on the consolidated balance sheet at December 31, 2017, that we believe the majority will be paid more than five years from December 31, 2017. Refer to “Note 10 – </w:t>
      </w:r>
      <w:r>
        <w:rPr>
          <w:rFonts w:ascii="Arial" w:cs="Arial" w:eastAsia="Arial" w:hAnsi="Arial"/>
          <w:sz w:val="17"/>
          <w:szCs w:val="17"/>
          <w:i w:val="1"/>
          <w:iCs w:val="1"/>
          <w:color w:val="auto"/>
        </w:rPr>
        <w:t>Income Taxes</w:t>
      </w:r>
      <w:r>
        <w:rPr>
          <w:rFonts w:ascii="Arial" w:cs="Arial" w:eastAsia="Arial" w:hAnsi="Arial"/>
          <w:sz w:val="17"/>
          <w:szCs w:val="17"/>
          <w:color w:val="auto"/>
        </w:rPr>
        <w:t>,” for additional information on these amounts.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113" w:lineRule="exact"/>
        <w:rPr>
          <w:sz w:val="20"/>
          <w:szCs w:val="20"/>
          <w:color w:val="auto"/>
        </w:rPr>
      </w:pPr>
    </w:p>
    <w:p>
      <w:pPr>
        <w:jc w:val="both"/>
        <w:ind w:right="260" w:firstLine="598"/>
        <w:spacing w:after="0" w:line="297" w:lineRule="auto"/>
        <w:rPr>
          <w:sz w:val="20"/>
          <w:szCs w:val="20"/>
          <w:color w:val="auto"/>
        </w:rPr>
      </w:pPr>
      <w:r>
        <w:rPr>
          <w:rFonts w:ascii="Arial" w:cs="Arial" w:eastAsia="Arial" w:hAnsi="Arial"/>
          <w:sz w:val="16"/>
          <w:szCs w:val="16"/>
          <w:color w:val="auto"/>
        </w:rPr>
        <w:t>We have contractual obligations in the form of operating leases for office space for which we record the related expense on a monthly basis. Certain leases contain periodic rent escalation adjustments and renewal options. Rent expense related to such leases is recorded on a straight-line basis. Office lease commitments expire at various dates with the latest maturity in December 2030. For the years ended December 31, 2017, 2016 and 2015, we recorded rental expense of $18 million, $18 million and $19 million, respectively, net of sublease income of $3 million, $2 million and $1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Headquarters Lease</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June 2013, we entered into a lease, for a new corporate headquarters (the “Lease”). Pursuant to the Lease, the landlord built an approximately</w:t>
      </w:r>
    </w:p>
    <w:p>
      <w:pPr>
        <w:spacing w:after="0" w:line="43" w:lineRule="exact"/>
        <w:rPr>
          <w:sz w:val="20"/>
          <w:szCs w:val="20"/>
          <w:color w:val="auto"/>
        </w:rPr>
      </w:pPr>
    </w:p>
    <w:p>
      <w:pPr>
        <w:jc w:val="both"/>
        <w:ind w:right="200"/>
        <w:spacing w:after="0" w:line="251" w:lineRule="auto"/>
        <w:rPr>
          <w:sz w:val="20"/>
          <w:szCs w:val="20"/>
          <w:color w:val="auto"/>
        </w:rPr>
      </w:pPr>
      <w:r>
        <w:rPr>
          <w:rFonts w:ascii="Arial" w:cs="Arial" w:eastAsia="Arial" w:hAnsi="Arial"/>
          <w:sz w:val="18"/>
          <w:szCs w:val="18"/>
          <w:color w:val="auto"/>
        </w:rPr>
        <w:t>280,000 square foot rental building in Needham, Massachusetts (the “Premises”), and leased the Premises to the Company as our new corporate headquarters for an initial term of 15 years and 7 months or through December 2030. The Company also has an option to extend the term of the Lease for two consecutive terms of five years each.</w:t>
      </w:r>
    </w:p>
    <w:p>
      <w:pPr>
        <w:spacing w:after="0" w:line="192" w:lineRule="exact"/>
        <w:rPr>
          <w:sz w:val="20"/>
          <w:szCs w:val="20"/>
          <w:color w:val="auto"/>
        </w:rPr>
      </w:pPr>
    </w:p>
    <w:p>
      <w:pPr>
        <w:ind w:right="100" w:firstLine="598"/>
        <w:spacing w:after="0" w:line="306" w:lineRule="auto"/>
        <w:rPr>
          <w:sz w:val="20"/>
          <w:szCs w:val="20"/>
          <w:color w:val="auto"/>
        </w:rPr>
      </w:pPr>
      <w:r>
        <w:rPr>
          <w:rFonts w:ascii="Arial" w:cs="Arial" w:eastAsia="Arial" w:hAnsi="Arial"/>
          <w:sz w:val="16"/>
          <w:szCs w:val="16"/>
          <w:color w:val="auto"/>
        </w:rPr>
        <w:t>Because we were involved in the construction project and were responsible for paying a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during the construction period incurred by the landlord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04" w:name="page105"/>
    <w:bookmarkEnd w:id="104"/>
    <w:p>
      <w:pPr>
        <w:ind w:right="140"/>
        <w:spacing w:after="0" w:line="334" w:lineRule="auto"/>
        <w:rPr>
          <w:sz w:val="20"/>
          <w:szCs w:val="20"/>
          <w:color w:val="auto"/>
        </w:rPr>
      </w:pPr>
      <w:r>
        <w:rPr>
          <w:rFonts w:ascii="Arial" w:cs="Arial" w:eastAsia="Arial" w:hAnsi="Arial"/>
          <w:sz w:val="16"/>
          <w:szCs w:val="16"/>
          <w:color w:val="auto"/>
        </w:rPr>
        <w:t>as a construction-in-progress asset and a related construction financing obligation on our consolidated balance sheets. The amounts that the Company has paid or incurred for normal tenant improvements and structural improvements had also been recorded to the construction-in-progress asset.</w:t>
      </w:r>
    </w:p>
    <w:p>
      <w:pPr>
        <w:spacing w:after="0" w:line="22" w:lineRule="exact"/>
        <w:rPr>
          <w:sz w:val="20"/>
          <w:szCs w:val="20"/>
          <w:color w:val="auto"/>
        </w:rPr>
      </w:pPr>
    </w:p>
    <w:p>
      <w:pPr>
        <w:ind w:right="20" w:firstLine="598"/>
        <w:spacing w:after="0" w:line="282" w:lineRule="auto"/>
        <w:rPr>
          <w:sz w:val="20"/>
          <w:szCs w:val="20"/>
          <w:color w:val="auto"/>
        </w:rPr>
      </w:pPr>
      <w:r>
        <w:rPr>
          <w:rFonts w:ascii="Arial" w:cs="Arial" w:eastAsia="Arial" w:hAnsi="Arial"/>
          <w:sz w:val="16"/>
          <w:szCs w:val="16"/>
          <w:color w:val="auto"/>
        </w:rPr>
        <w:t>Upon completion of construction at end of the second quarter of 2015, we evaluated the construction-in-progress asset and construction financing obligation for de-recognition under the criteria for “sale-leaseback” treatment under GAAP. We concluded that we have forms of continued economic involvement in the facility, and therefore did not meet the provisions for sale-leaseback accounting. This determination was based on the Company's continuing involvement with the property in the form of non-recourse financing to the lessor. Therefore, the Lease is accounted for as a financing obligation. Accordingly, we began depreciating the building asset over its estimated useful life and incurring interest expense related to the financing obligation imputed using the effective interest rate method. We bifurcate our lease payments pursuant to the Premises into: (i) a portion that is allocated to the building (a reduction to the financing obligation) and; (ii) a portion that is allocated to the land on which the building was constructed. The portion of the lease obligations allocated to the land is treated as an operating lease that commenced in 2013. The lease costs allocated to the land are recognized as rent expense on a straight-line basis over the term of the lease and are recorded in general and administrative expense in the consolidated statements of operations. The financing obligation is considered a long-term finance lease obligation and is recorded to other long-term liabilities on our consolidated balance sheet. At the end of the lease term, the carrying value of the building asset and the remaining financing obligation are expected to be equal, at which time we may either surrender the leased asset as settlement of the remaining financing obligation or extend the initial term of the lease for the continued use of the asset. In the years ended December 31 2017, 2016, and 2015, the Company recorded $7 million, $7 million, and $4 million of interest expense, respectively, $3 million, $3 million, and $2 million of depreciation expense, respectively, and $2 million, $2 million, $1 million, of rent expense in general and administrative expense on our consolidated statements of operations, respectively, related to the Premises.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United States and International Locations</w:t>
      </w:r>
    </w:p>
    <w:p>
      <w:pPr>
        <w:spacing w:after="0" w:line="113" w:lineRule="exact"/>
        <w:rPr>
          <w:sz w:val="20"/>
          <w:szCs w:val="20"/>
          <w:color w:val="auto"/>
        </w:rPr>
      </w:pPr>
    </w:p>
    <w:p>
      <w:pPr>
        <w:ind w:right="40" w:firstLine="598"/>
        <w:spacing w:after="0" w:line="281" w:lineRule="auto"/>
        <w:rPr>
          <w:sz w:val="20"/>
          <w:szCs w:val="20"/>
          <w:color w:val="auto"/>
        </w:rPr>
      </w:pPr>
      <w:r>
        <w:rPr>
          <w:rFonts w:ascii="Arial" w:cs="Arial" w:eastAsia="Arial" w:hAnsi="Arial"/>
          <w:sz w:val="17"/>
          <w:szCs w:val="17"/>
          <w:color w:val="auto"/>
        </w:rPr>
        <w:t>We also lease an aggregate of approximately 450,000 square feet of office space at approximately 40 other locations across North America, Europe and Asia Pacific, in cities such as, New York, Boston, London, Sydney, Barcelona, Paris, and Beijing, primarily for our sales offices, subsidiary headquarters, and international management teams, pursuant to leases with various expiration dates, with the latest expiring in June 2027.</w:t>
      </w:r>
    </w:p>
    <w:p>
      <w:pPr>
        <w:spacing w:after="0" w:line="61"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As of December 31, 2017, future minimum commitments under our corporate headquarters lease and other non-cancelable operating leases for office space with terms of more than one year and contractual sublease income were as follows:</w:t>
      </w:r>
    </w:p>
    <w:tbl>
      <w:tblPr>
        <w:tblLayout w:type="fixed"/>
        <w:tblInd w:w="0" w:type="dxa"/>
        <w:tblCellMar>
          <w:top w:w="0" w:type="dxa"/>
          <w:left w:w="0" w:type="dxa"/>
          <w:bottom w:w="0" w:type="dxa"/>
          <w:right w:w="0" w:type="dxa"/>
        </w:tblCellMar>
      </w:tblPr>
      <w:tr>
        <w:trPr>
          <w:trHeight w:val="139"/>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0"/>
              </w:rPr>
              <w:t>Total Lease</w:t>
            </w:r>
          </w:p>
        </w:tc>
        <w:tc>
          <w:tcPr>
            <w:tcW w:w="0" w:type="dxa"/>
            <w:vAlign w:val="bottom"/>
          </w:tcPr>
          <w:p>
            <w:pPr>
              <w:spacing w:after="0"/>
              <w:rPr>
                <w:sz w:val="1"/>
                <w:szCs w:val="1"/>
                <w:color w:val="auto"/>
              </w:rPr>
            </w:pPr>
          </w:p>
        </w:tc>
      </w:tr>
      <w:tr>
        <w:trPr>
          <w:trHeight w:val="147"/>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Other Operating</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147"/>
        </w:trPr>
        <w:tc>
          <w:tcPr>
            <w:tcW w:w="5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w w:val="93"/>
              </w:rPr>
              <w:t>Headquarters</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2"/>
              </w:rPr>
              <w:t>Sublease Income</w:t>
            </w:r>
          </w:p>
        </w:tc>
        <w:tc>
          <w:tcPr>
            <w:tcW w:w="128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(Net of Sublease</w:t>
            </w:r>
          </w:p>
        </w:tc>
        <w:tc>
          <w:tcPr>
            <w:tcW w:w="0" w:type="dxa"/>
            <w:vAlign w:val="bottom"/>
          </w:tcPr>
          <w:p>
            <w:pPr>
              <w:spacing w:after="0"/>
              <w:rPr>
                <w:sz w:val="1"/>
                <w:szCs w:val="1"/>
                <w:color w:val="auto"/>
              </w:rPr>
            </w:pPr>
          </w:p>
        </w:tc>
      </w:tr>
      <w:tr>
        <w:trPr>
          <w:trHeight w:val="170"/>
        </w:trPr>
        <w:tc>
          <w:tcPr>
            <w:tcW w:w="5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6"/>
              <w:spacing w:after="0"/>
              <w:rPr>
                <w:sz w:val="20"/>
                <w:szCs w:val="20"/>
                <w:color w:val="auto"/>
              </w:rPr>
            </w:pPr>
            <w:r>
              <w:rPr>
                <w:rFonts w:ascii="Arial" w:cs="Arial" w:eastAsia="Arial" w:hAnsi="Arial"/>
                <w:sz w:val="14"/>
                <w:szCs w:val="14"/>
                <w:b w:val="1"/>
                <w:bCs w:val="1"/>
                <w:color w:val="auto"/>
                <w:w w:val="88"/>
              </w:rPr>
              <w:t>Lease (1)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34"/>
        </w:trPr>
        <w:tc>
          <w:tcPr>
            <w:tcW w:w="5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2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2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2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89"/>
              </w:rPr>
              <w:t>Total</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0" w:right="560" w:hanging="593"/>
        <w:spacing w:after="0" w:line="270" w:lineRule="auto"/>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 includes an $84 million financing obligation, which we have recorded in other long-term liabilities on our consolidated balance sheet at December 31, 2017, related to our corporate headquarters lease.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3" w:lineRule="exact"/>
        <w:rPr>
          <w:sz w:val="20"/>
          <w:szCs w:val="20"/>
          <w:color w:val="auto"/>
        </w:rPr>
      </w:pPr>
    </w:p>
    <w:p>
      <w:pPr>
        <w:ind w:right="160" w:firstLine="598"/>
        <w:spacing w:after="0" w:line="334" w:lineRule="auto"/>
        <w:rPr>
          <w:sz w:val="20"/>
          <w:szCs w:val="20"/>
          <w:color w:val="auto"/>
        </w:rPr>
      </w:pPr>
      <w:r>
        <w:rPr>
          <w:rFonts w:ascii="Arial" w:cs="Arial" w:eastAsia="Arial" w:hAnsi="Arial"/>
          <w:sz w:val="16"/>
          <w:szCs w:val="16"/>
          <w:color w:val="auto"/>
        </w:rPr>
        <w:t>As of December 31, 2017, we have issued unused letters of credit totaling approximately $3 million, related to our property leases, which includes $1 million delivered to the landlord of our corporate headquarters as security deposit, which amount is subject to increase under certain circumstances.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3"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In the ordinary course of business, we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As described above, 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9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 xml:space="preserve">We continue to accumulate cash flows, in foreign jurisdictions which we consider indefinitely reinvested, although we will continue to evaluate the impact of the 2017 Tax Act on our capital deployment within and outside the U.S. Any repatriation of funds currently held in foreign jurisdictions may result in higher effective tax rates and incremental cash tax payments. Refer to “Note 10— </w:t>
      </w:r>
      <w:r>
        <w:rPr>
          <w:rFonts w:ascii="Arial" w:cs="Arial" w:eastAsia="Arial" w:hAnsi="Arial"/>
          <w:sz w:val="18"/>
          <w:szCs w:val="18"/>
          <w:i w:val="1"/>
          <w:iCs w:val="1"/>
          <w:color w:val="auto"/>
        </w:rPr>
        <w:t>Income Taxes</w:t>
      </w:r>
      <w:r>
        <w:rPr>
          <w:rFonts w:ascii="Arial" w:cs="Arial" w:eastAsia="Arial" w:hAnsi="Arial"/>
          <w:sz w:val="18"/>
          <w:szCs w:val="18"/>
          <w:color w:val="auto"/>
        </w:rPr>
        <w:t>” above for further information on potential contingencies surrounding income taxes.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EMPLOYEE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3" w:lineRule="exact"/>
        <w:rPr>
          <w:sz w:val="20"/>
          <w:szCs w:val="20"/>
          <w:color w:val="auto"/>
        </w:rPr>
      </w:pPr>
    </w:p>
    <w:p>
      <w:pPr>
        <w:ind w:right="40" w:firstLine="598"/>
        <w:spacing w:after="0" w:line="266" w:lineRule="auto"/>
        <w:rPr>
          <w:sz w:val="20"/>
          <w:szCs w:val="20"/>
          <w:color w:val="auto"/>
        </w:rPr>
      </w:pPr>
      <w:r>
        <w:rPr>
          <w:rFonts w:ascii="Arial" w:cs="Arial" w:eastAsia="Arial" w:hAnsi="Arial"/>
          <w:sz w:val="17"/>
          <w:szCs w:val="17"/>
          <w:color w:val="auto"/>
        </w:rPr>
        <w:t>The TripAdvisor Retirement Savings Plan (the “401(k) Plan”), qualifies under Section 401(k) of the Internal Revenue Code. The 401(k) Plan allows participating employees,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to an annual maximum of 10%. The 401(k) Plan has an automatic enrollment feature at 6% pre-tax. We match 50% of the first 6% of employee contributions to the plan for a maximum employer contribution of 3% of a participant’s eligible earnings. The “catch up contributions”, are not eligible for employer matching contributions. The matching contributions portion of an employee’s account, vests after two years of service. The Plan also permits certain after-tax Roth 401(k) contributions. Additionally, at the end of the 401(k) Plan year, we make a discretionary matching contribution to eligible participants. This additional discretionary matching employer contribution referred to as “true up” is limited to match only contributions up to 3% of eligible compensation.</w:t>
      </w:r>
    </w:p>
    <w:p>
      <w:pPr>
        <w:spacing w:after="0" w:line="183"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We also have various defined contribution plans for our international employees. Our contribution to the 401(k) Plan and our international defined contribution plans which are recorded in our consolidated statement of operations for the years ended December 31, 2017, 2016 and 2015 were $9 million, $9 million, and $7 million,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TripAdvisor, Inc. Deferred Compensation Plan for Non-Employee Directors</w:t>
      </w:r>
    </w:p>
    <w:p>
      <w:pPr>
        <w:spacing w:after="0" w:line="113"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The Company also has a Deferred Compensation Plan for Non-Employee Directors (the “Plan”).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81" w:lineRule="exact"/>
        <w:rPr>
          <w:sz w:val="20"/>
          <w:szCs w:val="20"/>
          <w:color w:val="auto"/>
        </w:rPr>
      </w:pPr>
    </w:p>
    <w:p>
      <w:pPr>
        <w:ind w:right="80" w:firstLine="598"/>
        <w:spacing w:after="0" w:line="270" w:lineRule="auto"/>
        <w:rPr>
          <w:sz w:val="20"/>
          <w:szCs w:val="20"/>
          <w:color w:val="auto"/>
        </w:rPr>
      </w:pPr>
      <w:r>
        <w:rPr>
          <w:rFonts w:ascii="Arial" w:cs="Arial" w:eastAsia="Arial" w:hAnsi="Arial"/>
          <w:sz w:val="18"/>
          <w:szCs w:val="18"/>
          <w:color w:val="auto"/>
        </w:rPr>
        <w:t>Under the 2011 Incentive Plan, 100,000 shares of TripAdvisor common stock are available for issuance to non-employee directors. From the inception of the Plan through December 31, 2017, a total of 3,336 shares have been reserved for such purpose.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Executive Severance Plan and Summary Plan Description</w:t>
      </w:r>
    </w:p>
    <w:p>
      <w:pPr>
        <w:spacing w:after="0" w:line="113" w:lineRule="exact"/>
        <w:rPr>
          <w:sz w:val="20"/>
          <w:szCs w:val="20"/>
          <w:color w:val="auto"/>
        </w:rPr>
      </w:pPr>
    </w:p>
    <w:p>
      <w:pPr>
        <w:ind w:right="140" w:firstLine="598"/>
        <w:spacing w:after="0" w:line="268" w:lineRule="auto"/>
        <w:rPr>
          <w:sz w:val="20"/>
          <w:szCs w:val="20"/>
          <w:color w:val="auto"/>
        </w:rPr>
      </w:pPr>
      <w:r>
        <w:rPr>
          <w:rFonts w:ascii="Arial" w:cs="Arial" w:eastAsia="Arial" w:hAnsi="Arial"/>
          <w:sz w:val="17"/>
          <w:szCs w:val="17"/>
          <w:color w:val="auto"/>
        </w:rPr>
        <w:t>Effective August 7, 2017, the Company adopted an Executive Severance Plan and Summary Plan Description (the “Severance Plan”) applicable to certain employees of the Company and its subsidiaries. The Severance Plan formalizes and standardizes the Company’s severance practices for certain designated employees (each, a “Participant” and, collectively, the “Participants”). Participants covered by the Severance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Severance Plan are determined based on the job classification of the Participants (as reflected in internal job profile designations) and, in certain cases, their years of service with the Company.</w:t>
      </w:r>
    </w:p>
    <w:p>
      <w:pPr>
        <w:spacing w:after="0" w:line="74" w:lineRule="exact"/>
        <w:rPr>
          <w:sz w:val="20"/>
          <w:szCs w:val="20"/>
          <w:color w:val="auto"/>
        </w:rPr>
      </w:pPr>
    </w:p>
    <w:p>
      <w:pPr>
        <w:ind w:right="180" w:firstLine="598"/>
        <w:spacing w:after="0" w:line="300" w:lineRule="auto"/>
        <w:rPr>
          <w:sz w:val="20"/>
          <w:szCs w:val="20"/>
          <w:color w:val="auto"/>
        </w:rPr>
      </w:pPr>
      <w:r>
        <w:rPr>
          <w:rFonts w:ascii="Arial" w:cs="Arial" w:eastAsia="Arial" w:hAnsi="Arial"/>
          <w:sz w:val="17"/>
          <w:szCs w:val="17"/>
          <w:color w:val="auto"/>
        </w:rPr>
        <w:t>Under the Severance Plan, in the event of a termination by the Company without Cause more than three months prior to a Change in Control or more than twelve (12) months following a Change in Control, the severance benefits for the Participant generally shall consist of the following:</w:t>
      </w:r>
    </w:p>
    <w:p>
      <w:pPr>
        <w:spacing w:after="0" w:line="152" w:lineRule="exact"/>
        <w:rPr>
          <w:sz w:val="20"/>
          <w:szCs w:val="20"/>
          <w:color w:val="auto"/>
        </w:rPr>
      </w:pPr>
    </w:p>
    <w:p>
      <w:pPr>
        <w:ind w:left="900" w:right="180" w:hanging="439"/>
        <w:spacing w:after="0" w:line="270"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continued payment of base salary for a period of six to eighteen (18) months following the date of such Participant’s termination of employment; and</w:t>
      </w:r>
    </w:p>
    <w:p>
      <w:pPr>
        <w:spacing w:after="0" w:line="175" w:lineRule="exact"/>
        <w:rPr>
          <w:rFonts w:ascii="Arial" w:cs="Arial" w:eastAsia="Arial" w:hAnsi="Arial"/>
          <w:sz w:val="18"/>
          <w:szCs w:val="18"/>
          <w:color w:val="auto"/>
        </w:rPr>
      </w:pPr>
    </w:p>
    <w:p>
      <w:pPr>
        <w:ind w:left="900" w:right="120" w:hanging="439"/>
        <w:spacing w:after="0" w:line="270"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continuation of coverage under the Company’s health insurance plan through the Company’s payment of COBRA premiums for a period of six to eighteen (18) months following the date of such Participant’s termination of employment.</w:t>
      </w:r>
    </w:p>
    <w:p>
      <w:pPr>
        <w:spacing w:after="0" w:line="175" w:lineRule="exact"/>
        <w:rPr>
          <w:sz w:val="20"/>
          <w:szCs w:val="20"/>
          <w:color w:val="auto"/>
        </w:rPr>
      </w:pPr>
    </w:p>
    <w:p>
      <w:pPr>
        <w:ind w:right="360" w:firstLine="598"/>
        <w:spacing w:after="0" w:line="334" w:lineRule="auto"/>
        <w:rPr>
          <w:sz w:val="20"/>
          <w:szCs w:val="20"/>
          <w:color w:val="auto"/>
        </w:rPr>
      </w:pPr>
      <w:r>
        <w:rPr>
          <w:rFonts w:ascii="Arial" w:cs="Arial" w:eastAsia="Arial" w:hAnsi="Arial"/>
          <w:sz w:val="16"/>
          <w:szCs w:val="16"/>
          <w:color w:val="auto"/>
        </w:rPr>
        <w:t>Under the Severance Plan, in the event of a termination by the Company without Cause or by the Participant for Good Reason, in each case within three months prior to or twelve (12) months following a Change in Control, the severance benefits for the Participant shall consist of the following:</w:t>
      </w:r>
    </w:p>
    <w:p>
      <w:pPr>
        <w:spacing w:after="0" w:line="129" w:lineRule="exact"/>
        <w:rPr>
          <w:sz w:val="20"/>
          <w:szCs w:val="20"/>
          <w:color w:val="auto"/>
        </w:rPr>
      </w:pPr>
    </w:p>
    <w:p>
      <w:pPr>
        <w:ind w:left="900" w:hanging="439"/>
        <w:spacing w:after="0" w:line="270"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a lump sum amount equal to (i) twelve (12) to twenty four (24) months of the Participant’s Base Salary, plus (ii) the Participant’s Target Bonus multiplied by 1, 1.5 or 2; and</w:t>
      </w:r>
    </w:p>
    <w:p>
      <w:pPr>
        <w:spacing w:after="0" w:line="175" w:lineRule="exact"/>
        <w:rPr>
          <w:rFonts w:ascii="Arial" w:cs="Arial" w:eastAsia="Arial" w:hAnsi="Arial"/>
          <w:sz w:val="18"/>
          <w:szCs w:val="18"/>
          <w:color w:val="auto"/>
        </w:rPr>
      </w:pPr>
    </w:p>
    <w:p>
      <w:pPr>
        <w:ind w:left="900" w:right="600" w:hanging="439"/>
        <w:spacing w:after="0" w:line="270"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a lump sum amount equal to the premiums required to continue the Participant’s medical coverage under the Company’s health insurance plan for a period of twelve (12) to twenty four (24) months.</w:t>
      </w:r>
    </w:p>
    <w:p>
      <w:pPr>
        <w:spacing w:after="0" w:line="6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foregoing summary is qualified in its entirety by reference to the Executive Severance Plan and Summary Plan Description incorporated herein by reference as Exhibit 10.22 to this Annual Report on Form 10-K. During the year end December 31, 2017, we recorded $1 million of severance under the Severance Plan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15: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3" w:lineRule="exact"/>
        <w:rPr>
          <w:sz w:val="20"/>
          <w:szCs w:val="20"/>
          <w:color w:val="auto"/>
        </w:rPr>
      </w:pPr>
    </w:p>
    <w:p>
      <w:pPr>
        <w:ind w:right="60" w:firstLine="598"/>
        <w:spacing w:after="0" w:line="300" w:lineRule="auto"/>
        <w:rPr>
          <w:sz w:val="20"/>
          <w:szCs w:val="20"/>
          <w:color w:val="auto"/>
        </w:rPr>
      </w:pPr>
      <w:r>
        <w:rPr>
          <w:rFonts w:ascii="Arial" w:cs="Arial" w:eastAsia="Arial" w:hAnsi="Arial"/>
          <w:sz w:val="17"/>
          <w:szCs w:val="17"/>
          <w:color w:val="auto"/>
        </w:rPr>
        <w:t>In addition to common stock, we are authorized to issue up to 100 million preferred shares, with $ 0.001 par value per share, with terms determined by our Board of Directors, without further action by our stockholders. At December 31, 2017, no preferred shares had been issued.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113" w:lineRule="exact"/>
        <w:rPr>
          <w:sz w:val="20"/>
          <w:szCs w:val="20"/>
          <w:color w:val="auto"/>
        </w:rPr>
      </w:pPr>
    </w:p>
    <w:p>
      <w:pPr>
        <w:ind w:right="20" w:firstLine="598"/>
        <w:spacing w:after="0" w:line="285"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was three directors as of December 31, 2017.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135,617,263 and 126,142,773 shares of common stock issued and outstanding, respectively, and 12,799,999 shares of Class B common stock issued and outstanding at December 31,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3" w:lineRule="exact"/>
        <w:rPr>
          <w:sz w:val="20"/>
          <w:szCs w:val="20"/>
          <w:color w:val="auto"/>
        </w:rPr>
      </w:pPr>
    </w:p>
    <w:p>
      <w:pPr>
        <w:ind w:right="380" w:firstLine="598"/>
        <w:spacing w:after="0" w:line="270" w:lineRule="auto"/>
        <w:rPr>
          <w:sz w:val="20"/>
          <w:szCs w:val="20"/>
          <w:color w:val="auto"/>
        </w:rPr>
      </w:pPr>
      <w:r>
        <w:rPr>
          <w:rFonts w:ascii="Arial" w:cs="Arial" w:eastAsia="Arial" w:hAnsi="Arial"/>
          <w:sz w:val="18"/>
          <w:szCs w:val="18"/>
          <w:color w:val="auto"/>
        </w:rPr>
        <w:t>Accumulated other comprehensive loss is primarily comprised of accumulated foreign currency translation adjustments, as follows for the periods presented:</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70"/>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54"/>
        </w:trPr>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5"/>
          </w:tcPr>
          <w:p>
            <w:pPr>
              <w:ind w:left="740"/>
              <w:spacing w:after="0" w:line="153"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1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Cumulative foreign currency translation</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8"/>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(42)</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w w:val="99"/>
              </w:rPr>
              <w:t>(77)</w:t>
            </w:r>
          </w:p>
        </w:tc>
      </w:tr>
      <w:tr>
        <w:trPr>
          <w:trHeight w:val="220"/>
        </w:trPr>
        <w:tc>
          <w:tcPr>
            <w:tcW w:w="4420" w:type="dxa"/>
            <w:vAlign w:val="bottom"/>
          </w:tcPr>
          <w:p>
            <w:pPr>
              <w:spacing w:after="0"/>
              <w:rPr>
                <w:sz w:val="20"/>
                <w:szCs w:val="20"/>
                <w:color w:val="auto"/>
              </w:rPr>
            </w:pPr>
            <w:r>
              <w:rPr>
                <w:rFonts w:ascii="Arial" w:cs="Arial" w:eastAsia="Arial" w:hAnsi="Arial"/>
                <w:sz w:val="18"/>
                <w:szCs w:val="18"/>
                <w:color w:val="auto"/>
              </w:rPr>
              <w:t>Total accumulated other comprehensive loss (2)</w:t>
            </w:r>
          </w:p>
        </w:tc>
        <w:tc>
          <w:tcPr>
            <w:tcW w:w="10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74"/>
              </w:rPr>
              <w:t>(42)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4"/>
              </w:rPr>
              <w:t>(77)</w:t>
            </w: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ind w:left="860" w:right="920" w:hanging="426"/>
        <w:spacing w:after="0" w:line="255"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Due to our intention to indefinitely reinvest foreign subsidiary earnings; deferred taxes are not provided on foreign currency translation adjustments.</w:t>
      </w:r>
    </w:p>
    <w:p>
      <w:pPr>
        <w:ind w:left="860" w:hanging="426"/>
        <w:spacing w:after="0"/>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accumulated net unrealized gain (loss) on available for sale securities was not material as of December 31, 2017 and December 31, 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3" w:lineRule="exact"/>
        <w:rPr>
          <w:sz w:val="20"/>
          <w:szCs w:val="20"/>
          <w:color w:val="auto"/>
        </w:rPr>
      </w:pPr>
    </w:p>
    <w:p>
      <w:pPr>
        <w:ind w:right="180" w:firstLine="598"/>
        <w:spacing w:after="0" w:line="292" w:lineRule="auto"/>
        <w:rPr>
          <w:sz w:val="20"/>
          <w:szCs w:val="20"/>
          <w:color w:val="auto"/>
        </w:rPr>
      </w:pPr>
      <w:r>
        <w:rPr>
          <w:rFonts w:ascii="Arial" w:cs="Arial" w:eastAsia="Arial" w:hAnsi="Arial"/>
          <w:sz w:val="16"/>
          <w:szCs w:val="16"/>
          <w:color w:val="auto"/>
        </w:rPr>
        <w:t>On February 15, 2013, our Board of Directors authorized the repurchase of $250 million of our shares of common stock under a share repurchase program. During the year ended December 31, 2015, we did not repurchase any shares of outstanding common stock under the share repurchase program. During the year ended December 31, 2016, we repurchased 2,002,356 shares of outstanding common stock under the share repurchase program at an average cost of $52.35 per share. As of December 31, 2016, we had repurchased a total of 4,123,065 shares of outstanding common stock under the share repurchase program at an average cost of $60.63 per share and completed our share repurchase program authorized by our Board of Directors.</w:t>
      </w:r>
    </w:p>
    <w:p>
      <w:pPr>
        <w:spacing w:after="0" w:line="162"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On January 25, 2017, our Board of Directors authorized an additional repurchase of $250 million of our shares of common stock under a new share repurchase program. Our Board of Directors authorized and directed management, working with the Executive Committee of our Board of Directors to affect the share repurchase program in compliance with applicable legal requirements. During the year ended December 31, 2017, we repurchased a total of 6,079,003 shares of the Company’s outstanding common stock at an average share price of $41.13, or $250 million in the aggregate, and completed this share repurchase program. As of December 31, 2017,</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108" w:name="page109"/>
    <w:bookmarkEnd w:id="108"/>
    <w:p>
      <w:pPr>
        <w:ind w:right="3620"/>
        <w:spacing w:after="0" w:line="270" w:lineRule="auto"/>
        <w:rPr>
          <w:sz w:val="20"/>
          <w:szCs w:val="20"/>
          <w:color w:val="auto"/>
        </w:rPr>
      </w:pPr>
      <w:r>
        <w:rPr>
          <w:rFonts w:ascii="Arial" w:cs="Arial" w:eastAsia="Arial" w:hAnsi="Arial"/>
          <w:sz w:val="18"/>
          <w:szCs w:val="18"/>
          <w:color w:val="auto"/>
        </w:rPr>
        <w:t>there were 9,474,490 shares of the Company’s common stock held in treasury with an aggregate cost of $447 million.</w:t>
      </w:r>
    </w:p>
    <w:p>
      <w:pPr>
        <w:spacing w:after="0" w:line="175" w:lineRule="exact"/>
        <w:rPr>
          <w:sz w:val="20"/>
          <w:szCs w:val="20"/>
          <w:color w:val="auto"/>
        </w:rPr>
      </w:pPr>
    </w:p>
    <w:p>
      <w:pPr>
        <w:ind w:firstLine="598"/>
        <w:spacing w:after="0" w:line="270" w:lineRule="auto"/>
        <w:rPr>
          <w:sz w:val="20"/>
          <w:szCs w:val="20"/>
          <w:color w:val="auto"/>
        </w:rPr>
      </w:pPr>
      <w:r>
        <w:rPr>
          <w:rFonts w:ascii="Arial" w:cs="Arial" w:eastAsia="Arial" w:hAnsi="Arial"/>
          <w:sz w:val="18"/>
          <w:szCs w:val="18"/>
          <w:color w:val="auto"/>
        </w:rPr>
        <w:t xml:space="preserve">In December 2015, we issued 801,042 treasury shares to the Foundation in settlement of all future pledge obligations. Refer to “Note 17 – </w:t>
      </w:r>
      <w:r>
        <w:rPr>
          <w:rFonts w:ascii="Arial" w:cs="Arial" w:eastAsia="Arial" w:hAnsi="Arial"/>
          <w:sz w:val="18"/>
          <w:szCs w:val="18"/>
          <w:i w:val="1"/>
          <w:iCs w:val="1"/>
          <w:color w:val="auto"/>
        </w:rPr>
        <w:t>Segment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Geographic Information</w:t>
      </w:r>
      <w:r>
        <w:rPr>
          <w:rFonts w:ascii="Arial" w:cs="Arial" w:eastAsia="Arial" w:hAnsi="Arial"/>
          <w:sz w:val="18"/>
          <w:szCs w:val="18"/>
          <w:color w:val="auto"/>
        </w:rPr>
        <w:t>,” for a discussion of this transaction.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3" w:lineRule="exact"/>
        <w:rPr>
          <w:sz w:val="20"/>
          <w:szCs w:val="20"/>
          <w:color w:val="auto"/>
        </w:rPr>
      </w:pPr>
    </w:p>
    <w:p>
      <w:pPr>
        <w:ind w:right="200" w:firstLine="598"/>
        <w:spacing w:after="0" w:line="270" w:lineRule="auto"/>
        <w:rPr>
          <w:sz w:val="20"/>
          <w:szCs w:val="20"/>
          <w:color w:val="auto"/>
        </w:rPr>
      </w:pPr>
      <w:r>
        <w:rPr>
          <w:rFonts w:ascii="Arial" w:cs="Arial" w:eastAsia="Arial" w:hAnsi="Arial"/>
          <w:sz w:val="18"/>
          <w:szCs w:val="18"/>
          <w:color w:val="auto"/>
        </w:rPr>
        <w:t>During the years ended December 31, 2017, 2016, and 2015, our Board of Directors did not declare any dividends on our outstanding common stock and do not expect to pay any dividends for the foreseeable future.</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Expedia and TripAdvisor</w:t>
      </w:r>
    </w:p>
    <w:p>
      <w:pPr>
        <w:spacing w:after="0" w:line="113" w:lineRule="exact"/>
        <w:rPr>
          <w:sz w:val="20"/>
          <w:szCs w:val="20"/>
          <w:color w:val="auto"/>
        </w:rPr>
      </w:pPr>
    </w:p>
    <w:p>
      <w:pPr>
        <w:ind w:right="360" w:firstLine="598"/>
        <w:spacing w:after="0" w:line="253" w:lineRule="auto"/>
        <w:rPr>
          <w:sz w:val="20"/>
          <w:szCs w:val="20"/>
          <w:color w:val="auto"/>
        </w:rPr>
      </w:pPr>
      <w:r>
        <w:rPr>
          <w:rFonts w:ascii="Arial" w:cs="Arial" w:eastAsia="Arial" w:hAnsi="Arial"/>
          <w:sz w:val="18"/>
          <w:szCs w:val="18"/>
          <w:color w:val="auto"/>
        </w:rPr>
        <w:t>Upon consummation of the Spin-Off, Expedia was considered a related party under GAAP based on a number of factors, including, among others, common ownership of our shares and those of Expedia. However, we no longer consider Expedia a related party. For purposes of governing certain of the ongoing relationships between us and Expedia at and after the Spin-Off, and to provide for an orderly transition, we and Expedia entered into various agreements at the time of the Spin-Off, which TripAdvisor has satisfied its obligations. However, TripAdvisor continues to be subject to certain post-spin obligations under the Tax Sharing Agreement.</w:t>
      </w:r>
    </w:p>
    <w:p>
      <w:pPr>
        <w:spacing w:after="0" w:line="191" w:lineRule="exact"/>
        <w:rPr>
          <w:sz w:val="20"/>
          <w:szCs w:val="20"/>
          <w:color w:val="auto"/>
        </w:rPr>
      </w:pPr>
    </w:p>
    <w:p>
      <w:pPr>
        <w:ind w:right="40" w:firstLine="598"/>
        <w:spacing w:after="0" w:line="267" w:lineRule="auto"/>
        <w:rPr>
          <w:sz w:val="20"/>
          <w:szCs w:val="20"/>
          <w:color w:val="auto"/>
        </w:rPr>
      </w:pPr>
      <w:r>
        <w:rPr>
          <w:rFonts w:ascii="Arial" w:cs="Arial" w:eastAsia="Arial" w:hAnsi="Arial"/>
          <w:sz w:val="17"/>
          <w:szCs w:val="17"/>
          <w:color w:val="auto"/>
        </w:rPr>
        <w:t xml:space="preserve">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 The full text of the Tax Sharing Agreement is incorporated by reference in this Annual Report on Form 10-K as Exhibit 10.2. Refer to “Note 10— </w:t>
      </w:r>
      <w:r>
        <w:rPr>
          <w:rFonts w:ascii="Arial" w:cs="Arial" w:eastAsia="Arial" w:hAnsi="Arial"/>
          <w:sz w:val="17"/>
          <w:szCs w:val="17"/>
          <w:i w:val="1"/>
          <w:iCs w:val="1"/>
          <w:color w:val="auto"/>
        </w:rPr>
        <w:t>Income Taxes</w:t>
      </w:r>
      <w:r>
        <w:rPr>
          <w:rFonts w:ascii="Arial" w:cs="Arial" w:eastAsia="Arial" w:hAnsi="Arial"/>
          <w:sz w:val="17"/>
          <w:szCs w:val="17"/>
          <w:color w:val="auto"/>
        </w:rPr>
        <w:t>” above for information regarding the status of completed and ongoing IRS audits of our consolidated income tax returns with Expedia to 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Liberty TripAdvisor Holdings, Inc. and TripAdvisor</w:t>
      </w:r>
    </w:p>
    <w:p>
      <w:pPr>
        <w:spacing w:after="0" w:line="113"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 xml:space="preserve">We consider Liberty TripAdvisor Holdings, Inc. (“LTRIP”) a related party. As of December 31, 2017, LTRIP beneficially owned approximately 18.2 million shares of our common stock and 12.8 million shares of our Class B common stock, which constitute 14.4% of the outstanding shares of common stock and 100% of the outstanding shares of Class B common stock. Assuming the conversion of all of LTRIP’s shares of Class B common stock into common stock, LTRIP would beneficially own 22.3% of the outstanding common stock. Because each share of Class B common stock generally is entitled to ten votes per share and each share of common stock is entitled to one vote per share, LTRIP may be deemed to beneficially own equity securities representing 57.5% of our voting power. Refer to “Note 1— </w:t>
      </w:r>
      <w:r>
        <w:rPr>
          <w:rFonts w:ascii="Arial" w:cs="Arial" w:eastAsia="Arial" w:hAnsi="Arial"/>
          <w:sz w:val="16"/>
          <w:szCs w:val="16"/>
          <w:i w:val="1"/>
          <w:iCs w:val="1"/>
          <w:color w:val="auto"/>
        </w:rPr>
        <w:t>Organization and Business Description</w:t>
      </w:r>
      <w:r>
        <w:rPr>
          <w:rFonts w:ascii="Arial" w:cs="Arial" w:eastAsia="Arial" w:hAnsi="Arial"/>
          <w:sz w:val="16"/>
          <w:szCs w:val="16"/>
          <w:color w:val="auto"/>
        </w:rPr>
        <w:t>” above, which describes the evolution of our relationship with LTRIP.</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had no related party transactions with LTRIP during the years ended December 31, 2017, 2016 or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AND GEOGRAPHIC INFORMATION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reporting structure includes two reportable segments: Hotel and Non-Hotel.</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Hotel</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Hotel segment includes revenue generated from the following sources:</w:t>
      </w:r>
    </w:p>
    <w:p>
      <w:pPr>
        <w:spacing w:after="0" w:line="113" w:lineRule="exact"/>
        <w:rPr>
          <w:sz w:val="20"/>
          <w:szCs w:val="20"/>
          <w:color w:val="auto"/>
        </w:rPr>
      </w:pPr>
    </w:p>
    <w:p>
      <w:pPr>
        <w:ind w:left="1180" w:hanging="426"/>
        <w:spacing w:after="0" w:line="267" w:lineRule="auto"/>
        <w:tabs>
          <w:tab w:leader="none" w:pos="118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TripAdvisor-branded Click-based and Transaction Revenue. </w:t>
      </w:r>
      <w:r>
        <w:rPr>
          <w:rFonts w:ascii="Arial" w:cs="Arial" w:eastAsia="Arial" w:hAnsi="Arial"/>
          <w:sz w:val="17"/>
          <w:szCs w:val="17"/>
          <w:color w:val="auto"/>
        </w:rPr>
        <w:t>Our largest source of Hotel segment revenue is generated from click-based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on TripAdvisor-branded websites, which is primarily comprised of contextually-relevant booking links to our travel partners’ sites. Our click-based travel partners are predominantly online travel agencies, or OTAs, and direct suppliers in the hotel category. Click-based advertising is generally priced on a cost-per-click, or “CPC”, basis, with payments from advertisers determined by the number of users who click on a link multiplied by the price that partner is willing to pay for that click, or hotel shopper lead. CPC rates are determined in a dynamic, competitive auction process, or metasearch auction, that enables our partners to use our proprietary, automated bidding system to submit CPC bids to have their hotel rates and availability listed on our site. Transaction revenue is generated from our instant booking feature, which enables the merchant of record, generally an OTA or hotel partner, to pay a commission to TripAdvisor for a user that completes a hotel reservation via our website.</w:t>
      </w:r>
    </w:p>
    <w:p>
      <w:pPr>
        <w:spacing w:after="0" w:line="72" w:lineRule="exact"/>
        <w:rPr>
          <w:rFonts w:ascii="Arial" w:cs="Arial" w:eastAsia="Arial" w:hAnsi="Arial"/>
          <w:sz w:val="17"/>
          <w:szCs w:val="17"/>
          <w:color w:val="auto"/>
        </w:rPr>
      </w:pPr>
    </w:p>
    <w:p>
      <w:pPr>
        <w:ind w:left="1180" w:right="40" w:hanging="426"/>
        <w:spacing w:after="0" w:line="287" w:lineRule="auto"/>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TripAdvisor-branded Display-based Advertising and Subscription Revenue. </w:t>
      </w:r>
      <w:r>
        <w:rPr>
          <w:rFonts w:ascii="Arial" w:cs="Arial" w:eastAsia="Arial" w:hAnsi="Arial"/>
          <w:sz w:val="16"/>
          <w:szCs w:val="16"/>
          <w:color w:val="auto"/>
        </w:rPr>
        <w:t>Travel partners can promote their brands in a contextually-relevant manner through a variety of display-based advertising placements on our websites. Our display-based advertising clients are predominately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In addition, we offer subscription-based advertising to hotels, B&amp;Bs and other specialty lodging properties. Subscription advertising is predominantly sold for a flat fee and enables subscribers to enhance their listing, for a contracted period of time, on our TripAdvisor-branded websites, including by posting special offers for travelers.</w:t>
      </w:r>
    </w:p>
    <w:p>
      <w:pPr>
        <w:spacing w:after="0" w:line="61" w:lineRule="exact"/>
        <w:rPr>
          <w:rFonts w:ascii="Arial" w:cs="Arial" w:eastAsia="Arial" w:hAnsi="Arial"/>
          <w:sz w:val="16"/>
          <w:szCs w:val="16"/>
          <w:color w:val="auto"/>
        </w:rPr>
      </w:pPr>
    </w:p>
    <w:p>
      <w:pPr>
        <w:ind w:left="1180" w:right="100" w:hanging="426"/>
        <w:spacing w:after="0" w:line="255"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Hotel Revenue. </w:t>
      </w:r>
      <w:r>
        <w:rPr>
          <w:rFonts w:ascii="Arial" w:cs="Arial" w:eastAsia="Arial" w:hAnsi="Arial"/>
          <w:sz w:val="18"/>
          <w:szCs w:val="18"/>
          <w:color w:val="auto"/>
        </w:rPr>
        <w:t>Our other hotel revenue primarily includes revenue from non-TripAdvisor branded websites,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www.bookingbuddy.com, www.cruisecritic.com, and www.onetime.com, which includes click-based advertising revenue, display-based advertising revenue, hotel room reservations sold through the websites, and advertising revenue from making cruise reservations available for price comparison and booking.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Non-Hotel</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Non-Hotel segment consists of the aggregation of three operating segments, our Attractions, Restaurants and Vacation Rentals businesses.</w:t>
      </w:r>
    </w:p>
    <w:p>
      <w:pPr>
        <w:spacing w:after="0" w:line="136" w:lineRule="exact"/>
        <w:rPr>
          <w:sz w:val="20"/>
          <w:szCs w:val="20"/>
          <w:color w:val="auto"/>
        </w:rPr>
      </w:pPr>
    </w:p>
    <w:p>
      <w:pPr>
        <w:ind w:left="1180" w:right="40" w:hanging="426"/>
        <w:spacing w:after="0" w:line="269" w:lineRule="auto"/>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Attractions. </w:t>
      </w:r>
      <w:r>
        <w:rPr>
          <w:rFonts w:ascii="Arial" w:cs="Arial" w:eastAsia="Arial" w:hAnsi="Arial"/>
          <w:sz w:val="17"/>
          <w:szCs w:val="17"/>
          <w:color w:val="auto"/>
        </w:rPr>
        <w:t>We provide information and services for users to research, book and experience activities and attractions in popular travel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destinations both through Viator, our dedicated Attractions business, and on our TripAdvisor website and applications. We predominately generate commissions for each transaction we facilitate through our online reservation systems. In addition to its consumer-direct business, Viator also powers activity and attractions booking capabilities for its affiliate partners, including some of the world’s top airlines, hotel chains and online and offline travel agencies. Viator’s bookable activities and attractions are available on Viator-branded websites and mobile applications and on TripAdvisor-branded websites and mobile applications.</w:t>
      </w:r>
    </w:p>
    <w:p>
      <w:pPr>
        <w:spacing w:after="0" w:line="73" w:lineRule="exact"/>
        <w:rPr>
          <w:rFonts w:ascii="Arial" w:cs="Arial" w:eastAsia="Arial" w:hAnsi="Arial"/>
          <w:sz w:val="17"/>
          <w:szCs w:val="17"/>
          <w:color w:val="auto"/>
        </w:rPr>
      </w:pPr>
    </w:p>
    <w:p>
      <w:pPr>
        <w:ind w:left="1180" w:right="20" w:hanging="426"/>
        <w:spacing w:after="0" w:line="268" w:lineRule="auto"/>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Restaurants. </w:t>
      </w:r>
      <w:r>
        <w:rPr>
          <w:rFonts w:ascii="Arial" w:cs="Arial" w:eastAsia="Arial" w:hAnsi="Arial"/>
          <w:sz w:val="17"/>
          <w:szCs w:val="17"/>
          <w:color w:val="auto"/>
        </w:rPr>
        <w:t>We provide information and services for users to research and book restaurants in popular travel destinations through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dedicated restaurant reservations business, TheFork, and on our TripAdvisor website and applications. TheFork is an online restaurant booking platform operating on a number of websites (including www.lafourchette.com, www.eltenedor.com, www.iens.nl and www.dimmi.com.au), with a network of restaurant partners located primarily across Europe and Australia. We generate reservation revenues that are paid by restaurants for diners seated through TheFork’s online reservation systems, and generate subscription fees for our online booking and marketing analytics tools provided by TheFork and by TripAdvisor. TheFork’s bookable restaurants are available on www.thefork.com and on TripAdvisor-branded websites and mobile applications.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55" w:right="279" w:bottom="1440" w:gutter="0" w:footer="0" w:header="0"/>
        </w:sectPr>
      </w:pPr>
    </w:p>
    <w:bookmarkStart w:id="110" w:name="page111"/>
    <w:bookmarkEnd w:id="110"/>
    <w:p>
      <w:pPr>
        <w:ind w:left="1180" w:right="100" w:hanging="426"/>
        <w:spacing w:after="0" w:line="289" w:lineRule="auto"/>
        <w:tabs>
          <w:tab w:leader="none" w:pos="1180"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Vacation Rentals. </w:t>
      </w:r>
      <w:r>
        <w:rPr>
          <w:rFonts w:ascii="Arial" w:cs="Arial" w:eastAsia="Arial" w:hAnsi="Arial"/>
          <w:sz w:val="16"/>
          <w:szCs w:val="16"/>
          <w:color w:val="auto"/>
        </w:rPr>
        <w:t>We provide information and services for users to research and book vacation and short-term rental properties, including full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home rentals, condominiums, villas, beach rentals, cabins and cottages. The Vacation Rentals business generates revenue primarily by offering individual property owners and property managers the ability to list their properties on our websites and mobile applications thereby connecting homeowners with travelers through a free-to-list, commission-based option and, to a lesser extent, by an annual subscription-based fee structure. These properties are listed on www.flipkey.com, www.holidaylettings.co.uk, www.housetrip.com, www.niumba.com, and www.vacationhomerentals.com, and on our TripAdvisor-branded websites and mobile applications.</w:t>
      </w:r>
    </w:p>
    <w:p>
      <w:pPr>
        <w:spacing w:after="0" w:line="166"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CEO.</w:t>
      </w:r>
    </w:p>
    <w:p>
      <w:pPr>
        <w:spacing w:after="0" w:line="184" w:lineRule="exact"/>
        <w:rPr>
          <w:sz w:val="20"/>
          <w:szCs w:val="20"/>
          <w:color w:val="auto"/>
        </w:rPr>
      </w:pPr>
    </w:p>
    <w:p>
      <w:pPr>
        <w:ind w:right="120" w:firstLine="598"/>
        <w:spacing w:after="0" w:line="287"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non-recurring expenses and income.</w:t>
      </w:r>
    </w:p>
    <w:p>
      <w:pPr>
        <w:spacing w:after="0" w:line="169" w:lineRule="exact"/>
        <w:rPr>
          <w:sz w:val="20"/>
          <w:szCs w:val="20"/>
          <w:color w:val="auto"/>
        </w:rPr>
      </w:pPr>
    </w:p>
    <w:p>
      <w:pPr>
        <w:ind w:right="120" w:firstLine="598"/>
        <w:spacing w:after="0" w:line="285" w:lineRule="auto"/>
        <w:rPr>
          <w:sz w:val="20"/>
          <w:szCs w:val="20"/>
          <w:color w:val="auto"/>
        </w:rPr>
      </w:pPr>
      <w:r>
        <w:rPr>
          <w:rFonts w:ascii="Arial" w:cs="Arial" w:eastAsia="Arial" w:hAnsi="Arial"/>
          <w:sz w:val="16"/>
          <w:szCs w:val="16"/>
          <w:color w:val="auto"/>
        </w:rPr>
        <w:t>The following tables present our segment information for the years ended December 31, 2017, 2016 and 2015, and includes a reconciliation of Adjusted EBITDA to Net Income. We record depreciation of property and equipment, including amortization of internal-use software and website development, amortization of intangible assets, stock-based compensation and other stock-settled obligations,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use this information to evaluate operating segments. Accordingly, we do not regularly provide such information by segment to our chief operating decision maker. Intersegment revenue is not material and, in addition, already eliminated in the information by segment provided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3"/>
          </w:tcPr>
          <w:p>
            <w:pPr>
              <w:jc w:val="center"/>
              <w:ind w:right="456"/>
              <w:spacing w:after="0"/>
              <w:rPr>
                <w:sz w:val="20"/>
                <w:szCs w:val="20"/>
                <w:color w:val="auto"/>
              </w:rPr>
            </w:pPr>
            <w:r>
              <w:rPr>
                <w:rFonts w:ascii="Arial" w:cs="Arial" w:eastAsia="Arial" w:hAnsi="Arial"/>
                <w:sz w:val="14"/>
                <w:szCs w:val="14"/>
                <w:b w:val="1"/>
                <w:bCs w:val="1"/>
                <w:color w:val="auto"/>
                <w:w w:val="90"/>
              </w:rPr>
              <w:t>Year ended December 31, 2017</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Hotel</w:t>
            </w:r>
          </w:p>
        </w:tc>
        <w:tc>
          <w:tcPr>
            <w:tcW w:w="400" w:type="dxa"/>
            <w:vAlign w:val="bottom"/>
          </w:tcPr>
          <w:p>
            <w:pPr>
              <w:spacing w:after="0"/>
              <w:rPr>
                <w:sz w:val="11"/>
                <w:szCs w:val="11"/>
                <w:color w:val="auto"/>
              </w:rPr>
            </w:pPr>
          </w:p>
        </w:tc>
        <w:tc>
          <w:tcPr>
            <w:tcW w:w="132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Non-Hotel</w:t>
            </w:r>
          </w:p>
        </w:tc>
        <w:tc>
          <w:tcPr>
            <w:tcW w:w="400" w:type="dxa"/>
            <w:vAlign w:val="bottom"/>
          </w:tcPr>
          <w:p>
            <w:pPr>
              <w:spacing w:after="0"/>
              <w:rPr>
                <w:sz w:val="11"/>
                <w:szCs w:val="11"/>
                <w:color w:val="auto"/>
              </w:rPr>
            </w:pPr>
          </w:p>
        </w:tc>
        <w:tc>
          <w:tcPr>
            <w:tcW w:w="1480" w:type="dxa"/>
            <w:vAlign w:val="bottom"/>
          </w:tcPr>
          <w:p>
            <w:pPr>
              <w:jc w:val="right"/>
              <w:ind w:right="476"/>
              <w:spacing w:after="0" w:line="131" w:lineRule="exact"/>
              <w:rPr>
                <w:sz w:val="20"/>
                <w:szCs w:val="20"/>
                <w:color w:val="auto"/>
              </w:rPr>
            </w:pPr>
            <w:r>
              <w:rPr>
                <w:rFonts w:ascii="Arial" w:cs="Arial" w:eastAsia="Arial" w:hAnsi="Arial"/>
                <w:sz w:val="14"/>
                <w:szCs w:val="14"/>
                <w:b w:val="1"/>
                <w:bCs w:val="1"/>
                <w:color w:val="auto"/>
                <w:w w:val="94"/>
              </w:rPr>
              <w:t>Corporate and</w:t>
            </w:r>
          </w:p>
        </w:tc>
        <w:tc>
          <w:tcPr>
            <w:tcW w:w="32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jc w:val="right"/>
              <w:ind w:right="576"/>
              <w:spacing w:after="0"/>
              <w:rPr>
                <w:sz w:val="20"/>
                <w:szCs w:val="20"/>
                <w:color w:val="auto"/>
              </w:rPr>
            </w:pPr>
            <w:r>
              <w:rPr>
                <w:rFonts w:ascii="Arial" w:cs="Arial" w:eastAsia="Arial" w:hAnsi="Arial"/>
                <w:sz w:val="14"/>
                <w:szCs w:val="14"/>
                <w:b w:val="1"/>
                <w:bCs w:val="1"/>
                <w:color w:val="auto"/>
              </w:rPr>
              <w:t>unallocated</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center"/>
              <w:ind w:left="862"/>
              <w:spacing w:after="0" w:line="153" w:lineRule="exact"/>
              <w:rPr>
                <w:sz w:val="20"/>
                <w:szCs w:val="20"/>
                <w:color w:val="auto"/>
              </w:rPr>
            </w:pPr>
            <w:r>
              <w:rPr>
                <w:rFonts w:ascii="Arial" w:cs="Arial" w:eastAsia="Arial" w:hAnsi="Arial"/>
                <w:sz w:val="14"/>
                <w:szCs w:val="14"/>
                <w:b w:val="1"/>
                <w:bCs w:val="1"/>
                <w:color w:val="auto"/>
                <w:w w:val="94"/>
              </w:rPr>
              <w:t>(in millions)</w:t>
            </w:r>
          </w:p>
        </w:tc>
        <w:tc>
          <w:tcPr>
            <w:tcW w:w="1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1,196</w:t>
            </w:r>
          </w:p>
        </w:tc>
        <w:tc>
          <w:tcPr>
            <w:tcW w:w="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360</w:t>
            </w:r>
          </w:p>
        </w:tc>
        <w:tc>
          <w:tcPr>
            <w:tcW w:w="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2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tcPr>
          <w:p>
            <w:pPr>
              <w:spacing w:after="0"/>
              <w:rPr>
                <w:sz w:val="20"/>
                <w:szCs w:val="20"/>
                <w:color w:val="auto"/>
              </w:rPr>
            </w:pPr>
            <w:r>
              <w:rPr>
                <w:rFonts w:ascii="Arial" w:cs="Arial" w:eastAsia="Arial" w:hAnsi="Arial"/>
                <w:sz w:val="18"/>
                <w:szCs w:val="18"/>
                <w:color w:val="auto"/>
              </w:rPr>
              <w:t>Adjusted EBITDA (1)</w:t>
            </w:r>
          </w:p>
        </w:tc>
        <w:tc>
          <w:tcPr>
            <w:tcW w:w="3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286</w:t>
            </w:r>
          </w:p>
        </w:tc>
        <w:tc>
          <w:tcPr>
            <w:tcW w:w="400" w:type="dxa"/>
            <w:vAlign w:val="bottom"/>
          </w:tcPr>
          <w:p>
            <w:pPr>
              <w:spacing w:after="0"/>
              <w:rPr>
                <w:sz w:val="19"/>
                <w:szCs w:val="19"/>
                <w:color w:val="auto"/>
              </w:rPr>
            </w:pPr>
          </w:p>
        </w:tc>
        <w:tc>
          <w:tcPr>
            <w:tcW w:w="1320" w:type="dxa"/>
            <w:vAlign w:val="bottom"/>
          </w:tcPr>
          <w:p>
            <w:pPr>
              <w:jc w:val="right"/>
              <w:ind w:right="82"/>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148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ind w:right="156"/>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 (2)</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vMerge w:val="restart"/>
          </w:tcPr>
          <w:p>
            <w:pPr>
              <w:jc w:val="right"/>
              <w:ind w:right="355"/>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jc w:val="center"/>
              <w:ind w:right="435"/>
              <w:spacing w:after="0"/>
              <w:rPr>
                <w:sz w:val="20"/>
                <w:szCs w:val="20"/>
                <w:color w:val="auto"/>
              </w:rPr>
            </w:pPr>
            <w:r>
              <w:rPr>
                <w:rFonts w:ascii="Arial" w:cs="Arial" w:eastAsia="Arial" w:hAnsi="Arial"/>
                <w:sz w:val="14"/>
                <w:szCs w:val="14"/>
                <w:b w:val="1"/>
                <w:bCs w:val="1"/>
                <w:color w:val="auto"/>
                <w:w w:val="90"/>
              </w:rPr>
              <w:t>Year ended December 31, 2016</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500" w:type="dxa"/>
            <w:vAlign w:val="bottom"/>
          </w:tcPr>
          <w:p>
            <w:pPr>
              <w:jc w:val="center"/>
              <w:ind w:right="475"/>
              <w:spacing w:after="0" w:line="131" w:lineRule="exact"/>
              <w:rPr>
                <w:sz w:val="20"/>
                <w:szCs w:val="20"/>
                <w:color w:val="auto"/>
              </w:rPr>
            </w:pPr>
            <w:r>
              <w:rPr>
                <w:rFonts w:ascii="Arial" w:cs="Arial" w:eastAsia="Arial" w:hAnsi="Arial"/>
                <w:sz w:val="14"/>
                <w:szCs w:val="14"/>
                <w:b w:val="1"/>
                <w:bCs w:val="1"/>
                <w:color w:val="auto"/>
                <w:w w:val="94"/>
              </w:rPr>
              <w:t>Corporate and</w:t>
            </w:r>
          </w:p>
        </w:tc>
        <w:tc>
          <w:tcPr>
            <w:tcW w:w="32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center"/>
              <w:ind w:right="475"/>
              <w:spacing w:after="0"/>
              <w:rPr>
                <w:sz w:val="20"/>
                <w:szCs w:val="20"/>
                <w:color w:val="auto"/>
              </w:rPr>
            </w:pPr>
            <w:r>
              <w:rPr>
                <w:rFonts w:ascii="Arial" w:cs="Arial" w:eastAsia="Arial" w:hAnsi="Arial"/>
                <w:sz w:val="14"/>
                <w:szCs w:val="14"/>
                <w:b w:val="1"/>
                <w:bCs w:val="1"/>
                <w:color w:val="auto"/>
                <w:w w:val="89"/>
              </w:rPr>
              <w:t>unallocated</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center"/>
              <w:ind w:left="882"/>
              <w:spacing w:after="0" w:line="153" w:lineRule="exact"/>
              <w:rPr>
                <w:sz w:val="20"/>
                <w:szCs w:val="20"/>
                <w:color w:val="auto"/>
              </w:rPr>
            </w:pPr>
            <w:r>
              <w:rPr>
                <w:rFonts w:ascii="Arial" w:cs="Arial" w:eastAsia="Arial" w:hAnsi="Arial"/>
                <w:sz w:val="14"/>
                <w:szCs w:val="14"/>
                <w:b w:val="1"/>
                <w:bCs w:val="1"/>
                <w:color w:val="auto"/>
                <w:w w:val="91"/>
              </w:rPr>
              <w:t>(in millions)</w:t>
            </w:r>
          </w:p>
        </w:tc>
        <w:tc>
          <w:tcPr>
            <w:tcW w:w="15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80" w:type="dxa"/>
            <w:vAlign w:val="bottom"/>
            <w:gridSpan w:val="2"/>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7"/>
              </w:rPr>
              <w:t>1,190</w:t>
            </w:r>
          </w:p>
        </w:tc>
        <w:tc>
          <w:tcPr>
            <w:tcW w:w="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60" w:type="dxa"/>
            <w:vAlign w:val="bottom"/>
          </w:tcPr>
          <w:p>
            <w:pPr>
              <w:spacing w:after="0"/>
              <w:rPr>
                <w:sz w:val="20"/>
                <w:szCs w:val="20"/>
                <w:color w:val="auto"/>
              </w:rPr>
            </w:pPr>
            <w:r>
              <w:rPr>
                <w:rFonts w:ascii="Arial" w:cs="Arial" w:eastAsia="Arial" w:hAnsi="Arial"/>
                <w:sz w:val="18"/>
                <w:szCs w:val="18"/>
                <w:color w:val="auto"/>
              </w:rPr>
              <w:t>Adjusted EBITDA (1)</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19"/>
                <w:szCs w:val="19"/>
                <w:color w:val="auto"/>
              </w:rPr>
            </w:pP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15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7"/>
        </w:trPr>
        <w:tc>
          <w:tcPr>
            <w:tcW w:w="36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ind w:right="175"/>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0"/>
        </w:trPr>
        <w:tc>
          <w:tcPr>
            <w:tcW w:w="3660" w:type="dxa"/>
            <w:vAlign w:val="bottom"/>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0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6"/>
        </w:trPr>
        <w:tc>
          <w:tcPr>
            <w:tcW w:w="3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6"/>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20" w:type="dxa"/>
            <w:vAlign w:val="bottom"/>
            <w:gridSpan w:val="3"/>
            <w:vMerge w:val="restart"/>
          </w:tcPr>
          <w:p>
            <w:pPr>
              <w:jc w:val="center"/>
              <w:ind w:right="435"/>
              <w:spacing w:after="0"/>
              <w:rPr>
                <w:sz w:val="20"/>
                <w:szCs w:val="20"/>
                <w:color w:val="auto"/>
              </w:rPr>
            </w:pPr>
            <w:r>
              <w:rPr>
                <w:rFonts w:ascii="Arial" w:cs="Arial" w:eastAsia="Arial" w:hAnsi="Arial"/>
                <w:sz w:val="14"/>
                <w:szCs w:val="14"/>
                <w:b w:val="1"/>
                <w:bCs w:val="1"/>
                <w:color w:val="auto"/>
                <w:w w:val="90"/>
              </w:rPr>
              <w:t>Year ended December 31, 2015</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3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Non-Hotel</w:t>
            </w:r>
          </w:p>
        </w:tc>
        <w:tc>
          <w:tcPr>
            <w:tcW w:w="360" w:type="dxa"/>
            <w:vAlign w:val="bottom"/>
          </w:tcPr>
          <w:p>
            <w:pPr>
              <w:spacing w:after="0"/>
              <w:rPr>
                <w:sz w:val="11"/>
                <w:szCs w:val="11"/>
                <w:color w:val="auto"/>
              </w:rPr>
            </w:pPr>
          </w:p>
        </w:tc>
        <w:tc>
          <w:tcPr>
            <w:tcW w:w="1500" w:type="dxa"/>
            <w:vAlign w:val="bottom"/>
          </w:tcPr>
          <w:p>
            <w:pPr>
              <w:jc w:val="center"/>
              <w:ind w:right="475"/>
              <w:spacing w:after="0" w:line="131" w:lineRule="exact"/>
              <w:rPr>
                <w:sz w:val="20"/>
                <w:szCs w:val="20"/>
                <w:color w:val="auto"/>
              </w:rPr>
            </w:pPr>
            <w:r>
              <w:rPr>
                <w:rFonts w:ascii="Arial" w:cs="Arial" w:eastAsia="Arial" w:hAnsi="Arial"/>
                <w:sz w:val="14"/>
                <w:szCs w:val="14"/>
                <w:b w:val="1"/>
                <w:bCs w:val="1"/>
                <w:color w:val="auto"/>
                <w:w w:val="94"/>
              </w:rPr>
              <w:t>Corporate and</w:t>
            </w:r>
          </w:p>
        </w:tc>
        <w:tc>
          <w:tcPr>
            <w:tcW w:w="32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center"/>
              <w:ind w:right="475"/>
              <w:spacing w:after="0"/>
              <w:rPr>
                <w:sz w:val="20"/>
                <w:szCs w:val="20"/>
                <w:color w:val="auto"/>
              </w:rPr>
            </w:pPr>
            <w:r>
              <w:rPr>
                <w:rFonts w:ascii="Arial" w:cs="Arial" w:eastAsia="Arial" w:hAnsi="Arial"/>
                <w:sz w:val="14"/>
                <w:szCs w:val="14"/>
                <w:b w:val="1"/>
                <w:bCs w:val="1"/>
                <w:color w:val="auto"/>
                <w:w w:val="89"/>
              </w:rPr>
              <w:t>unallocated</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center"/>
              <w:ind w:left="882"/>
              <w:spacing w:after="0" w:line="153" w:lineRule="exact"/>
              <w:rPr>
                <w:sz w:val="20"/>
                <w:szCs w:val="20"/>
                <w:color w:val="auto"/>
              </w:rPr>
            </w:pPr>
            <w:r>
              <w:rPr>
                <w:rFonts w:ascii="Arial" w:cs="Arial" w:eastAsia="Arial" w:hAnsi="Arial"/>
                <w:sz w:val="14"/>
                <w:szCs w:val="14"/>
                <w:b w:val="1"/>
                <w:bCs w:val="1"/>
                <w:color w:val="auto"/>
                <w:w w:val="91"/>
              </w:rPr>
              <w:t>(in millions)</w:t>
            </w:r>
          </w:p>
        </w:tc>
        <w:tc>
          <w:tcPr>
            <w:tcW w:w="15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80" w:type="dxa"/>
            <w:vAlign w:val="bottom"/>
            <w:gridSpan w:val="2"/>
            <w:shd w:val="clear" w:color="auto" w:fill="CFF0FC"/>
          </w:tcPr>
          <w:p>
            <w:pPr>
              <w:jc w:val="right"/>
              <w:ind w:right="76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7"/>
              </w:rPr>
              <w:t>1,263</w:t>
            </w:r>
          </w:p>
        </w:tc>
        <w:tc>
          <w:tcPr>
            <w:tcW w:w="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229</w:t>
            </w:r>
          </w:p>
        </w:tc>
        <w:tc>
          <w:tcPr>
            <w:tcW w:w="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60" w:type="dxa"/>
            <w:vAlign w:val="bottom"/>
          </w:tcPr>
          <w:p>
            <w:pPr>
              <w:spacing w:after="0"/>
              <w:rPr>
                <w:sz w:val="20"/>
                <w:szCs w:val="20"/>
                <w:color w:val="auto"/>
              </w:rPr>
            </w:pPr>
            <w:r>
              <w:rPr>
                <w:rFonts w:ascii="Arial" w:cs="Arial" w:eastAsia="Arial" w:hAnsi="Arial"/>
                <w:sz w:val="18"/>
                <w:szCs w:val="18"/>
                <w:color w:val="auto"/>
              </w:rPr>
              <w:t>Adjusted EBITDA (1)</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color w:val="auto"/>
              </w:rPr>
              <w:t>472</w:t>
            </w:r>
          </w:p>
        </w:tc>
        <w:tc>
          <w:tcPr>
            <w:tcW w:w="400" w:type="dxa"/>
            <w:vAlign w:val="bottom"/>
          </w:tcPr>
          <w:p>
            <w:pPr>
              <w:spacing w:after="0"/>
              <w:rPr>
                <w:sz w:val="19"/>
                <w:szCs w:val="19"/>
                <w:color w:val="auto"/>
              </w:rPr>
            </w:pP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15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7"/>
        </w:trPr>
        <w:tc>
          <w:tcPr>
            <w:tcW w:w="36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ind w:right="175"/>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7"/>
        </w:trPr>
        <w:tc>
          <w:tcPr>
            <w:tcW w:w="3660" w:type="dxa"/>
            <w:vAlign w:val="bottom"/>
          </w:tcPr>
          <w:p>
            <w:pPr>
              <w:spacing w:after="0"/>
              <w:rPr>
                <w:sz w:val="20"/>
                <w:szCs w:val="20"/>
                <w:color w:val="auto"/>
              </w:rPr>
            </w:pPr>
            <w:r>
              <w:rPr>
                <w:rFonts w:ascii="Arial" w:cs="Arial" w:eastAsia="Arial" w:hAnsi="Arial"/>
                <w:sz w:val="18"/>
                <w:szCs w:val="18"/>
                <w:color w:val="auto"/>
              </w:rPr>
              <w:t>Non-cash charitable contribution (3)</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ind w:right="175"/>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4"/>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non-recurring expenses</w:t>
            </w:r>
          </w:p>
        </w:tc>
        <w:tc>
          <w:tcPr>
            <w:tcW w:w="10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3660" w:type="dxa"/>
            <w:vAlign w:val="bottom"/>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0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6"/>
        </w:trPr>
        <w:tc>
          <w:tcPr>
            <w:tcW w:w="366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600" w:right="80" w:hanging="593"/>
        <w:spacing w:after="0" w:line="227" w:lineRule="auto"/>
        <w:tabs>
          <w:tab w:leader="none" w:pos="6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allocated general and administrative expenses in our Hotel segment of $81 million, $80 million and $85 million; and in our Non-Hotel segment of $42 million, $38 million and $28 million for the years ended December 31, 2017, 2016 and 2015, respectively.</w:t>
      </w:r>
    </w:p>
    <w:p>
      <w:pPr>
        <w:spacing w:after="0" w:line="1" w:lineRule="exact"/>
        <w:rPr>
          <w:rFonts w:ascii="Arial" w:cs="Arial" w:eastAsia="Arial" w:hAnsi="Arial"/>
          <w:sz w:val="14"/>
          <w:szCs w:val="14"/>
          <w:color w:val="auto"/>
        </w:rPr>
      </w:pPr>
    </w:p>
    <w:p>
      <w:pPr>
        <w:ind w:left="600" w:right="80" w:hanging="593"/>
        <w:spacing w:after="0" w:line="218" w:lineRule="auto"/>
        <w:tabs>
          <w:tab w:leader="none" w:pos="6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The year ended December 31, 2017 reflects $67 million of Transition Tax and $6 million of tax expense recorded due to the remeasurement of net deferred tax assets related to the 2017 Tax Act enacted on December 22, 2017. Refer to “Note 10 -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for further information.</w:t>
      </w:r>
    </w:p>
    <w:p>
      <w:pPr>
        <w:spacing w:after="0" w:line="1" w:lineRule="exact"/>
        <w:rPr>
          <w:rFonts w:ascii="Arial" w:cs="Arial" w:eastAsia="Arial" w:hAnsi="Arial"/>
          <w:sz w:val="14"/>
          <w:szCs w:val="14"/>
          <w:color w:val="auto"/>
        </w:rPr>
      </w:pPr>
    </w:p>
    <w:p>
      <w:pPr>
        <w:ind w:left="600" w:right="100" w:hanging="593"/>
        <w:spacing w:after="0" w:line="241" w:lineRule="auto"/>
        <w:tabs>
          <w:tab w:leader="none" w:pos="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During the fourth quarter of 2015, we incurred an expense in the amount of $67 million to reflect a non-cash contribution to The TripAdvisor Charitable Foundation (the “Foundation”), which was recorded to general and administrative expense in our consolidated statement of operations. TripAdvisor had historically funded 2% of its annual operating income before amortization and stock-based compensation. TripAdvisor’s pledge agreement provided for an immediate satisfaction of all future annual contributions, by paying an amount equal to eight multiplied by TripAdvisor’s prior year contribution to the Foundation. TripAdvisor exercised this right under its pledge agreement in December 2015. We settled this obligation in treasury shares based on the fair value of our common stock on the date the treasury shares were issued to the Foundation and therefore given the use of stock to settle the obligation, the amount has been excluded from Adjusted EBITDA. TripAdvisor does not expect to make any future contributions to the Foundation.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Revenue and Geographic Information</w:t>
      </w:r>
    </w:p>
    <w:p>
      <w:pPr>
        <w:spacing w:after="0" w:line="220" w:lineRule="exact"/>
        <w:rPr>
          <w:sz w:val="20"/>
          <w:szCs w:val="20"/>
          <w:color w:val="auto"/>
        </w:rPr>
      </w:pPr>
    </w:p>
    <w:p>
      <w:pPr>
        <w:ind w:right="320" w:firstLine="598"/>
        <w:spacing w:after="0" w:line="334" w:lineRule="auto"/>
        <w:rPr>
          <w:sz w:val="20"/>
          <w:szCs w:val="20"/>
          <w:color w:val="auto"/>
        </w:rPr>
      </w:pPr>
      <w:r>
        <w:rPr>
          <w:rFonts w:ascii="Arial" w:cs="Arial" w:eastAsia="Arial" w:hAnsi="Arial"/>
          <w:sz w:val="16"/>
          <w:szCs w:val="16"/>
          <w:color w:val="auto"/>
        </w:rPr>
        <w:t>Our revenue sources within our Hotel segment, which are TripAdvisor-branded click-based and transaction revenue, TripAdvisor-branded display-based advertising and subscription revenue; and other hotel revenue, which along with our Non-Hotel revenue source, comprise our products.</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revenue by source for the periods presented:</w:t>
      </w:r>
    </w:p>
    <w:p>
      <w:pPr>
        <w:spacing w:after="0" w:line="29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60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6"/>
              <w:spacing w:after="0" w:line="153"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220"/>
        </w:trPr>
        <w:tc>
          <w:tcPr>
            <w:tcW w:w="6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click-based and transaction</w:t>
            </w: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19"/>
                <w:szCs w:val="19"/>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8"/>
                <w:szCs w:val="18"/>
                <w:color w:val="auto"/>
              </w:rPr>
              <w:t>TripAdvisor-branded display-based advertising and</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608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Other hotel revenue</w:t>
            </w: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Non-hotel revenue</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FF0FC"/>
            </w:tcBorders>
          </w:tcPr>
          <w:p>
            <w:pPr>
              <w:spacing w:after="0"/>
              <w:rPr>
                <w:sz w:val="19"/>
                <w:szCs w:val="19"/>
                <w:color w:val="auto"/>
              </w:rPr>
            </w:pPr>
          </w:p>
        </w:tc>
      </w:tr>
      <w:tr>
        <w:trPr>
          <w:trHeight w:val="220"/>
        </w:trPr>
        <w:tc>
          <w:tcPr>
            <w:tcW w:w="6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760" w:type="dxa"/>
            <w:vAlign w:val="bottom"/>
            <w:tcBorders>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1,556</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ind w:right="440" w:firstLine="598"/>
        <w:spacing w:after="0" w:line="270" w:lineRule="auto"/>
        <w:rPr>
          <w:sz w:val="20"/>
          <w:szCs w:val="20"/>
          <w:color w:val="auto"/>
        </w:rPr>
      </w:pPr>
      <w:r>
        <w:rPr>
          <w:rFonts w:ascii="Arial" w:cs="Arial" w:eastAsia="Arial" w:hAnsi="Arial"/>
          <w:sz w:val="18"/>
          <w:szCs w:val="18"/>
          <w:color w:val="auto"/>
        </w:rPr>
        <w:t>The following table presents revenue by geographic area, the United States, the United Kingdom and all other countries, based on the geographic location of our websites for the periods presented:</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37"/>
              <w:spacing w:after="0" w:line="153"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5"/>
              <w:spacing w:after="0" w:line="153"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7"/>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ind w:right="72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 other countries</w:t>
            </w:r>
          </w:p>
        </w:tc>
        <w:tc>
          <w:tcPr>
            <w:tcW w:w="14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80" w:type="dxa"/>
            <w:vAlign w:val="bottom"/>
            <w:tcBorders>
              <w:bottom w:val="single" w:sz="8" w:color="CFF0FC"/>
            </w:tcBorders>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3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2340" w:type="dxa"/>
            <w:vAlign w:val="bottom"/>
            <w:gridSpan w:val="2"/>
            <w:shd w:val="clear" w:color="auto" w:fill="CFF0FC"/>
          </w:tcPr>
          <w:p>
            <w:pPr>
              <w:jc w:val="right"/>
              <w:ind w:right="72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1,556</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firstLine="598"/>
        <w:spacing w:after="0" w:line="270" w:lineRule="auto"/>
        <w:rPr>
          <w:sz w:val="20"/>
          <w:szCs w:val="20"/>
          <w:color w:val="auto"/>
        </w:rPr>
      </w:pPr>
      <w:r>
        <w:rPr>
          <w:rFonts w:ascii="Arial" w:cs="Arial" w:eastAsia="Arial" w:hAnsi="Arial"/>
          <w:sz w:val="18"/>
          <w:szCs w:val="18"/>
          <w:color w:val="auto"/>
        </w:rPr>
        <w:t>The following table presents property and equipment, net for the United States and all other countries based on the geographic location of the assets for the periods presented:</w:t>
      </w: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4"/>
        </w:trPr>
        <w:tc>
          <w:tcPr>
            <w:tcW w:w="3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5"/>
              <w:spacing w:after="0" w:line="153"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4"/>
        </w:trPr>
        <w:tc>
          <w:tcPr>
            <w:tcW w:w="3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gridSpan w:val="4"/>
          </w:tcPr>
          <w:p>
            <w:pPr>
              <w:jc w:val="right"/>
              <w:ind w:right="130"/>
              <w:spacing w:after="0" w:line="153"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4"/>
        </w:trPr>
        <w:tc>
          <w:tcPr>
            <w:tcW w:w="3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net</w:t>
            </w:r>
          </w:p>
        </w:tc>
        <w:tc>
          <w:tcPr>
            <w:tcW w:w="1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27"/>
        </w:trPr>
        <w:tc>
          <w:tcPr>
            <w:tcW w:w="34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30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9"/>
                <w:szCs w:val="19"/>
                <w:color w:val="auto"/>
              </w:rPr>
            </w:pPr>
          </w:p>
        </w:tc>
        <w:tc>
          <w:tcPr>
            <w:tcW w:w="420" w:type="dxa"/>
            <w:vAlign w:val="bottom"/>
            <w:gridSpan w:val="2"/>
          </w:tcPr>
          <w:p>
            <w:pPr>
              <w:jc w:val="right"/>
              <w:ind w:right="29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r>
      <w:tr>
        <w:trPr>
          <w:trHeight w:val="227"/>
        </w:trPr>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countries</w:t>
            </w:r>
          </w:p>
        </w:tc>
        <w:tc>
          <w:tcPr>
            <w:tcW w:w="1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r>
      <w:tr>
        <w:trPr>
          <w:trHeight w:val="220"/>
        </w:trPr>
        <w:tc>
          <w:tcPr>
            <w:tcW w:w="3480" w:type="dxa"/>
            <w:vAlign w:val="bottom"/>
          </w:tcPr>
          <w:p>
            <w:pPr>
              <w:ind w:left="48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59" w:right="2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18: INTEREST INCOME AND OTHER,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detail of interest income and other, net, for the periods presented: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6660" w:type="dxa"/>
            <w:vAlign w:val="bottom"/>
          </w:tcPr>
          <w:p>
            <w:pPr>
              <w:spacing w:after="0"/>
              <w:rPr>
                <w:sz w:val="19"/>
                <w:szCs w:val="19"/>
                <w:color w:val="auto"/>
              </w:rPr>
            </w:pPr>
          </w:p>
        </w:tc>
        <w:tc>
          <w:tcPr>
            <w:tcW w:w="110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r>
      <w:tr>
        <w:trPr>
          <w:trHeight w:val="220"/>
        </w:trPr>
        <w:tc>
          <w:tcPr>
            <w:tcW w:w="6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w w:val="91"/>
              </w:rPr>
              <w:t>Net gain (loss), realized and unrealized, on foreign currency exchange and foreign currency</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8"/>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derivative contracts and other, net</w:t>
            </w:r>
          </w:p>
        </w:tc>
        <w:tc>
          <w:tcPr>
            <w:tcW w:w="1100" w:type="dxa"/>
            <w:vAlign w:val="bottom"/>
            <w:gridSpan w:val="2"/>
            <w:shd w:val="clear" w:color="auto" w:fill="CFF0FC"/>
          </w:tcPr>
          <w:p>
            <w:pPr>
              <w:jc w:val="right"/>
              <w:ind w:right="79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7"/>
        </w:trPr>
        <w:tc>
          <w:tcPr>
            <w:tcW w:w="666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7"/>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Loss on cost method investment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sale of business (1)</w:t>
            </w: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1"/>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left="360" w:right="3420" w:hanging="353"/>
        <w:spacing w:after="0" w:line="270" w:lineRule="auto"/>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Refer to “Note 3 –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for information regarding our gain on sale of business in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INFORMATION (UNAUDITED)</w:t>
      </w:r>
    </w:p>
    <w:p>
      <w:pPr>
        <w:spacing w:after="0" w:line="11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following table presents selected unaudited financial information for the eight quarters in the period ended December 31, 2017. The results for any quarter are not necessarily indicative of future quarterly results and, accordingly, period to period comparisons should not be relied upon as an indication of future performance.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6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3"/>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15"/>
              <w:spacing w:after="0" w:line="153" w:lineRule="exact"/>
              <w:rPr>
                <w:sz w:val="20"/>
                <w:szCs w:val="20"/>
                <w:color w:val="auto"/>
              </w:rPr>
            </w:pPr>
            <w:r>
              <w:rPr>
                <w:rFonts w:ascii="Arial" w:cs="Arial" w:eastAsia="Arial" w:hAnsi="Arial"/>
                <w:sz w:val="14"/>
                <w:szCs w:val="14"/>
                <w:b w:val="1"/>
                <w:bCs w:val="1"/>
                <w:color w:val="auto"/>
              </w:rPr>
              <w:t>June 30</w:t>
            </w:r>
          </w:p>
        </w:tc>
        <w:tc>
          <w:tcPr>
            <w:tcW w:w="1280" w:type="dxa"/>
            <w:vAlign w:val="bottom"/>
            <w:tcBorders>
              <w:bottom w:val="single" w:sz="8" w:color="auto"/>
            </w:tcBorders>
            <w:gridSpan w:val="2"/>
          </w:tcPr>
          <w:p>
            <w:pPr>
              <w:jc w:val="right"/>
              <w:ind w:right="131"/>
              <w:spacing w:after="0" w:line="153"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
              <w:spacing w:after="0" w:line="153" w:lineRule="exact"/>
              <w:rPr>
                <w:sz w:val="20"/>
                <w:szCs w:val="20"/>
                <w:color w:val="auto"/>
              </w:rPr>
            </w:pPr>
            <w:r>
              <w:rPr>
                <w:rFonts w:ascii="Arial" w:cs="Arial" w:eastAsia="Arial" w:hAnsi="Arial"/>
                <w:sz w:val="14"/>
                <w:szCs w:val="14"/>
                <w:b w:val="1"/>
                <w:bCs w:val="1"/>
                <w:color w:val="auto"/>
                <w:w w:val="89"/>
              </w:rPr>
              <w:t>December 31</w:t>
            </w:r>
          </w:p>
        </w:tc>
        <w:tc>
          <w:tcPr>
            <w:tcW w:w="120" w:type="dxa"/>
            <w:vAlign w:val="bottom"/>
          </w:tcPr>
          <w:p>
            <w:pPr>
              <w:spacing w:after="0"/>
              <w:rPr>
                <w:sz w:val="13"/>
                <w:szCs w:val="13"/>
                <w:color w:val="auto"/>
              </w:rPr>
            </w:pPr>
          </w:p>
        </w:tc>
      </w:tr>
      <w:tr>
        <w:trPr>
          <w:trHeight w:val="154"/>
        </w:trPr>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3"/>
          </w:tcPr>
          <w:p>
            <w:pPr>
              <w:jc w:val="right"/>
              <w:ind w:right="131"/>
              <w:spacing w:after="0" w:line="153" w:lineRule="exact"/>
              <w:rPr>
                <w:sz w:val="20"/>
                <w:szCs w:val="20"/>
                <w:color w:val="auto"/>
              </w:rPr>
            </w:pPr>
            <w:r>
              <w:rPr>
                <w:rFonts w:ascii="Arial" w:cs="Arial" w:eastAsia="Arial" w:hAnsi="Arial"/>
                <w:sz w:val="14"/>
                <w:szCs w:val="14"/>
                <w:b w:val="1"/>
                <w:bCs w:val="1"/>
                <w:color w:val="auto"/>
                <w:w w:val="90"/>
              </w:rPr>
              <w:t>(in millions, except per share data)</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4"/>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2017</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27"/>
        </w:trPr>
        <w:tc>
          <w:tcPr>
            <w:tcW w:w="65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424</w:t>
            </w: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439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r>
      <w:tr>
        <w:trPr>
          <w:trHeight w:val="22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7"/>
        </w:trPr>
        <w:tc>
          <w:tcPr>
            <w:tcW w:w="6500" w:type="dxa"/>
            <w:vAlign w:val="bottom"/>
          </w:tcPr>
          <w:p>
            <w:pPr>
              <w:spacing w:after="0"/>
              <w:rPr>
                <w:sz w:val="20"/>
                <w:szCs w:val="20"/>
                <w:color w:val="auto"/>
              </w:rPr>
            </w:pPr>
            <w:r>
              <w:rPr>
                <w:rFonts w:ascii="Arial" w:cs="Arial" w:eastAsia="Arial" w:hAnsi="Arial"/>
                <w:sz w:val="18"/>
                <w:szCs w:val="18"/>
                <w:color w:val="auto"/>
              </w:rPr>
              <w:t>Net income (loss) (1)</w:t>
            </w:r>
          </w:p>
        </w:tc>
        <w:tc>
          <w:tcPr>
            <w:tcW w:w="14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2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 (2)</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0.09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0.19</w:t>
            </w:r>
          </w:p>
        </w:tc>
        <w:tc>
          <w:tcPr>
            <w:tcW w:w="740" w:type="dxa"/>
            <w:vAlign w:val="bottom"/>
            <w:shd w:val="clear" w:color="auto" w:fill="CFF0FC"/>
          </w:tcPr>
          <w:p>
            <w:pPr>
              <w:jc w:val="right"/>
              <w:ind w:right="434"/>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(0.60)</w:t>
            </w:r>
          </w:p>
        </w:tc>
      </w:tr>
      <w:tr>
        <w:trPr>
          <w:trHeight w:val="227"/>
        </w:trPr>
        <w:tc>
          <w:tcPr>
            <w:tcW w:w="6500" w:type="dxa"/>
            <w:vAlign w:val="bottom"/>
          </w:tcPr>
          <w:p>
            <w:pPr>
              <w:spacing w:after="0"/>
              <w:rPr>
                <w:sz w:val="20"/>
                <w:szCs w:val="20"/>
                <w:color w:val="auto"/>
              </w:rPr>
            </w:pPr>
            <w:r>
              <w:rPr>
                <w:rFonts w:ascii="Arial" w:cs="Arial" w:eastAsia="Arial" w:hAnsi="Arial"/>
                <w:sz w:val="18"/>
                <w:szCs w:val="18"/>
                <w:color w:val="auto"/>
              </w:rPr>
              <w:t>Diluted earnings (loss) per share (2)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0.19</w:t>
            </w: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0.18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r>
      <w:tr>
        <w:trPr>
          <w:trHeight w:val="254"/>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2016</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27"/>
        </w:trPr>
        <w:tc>
          <w:tcPr>
            <w:tcW w:w="650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391</w:t>
            </w: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421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r>
      <w:tr>
        <w:trPr>
          <w:trHeight w:val="22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w:t>
            </w: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7"/>
        </w:trPr>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7"/>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 (2)</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0.23</w:t>
            </w:r>
          </w:p>
        </w:tc>
        <w:tc>
          <w:tcPr>
            <w:tcW w:w="740" w:type="dxa"/>
            <w:vAlign w:val="bottom"/>
            <w:shd w:val="clear" w:color="auto" w:fill="CFF0FC"/>
          </w:tcPr>
          <w:p>
            <w:pPr>
              <w:jc w:val="right"/>
              <w:ind w:right="434"/>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FF0FC"/>
          </w:tcPr>
          <w:p>
            <w:pPr>
              <w:spacing w:after="0"/>
              <w:rPr>
                <w:sz w:val="19"/>
                <w:szCs w:val="19"/>
                <w:color w:val="auto"/>
              </w:rPr>
            </w:pPr>
          </w:p>
        </w:tc>
      </w:tr>
      <w:tr>
        <w:trPr>
          <w:trHeight w:val="227"/>
        </w:trPr>
        <w:tc>
          <w:tcPr>
            <w:tcW w:w="6500" w:type="dxa"/>
            <w:vAlign w:val="bottom"/>
          </w:tcPr>
          <w:p>
            <w:pPr>
              <w:spacing w:after="0"/>
              <w:rPr>
                <w:sz w:val="20"/>
                <w:szCs w:val="20"/>
                <w:color w:val="auto"/>
              </w:rPr>
            </w:pPr>
            <w:r>
              <w:rPr>
                <w:rFonts w:ascii="Arial" w:cs="Arial" w:eastAsia="Arial" w:hAnsi="Arial"/>
                <w:sz w:val="18"/>
                <w:szCs w:val="18"/>
                <w:color w:val="auto"/>
              </w:rPr>
              <w:t>Diluted earnings per share (2)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0.23</w:t>
            </w:r>
          </w:p>
        </w:tc>
        <w:tc>
          <w:tcPr>
            <w:tcW w:w="74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0.37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ind w:left="360" w:right="3240" w:hanging="353"/>
        <w:spacing w:after="0" w:line="267" w:lineRule="auto"/>
        <w:tabs>
          <w:tab w:leader="none" w:pos="3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During the fourth quarter of 2017, we recognized $67 million of Transition Tax and $6 million of tax expense recorded for the remeasurement of our net deferred tax assets related to the 2017 Tax Act enacted on December 22, 2017. Refer to “Note 10 -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further information.</w:t>
      </w:r>
    </w:p>
    <w:p>
      <w:pPr>
        <w:spacing w:after="0" w:line="1" w:lineRule="exact"/>
        <w:rPr>
          <w:rFonts w:ascii="Arial" w:cs="Arial" w:eastAsia="Arial" w:hAnsi="Arial"/>
          <w:sz w:val="17"/>
          <w:szCs w:val="17"/>
          <w:color w:val="auto"/>
        </w:rPr>
      </w:pPr>
    </w:p>
    <w:p>
      <w:pPr>
        <w:ind w:left="360" w:right="3460" w:hanging="353"/>
        <w:spacing w:after="0" w:line="255" w:lineRule="auto"/>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Therefore, the sum of the quarterly earnings per share may not equal the total computed for the year.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17" w:lineRule="exact"/>
        <w:rPr>
          <w:sz w:val="20"/>
          <w:szCs w:val="20"/>
          <w:color w:val="auto"/>
        </w:rPr>
      </w:pPr>
    </w:p>
    <w:p>
      <w:pPr>
        <w:ind w:right="140" w:firstLine="598"/>
        <w:spacing w:after="0" w:line="306" w:lineRule="auto"/>
        <w:rPr>
          <w:sz w:val="20"/>
          <w:szCs w:val="20"/>
          <w:color w:val="auto"/>
        </w:rPr>
      </w:pPr>
      <w:r>
        <w:rPr>
          <w:rFonts w:ascii="Arial" w:cs="Arial" w:eastAsia="Arial" w:hAnsi="Arial"/>
          <w:sz w:val="16"/>
          <w:szCs w:val="16"/>
          <w:color w:val="auto"/>
        </w:rPr>
        <w:t>On January 31, 2018, TripAdvisor’s Board of Directors authorized up to $250 million of share repurchases. Our Board of Directors authorized and directed management, working with the Executive Committee of our Board of Directors, to affect the share repurchase program in compliance with applicable legal requirements. This new repurchase program has no expiration but may be suspended or terminated by the Board of Directors at any time.</w:t>
      </w:r>
    </w:p>
    <w:p>
      <w:pPr>
        <w:spacing w:after="0" w:line="44"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On February 2, 2018, the Company made a one-time repatriation of $325 million of foreign earnings to the United States primarily to repay outstanding borrowings under the 2015 Credit Facility. The remaining outstanding borrowings under the 2015 Credit Facility was subsequently repaid by the Company.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4" w:name="page115"/>
    <w:bookmarkEnd w:id="114"/>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ind w:right="60" w:firstLine="598"/>
        <w:spacing w:after="0" w:line="250" w:lineRule="auto"/>
        <w:rPr>
          <w:sz w:val="20"/>
          <w:szCs w:val="20"/>
          <w:color w:val="auto"/>
        </w:rPr>
      </w:pPr>
      <w:r>
        <w:rPr>
          <w:rFonts w:ascii="Arial" w:cs="Arial" w:eastAsia="Arial" w:hAnsi="Arial"/>
          <w:sz w:val="18"/>
          <w:szCs w:val="18"/>
          <w:color w:val="auto"/>
        </w:rPr>
        <w:t>As of December 31, 2017,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December 31, 2017,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180" w:firstLine="598"/>
        <w:spacing w:after="0" w:line="270"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2017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accounting principles generally accepted in the United States of America.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(2013) </w:t>
      </w:r>
      <w:r>
        <w:rPr>
          <w:rFonts w:ascii="Arial" w:cs="Arial" w:eastAsia="Arial" w:hAnsi="Arial"/>
          <w:sz w:val="16"/>
          <w:szCs w:val="16"/>
          <w:color w:val="auto"/>
        </w:rPr>
        <w:t>issued by the Committee of Sponsoring Organizations of the Treadway Commission.</w:t>
      </w:r>
    </w:p>
    <w:p>
      <w:pPr>
        <w:spacing w:after="0" w:line="166"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The Company’s management evaluated the effectiveness of the Company’s internal control over financial reporting as of December 31, 2017. Pursuant to Exchange Act Rule 13a-15(d) or 15d-15(d), management has concluded that, as of December 31, 2017, our internal control over financial reporting was effective. Management has reviewed its assessment with the Audit Committee. KPMG LLP, an independent registered public accounting firm, has audited the effectiveness of our internal control over financial reporting as of December 31, 2017, as stated in their report which is included below.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17" w:lineRule="exact"/>
        <w:rPr>
          <w:sz w:val="20"/>
          <w:szCs w:val="20"/>
          <w:color w:val="auto"/>
        </w:rPr>
      </w:pPr>
    </w:p>
    <w:p>
      <w:pPr>
        <w:ind w:right="120" w:firstLine="598"/>
        <w:spacing w:after="0" w:line="274" w:lineRule="auto"/>
        <w:rPr>
          <w:sz w:val="20"/>
          <w:szCs w:val="20"/>
          <w:color w:val="auto"/>
        </w:rPr>
      </w:pPr>
      <w:r>
        <w:rPr>
          <w:rFonts w:ascii="Arial" w:cs="Arial" w:eastAsia="Arial" w:hAnsi="Arial"/>
          <w:sz w:val="17"/>
          <w:szCs w:val="17"/>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15" w:name="page116"/>
    <w:bookmarkEnd w:id="115"/>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Opinion on Internal Control Over Financial Reporting</w:t>
      </w:r>
    </w:p>
    <w:p>
      <w:pPr>
        <w:spacing w:after="0" w:line="100"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We have audited TripAdvisor, Inc. and subsidiaries’ (the “Company”) internal control over financial reporting as of December 31, 2017,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2017, based on criteria established in Internal Control – Integrated Framework (2013) issued by the Committee of Sponsoring Organizations of the Treadway Commission.</w:t>
      </w:r>
    </w:p>
    <w:p>
      <w:pPr>
        <w:spacing w:after="0" w:line="117" w:lineRule="exact"/>
        <w:rPr>
          <w:sz w:val="20"/>
          <w:szCs w:val="20"/>
          <w:color w:val="auto"/>
        </w:rPr>
      </w:pPr>
    </w:p>
    <w:p>
      <w:pPr>
        <w:ind w:right="420"/>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income, changes in stockholders’ equity, and cash flows for each of the years in the three-year period ended December 31, 2017, and the related notes (collectively, the consolidated financial statements), and our report dated February 21, 2018 expressed an unqualified opinion on those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8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10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6" w:name="page117"/>
    <w:bookmarkEnd w:id="116"/>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180"/>
          </w:cols>
          <w:pgMar w:left="240" w:top="339" w:right="479" w:bottom="1440" w:gutter="0" w:footer="0" w:header="0"/>
        </w:sectPr>
      </w:pPr>
    </w:p>
    <w:bookmarkStart w:id="117" w:name="page118"/>
    <w:bookmarkEnd w:id="117"/>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4" w:lineRule="exact"/>
        <w:rPr>
          <w:sz w:val="20"/>
          <w:szCs w:val="20"/>
          <w:color w:val="auto"/>
        </w:rPr>
      </w:pPr>
    </w:p>
    <w:p>
      <w:pPr>
        <w:ind w:right="40" w:firstLine="598"/>
        <w:spacing w:after="0" w:line="270" w:lineRule="auto"/>
        <w:rPr>
          <w:sz w:val="20"/>
          <w:szCs w:val="20"/>
          <w:color w:val="auto"/>
        </w:rPr>
      </w:pPr>
      <w:r>
        <w:rPr>
          <w:rFonts w:ascii="Arial" w:cs="Arial" w:eastAsia="Arial" w:hAnsi="Arial"/>
          <w:sz w:val="18"/>
          <w:szCs w:val="18"/>
          <w:color w:val="auto"/>
        </w:rPr>
        <w:t>Effective February 19, 2018, the Company entered into an Amendment to Employment Agreement with respect to the Employment Agreement of Seth Kalvert, General Counsel and Senior Vice President, to, among other things, provide that:</w:t>
      </w:r>
    </w:p>
    <w:p>
      <w:pPr>
        <w:spacing w:after="0" w:line="82" w:lineRule="exact"/>
        <w:rPr>
          <w:sz w:val="20"/>
          <w:szCs w:val="20"/>
          <w:color w:val="auto"/>
        </w:rPr>
      </w:pPr>
    </w:p>
    <w:p>
      <w:pPr>
        <w:ind w:left="920" w:hanging="459"/>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 of Mr. Kalvert’s employment will be extended to March 31, 2021;</w:t>
      </w:r>
    </w:p>
    <w:p>
      <w:pPr>
        <w:spacing w:after="0" w:line="153" w:lineRule="exact"/>
        <w:rPr>
          <w:rFonts w:ascii="Arial" w:cs="Arial" w:eastAsia="Arial" w:hAnsi="Arial"/>
          <w:sz w:val="18"/>
          <w:szCs w:val="18"/>
          <w:color w:val="auto"/>
        </w:rPr>
      </w:pPr>
    </w:p>
    <w:p>
      <w:pPr>
        <w:ind w:left="920" w:hanging="459"/>
        <w:spacing w:after="0" w:line="259"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a Termination of Employment without Cause or Resignation for Good Reason not in connection with a Change in Control, the Company will continue to pay Mr. Kalvert’s base salary through the longer of (x) 12 months following such termination date, and (y) the remaining term of the Employment up to a maximum of 18 months; and</w:t>
      </w:r>
    </w:p>
    <w:p>
      <w:pPr>
        <w:spacing w:after="0" w:line="90" w:lineRule="exact"/>
        <w:rPr>
          <w:rFonts w:ascii="Arial" w:cs="Arial" w:eastAsia="Arial" w:hAnsi="Arial"/>
          <w:sz w:val="18"/>
          <w:szCs w:val="18"/>
          <w:color w:val="auto"/>
        </w:rPr>
      </w:pPr>
    </w:p>
    <w:p>
      <w:pPr>
        <w:ind w:left="920" w:right="300" w:hanging="459"/>
        <w:spacing w:after="0" w:line="334" w:lineRule="auto"/>
        <w:tabs>
          <w:tab w:leader="none" w:pos="9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non-renewal of the Employment Agreement or expiration of the term will be treated as a Termination of Employment without Cause or resignation for Good Reason not in connection with a Change of Control, entitling Mr. Kalvert’s to benefits under his Employment Agreement.</w:t>
      </w:r>
    </w:p>
    <w:p>
      <w:pPr>
        <w:spacing w:after="0" w:line="129" w:lineRule="exact"/>
        <w:rPr>
          <w:sz w:val="20"/>
          <w:szCs w:val="20"/>
          <w:color w:val="auto"/>
        </w:rPr>
      </w:pPr>
    </w:p>
    <w:p>
      <w:pPr>
        <w:ind w:right="680" w:firstLine="598"/>
        <w:spacing w:after="0" w:line="270" w:lineRule="auto"/>
        <w:rPr>
          <w:sz w:val="20"/>
          <w:szCs w:val="20"/>
          <w:color w:val="auto"/>
        </w:rPr>
      </w:pPr>
      <w:r>
        <w:rPr>
          <w:rFonts w:ascii="Arial" w:cs="Arial" w:eastAsia="Arial" w:hAnsi="Arial"/>
          <w:sz w:val="18"/>
          <w:szCs w:val="18"/>
          <w:color w:val="auto"/>
        </w:rPr>
        <w:t>The foregoing description of the Amendment to Employment Agreement is summary in nature and is qualified in its entirety by the text of the Amendment to Employment Agreement filed as an exhibit to this Annual Report.</w:t>
      </w:r>
    </w:p>
    <w:p>
      <w:pPr>
        <w:spacing w:after="0" w:line="175" w:lineRule="exact"/>
        <w:rPr>
          <w:sz w:val="20"/>
          <w:szCs w:val="20"/>
          <w:color w:val="auto"/>
        </w:rPr>
      </w:pPr>
    </w:p>
    <w:p>
      <w:pPr>
        <w:ind w:right="460" w:firstLine="598"/>
        <w:spacing w:after="0" w:line="270" w:lineRule="auto"/>
        <w:rPr>
          <w:sz w:val="20"/>
          <w:szCs w:val="20"/>
          <w:color w:val="auto"/>
        </w:rPr>
      </w:pPr>
      <w:r>
        <w:rPr>
          <w:rFonts w:ascii="Arial" w:cs="Arial" w:eastAsia="Arial" w:hAnsi="Arial"/>
          <w:sz w:val="18"/>
          <w:szCs w:val="18"/>
          <w:color w:val="auto"/>
        </w:rPr>
        <w:t>Terms not otherwise defined herein shall have the meaning ascribed to them in the Amendment to Employment Agreement and/or the underlying Employment Agreement, as appropriate.</w:t>
      </w:r>
    </w:p>
    <w:p>
      <w:pPr>
        <w:spacing w:after="0" w:line="31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4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8"/>
          <w:szCs w:val="18"/>
          <w:color w:val="auto"/>
        </w:rPr>
        <w:t>The information required under this item is incorporated herein by reference to our 2018 Proxy Statement, which proxy statement will be filed with the Securities and Exchange Commission not later than 120 days after the close of our fiscal year ended December 31, 2017.</w:t>
      </w:r>
    </w:p>
    <w:p>
      <w:pPr>
        <w:spacing w:after="0" w:line="3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8"/>
          <w:szCs w:val="18"/>
          <w:color w:val="auto"/>
        </w:rPr>
        <w:t>The information required under this item is incorporated herein by reference to our 2018 Proxy Statement, which proxy statement will be filed with the Securities and Exchange Commission not later than 120 days after the close of our fiscal year ended December 31, 2017.</w:t>
      </w:r>
    </w:p>
    <w:p>
      <w:pPr>
        <w:spacing w:after="0" w:line="3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31" w:lineRule="exact"/>
        <w:rPr>
          <w:sz w:val="20"/>
          <w:szCs w:val="20"/>
          <w:color w:val="auto"/>
        </w:rPr>
      </w:pPr>
    </w:p>
    <w:p>
      <w:pPr>
        <w:ind w:right="40" w:firstLine="598"/>
        <w:spacing w:after="0" w:line="270" w:lineRule="auto"/>
        <w:rPr>
          <w:sz w:val="20"/>
          <w:szCs w:val="20"/>
          <w:color w:val="auto"/>
        </w:rPr>
      </w:pPr>
      <w:r>
        <w:rPr>
          <w:rFonts w:ascii="Arial" w:cs="Arial" w:eastAsia="Arial" w:hAnsi="Arial"/>
          <w:sz w:val="18"/>
          <w:szCs w:val="18"/>
          <w:color w:val="auto"/>
        </w:rPr>
        <w:t>The information required under this item is incorporated herein by reference to our 2018 Proxy Statement, which proxy statement will be filed with the Securities and Exchange Commission not later than 120 days after the close of our fiscal year ended December 31, 2017.</w:t>
      </w:r>
    </w:p>
    <w:p>
      <w:pPr>
        <w:spacing w:after="0" w:line="3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8"/>
          <w:szCs w:val="18"/>
          <w:color w:val="auto"/>
        </w:rPr>
        <w:t>The information required under this item is incorporated herein by reference to our 2018 Proxy Statement, which proxy statement will be filed with the Securities and Exchange Commission not later than 120 days after the close of our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118" w:name="page119"/>
    <w:bookmarkEnd w:id="118"/>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117" w:lineRule="exact"/>
        <w:rPr>
          <w:sz w:val="20"/>
          <w:szCs w:val="20"/>
          <w:color w:val="auto"/>
        </w:rPr>
      </w:pPr>
    </w:p>
    <w:p>
      <w:pPr>
        <w:ind w:right="60" w:firstLine="598"/>
        <w:spacing w:after="0" w:line="270" w:lineRule="auto"/>
        <w:rPr>
          <w:sz w:val="20"/>
          <w:szCs w:val="20"/>
          <w:color w:val="auto"/>
        </w:rPr>
      </w:pPr>
      <w:r>
        <w:rPr>
          <w:rFonts w:ascii="Arial" w:cs="Arial" w:eastAsia="Arial" w:hAnsi="Arial"/>
          <w:sz w:val="18"/>
          <w:szCs w:val="18"/>
          <w:color w:val="auto"/>
        </w:rPr>
        <w:t>The information required under this item is incorporated herein by reference to our 2018 Proxy Statement, which proxy statement will be filed with the Securities and Exchange Commission not later than 120 days after the close of our fiscal year ended December 31, 2017.</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The following is filed as part of this Annual Report on Form 10-K:</w:t>
      </w:r>
    </w:p>
    <w:p>
      <w:pPr>
        <w:spacing w:after="0" w:line="113" w:lineRule="exact"/>
        <w:rPr>
          <w:sz w:val="20"/>
          <w:szCs w:val="20"/>
          <w:color w:val="auto"/>
        </w:rPr>
      </w:pPr>
    </w:p>
    <w:p>
      <w:pPr>
        <w:ind w:left="1780" w:hanging="585"/>
        <w:spacing w:after="0" w:line="270" w:lineRule="auto"/>
        <w:tabs>
          <w:tab w:leader="none" w:pos="17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consolidated financial statements and report of independent registered public accounting firms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this item are included in Part II, Item 8.</w:t>
      </w:r>
    </w:p>
    <w:p>
      <w:pPr>
        <w:spacing w:after="0" w:line="68" w:lineRule="exact"/>
        <w:rPr>
          <w:sz w:val="20"/>
          <w:szCs w:val="20"/>
          <w:color w:val="auto"/>
        </w:rPr>
      </w:pPr>
    </w:p>
    <w:p>
      <w:pPr>
        <w:ind w:left="1200" w:right="440"/>
        <w:spacing w:after="0" w:line="270"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 Exhibits: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9" w:name="page120"/>
    <w:bookmarkEnd w:id="119"/>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Exhibit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No.</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gridSpan w:val="30"/>
          </w:tcPr>
          <w:p>
            <w:pPr>
              <w:ind w:left="540"/>
              <w:spacing w:after="0"/>
              <w:rPr>
                <w:sz w:val="20"/>
                <w:szCs w:val="20"/>
                <w:color w:val="auto"/>
              </w:rPr>
            </w:pPr>
            <w:r>
              <w:rPr>
                <w:rFonts w:ascii="Arial" w:cs="Arial" w:eastAsia="Arial" w:hAnsi="Arial"/>
                <w:sz w:val="14"/>
                <w:szCs w:val="14"/>
                <w:color w:val="auto"/>
              </w:rPr>
              <w:t>Exhibit Description</w:t>
            </w:r>
          </w:p>
        </w:tc>
      </w:tr>
      <w:tr>
        <w:trPr>
          <w:trHeight w:val="167"/>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3.1</w:t>
            </w:r>
          </w:p>
        </w:tc>
        <w:tc>
          <w:tcPr>
            <w:tcW w:w="40" w:type="dxa"/>
            <w:vAlign w:val="bottom"/>
          </w:tcPr>
          <w:p>
            <w:pPr>
              <w:spacing w:after="0"/>
              <w:rPr>
                <w:sz w:val="14"/>
                <w:szCs w:val="14"/>
                <w:color w:val="auto"/>
              </w:rPr>
            </w:pPr>
          </w:p>
        </w:tc>
        <w:tc>
          <w:tcPr>
            <w:tcW w:w="5000" w:type="dxa"/>
            <w:vAlign w:val="bottom"/>
            <w:tcBorders>
              <w:top w:val="single" w:sz="8" w:color="auto"/>
            </w:tcBorders>
            <w:gridSpan w:val="36"/>
          </w:tcPr>
          <w:p>
            <w:pPr>
              <w:spacing w:after="0" w:line="167" w:lineRule="exact"/>
              <w:rPr>
                <w:rFonts w:ascii="Arial" w:cs="Arial" w:eastAsia="Arial" w:hAnsi="Arial"/>
                <w:sz w:val="18"/>
                <w:szCs w:val="18"/>
                <w:color w:val="0000EE"/>
              </w:rPr>
            </w:pPr>
            <w:hyperlink r:id="rId141">
              <w:r>
                <w:rPr>
                  <w:rFonts w:ascii="Arial" w:cs="Arial" w:eastAsia="Arial" w:hAnsi="Arial"/>
                  <w:sz w:val="18"/>
                  <w:szCs w:val="18"/>
                  <w:color w:val="0000EE"/>
                </w:rPr>
                <w:t>Restated Certificate of Incorporation of TripAdvisor, Inc.</w:t>
              </w:r>
            </w:hyperlink>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3.2</w:t>
            </w:r>
          </w:p>
        </w:tc>
        <w:tc>
          <w:tcPr>
            <w:tcW w:w="40" w:type="dxa"/>
            <w:vAlign w:val="bottom"/>
          </w:tcPr>
          <w:p>
            <w:pPr>
              <w:spacing w:after="0"/>
              <w:rPr>
                <w:sz w:val="16"/>
                <w:szCs w:val="16"/>
                <w:color w:val="auto"/>
              </w:rPr>
            </w:pPr>
          </w:p>
        </w:tc>
        <w:tc>
          <w:tcPr>
            <w:tcW w:w="4080" w:type="dxa"/>
            <w:vAlign w:val="bottom"/>
            <w:tcBorders>
              <w:top w:val="single" w:sz="8" w:color="0000EE"/>
            </w:tcBorders>
            <w:gridSpan w:val="19"/>
          </w:tcPr>
          <w:p>
            <w:pPr>
              <w:spacing w:after="0" w:line="194" w:lineRule="exact"/>
              <w:rPr>
                <w:rFonts w:ascii="Arial" w:cs="Arial" w:eastAsia="Arial" w:hAnsi="Arial"/>
                <w:sz w:val="18"/>
                <w:szCs w:val="18"/>
                <w:color w:val="0000EE"/>
                <w:w w:val="99"/>
              </w:rPr>
            </w:pPr>
            <w:hyperlink r:id="rId142">
              <w:r>
                <w:rPr>
                  <w:rFonts w:ascii="Arial" w:cs="Arial" w:eastAsia="Arial" w:hAnsi="Arial"/>
                  <w:sz w:val="18"/>
                  <w:szCs w:val="18"/>
                  <w:color w:val="0000EE"/>
                  <w:w w:val="99"/>
                </w:rPr>
                <w:t>Amended and Restated Bylaws of TripAdvisor, Inc.</w:t>
              </w:r>
            </w:hyperlink>
          </w:p>
        </w:tc>
        <w:tc>
          <w:tcPr>
            <w:tcW w:w="920" w:type="dxa"/>
            <w:vAlign w:val="bottom"/>
            <w:gridSpan w:val="17"/>
          </w:tcPr>
          <w:p>
            <w:pPr>
              <w:spacing w:after="0"/>
              <w:rPr>
                <w:sz w:val="16"/>
                <w:szCs w:val="16"/>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3.3</w:t>
            </w: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rPr>
            </w:pPr>
            <w:hyperlink r:id="rId143">
              <w:r>
                <w:rPr>
                  <w:rFonts w:ascii="Arial" w:cs="Arial" w:eastAsia="Arial" w:hAnsi="Arial"/>
                  <w:sz w:val="18"/>
                  <w:szCs w:val="18"/>
                  <w:color w:val="0000EE"/>
                </w:rPr>
                <w:t>Amended No. 1 to Amended and Restated Bylaws of</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93"/>
              </w:rPr>
            </w:pPr>
            <w:hyperlink r:id="rId143">
              <w:r>
                <w:rPr>
                  <w:rFonts w:ascii="Arial" w:cs="Arial" w:eastAsia="Arial" w:hAnsi="Arial"/>
                  <w:sz w:val="18"/>
                  <w:szCs w:val="18"/>
                  <w:color w:val="0000EE"/>
                  <w:w w:val="93"/>
                </w:rPr>
                <w:t>TripAdvisor, Inc.</w:t>
              </w:r>
            </w:hyperlink>
          </w:p>
        </w:tc>
        <w:tc>
          <w:tcPr>
            <w:tcW w:w="2540" w:type="dxa"/>
            <w:vAlign w:val="bottom"/>
            <w:tcBorders>
              <w:top w:val="single" w:sz="8" w:color="0000EE"/>
            </w:tcBorders>
            <w:gridSpan w:val="10"/>
          </w:tcPr>
          <w:p>
            <w:pPr>
              <w:spacing w:after="0"/>
              <w:rPr>
                <w:sz w:val="16"/>
                <w:szCs w:val="16"/>
                <w:color w:val="auto"/>
              </w:rPr>
            </w:pPr>
          </w:p>
        </w:tc>
        <w:tc>
          <w:tcPr>
            <w:tcW w:w="1220" w:type="dxa"/>
            <w:vAlign w:val="bottom"/>
            <w:gridSpan w:val="21"/>
          </w:tcPr>
          <w:p>
            <w:pPr>
              <w:spacing w:after="0"/>
              <w:rPr>
                <w:sz w:val="16"/>
                <w:szCs w:val="16"/>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4.1</w:t>
            </w:r>
          </w:p>
        </w:tc>
        <w:tc>
          <w:tcPr>
            <w:tcW w:w="40" w:type="dxa"/>
            <w:vAlign w:val="bottom"/>
          </w:tcPr>
          <w:p>
            <w:pPr>
              <w:spacing w:after="0"/>
              <w:rPr>
                <w:sz w:val="16"/>
                <w:szCs w:val="16"/>
                <w:color w:val="auto"/>
              </w:rPr>
            </w:pPr>
          </w:p>
        </w:tc>
        <w:tc>
          <w:tcPr>
            <w:tcW w:w="3940" w:type="dxa"/>
            <w:vAlign w:val="bottom"/>
            <w:tcBorders>
              <w:bottom w:val="single" w:sz="8" w:color="0000EE"/>
            </w:tcBorders>
            <w:gridSpan w:val="16"/>
          </w:tcPr>
          <w:p>
            <w:pPr>
              <w:spacing w:after="0" w:line="194"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Specimen TripAdvisor, Inc. Common Stock Certificate</w:t>
              </w:r>
            </w:hyperlink>
          </w:p>
        </w:tc>
        <w:tc>
          <w:tcPr>
            <w:tcW w:w="1060" w:type="dxa"/>
            <w:vAlign w:val="bottom"/>
            <w:gridSpan w:val="20"/>
          </w:tcPr>
          <w:p>
            <w:pPr>
              <w:spacing w:after="0"/>
              <w:rPr>
                <w:sz w:val="16"/>
                <w:szCs w:val="16"/>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10.1</w:t>
            </w: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Governance Agreement, by and among TripAdvisor, Inc., Liberty</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40" w:type="dxa"/>
            <w:vAlign w:val="bottom"/>
            <w:tcBorders>
              <w:top w:val="single" w:sz="8" w:color="0000EE"/>
              <w:bottom w:val="single" w:sz="8" w:color="0000EE"/>
            </w:tcBorders>
            <w:gridSpan w:val="14"/>
          </w:tcPr>
          <w:p>
            <w:pPr>
              <w:spacing w:after="0" w:line="194"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Interactive Corporation and Barry Diller, dated as of</w:t>
              </w:r>
            </w:hyperlink>
          </w:p>
        </w:tc>
        <w:tc>
          <w:tcPr>
            <w:tcW w:w="940" w:type="dxa"/>
            <w:vAlign w:val="bottom"/>
            <w:tcBorders>
              <w:top w:val="single" w:sz="8" w:color="0000EE"/>
            </w:tcBorders>
            <w:gridSpan w:val="15"/>
          </w:tcPr>
          <w:p>
            <w:pPr>
              <w:spacing w:after="0"/>
              <w:rPr>
                <w:sz w:val="16"/>
                <w:szCs w:val="16"/>
                <w:color w:val="auto"/>
              </w:rPr>
            </w:pPr>
          </w:p>
        </w:tc>
        <w:tc>
          <w:tcPr>
            <w:tcW w:w="320" w:type="dxa"/>
            <w:vAlign w:val="bottom"/>
            <w:gridSpan w:val="7"/>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Borders>
              <w:bottom w:val="single" w:sz="8" w:color="0000EE"/>
            </w:tcBorders>
            <w:gridSpan w:val="6"/>
          </w:tcPr>
          <w:p>
            <w:pPr>
              <w:spacing w:after="0" w:line="194" w:lineRule="exact"/>
              <w:rPr>
                <w:rFonts w:ascii="Arial" w:cs="Arial" w:eastAsia="Arial" w:hAnsi="Arial"/>
                <w:sz w:val="18"/>
                <w:szCs w:val="18"/>
                <w:color w:val="0000EE"/>
                <w:w w:val="87"/>
              </w:rPr>
            </w:pPr>
            <w:hyperlink r:id="rId145">
              <w:r>
                <w:rPr>
                  <w:rFonts w:ascii="Arial" w:cs="Arial" w:eastAsia="Arial" w:hAnsi="Arial"/>
                  <w:sz w:val="18"/>
                  <w:szCs w:val="18"/>
                  <w:color w:val="0000EE"/>
                  <w:w w:val="87"/>
                </w:rPr>
                <w:t>December 20, 2011</w:t>
              </w:r>
            </w:hyperlink>
          </w:p>
        </w:tc>
        <w:tc>
          <w:tcPr>
            <w:tcW w:w="3600" w:type="dxa"/>
            <w:vAlign w:val="bottom"/>
            <w:gridSpan w:val="30"/>
          </w:tcPr>
          <w:p>
            <w:pPr>
              <w:spacing w:after="0"/>
              <w:rPr>
                <w:sz w:val="16"/>
                <w:szCs w:val="16"/>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10.2</w:t>
            </w:r>
          </w:p>
        </w:tc>
        <w:tc>
          <w:tcPr>
            <w:tcW w:w="40" w:type="dxa"/>
            <w:vAlign w:val="bottom"/>
          </w:tcPr>
          <w:p>
            <w:pPr>
              <w:spacing w:after="0"/>
              <w:rPr>
                <w:sz w:val="16"/>
                <w:szCs w:val="16"/>
                <w:color w:val="auto"/>
              </w:rPr>
            </w:pPr>
          </w:p>
        </w:tc>
        <w:tc>
          <w:tcPr>
            <w:tcW w:w="4460" w:type="dxa"/>
            <w:vAlign w:val="bottom"/>
            <w:tcBorders>
              <w:bottom w:val="single" w:sz="8" w:color="0000EE"/>
            </w:tcBorders>
            <w:gridSpan w:val="24"/>
          </w:tcPr>
          <w:p>
            <w:pPr>
              <w:spacing w:after="0" w:line="194"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Tax Sharing Agreement by and between TripAdvisor, Inc. and</w:t>
              </w:r>
            </w:hyperlink>
          </w:p>
        </w:tc>
        <w:tc>
          <w:tcPr>
            <w:tcW w:w="540" w:type="dxa"/>
            <w:vAlign w:val="bottom"/>
            <w:gridSpan w:val="12"/>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rPr>
            </w:pPr>
            <w:hyperlink r:id="rId146">
              <w:r>
                <w:rPr>
                  <w:rFonts w:ascii="Arial" w:cs="Arial" w:eastAsia="Arial" w:hAnsi="Arial"/>
                  <w:sz w:val="18"/>
                  <w:szCs w:val="18"/>
                  <w:color w:val="0000EE"/>
                </w:rPr>
                <w:t>Expedia, Inc., dated as of December 20, 2011</w:t>
              </w:r>
            </w:hyperlink>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10.3+</w:t>
            </w:r>
          </w:p>
        </w:tc>
        <w:tc>
          <w:tcPr>
            <w:tcW w:w="40" w:type="dxa"/>
            <w:vAlign w:val="bottom"/>
          </w:tcPr>
          <w:p>
            <w:pPr>
              <w:spacing w:after="0"/>
              <w:rPr>
                <w:sz w:val="16"/>
                <w:szCs w:val="16"/>
                <w:color w:val="auto"/>
              </w:rPr>
            </w:pPr>
          </w:p>
        </w:tc>
        <w:tc>
          <w:tcPr>
            <w:tcW w:w="4660" w:type="dxa"/>
            <w:vAlign w:val="bottom"/>
            <w:tcBorders>
              <w:bottom w:val="single" w:sz="8" w:color="0000EE"/>
            </w:tcBorders>
            <w:gridSpan w:val="28"/>
          </w:tcPr>
          <w:p>
            <w:pPr>
              <w:spacing w:after="0" w:line="194"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Amended and Restated TripAdvisor, Inc. 2011 Stock and Annual</w:t>
              </w:r>
            </w:hyperlink>
          </w:p>
        </w:tc>
        <w:tc>
          <w:tcPr>
            <w:tcW w:w="340" w:type="dxa"/>
            <w:vAlign w:val="bottom"/>
            <w:gridSpan w:val="8"/>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Borders>
              <w:bottom w:val="single" w:sz="8" w:color="0000EE"/>
            </w:tcBorders>
            <w:gridSpan w:val="3"/>
          </w:tcPr>
          <w:p>
            <w:pPr>
              <w:spacing w:after="0" w:line="194"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Incentive Plan</w:t>
              </w:r>
            </w:hyperlink>
          </w:p>
        </w:tc>
        <w:tc>
          <w:tcPr>
            <w:tcW w:w="3960" w:type="dxa"/>
            <w:vAlign w:val="bottom"/>
            <w:gridSpan w:val="33"/>
          </w:tcPr>
          <w:p>
            <w:pPr>
              <w:spacing w:after="0"/>
              <w:rPr>
                <w:sz w:val="16"/>
                <w:szCs w:val="16"/>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10.4+</w:t>
            </w: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w w:val="96"/>
              </w:rPr>
            </w:pPr>
            <w:hyperlink r:id="rId148">
              <w:r>
                <w:rPr>
                  <w:rFonts w:ascii="Arial" w:cs="Arial" w:eastAsia="Arial" w:hAnsi="Arial"/>
                  <w:sz w:val="18"/>
                  <w:szCs w:val="18"/>
                  <w:color w:val="0000EE"/>
                  <w:w w:val="96"/>
                </w:rPr>
                <w:t>TripAdvisor, Inc. Deferred Compensation Plan for Non-Employee</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20" w:type="dxa"/>
            <w:vAlign w:val="bottom"/>
            <w:tcBorders>
              <w:top w:val="single" w:sz="8" w:color="0000EE"/>
            </w:tcBorders>
            <w:gridSpan w:val="30"/>
          </w:tcPr>
          <w:p>
            <w:pPr>
              <w:spacing w:after="0" w:line="194" w:lineRule="exact"/>
              <w:rPr>
                <w:rFonts w:ascii="Arial" w:cs="Arial" w:eastAsia="Arial" w:hAnsi="Arial"/>
                <w:sz w:val="18"/>
                <w:szCs w:val="18"/>
                <w:color w:val="0000EE"/>
              </w:rPr>
            </w:pPr>
            <w:hyperlink r:id="rId148">
              <w:r>
                <w:rPr>
                  <w:rFonts w:ascii="Arial" w:cs="Arial" w:eastAsia="Arial" w:hAnsi="Arial"/>
                  <w:sz w:val="18"/>
                  <w:szCs w:val="18"/>
                  <w:color w:val="0000EE"/>
                </w:rPr>
                <w:t>Directors</w:t>
              </w:r>
            </w:hyperlink>
          </w:p>
        </w:tc>
        <w:tc>
          <w:tcPr>
            <w:tcW w:w="280" w:type="dxa"/>
            <w:vAlign w:val="bottom"/>
            <w:gridSpan w:val="6"/>
          </w:tcPr>
          <w:p>
            <w:pPr>
              <w:spacing w:after="0"/>
              <w:rPr>
                <w:sz w:val="16"/>
                <w:szCs w:val="16"/>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10.5</w:t>
            </w:r>
          </w:p>
        </w:tc>
        <w:tc>
          <w:tcPr>
            <w:tcW w:w="40" w:type="dxa"/>
            <w:vAlign w:val="bottom"/>
          </w:tcPr>
          <w:p>
            <w:pPr>
              <w:spacing w:after="0"/>
              <w:rPr>
                <w:sz w:val="16"/>
                <w:szCs w:val="16"/>
                <w:color w:val="auto"/>
              </w:rPr>
            </w:pPr>
          </w:p>
        </w:tc>
        <w:tc>
          <w:tcPr>
            <w:tcW w:w="4600" w:type="dxa"/>
            <w:vAlign w:val="bottom"/>
            <w:tcBorders>
              <w:bottom w:val="single" w:sz="8" w:color="0000EE"/>
            </w:tcBorders>
            <w:gridSpan w:val="25"/>
          </w:tcPr>
          <w:p>
            <w:pPr>
              <w:spacing w:after="0" w:line="194"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Corporate Headquarters Lease with Normandy Gap-V Needham</w:t>
              </w:r>
            </w:hyperlink>
          </w:p>
        </w:tc>
        <w:tc>
          <w:tcPr>
            <w:tcW w:w="400" w:type="dxa"/>
            <w:vAlign w:val="bottom"/>
            <w:gridSpan w:val="11"/>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rPr>
            </w:pPr>
            <w:hyperlink r:id="rId149">
              <w:r>
                <w:rPr>
                  <w:rFonts w:ascii="Arial" w:cs="Arial" w:eastAsia="Arial" w:hAnsi="Arial"/>
                  <w:sz w:val="18"/>
                  <w:szCs w:val="18"/>
                  <w:color w:val="0000EE"/>
                </w:rPr>
                <w:t>Building 3, LLC, as landlord, dated as of June 20, 2013</w:t>
              </w:r>
            </w:hyperlink>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10.6</w:t>
            </w:r>
          </w:p>
        </w:tc>
        <w:tc>
          <w:tcPr>
            <w:tcW w:w="40" w:type="dxa"/>
            <w:vAlign w:val="bottom"/>
          </w:tcPr>
          <w:p>
            <w:pPr>
              <w:spacing w:after="0"/>
              <w:rPr>
                <w:sz w:val="16"/>
                <w:szCs w:val="16"/>
                <w:color w:val="auto"/>
              </w:rPr>
            </w:pPr>
          </w:p>
        </w:tc>
        <w:tc>
          <w:tcPr>
            <w:tcW w:w="4880" w:type="dxa"/>
            <w:vAlign w:val="bottom"/>
            <w:tcBorders>
              <w:bottom w:val="single" w:sz="8" w:color="0000EE"/>
            </w:tcBorders>
            <w:gridSpan w:val="34"/>
          </w:tcPr>
          <w:p>
            <w:pPr>
              <w:spacing w:after="0" w:line="194"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Guaranty dated June 20, 2013 by TripAdvisor, Inc. for the benefit of</w:t>
              </w:r>
            </w:hyperlink>
          </w:p>
        </w:tc>
        <w:tc>
          <w:tcPr>
            <w:tcW w:w="120" w:type="dxa"/>
            <w:vAlign w:val="bottom"/>
            <w:gridSpan w:val="2"/>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rPr>
            </w:pPr>
            <w:hyperlink r:id="rId150">
              <w:r>
                <w:rPr>
                  <w:rFonts w:ascii="Arial" w:cs="Arial" w:eastAsia="Arial" w:hAnsi="Arial"/>
                  <w:sz w:val="18"/>
                  <w:szCs w:val="18"/>
                  <w:color w:val="0000EE"/>
                </w:rPr>
                <w:t>Normandy Gap-V Needham Building 3, LLC, as landlord</w:t>
              </w:r>
            </w:hyperlink>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10.7+</w:t>
            </w: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Employment Agreement between TripAdvisor LLC and Seth Kalvert,</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Borders>
              <w:top w:val="single" w:sz="8" w:color="0000EE"/>
              <w:bottom w:val="single" w:sz="8" w:color="0000EE"/>
            </w:tcBorders>
            <w:gridSpan w:val="7"/>
          </w:tcPr>
          <w:p>
            <w:pPr>
              <w:spacing w:after="0" w:line="194"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effective as of May 19, 2016</w:t>
              </w:r>
            </w:hyperlink>
          </w:p>
        </w:tc>
        <w:tc>
          <w:tcPr>
            <w:tcW w:w="2920" w:type="dxa"/>
            <w:vAlign w:val="bottom"/>
            <w:tcBorders>
              <w:top w:val="single" w:sz="8" w:color="0000EE"/>
            </w:tcBorders>
            <w:gridSpan w:val="28"/>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10.8+</w:t>
            </w:r>
          </w:p>
        </w:tc>
        <w:tc>
          <w:tcPr>
            <w:tcW w:w="40" w:type="dxa"/>
            <w:vAlign w:val="bottom"/>
          </w:tcPr>
          <w:p>
            <w:pPr>
              <w:spacing w:after="0"/>
              <w:rPr>
                <w:sz w:val="16"/>
                <w:szCs w:val="16"/>
                <w:color w:val="auto"/>
              </w:rPr>
            </w:pPr>
          </w:p>
        </w:tc>
        <w:tc>
          <w:tcPr>
            <w:tcW w:w="5000" w:type="dxa"/>
            <w:vAlign w:val="bottom"/>
            <w:tcBorders>
              <w:bottom w:val="single" w:sz="8" w:color="0000EE"/>
            </w:tcBorders>
            <w:gridSpan w:val="36"/>
          </w:tcPr>
          <w:p>
            <w:pPr>
              <w:spacing w:after="0" w:line="194" w:lineRule="exact"/>
              <w:rPr>
                <w:rFonts w:ascii="Arial" w:cs="Arial" w:eastAsia="Arial" w:hAnsi="Arial"/>
                <w:sz w:val="18"/>
                <w:szCs w:val="18"/>
                <w:color w:val="0000EE"/>
                <w:w w:val="95"/>
              </w:rPr>
            </w:pPr>
            <w:hyperlink w:anchor="page125">
              <w:r>
                <w:rPr>
                  <w:rFonts w:ascii="Arial" w:cs="Arial" w:eastAsia="Arial" w:hAnsi="Arial"/>
                  <w:sz w:val="18"/>
                  <w:szCs w:val="18"/>
                  <w:color w:val="0000EE"/>
                  <w:w w:val="95"/>
                </w:rPr>
                <w:t>Amendment to Employment Agreement between TripAdvisor LLC</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20" w:type="dxa"/>
            <w:vAlign w:val="bottom"/>
            <w:tcBorders>
              <w:bottom w:val="single" w:sz="8" w:color="0000EE"/>
            </w:tcBorders>
            <w:gridSpan w:val="12"/>
          </w:tcPr>
          <w:p>
            <w:pPr>
              <w:spacing w:after="0" w:line="194"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and Seth Kalvert, dated as of February 19, 2018</w:t>
              </w:r>
            </w:hyperlink>
          </w:p>
        </w:tc>
        <w:tc>
          <w:tcPr>
            <w:tcW w:w="1580" w:type="dxa"/>
            <w:vAlign w:val="bottom"/>
            <w:gridSpan w:val="24"/>
          </w:tcPr>
          <w:p>
            <w:pPr>
              <w:spacing w:after="0"/>
              <w:rPr>
                <w:sz w:val="16"/>
                <w:szCs w:val="16"/>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10.9+</w:t>
            </w:r>
          </w:p>
        </w:tc>
        <w:tc>
          <w:tcPr>
            <w:tcW w:w="40" w:type="dxa"/>
            <w:vAlign w:val="bottom"/>
          </w:tcPr>
          <w:p>
            <w:pPr>
              <w:spacing w:after="0"/>
              <w:rPr>
                <w:sz w:val="16"/>
                <w:szCs w:val="16"/>
                <w:color w:val="auto"/>
              </w:rPr>
            </w:pPr>
          </w:p>
        </w:tc>
        <w:tc>
          <w:tcPr>
            <w:tcW w:w="4640" w:type="dxa"/>
            <w:vAlign w:val="bottom"/>
            <w:tcBorders>
              <w:bottom w:val="single" w:sz="8" w:color="0000EE"/>
            </w:tcBorders>
            <w:gridSpan w:val="27"/>
          </w:tcPr>
          <w:p>
            <w:pPr>
              <w:spacing w:after="0" w:line="194" w:lineRule="exact"/>
              <w:rPr>
                <w:rFonts w:ascii="Arial" w:cs="Arial" w:eastAsia="Arial" w:hAnsi="Arial"/>
                <w:sz w:val="18"/>
                <w:szCs w:val="18"/>
                <w:color w:val="0000EE"/>
                <w:w w:val="91"/>
              </w:rPr>
            </w:pPr>
            <w:hyperlink r:id="rId152">
              <w:r>
                <w:rPr>
                  <w:rFonts w:ascii="Arial" w:cs="Arial" w:eastAsia="Arial" w:hAnsi="Arial"/>
                  <w:sz w:val="18"/>
                  <w:szCs w:val="18"/>
                  <w:color w:val="0000EE"/>
                  <w:w w:val="91"/>
                </w:rPr>
                <w:t>Employment Agreement between TripAdvisor LLC and Stephen</w:t>
              </w:r>
            </w:hyperlink>
          </w:p>
        </w:tc>
        <w:tc>
          <w:tcPr>
            <w:tcW w:w="360" w:type="dxa"/>
            <w:vAlign w:val="bottom"/>
            <w:gridSpan w:val="9"/>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rPr>
            </w:pPr>
            <w:hyperlink r:id="rId152">
              <w:r>
                <w:rPr>
                  <w:rFonts w:ascii="Arial" w:cs="Arial" w:eastAsia="Arial" w:hAnsi="Arial"/>
                  <w:sz w:val="18"/>
                  <w:szCs w:val="18"/>
                  <w:color w:val="0000EE"/>
                </w:rPr>
                <w:t>Kaufer, effective as of March 31, 2014</w:t>
              </w:r>
            </w:hyperlink>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10.10+</w:t>
            </w: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w w:val="95"/>
              </w:rPr>
            </w:pPr>
            <w:hyperlink w:anchor="page127">
              <w:r>
                <w:rPr>
                  <w:rFonts w:ascii="Arial" w:cs="Arial" w:eastAsia="Arial" w:hAnsi="Arial"/>
                  <w:sz w:val="18"/>
                  <w:szCs w:val="18"/>
                  <w:color w:val="0000EE"/>
                  <w:w w:val="95"/>
                </w:rPr>
                <w:t>Amendment to Employment Agreement between TripAdvisor LLC</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80" w:type="dxa"/>
            <w:vAlign w:val="bottom"/>
            <w:tcBorders>
              <w:top w:val="single" w:sz="8" w:color="0000EE"/>
              <w:bottom w:val="single" w:sz="8" w:color="0000EE"/>
            </w:tcBorders>
            <w:gridSpan w:val="18"/>
          </w:tcPr>
          <w:p>
            <w:pPr>
              <w:spacing w:after="0" w:line="194"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and Stephen Kaufer, effective as of November 28, 2017</w:t>
              </w:r>
            </w:hyperlink>
          </w:p>
        </w:tc>
        <w:tc>
          <w:tcPr>
            <w:tcW w:w="820" w:type="dxa"/>
            <w:vAlign w:val="bottom"/>
            <w:tcBorders>
              <w:top w:val="single" w:sz="8" w:color="0000EE"/>
            </w:tcBorders>
            <w:gridSpan w:val="14"/>
          </w:tcPr>
          <w:p>
            <w:pPr>
              <w:spacing w:after="0"/>
              <w:rPr>
                <w:sz w:val="16"/>
                <w:szCs w:val="16"/>
                <w:color w:val="auto"/>
              </w:rPr>
            </w:pPr>
          </w:p>
        </w:tc>
        <w:tc>
          <w:tcPr>
            <w:tcW w:w="200" w:type="dxa"/>
            <w:vAlign w:val="bottom"/>
            <w:gridSpan w:val="4"/>
          </w:tcPr>
          <w:p>
            <w:pPr>
              <w:spacing w:after="0"/>
              <w:rPr>
                <w:sz w:val="16"/>
                <w:szCs w:val="16"/>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10.11+</w:t>
            </w:r>
          </w:p>
        </w:tc>
        <w:tc>
          <w:tcPr>
            <w:tcW w:w="40" w:type="dxa"/>
            <w:vAlign w:val="bottom"/>
          </w:tcPr>
          <w:p>
            <w:pPr>
              <w:spacing w:after="0"/>
              <w:rPr>
                <w:sz w:val="16"/>
                <w:szCs w:val="16"/>
                <w:color w:val="auto"/>
              </w:rPr>
            </w:pPr>
          </w:p>
        </w:tc>
        <w:tc>
          <w:tcPr>
            <w:tcW w:w="4420" w:type="dxa"/>
            <w:vAlign w:val="bottom"/>
            <w:tcBorders>
              <w:bottom w:val="single" w:sz="8" w:color="0000EE"/>
            </w:tcBorders>
            <w:gridSpan w:val="22"/>
          </w:tcPr>
          <w:p>
            <w:pPr>
              <w:spacing w:after="0" w:line="194" w:lineRule="exact"/>
              <w:rPr>
                <w:rFonts w:ascii="Arial" w:cs="Arial" w:eastAsia="Arial" w:hAnsi="Arial"/>
                <w:sz w:val="18"/>
                <w:szCs w:val="18"/>
                <w:color w:val="0000EE"/>
                <w:w w:val="88"/>
              </w:rPr>
            </w:pPr>
            <w:hyperlink r:id="rId153">
              <w:r>
                <w:rPr>
                  <w:rFonts w:ascii="Arial" w:cs="Arial" w:eastAsia="Arial" w:hAnsi="Arial"/>
                  <w:sz w:val="18"/>
                  <w:szCs w:val="18"/>
                  <w:color w:val="0000EE"/>
                  <w:w w:val="88"/>
                </w:rPr>
                <w:t>Amended and Restated Option Agreement dated June 5, 2017</w:t>
              </w:r>
            </w:hyperlink>
          </w:p>
        </w:tc>
        <w:tc>
          <w:tcPr>
            <w:tcW w:w="580" w:type="dxa"/>
            <w:vAlign w:val="bottom"/>
            <w:gridSpan w:val="14"/>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rPr>
            </w:pPr>
            <w:hyperlink r:id="rId153">
              <w:r>
                <w:rPr>
                  <w:rFonts w:ascii="Arial" w:cs="Arial" w:eastAsia="Arial" w:hAnsi="Arial"/>
                  <w:sz w:val="18"/>
                  <w:szCs w:val="18"/>
                  <w:color w:val="0000EE"/>
                </w:rPr>
                <w:t>between Stephen Kaufer and TripAdvisor, Inc</w:t>
              </w:r>
              <w:r>
                <w:rPr>
                  <w:rFonts w:ascii="Arial" w:cs="Arial" w:eastAsia="Arial" w:hAnsi="Arial"/>
                  <w:sz w:val="18"/>
                  <w:szCs w:val="18"/>
                  <w:color w:val="000000"/>
                </w:rPr>
                <w:t>.</w:t>
              </w:r>
            </w:hyperlink>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10.12+</w:t>
            </w: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w w:val="92"/>
              </w:rPr>
            </w:pPr>
            <w:hyperlink w:anchor="page129">
              <w:r>
                <w:rPr>
                  <w:rFonts w:ascii="Arial" w:cs="Arial" w:eastAsia="Arial" w:hAnsi="Arial"/>
                  <w:sz w:val="18"/>
                  <w:szCs w:val="18"/>
                  <w:color w:val="0000EE"/>
                  <w:w w:val="92"/>
                </w:rPr>
                <w:t>Stock Option Agreement (time-based) between Stephen Kaufer and</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20" w:type="dxa"/>
            <w:vAlign w:val="bottom"/>
            <w:tcBorders>
              <w:top w:val="single" w:sz="8" w:color="0000EE"/>
            </w:tcBorders>
            <w:gridSpan w:val="33"/>
          </w:tcPr>
          <w:p>
            <w:pPr>
              <w:spacing w:after="0" w:line="194" w:lineRule="exact"/>
              <w:rPr>
                <w:rFonts w:ascii="Arial" w:cs="Arial" w:eastAsia="Arial" w:hAnsi="Arial"/>
                <w:sz w:val="18"/>
                <w:szCs w:val="18"/>
                <w:color w:val="0000EE"/>
              </w:rPr>
            </w:pPr>
            <w:hyperlink w:anchor="page129">
              <w:r>
                <w:rPr>
                  <w:rFonts w:ascii="Arial" w:cs="Arial" w:eastAsia="Arial" w:hAnsi="Arial"/>
                  <w:sz w:val="18"/>
                  <w:szCs w:val="18"/>
                  <w:color w:val="0000EE"/>
                </w:rPr>
                <w:t>TripAdvisor, Inc. dated November 28, 2017</w:t>
              </w:r>
            </w:hyperlink>
          </w:p>
        </w:tc>
        <w:tc>
          <w:tcPr>
            <w:tcW w:w="180" w:type="dxa"/>
            <w:vAlign w:val="bottom"/>
            <w:gridSpan w:val="3"/>
          </w:tcPr>
          <w:p>
            <w:pPr>
              <w:spacing w:after="0"/>
              <w:rPr>
                <w:sz w:val="16"/>
                <w:szCs w:val="16"/>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10.13+</w:t>
            </w: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rPr>
            </w:pPr>
            <w:hyperlink w:anchor="page136">
              <w:r>
                <w:rPr>
                  <w:rFonts w:ascii="Arial" w:cs="Arial" w:eastAsia="Arial" w:hAnsi="Arial"/>
                  <w:sz w:val="18"/>
                  <w:szCs w:val="18"/>
                  <w:color w:val="0000EE"/>
                </w:rPr>
                <w:t>RSU Agreement (time-based) between Stephen Kaufer and</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20" w:type="dxa"/>
            <w:vAlign w:val="bottom"/>
            <w:tcBorders>
              <w:top w:val="single" w:sz="8" w:color="0000EE"/>
            </w:tcBorders>
            <w:gridSpan w:val="21"/>
          </w:tcPr>
          <w:p>
            <w:pPr>
              <w:spacing w:after="0" w:line="194" w:lineRule="exact"/>
              <w:rPr>
                <w:rFonts w:ascii="Arial" w:cs="Arial" w:eastAsia="Arial" w:hAnsi="Arial"/>
                <w:sz w:val="18"/>
                <w:szCs w:val="18"/>
                <w:color w:val="0000EE"/>
              </w:rPr>
            </w:pPr>
            <w:hyperlink w:anchor="page136">
              <w:r>
                <w:rPr>
                  <w:rFonts w:ascii="Arial" w:cs="Arial" w:eastAsia="Arial" w:hAnsi="Arial"/>
                  <w:sz w:val="18"/>
                  <w:szCs w:val="18"/>
                  <w:color w:val="0000EE"/>
                </w:rPr>
                <w:t>TripAdvisor, Inc. dated November 28, 2017</w:t>
              </w:r>
            </w:hyperlink>
          </w:p>
        </w:tc>
        <w:tc>
          <w:tcPr>
            <w:tcW w:w="780" w:type="dxa"/>
            <w:vAlign w:val="bottom"/>
            <w:gridSpan w:val="15"/>
          </w:tcPr>
          <w:p>
            <w:pPr>
              <w:spacing w:after="0"/>
              <w:rPr>
                <w:sz w:val="16"/>
                <w:szCs w:val="16"/>
                <w:color w:val="auto"/>
              </w:rPr>
            </w:pPr>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10.14+</w:t>
            </w:r>
          </w:p>
        </w:tc>
        <w:tc>
          <w:tcPr>
            <w:tcW w:w="40" w:type="dxa"/>
            <w:vAlign w:val="bottom"/>
          </w:tcPr>
          <w:p>
            <w:pPr>
              <w:spacing w:after="0"/>
              <w:rPr>
                <w:sz w:val="16"/>
                <w:szCs w:val="16"/>
                <w:color w:val="auto"/>
              </w:rPr>
            </w:pPr>
          </w:p>
        </w:tc>
        <w:tc>
          <w:tcPr>
            <w:tcW w:w="4620" w:type="dxa"/>
            <w:vAlign w:val="bottom"/>
            <w:tcBorders>
              <w:bottom w:val="single" w:sz="8" w:color="0000EE"/>
            </w:tcBorders>
            <w:gridSpan w:val="26"/>
          </w:tcPr>
          <w:p>
            <w:pPr>
              <w:spacing w:after="0" w:line="194"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RSU Agreement (performance based (market)) between Stephen</w:t>
              </w:r>
            </w:hyperlink>
          </w:p>
        </w:tc>
        <w:tc>
          <w:tcPr>
            <w:tcW w:w="380" w:type="dxa"/>
            <w:vAlign w:val="bottom"/>
            <w:gridSpan w:val="10"/>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rPr>
            </w:pPr>
            <w:hyperlink w:anchor="page143">
              <w:r>
                <w:rPr>
                  <w:rFonts w:ascii="Arial" w:cs="Arial" w:eastAsia="Arial" w:hAnsi="Arial"/>
                  <w:sz w:val="18"/>
                  <w:szCs w:val="18"/>
                  <w:color w:val="0000EE"/>
                </w:rPr>
                <w:t>Kaufer and TripAdvisor, Inc. dated November 28, 2017</w:t>
              </w:r>
            </w:hyperlink>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240" w:type="dxa"/>
            <w:vAlign w:val="bottom"/>
            <w:tcBorders>
              <w:left w:val="single" w:sz="8" w:color="0000EE"/>
            </w:tcBorders>
            <w:gridSpan w:val="9"/>
            <w:shd w:val="clear" w:color="auto" w:fill="0000EE"/>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10.15+</w:t>
            </w:r>
          </w:p>
        </w:tc>
        <w:tc>
          <w:tcPr>
            <w:tcW w:w="40" w:type="dxa"/>
            <w:vAlign w:val="bottom"/>
          </w:tcPr>
          <w:p>
            <w:pPr>
              <w:spacing w:after="0"/>
              <w:rPr>
                <w:sz w:val="16"/>
                <w:szCs w:val="16"/>
                <w:color w:val="auto"/>
              </w:rPr>
            </w:pPr>
          </w:p>
        </w:tc>
        <w:tc>
          <w:tcPr>
            <w:tcW w:w="4440" w:type="dxa"/>
            <w:vAlign w:val="bottom"/>
            <w:tcBorders>
              <w:bottom w:val="single" w:sz="8" w:color="0000EE"/>
            </w:tcBorders>
            <w:gridSpan w:val="23"/>
          </w:tcPr>
          <w:p>
            <w:pPr>
              <w:spacing w:after="0" w:line="194"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RSU Agreement (performance based (financial and strategic))</w:t>
              </w:r>
            </w:hyperlink>
          </w:p>
        </w:tc>
        <w:tc>
          <w:tcPr>
            <w:tcW w:w="560" w:type="dxa"/>
            <w:vAlign w:val="bottom"/>
            <w:gridSpan w:val="13"/>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between Stephen Kaufer and TripAdvisor, Inc. dated November 28,</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4"/>
              </w:rPr>
            </w:pPr>
            <w:hyperlink w:anchor="page154">
              <w:r>
                <w:rPr>
                  <w:rFonts w:ascii="Arial" w:cs="Arial" w:eastAsia="Arial" w:hAnsi="Arial"/>
                  <w:sz w:val="18"/>
                  <w:szCs w:val="18"/>
                  <w:color w:val="0000EE"/>
                  <w:w w:val="84"/>
                </w:rPr>
                <w:t>2017</w:t>
              </w:r>
            </w:hyperlink>
          </w:p>
        </w:tc>
        <w:tc>
          <w:tcPr>
            <w:tcW w:w="3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10.16+</w:t>
            </w: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rPr>
            </w:pPr>
            <w:hyperlink r:id="rId154">
              <w:r>
                <w:rPr>
                  <w:rFonts w:ascii="Arial" w:cs="Arial" w:eastAsia="Arial" w:hAnsi="Arial"/>
                  <w:sz w:val="18"/>
                  <w:szCs w:val="18"/>
                  <w:color w:val="0000EE"/>
                </w:rPr>
                <w:t>Viator, Inc. 2010 Stock Incentive Plan</w:t>
              </w:r>
            </w:hyperlink>
          </w:p>
        </w:tc>
      </w:tr>
      <w:tr>
        <w:trPr>
          <w:trHeight w:val="20"/>
        </w:trPr>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20" w:type="dxa"/>
            <w:vAlign w:val="bottom"/>
            <w:gridSpan w:val="2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194"/>
        </w:trPr>
        <w:tc>
          <w:tcPr>
            <w:tcW w:w="720" w:type="dxa"/>
            <w:vAlign w:val="bottom"/>
            <w:gridSpan w:val="2"/>
          </w:tcPr>
          <w:p>
            <w:pPr>
              <w:spacing w:after="0" w:line="194" w:lineRule="exact"/>
              <w:rPr>
                <w:sz w:val="20"/>
                <w:szCs w:val="20"/>
                <w:color w:val="auto"/>
              </w:rPr>
            </w:pPr>
            <w:r>
              <w:rPr>
                <w:rFonts w:ascii="Arial" w:cs="Arial" w:eastAsia="Arial" w:hAnsi="Arial"/>
                <w:sz w:val="18"/>
                <w:szCs w:val="18"/>
                <w:color w:val="auto"/>
              </w:rPr>
              <w:t>10.17+</w:t>
            </w:r>
          </w:p>
        </w:tc>
        <w:tc>
          <w:tcPr>
            <w:tcW w:w="40" w:type="dxa"/>
            <w:vAlign w:val="bottom"/>
          </w:tcPr>
          <w:p>
            <w:pPr>
              <w:spacing w:after="0"/>
              <w:rPr>
                <w:sz w:val="16"/>
                <w:szCs w:val="16"/>
                <w:color w:val="auto"/>
              </w:rPr>
            </w:pPr>
          </w:p>
        </w:tc>
        <w:tc>
          <w:tcPr>
            <w:tcW w:w="5000" w:type="dxa"/>
            <w:vAlign w:val="bottom"/>
            <w:gridSpan w:val="36"/>
          </w:tcPr>
          <w:p>
            <w:pPr>
              <w:spacing w:after="0" w:line="194" w:lineRule="exact"/>
              <w:rPr>
                <w:rFonts w:ascii="Arial" w:cs="Arial" w:eastAsia="Arial" w:hAnsi="Arial"/>
                <w:sz w:val="18"/>
                <w:szCs w:val="18"/>
                <w:color w:val="0000EE"/>
                <w:w w:val="96"/>
              </w:rPr>
            </w:pPr>
            <w:hyperlink r:id="rId155">
              <w:r>
                <w:rPr>
                  <w:rFonts w:ascii="Arial" w:cs="Arial" w:eastAsia="Arial" w:hAnsi="Arial"/>
                  <w:sz w:val="18"/>
                  <w:szCs w:val="18"/>
                  <w:color w:val="0000EE"/>
                  <w:w w:val="96"/>
                </w:rPr>
                <w:t>Offer Letter dated May 9, 2017, between TripAdvisor Limited and</w:t>
              </w:r>
            </w:hyperlink>
          </w:p>
        </w:tc>
      </w:tr>
      <w:tr>
        <w:trPr>
          <w:trHeight w:val="194"/>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Dermot Halpin</w:t>
              </w:r>
            </w:hyperlink>
          </w:p>
        </w:tc>
        <w:tc>
          <w:tcPr>
            <w:tcW w:w="3660" w:type="dxa"/>
            <w:vAlign w:val="bottom"/>
            <w:tcBorders>
              <w:top w:val="single" w:sz="8" w:color="0000EE"/>
            </w:tcBorders>
            <w:gridSpan w:val="27"/>
          </w:tcPr>
          <w:p>
            <w:pPr>
              <w:spacing w:after="0"/>
              <w:rPr>
                <w:sz w:val="16"/>
                <w:szCs w:val="16"/>
                <w:color w:val="auto"/>
              </w:rPr>
            </w:pPr>
          </w:p>
        </w:tc>
        <w:tc>
          <w:tcPr>
            <w:tcW w:w="260" w:type="dxa"/>
            <w:vAlign w:val="bottom"/>
            <w:gridSpan w:val="5"/>
          </w:tcPr>
          <w:p>
            <w:pPr>
              <w:spacing w:after="0"/>
              <w:rPr>
                <w:sz w:val="16"/>
                <w:szCs w:val="16"/>
                <w:color w:val="auto"/>
              </w:rPr>
            </w:pPr>
          </w:p>
        </w:tc>
      </w:tr>
    </w:tbl>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720" w:type="dxa"/>
            <w:vAlign w:val="bottom"/>
            <w:vMerge w:val="restart"/>
          </w:tcPr>
          <w:p>
            <w:pPr>
              <w:jc w:val="center"/>
              <w:ind w:right="129"/>
              <w:spacing w:after="0"/>
              <w:rPr>
                <w:sz w:val="20"/>
                <w:szCs w:val="20"/>
                <w:color w:val="auto"/>
              </w:rPr>
            </w:pPr>
            <w:r>
              <w:rPr>
                <w:rFonts w:ascii="Arial" w:cs="Arial" w:eastAsia="Arial" w:hAnsi="Arial"/>
                <w:sz w:val="14"/>
                <w:szCs w:val="14"/>
                <w:color w:val="auto"/>
                <w:w w:val="92"/>
              </w:rPr>
              <w:t>Filed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color w:val="auto"/>
                <w:w w:val="92"/>
              </w:rPr>
              <w:t>Incorporated by Reference</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left="13"/>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2"/>
        </w:trPr>
        <w:tc>
          <w:tcPr>
            <w:tcW w:w="7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center"/>
              <w:ind w:right="153"/>
              <w:spacing w:after="0" w:line="122" w:lineRule="exact"/>
              <w:rPr>
                <w:sz w:val="20"/>
                <w:szCs w:val="20"/>
                <w:color w:val="auto"/>
              </w:rPr>
            </w:pPr>
            <w:r>
              <w:rPr>
                <w:rFonts w:ascii="Arial" w:cs="Arial" w:eastAsia="Arial" w:hAnsi="Arial"/>
                <w:sz w:val="14"/>
                <w:szCs w:val="14"/>
                <w:color w:val="auto"/>
                <w:w w:val="99"/>
              </w:rPr>
              <w:t>Exhibit</w:t>
            </w: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20" w:type="dxa"/>
            <w:vAlign w:val="bottom"/>
          </w:tcPr>
          <w:p>
            <w:pPr>
              <w:jc w:val="center"/>
              <w:ind w:right="129"/>
              <w:spacing w:after="0"/>
              <w:rPr>
                <w:sz w:val="20"/>
                <w:szCs w:val="20"/>
                <w:color w:val="auto"/>
              </w:rPr>
            </w:pPr>
            <w:r>
              <w:rPr>
                <w:rFonts w:ascii="Arial" w:cs="Arial" w:eastAsia="Arial" w:hAnsi="Arial"/>
                <w:sz w:val="14"/>
                <w:szCs w:val="14"/>
                <w:color w:val="auto"/>
                <w:w w:val="94"/>
              </w:rPr>
              <w:t>Herewith</w:t>
            </w:r>
          </w:p>
        </w:tc>
        <w:tc>
          <w:tcPr>
            <w:tcW w:w="900" w:type="dxa"/>
            <w:vAlign w:val="bottom"/>
            <w:gridSpan w:val="3"/>
          </w:tcPr>
          <w:p>
            <w:pPr>
              <w:ind w:left="200"/>
              <w:spacing w:after="0"/>
              <w:rPr>
                <w:sz w:val="20"/>
                <w:szCs w:val="20"/>
                <w:color w:val="auto"/>
              </w:rPr>
            </w:pPr>
            <w:r>
              <w:rPr>
                <w:rFonts w:ascii="Arial" w:cs="Arial" w:eastAsia="Arial" w:hAnsi="Arial"/>
                <w:sz w:val="14"/>
                <w:szCs w:val="14"/>
                <w:color w:val="auto"/>
              </w:rPr>
              <w:t>Form</w:t>
            </w:r>
          </w:p>
        </w:tc>
        <w:tc>
          <w:tcPr>
            <w:tcW w:w="2040" w:type="dxa"/>
            <w:vAlign w:val="bottom"/>
            <w:gridSpan w:val="3"/>
          </w:tcPr>
          <w:p>
            <w:pPr>
              <w:ind w:left="380"/>
              <w:spacing w:after="0"/>
              <w:rPr>
                <w:sz w:val="20"/>
                <w:szCs w:val="20"/>
                <w:color w:val="auto"/>
              </w:rPr>
            </w:pPr>
            <w:r>
              <w:rPr>
                <w:rFonts w:ascii="Arial" w:cs="Arial" w:eastAsia="Arial" w:hAnsi="Arial"/>
                <w:sz w:val="14"/>
                <w:szCs w:val="14"/>
                <w:color w:val="auto"/>
              </w:rPr>
              <w:t>SEC File No.</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No.</w:t>
            </w:r>
          </w:p>
        </w:tc>
        <w:tc>
          <w:tcPr>
            <w:tcW w:w="1040" w:type="dxa"/>
            <w:vAlign w:val="bottom"/>
          </w:tcPr>
          <w:p>
            <w:pPr>
              <w:jc w:val="center"/>
              <w:ind w:left="13"/>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193"/>
        </w:trPr>
        <w:tc>
          <w:tcPr>
            <w:tcW w:w="720" w:type="dxa"/>
            <w:vAlign w:val="bottom"/>
          </w:tcPr>
          <w:p>
            <w:pPr>
              <w:spacing w:after="0"/>
              <w:rPr>
                <w:sz w:val="16"/>
                <w:szCs w:val="16"/>
                <w:color w:val="auto"/>
              </w:rPr>
            </w:pPr>
          </w:p>
        </w:tc>
        <w:tc>
          <w:tcPr>
            <w:tcW w:w="72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8-K</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Borders>
              <w:top w:val="single" w:sz="8" w:color="auto"/>
            </w:tcBorders>
          </w:tcPr>
          <w:p>
            <w:pPr>
              <w:jc w:val="center"/>
              <w:ind w:left="13"/>
              <w:spacing w:after="0" w:line="193" w:lineRule="exact"/>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ind w:right="33"/>
              <w:spacing w:after="0" w:line="193"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1040" w:type="dxa"/>
            <w:vAlign w:val="bottom"/>
            <w:tcBorders>
              <w:top w:val="single" w:sz="8" w:color="auto"/>
            </w:tcBorders>
          </w:tcPr>
          <w:p>
            <w:pPr>
              <w:jc w:val="center"/>
              <w:ind w:left="73"/>
              <w:spacing w:after="0" w:line="193" w:lineRule="exact"/>
              <w:rPr>
                <w:sz w:val="20"/>
                <w:szCs w:val="20"/>
                <w:color w:val="auto"/>
              </w:rPr>
            </w:pPr>
            <w:r>
              <w:rPr>
                <w:rFonts w:ascii="Arial" w:cs="Arial" w:eastAsia="Arial" w:hAnsi="Arial"/>
                <w:sz w:val="18"/>
                <w:szCs w:val="18"/>
                <w:color w:val="auto"/>
                <w:w w:val="91"/>
              </w:rPr>
              <w:t>12/27/11</w:t>
            </w: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1"/>
              </w:rPr>
              <w:t>12/27/11</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3"/>
              </w:rPr>
              <w:t>2/12/13</w:t>
            </w:r>
          </w:p>
        </w:tc>
        <w:tc>
          <w:tcPr>
            <w:tcW w:w="0" w:type="dxa"/>
            <w:vAlign w:val="bottom"/>
          </w:tcPr>
          <w:p>
            <w:pPr>
              <w:spacing w:after="0"/>
              <w:rPr>
                <w:sz w:val="1"/>
                <w:szCs w:val="1"/>
                <w:color w:val="auto"/>
              </w:rPr>
            </w:pPr>
          </w:p>
        </w:tc>
      </w:tr>
      <w:tr>
        <w:trPr>
          <w:trHeight w:val="414"/>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7"/>
              </w:rPr>
              <w:t>S-4/A</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333-175828-01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1"/>
              </w:rPr>
              <w:t>10/24/11</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9"/>
                <w:szCs w:val="19"/>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1"/>
              </w:rPr>
              <w:t>12/27/11</w:t>
            </w:r>
          </w:p>
        </w:tc>
        <w:tc>
          <w:tcPr>
            <w:tcW w:w="0" w:type="dxa"/>
            <w:vAlign w:val="bottom"/>
          </w:tcPr>
          <w:p>
            <w:pPr>
              <w:spacing w:after="0"/>
              <w:rPr>
                <w:sz w:val="1"/>
                <w:szCs w:val="1"/>
                <w:color w:val="auto"/>
              </w:rPr>
            </w:pPr>
          </w:p>
        </w:tc>
      </w:tr>
      <w:tr>
        <w:trPr>
          <w:trHeight w:val="641"/>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1"/>
              </w:rPr>
              <w:t>12/27/11</w:t>
            </w:r>
          </w:p>
        </w:tc>
        <w:tc>
          <w:tcPr>
            <w:tcW w:w="0" w:type="dxa"/>
            <w:vAlign w:val="bottom"/>
          </w:tcPr>
          <w:p>
            <w:pPr>
              <w:spacing w:after="0"/>
              <w:rPr>
                <w:sz w:val="1"/>
                <w:szCs w:val="1"/>
                <w:color w:val="auto"/>
              </w:rPr>
            </w:pPr>
          </w:p>
        </w:tc>
      </w:tr>
      <w:tr>
        <w:trPr>
          <w:trHeight w:val="427"/>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333-190384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6"/>
              </w:rPr>
              <w:t>11/8/16</w:t>
            </w:r>
          </w:p>
        </w:tc>
        <w:tc>
          <w:tcPr>
            <w:tcW w:w="0" w:type="dxa"/>
            <w:vAlign w:val="bottom"/>
          </w:tcPr>
          <w:p>
            <w:pPr>
              <w:spacing w:after="0"/>
              <w:rPr>
                <w:sz w:val="1"/>
                <w:szCs w:val="1"/>
                <w:color w:val="auto"/>
              </w:rPr>
            </w:pPr>
          </w:p>
        </w:tc>
      </w:tr>
      <w:tr>
        <w:trPr>
          <w:trHeight w:val="427"/>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85"/>
              </w:rPr>
              <w:t>S-8</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333-178637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1"/>
              </w:rPr>
              <w:t>12/20/11</w:t>
            </w:r>
          </w:p>
        </w:tc>
        <w:tc>
          <w:tcPr>
            <w:tcW w:w="0" w:type="dxa"/>
            <w:vAlign w:val="bottom"/>
          </w:tcPr>
          <w:p>
            <w:pPr>
              <w:spacing w:after="0"/>
              <w:rPr>
                <w:sz w:val="1"/>
                <w:szCs w:val="1"/>
                <w:color w:val="auto"/>
              </w:rPr>
            </w:pPr>
          </w:p>
        </w:tc>
      </w:tr>
      <w:tr>
        <w:trPr>
          <w:trHeight w:val="427"/>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3"/>
              </w:rPr>
              <w:t>7/24/13</w:t>
            </w:r>
          </w:p>
        </w:tc>
        <w:tc>
          <w:tcPr>
            <w:tcW w:w="0" w:type="dxa"/>
            <w:vAlign w:val="bottom"/>
          </w:tcPr>
          <w:p>
            <w:pPr>
              <w:spacing w:after="0"/>
              <w:rPr>
                <w:sz w:val="1"/>
                <w:szCs w:val="1"/>
                <w:color w:val="auto"/>
              </w:rPr>
            </w:pPr>
          </w:p>
        </w:tc>
      </w:tr>
      <w:tr>
        <w:trPr>
          <w:trHeight w:val="427"/>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3"/>
              </w:rPr>
              <w:t>7/24/13</w:t>
            </w:r>
          </w:p>
        </w:tc>
        <w:tc>
          <w:tcPr>
            <w:tcW w:w="0" w:type="dxa"/>
            <w:vAlign w:val="bottom"/>
          </w:tcPr>
          <w:p>
            <w:pPr>
              <w:spacing w:after="0"/>
              <w:rPr>
                <w:sz w:val="1"/>
                <w:szCs w:val="1"/>
                <w:color w:val="auto"/>
              </w:rPr>
            </w:pPr>
          </w:p>
        </w:tc>
      </w:tr>
      <w:tr>
        <w:trPr>
          <w:trHeight w:val="427"/>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3"/>
              </w:rPr>
              <w:t>5/23/16</w:t>
            </w:r>
          </w:p>
        </w:tc>
        <w:tc>
          <w:tcPr>
            <w:tcW w:w="0" w:type="dxa"/>
            <w:vAlign w:val="bottom"/>
          </w:tcPr>
          <w:p>
            <w:pPr>
              <w:spacing w:after="0"/>
              <w:rPr>
                <w:sz w:val="1"/>
                <w:szCs w:val="1"/>
                <w:color w:val="auto"/>
              </w:rPr>
            </w:pPr>
          </w:p>
        </w:tc>
      </w:tr>
      <w:tr>
        <w:trPr>
          <w:trHeight w:val="377"/>
        </w:trPr>
        <w:tc>
          <w:tcPr>
            <w:tcW w:w="720" w:type="dxa"/>
            <w:vAlign w:val="bottom"/>
          </w:tcPr>
          <w:p>
            <w:pPr>
              <w:jc w:val="center"/>
              <w:ind w:right="109"/>
              <w:spacing w:after="0"/>
              <w:rPr>
                <w:sz w:val="20"/>
                <w:szCs w:val="20"/>
                <w:color w:val="auto"/>
              </w:rPr>
            </w:pPr>
            <w:r>
              <w:rPr>
                <w:rFonts w:ascii="Arial" w:cs="Arial" w:eastAsia="Arial" w:hAnsi="Arial"/>
                <w:sz w:val="14"/>
                <w:szCs w:val="14"/>
                <w:color w:val="auto"/>
              </w:rPr>
              <w:t>X</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10.3</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7"/>
              </w:rPr>
              <w:t>5/6/14</w:t>
            </w:r>
          </w:p>
        </w:tc>
        <w:tc>
          <w:tcPr>
            <w:tcW w:w="0" w:type="dxa"/>
            <w:vAlign w:val="bottom"/>
          </w:tcPr>
          <w:p>
            <w:pPr>
              <w:spacing w:after="0"/>
              <w:rPr>
                <w:sz w:val="1"/>
                <w:szCs w:val="1"/>
                <w:color w:val="auto"/>
              </w:rPr>
            </w:pPr>
          </w:p>
        </w:tc>
      </w:tr>
      <w:tr>
        <w:trPr>
          <w:trHeight w:val="377"/>
        </w:trPr>
        <w:tc>
          <w:tcPr>
            <w:tcW w:w="720" w:type="dxa"/>
            <w:vAlign w:val="bottom"/>
          </w:tcPr>
          <w:p>
            <w:pPr>
              <w:jc w:val="center"/>
              <w:ind w:right="109"/>
              <w:spacing w:after="0"/>
              <w:rPr>
                <w:sz w:val="20"/>
                <w:szCs w:val="20"/>
                <w:color w:val="auto"/>
              </w:rPr>
            </w:pPr>
            <w:r>
              <w:rPr>
                <w:rFonts w:ascii="Arial" w:cs="Arial" w:eastAsia="Arial" w:hAnsi="Arial"/>
                <w:sz w:val="14"/>
                <w:szCs w:val="14"/>
                <w:color w:val="auto"/>
              </w:rPr>
              <w:t>X</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7"/>
              </w:rPr>
              <w:t>6/8/17</w:t>
            </w:r>
          </w:p>
        </w:tc>
        <w:tc>
          <w:tcPr>
            <w:tcW w:w="0" w:type="dxa"/>
            <w:vAlign w:val="bottom"/>
          </w:tcPr>
          <w:p>
            <w:pPr>
              <w:spacing w:after="0"/>
              <w:rPr>
                <w:sz w:val="1"/>
                <w:szCs w:val="1"/>
                <w:color w:val="auto"/>
              </w:rPr>
            </w:pPr>
          </w:p>
        </w:tc>
      </w:tr>
      <w:tr>
        <w:trPr>
          <w:trHeight w:val="377"/>
        </w:trPr>
        <w:tc>
          <w:tcPr>
            <w:tcW w:w="720" w:type="dxa"/>
            <w:vAlign w:val="bottom"/>
          </w:tcPr>
          <w:p>
            <w:pPr>
              <w:jc w:val="center"/>
              <w:ind w:right="109"/>
              <w:spacing w:after="0"/>
              <w:rPr>
                <w:sz w:val="20"/>
                <w:szCs w:val="20"/>
                <w:color w:val="auto"/>
              </w:rPr>
            </w:pPr>
            <w:r>
              <w:rPr>
                <w:rFonts w:ascii="Arial" w:cs="Arial" w:eastAsia="Arial" w:hAnsi="Arial"/>
                <w:sz w:val="14"/>
                <w:szCs w:val="14"/>
                <w:color w:val="auto"/>
              </w:rPr>
              <w:t>X</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20" w:type="dxa"/>
            <w:vAlign w:val="bottom"/>
          </w:tcPr>
          <w:p>
            <w:pPr>
              <w:jc w:val="center"/>
              <w:ind w:right="109"/>
              <w:spacing w:after="0"/>
              <w:rPr>
                <w:sz w:val="20"/>
                <w:szCs w:val="20"/>
                <w:color w:val="auto"/>
              </w:rPr>
            </w:pPr>
            <w:r>
              <w:rPr>
                <w:rFonts w:ascii="Arial" w:cs="Arial" w:eastAsia="Arial" w:hAnsi="Arial"/>
                <w:sz w:val="14"/>
                <w:szCs w:val="14"/>
                <w:color w:val="auto"/>
              </w:rPr>
              <w:t>X</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20" w:type="dxa"/>
            <w:vAlign w:val="bottom"/>
          </w:tcPr>
          <w:p>
            <w:pPr>
              <w:jc w:val="center"/>
              <w:ind w:right="109"/>
              <w:spacing w:after="0"/>
              <w:rPr>
                <w:sz w:val="20"/>
                <w:szCs w:val="20"/>
                <w:color w:val="auto"/>
              </w:rPr>
            </w:pPr>
            <w:r>
              <w:rPr>
                <w:rFonts w:ascii="Arial" w:cs="Arial" w:eastAsia="Arial" w:hAnsi="Arial"/>
                <w:sz w:val="14"/>
                <w:szCs w:val="14"/>
                <w:color w:val="auto"/>
              </w:rPr>
              <w:t>X</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20" w:type="dxa"/>
            <w:vAlign w:val="bottom"/>
          </w:tcPr>
          <w:p>
            <w:pPr>
              <w:jc w:val="center"/>
              <w:ind w:right="109"/>
              <w:spacing w:after="0"/>
              <w:rPr>
                <w:sz w:val="20"/>
                <w:szCs w:val="20"/>
                <w:color w:val="auto"/>
              </w:rPr>
            </w:pPr>
            <w:r>
              <w:rPr>
                <w:rFonts w:ascii="Arial" w:cs="Arial" w:eastAsia="Arial" w:hAnsi="Arial"/>
                <w:sz w:val="14"/>
                <w:szCs w:val="14"/>
                <w:color w:val="auto"/>
              </w:rPr>
              <w:t>X</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8"/>
        </w:trPr>
        <w:tc>
          <w:tcPr>
            <w:tcW w:w="72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85"/>
              </w:rPr>
              <w:t>S-8</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333-198726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4"/>
                <w:szCs w:val="24"/>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93"/>
              </w:rPr>
              <w:t>9/12/14</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10-Q</w:t>
            </w:r>
          </w:p>
        </w:tc>
        <w:tc>
          <w:tcPr>
            <w:tcW w:w="1740" w:type="dxa"/>
            <w:vAlign w:val="bottom"/>
          </w:tcPr>
          <w:p>
            <w:pPr>
              <w:jc w:val="center"/>
              <w:ind w:left="13"/>
              <w:spacing w:after="0"/>
              <w:rPr>
                <w:sz w:val="20"/>
                <w:szCs w:val="20"/>
                <w:color w:val="auto"/>
              </w:rPr>
            </w:pPr>
            <w:r>
              <w:rPr>
                <w:rFonts w:ascii="Arial" w:cs="Arial" w:eastAsia="Arial" w:hAnsi="Arial"/>
                <w:sz w:val="18"/>
                <w:szCs w:val="18"/>
                <w:color w:val="auto"/>
                <w:w w:val="88"/>
              </w:rPr>
              <w:t>001-35362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center"/>
              <w:ind w:right="33"/>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19"/>
                <w:szCs w:val="19"/>
                <w:color w:val="auto"/>
              </w:rPr>
            </w:pPr>
          </w:p>
        </w:tc>
        <w:tc>
          <w:tcPr>
            <w:tcW w:w="1040" w:type="dxa"/>
            <w:vAlign w:val="bottom"/>
          </w:tcPr>
          <w:p>
            <w:pPr>
              <w:jc w:val="center"/>
              <w:ind w:left="73"/>
              <w:spacing w:after="0"/>
              <w:rPr>
                <w:sz w:val="20"/>
                <w:szCs w:val="20"/>
                <w:color w:val="auto"/>
              </w:rPr>
            </w:pPr>
            <w:r>
              <w:rPr>
                <w:rFonts w:ascii="Arial" w:cs="Arial" w:eastAsia="Arial" w:hAnsi="Arial"/>
                <w:sz w:val="18"/>
                <w:szCs w:val="18"/>
                <w:color w:val="auto"/>
                <w:w w:val="87"/>
              </w:rPr>
              <w:t>5/9/17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-5296535</wp:posOffset>
            </wp:positionV>
            <wp:extent cx="516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516890" cy="8255"/>
                    </a:xfrm>
                    <a:prstGeom prst="rect">
                      <a:avLst/>
                    </a:prstGeom>
                    <a:noFill/>
                  </pic:spPr>
                </pic:pic>
              </a:graphicData>
            </a:graphic>
          </wp:anchor>
        </w:drawing>
      </w:r>
    </w:p>
    <w:p>
      <w:pPr>
        <w:sectPr>
          <w:pgSz w:w="11900" w:h="16838" w:orient="portrait"/>
          <w:cols w:equalWidth="0" w:num="2">
            <w:col w:w="5840" w:space="120"/>
            <w:col w:w="5560"/>
          </w:cols>
          <w:pgMar w:left="240" w:top="548" w:right="139" w:bottom="1440" w:gutter="0" w:footer="0" w:header="0"/>
        </w:sectPr>
      </w:pPr>
    </w:p>
    <w:bookmarkStart w:id="120" w:name="page121"/>
    <w:bookmarkEnd w:id="120"/>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gridSpan w:val="21"/>
          </w:tcPr>
          <w:p>
            <w:pPr>
              <w:ind w:left="1660"/>
              <w:spacing w:after="0"/>
              <w:rPr>
                <w:sz w:val="20"/>
                <w:szCs w:val="20"/>
                <w:color w:val="auto"/>
              </w:rPr>
            </w:pPr>
            <w:r>
              <w:rPr>
                <w:rFonts w:ascii="Arial" w:cs="Arial" w:eastAsia="Arial" w:hAnsi="Arial"/>
                <w:sz w:val="14"/>
                <w:szCs w:val="14"/>
                <w:color w:val="auto"/>
              </w:rPr>
              <w:t>Exhibit Description</w:t>
            </w:r>
          </w:p>
        </w:tc>
      </w:tr>
      <w:tr>
        <w:trPr>
          <w:trHeight w:val="167"/>
        </w:trPr>
        <w:tc>
          <w:tcPr>
            <w:tcW w:w="20" w:type="dxa"/>
            <w:vAlign w:val="bottom"/>
          </w:tcPr>
          <w:p>
            <w:pPr>
              <w:spacing w:after="0"/>
              <w:rPr>
                <w:sz w:val="14"/>
                <w:szCs w:val="14"/>
                <w:color w:val="auto"/>
              </w:rPr>
            </w:pPr>
          </w:p>
        </w:tc>
        <w:tc>
          <w:tcPr>
            <w:tcW w:w="720" w:type="dxa"/>
            <w:vAlign w:val="bottom"/>
          </w:tcPr>
          <w:p>
            <w:pPr>
              <w:spacing w:after="0" w:line="167"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22"/>
          </w:tcPr>
          <w:p>
            <w:pPr>
              <w:spacing w:after="0" w:line="167"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Credit Agreement dated as of June 26, 2015 by and among TripAdvisor,</w:t>
              </w:r>
            </w:hyperlink>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40" w:type="dxa"/>
            <w:vAlign w:val="bottom"/>
            <w:tcBorders>
              <w:top w:val="single" w:sz="8" w:color="0000EE"/>
            </w:tcBorders>
            <w:gridSpan w:val="22"/>
          </w:tcPr>
          <w:p>
            <w:pPr>
              <w:spacing w:after="0" w:line="194" w:lineRule="exact"/>
              <w:rPr>
                <w:rFonts w:ascii="Arial" w:cs="Arial" w:eastAsia="Arial" w:hAnsi="Arial"/>
                <w:sz w:val="18"/>
                <w:szCs w:val="18"/>
                <w:color w:val="0000EE"/>
                <w:w w:val="95"/>
              </w:rPr>
            </w:pPr>
            <w:hyperlink r:id="rId158">
              <w:r>
                <w:rPr>
                  <w:rFonts w:ascii="Arial" w:cs="Arial" w:eastAsia="Arial" w:hAnsi="Arial"/>
                  <w:sz w:val="18"/>
                  <w:szCs w:val="18"/>
                  <w:color w:val="0000EE"/>
                  <w:w w:val="95"/>
                </w:rPr>
                <w:t>Inc., TripAdvisor Holdings, LLC, TripAdvisor LLC, JPMorgan Chase</w:t>
              </w:r>
            </w:hyperlink>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0" w:type="dxa"/>
            <w:vAlign w:val="bottom"/>
            <w:tcBorders>
              <w:top w:val="single" w:sz="8" w:color="0000EE"/>
            </w:tcBorders>
            <w:gridSpan w:val="18"/>
          </w:tcPr>
          <w:p>
            <w:pPr>
              <w:spacing w:after="0" w:line="194"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Bank, N.A., as Administrative Agent; J.P. Morgan Europe Limited, as</w:t>
              </w:r>
            </w:hyperlink>
          </w:p>
        </w:tc>
        <w:tc>
          <w:tcPr>
            <w:tcW w:w="160" w:type="dxa"/>
            <w:vAlign w:val="bottom"/>
            <w:gridSpan w:val="5"/>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40" w:type="dxa"/>
            <w:vAlign w:val="bottom"/>
            <w:tcBorders>
              <w:top w:val="single" w:sz="8" w:color="0000EE"/>
              <w:bottom w:val="single" w:sz="8" w:color="0000EE"/>
            </w:tcBorders>
            <w:gridSpan w:val="15"/>
          </w:tcPr>
          <w:p>
            <w:pPr>
              <w:spacing w:after="0" w:line="194"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London Agent; Morgan Stanley Bank, N.A.; Bank of America, N.A.;</w:t>
              </w:r>
            </w:hyperlink>
          </w:p>
        </w:tc>
        <w:tc>
          <w:tcPr>
            <w:tcW w:w="40" w:type="dxa"/>
            <w:vAlign w:val="bottom"/>
            <w:tcBorders>
              <w:top w:val="single" w:sz="8" w:color="0000EE"/>
            </w:tcBorders>
            <w:gridSpan w:val="2"/>
          </w:tcPr>
          <w:p>
            <w:pPr>
              <w:spacing w:after="0"/>
              <w:rPr>
                <w:sz w:val="16"/>
                <w:szCs w:val="16"/>
                <w:color w:val="auto"/>
              </w:rPr>
            </w:pPr>
          </w:p>
        </w:tc>
        <w:tc>
          <w:tcPr>
            <w:tcW w:w="180" w:type="dxa"/>
            <w:vAlign w:val="bottom"/>
            <w:gridSpan w:val="6"/>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BNP Paribas; SunTrust Bank; Wells Fargo Bank, National Association;</w:t>
              </w:r>
            </w:hyperlink>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20" w:type="dxa"/>
            <w:vAlign w:val="bottom"/>
            <w:tcBorders>
              <w:top w:val="single" w:sz="8" w:color="0000EE"/>
              <w:bottom w:val="single" w:sz="8" w:color="0000EE"/>
            </w:tcBorders>
            <w:gridSpan w:val="12"/>
          </w:tcPr>
          <w:p>
            <w:pPr>
              <w:spacing w:after="0" w:line="194"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Royal Bank of Canada; Barclays Bank PLC; U.S. Bank National</w:t>
              </w:r>
            </w:hyperlink>
          </w:p>
        </w:tc>
        <w:tc>
          <w:tcPr>
            <w:tcW w:w="460" w:type="dxa"/>
            <w:vAlign w:val="bottom"/>
            <w:tcBorders>
              <w:top w:val="single" w:sz="8" w:color="0000EE"/>
            </w:tcBorders>
            <w:gridSpan w:val="8"/>
          </w:tcPr>
          <w:p>
            <w:pPr>
              <w:spacing w:after="0"/>
              <w:rPr>
                <w:sz w:val="16"/>
                <w:szCs w:val="16"/>
                <w:color w:val="auto"/>
              </w:rPr>
            </w:pPr>
          </w:p>
        </w:tc>
        <w:tc>
          <w:tcPr>
            <w:tcW w:w="80" w:type="dxa"/>
            <w:vAlign w:val="bottom"/>
            <w:gridSpan w:val="3"/>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4"/>
              </w:rPr>
            </w:pPr>
            <w:hyperlink r:id="rId158">
              <w:r>
                <w:rPr>
                  <w:rFonts w:ascii="Arial" w:cs="Arial" w:eastAsia="Arial" w:hAnsi="Arial"/>
                  <w:sz w:val="18"/>
                  <w:szCs w:val="18"/>
                  <w:color w:val="0000EE"/>
                  <w:w w:val="94"/>
                </w:rPr>
                <w:t>Association; Citibank, N.A.; The Bank of Tokyo-Mitsubishi UFJ, Ltd.;</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Goldman Sachs Bank USA; and Deutsche Bank AG New York Branch</w:t>
              </w:r>
            </w:hyperlink>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10.19</w:t>
            </w:r>
          </w:p>
        </w:tc>
        <w:tc>
          <w:tcPr>
            <w:tcW w:w="60" w:type="dxa"/>
            <w:vAlign w:val="bottom"/>
          </w:tcPr>
          <w:p>
            <w:pPr>
              <w:spacing w:after="0"/>
              <w:rPr>
                <w:sz w:val="16"/>
                <w:szCs w:val="16"/>
                <w:color w:val="auto"/>
              </w:rPr>
            </w:pPr>
          </w:p>
        </w:tc>
        <w:tc>
          <w:tcPr>
            <w:tcW w:w="4260" w:type="dxa"/>
            <w:vAlign w:val="bottom"/>
            <w:tcBorders>
              <w:top w:val="single" w:sz="8" w:color="0000EE"/>
              <w:bottom w:val="single" w:sz="8" w:color="0000EE"/>
            </w:tcBorders>
            <w:gridSpan w:val="10"/>
          </w:tcPr>
          <w:p>
            <w:pPr>
              <w:spacing w:after="0" w:line="194"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First Amendment, dated as of May 12, 2017, by and among</w:t>
              </w:r>
            </w:hyperlink>
          </w:p>
        </w:tc>
        <w:tc>
          <w:tcPr>
            <w:tcW w:w="800" w:type="dxa"/>
            <w:vAlign w:val="bottom"/>
            <w:tcBorders>
              <w:top w:val="single" w:sz="8" w:color="0000EE"/>
            </w:tcBorders>
            <w:gridSpan w:val="9"/>
          </w:tcPr>
          <w:p>
            <w:pPr>
              <w:spacing w:after="0"/>
              <w:rPr>
                <w:sz w:val="16"/>
                <w:szCs w:val="16"/>
                <w:color w:val="auto"/>
              </w:rPr>
            </w:pPr>
          </w:p>
        </w:tc>
        <w:tc>
          <w:tcPr>
            <w:tcW w:w="100" w:type="dxa"/>
            <w:vAlign w:val="bottom"/>
            <w:gridSpan w:val="4"/>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8"/>
              </w:rPr>
            </w:pPr>
            <w:hyperlink r:id="rId159">
              <w:r>
                <w:rPr>
                  <w:rFonts w:ascii="Arial" w:cs="Arial" w:eastAsia="Arial" w:hAnsi="Arial"/>
                  <w:sz w:val="18"/>
                  <w:szCs w:val="18"/>
                  <w:color w:val="0000EE"/>
                  <w:w w:val="98"/>
                </w:rPr>
                <w:t>TripAdvisor, Inc., TripAdvisor Holdings, LLC, TripAdvisor LLC and</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other Subsidiary Loan Parties party thereto, the Lenders party thereto,</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JPMorgan Chase Bank, N.A., as administrative agent, and J.P.Morgan</w:t>
              </w:r>
            </w:hyperlink>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80" w:type="dxa"/>
            <w:vAlign w:val="bottom"/>
            <w:tcBorders>
              <w:top w:val="single" w:sz="8" w:color="0000EE"/>
            </w:tcBorders>
            <w:gridSpan w:val="17"/>
          </w:tcPr>
          <w:p>
            <w:pPr>
              <w:spacing w:after="0" w:line="194" w:lineRule="exact"/>
              <w:rPr>
                <w:rFonts w:ascii="Arial" w:cs="Arial" w:eastAsia="Arial" w:hAnsi="Arial"/>
                <w:sz w:val="18"/>
                <w:szCs w:val="18"/>
                <w:color w:val="0000EE"/>
              </w:rPr>
            </w:pPr>
            <w:hyperlink r:id="rId159">
              <w:r>
                <w:rPr>
                  <w:rFonts w:ascii="Arial" w:cs="Arial" w:eastAsia="Arial" w:hAnsi="Arial"/>
                  <w:sz w:val="18"/>
                  <w:szCs w:val="18"/>
                  <w:color w:val="0000EE"/>
                </w:rPr>
                <w:t>Europe Limited, as London Agent</w:t>
              </w:r>
            </w:hyperlink>
          </w:p>
        </w:tc>
        <w:tc>
          <w:tcPr>
            <w:tcW w:w="180" w:type="dxa"/>
            <w:vAlign w:val="bottom"/>
            <w:gridSpan w:val="6"/>
          </w:tcPr>
          <w:p>
            <w:pPr>
              <w:spacing w:after="0"/>
              <w:rPr>
                <w:sz w:val="16"/>
                <w:szCs w:val="16"/>
                <w:color w:val="auto"/>
              </w:rPr>
            </w:pPr>
          </w:p>
        </w:tc>
      </w:tr>
      <w:tr>
        <w:trPr>
          <w:trHeight w:val="20"/>
        </w:trPr>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10.20+</w:t>
            </w:r>
          </w:p>
        </w:tc>
        <w:tc>
          <w:tcPr>
            <w:tcW w:w="60" w:type="dxa"/>
            <w:vAlign w:val="bottom"/>
          </w:tcPr>
          <w:p>
            <w:pPr>
              <w:spacing w:after="0"/>
              <w:rPr>
                <w:sz w:val="16"/>
                <w:szCs w:val="16"/>
                <w:color w:val="auto"/>
              </w:rPr>
            </w:pPr>
          </w:p>
        </w:tc>
        <w:tc>
          <w:tcPr>
            <w:tcW w:w="4500" w:type="dxa"/>
            <w:vAlign w:val="bottom"/>
            <w:tcBorders>
              <w:bottom w:val="single" w:sz="8" w:color="0000EE"/>
            </w:tcBorders>
            <w:gridSpan w:val="11"/>
          </w:tcPr>
          <w:p>
            <w:pPr>
              <w:spacing w:after="0" w:line="194"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Employment Agreement, dated as of October 6, 2015, between</w:t>
              </w:r>
            </w:hyperlink>
          </w:p>
        </w:tc>
        <w:tc>
          <w:tcPr>
            <w:tcW w:w="660" w:type="dxa"/>
            <w:vAlign w:val="bottom"/>
            <w:gridSpan w:val="12"/>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Borders>
              <w:bottom w:val="single" w:sz="8" w:color="0000EE"/>
            </w:tcBorders>
            <w:gridSpan w:val="6"/>
          </w:tcPr>
          <w:p>
            <w:pPr>
              <w:spacing w:after="0" w:line="194"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TripAdvisor, LLC and Ernst Teunissen</w:t>
              </w:r>
            </w:hyperlink>
          </w:p>
        </w:tc>
        <w:tc>
          <w:tcPr>
            <w:tcW w:w="2380" w:type="dxa"/>
            <w:vAlign w:val="bottom"/>
            <w:gridSpan w:val="17"/>
          </w:tcPr>
          <w:p>
            <w:pPr>
              <w:spacing w:after="0"/>
              <w:rPr>
                <w:sz w:val="16"/>
                <w:szCs w:val="16"/>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10.21+</w:t>
            </w:r>
          </w:p>
        </w:tc>
        <w:tc>
          <w:tcPr>
            <w:tcW w:w="60" w:type="dxa"/>
            <w:vAlign w:val="bottom"/>
          </w:tcPr>
          <w:p>
            <w:pPr>
              <w:spacing w:after="0"/>
              <w:rPr>
                <w:sz w:val="16"/>
                <w:szCs w:val="16"/>
                <w:color w:val="auto"/>
              </w:rPr>
            </w:pPr>
          </w:p>
        </w:tc>
        <w:tc>
          <w:tcPr>
            <w:tcW w:w="4800" w:type="dxa"/>
            <w:vAlign w:val="bottom"/>
            <w:tcBorders>
              <w:bottom w:val="single" w:sz="8" w:color="0000EE"/>
            </w:tcBorders>
            <w:gridSpan w:val="13"/>
          </w:tcPr>
          <w:p>
            <w:pPr>
              <w:spacing w:after="0" w:line="194" w:lineRule="exact"/>
              <w:rPr>
                <w:rFonts w:ascii="Arial" w:cs="Arial" w:eastAsia="Arial" w:hAnsi="Arial"/>
                <w:sz w:val="18"/>
                <w:szCs w:val="18"/>
                <w:color w:val="0000EE"/>
                <w:w w:val="89"/>
              </w:rPr>
            </w:pPr>
            <w:hyperlink w:anchor="page163">
              <w:r>
                <w:rPr>
                  <w:rFonts w:ascii="Arial" w:cs="Arial" w:eastAsia="Arial" w:hAnsi="Arial"/>
                  <w:sz w:val="18"/>
                  <w:szCs w:val="18"/>
                  <w:color w:val="0000EE"/>
                  <w:w w:val="89"/>
                </w:rPr>
                <w:t>Amendment to Employment Agreement, dated as of November 28,</w:t>
              </w:r>
            </w:hyperlink>
          </w:p>
        </w:tc>
        <w:tc>
          <w:tcPr>
            <w:tcW w:w="360" w:type="dxa"/>
            <w:vAlign w:val="bottom"/>
            <w:gridSpan w:val="10"/>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60" w:type="dxa"/>
            <w:vAlign w:val="bottom"/>
            <w:tcBorders>
              <w:bottom w:val="single" w:sz="8" w:color="0000EE"/>
            </w:tcBorders>
            <w:gridSpan w:val="8"/>
          </w:tcPr>
          <w:p>
            <w:pPr>
              <w:spacing w:after="0" w:line="194" w:lineRule="exact"/>
              <w:rPr>
                <w:rFonts w:ascii="Arial" w:cs="Arial" w:eastAsia="Arial" w:hAnsi="Arial"/>
                <w:sz w:val="18"/>
                <w:szCs w:val="18"/>
                <w:color w:val="0000EE"/>
                <w:w w:val="89"/>
              </w:rPr>
            </w:pPr>
            <w:hyperlink w:anchor="page163">
              <w:r>
                <w:rPr>
                  <w:rFonts w:ascii="Arial" w:cs="Arial" w:eastAsia="Arial" w:hAnsi="Arial"/>
                  <w:sz w:val="18"/>
                  <w:szCs w:val="18"/>
                  <w:color w:val="0000EE"/>
                  <w:w w:val="89"/>
                </w:rPr>
                <w:t>2017, between TripAdvisor, LLC and Ernst Teunissen</w:t>
              </w:r>
            </w:hyperlink>
          </w:p>
        </w:tc>
        <w:tc>
          <w:tcPr>
            <w:tcW w:w="1300" w:type="dxa"/>
            <w:vAlign w:val="bottom"/>
            <w:gridSpan w:val="15"/>
          </w:tcPr>
          <w:p>
            <w:pPr>
              <w:spacing w:after="0"/>
              <w:rPr>
                <w:sz w:val="16"/>
                <w:szCs w:val="16"/>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10.22+</w:t>
            </w: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rPr>
            </w:pPr>
            <w:hyperlink r:id="rId161">
              <w:r>
                <w:rPr>
                  <w:rFonts w:ascii="Arial" w:cs="Arial" w:eastAsia="Arial" w:hAnsi="Arial"/>
                  <w:sz w:val="18"/>
                  <w:szCs w:val="18"/>
                  <w:color w:val="0000EE"/>
                </w:rPr>
                <w:t>Executive Severance Plan and Summary Plan Description</w:t>
              </w:r>
            </w:hyperlink>
          </w:p>
        </w:tc>
      </w:tr>
      <w:tr>
        <w:trPr>
          <w:trHeight w:val="20"/>
        </w:trPr>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10.23</w:t>
            </w: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4"/>
              </w:rPr>
            </w:pPr>
            <w:hyperlink w:anchor="page165">
              <w:r>
                <w:rPr>
                  <w:rFonts w:ascii="Arial" w:cs="Arial" w:eastAsia="Arial" w:hAnsi="Arial"/>
                  <w:sz w:val="18"/>
                  <w:szCs w:val="18"/>
                  <w:color w:val="0000EE"/>
                  <w:w w:val="94"/>
                </w:rPr>
                <w:t>Form of TripAdvisor Media Group Master Advertising Insertion Order</w:t>
              </w:r>
            </w:hyperlink>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21.1</w:t>
            </w:r>
          </w:p>
        </w:tc>
        <w:tc>
          <w:tcPr>
            <w:tcW w:w="60" w:type="dxa"/>
            <w:vAlign w:val="bottom"/>
          </w:tcPr>
          <w:p>
            <w:pPr>
              <w:spacing w:after="0"/>
              <w:rPr>
                <w:sz w:val="16"/>
                <w:szCs w:val="16"/>
                <w:color w:val="auto"/>
              </w:rPr>
            </w:pPr>
          </w:p>
        </w:tc>
        <w:tc>
          <w:tcPr>
            <w:tcW w:w="506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w:anchor="page172">
              <w:r>
                <w:rPr>
                  <w:rFonts w:ascii="Arial" w:cs="Arial" w:eastAsia="Arial" w:hAnsi="Arial"/>
                  <w:sz w:val="18"/>
                  <w:szCs w:val="18"/>
                  <w:color w:val="0000EE"/>
                </w:rPr>
                <w:t>Subsidiaries of the Registrant</w:t>
              </w:r>
            </w:hyperlink>
          </w:p>
        </w:tc>
        <w:tc>
          <w:tcPr>
            <w:tcW w:w="100" w:type="dxa"/>
            <w:vAlign w:val="bottom"/>
            <w:gridSpan w:val="4"/>
          </w:tcPr>
          <w:p>
            <w:pPr>
              <w:spacing w:after="0"/>
              <w:rPr>
                <w:sz w:val="16"/>
                <w:szCs w:val="16"/>
                <w:color w:val="auto"/>
              </w:rPr>
            </w:pPr>
          </w:p>
        </w:tc>
      </w:tr>
      <w:tr>
        <w:trPr>
          <w:trHeight w:val="20"/>
        </w:trPr>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23.1</w:t>
            </w:r>
          </w:p>
        </w:tc>
        <w:tc>
          <w:tcPr>
            <w:tcW w:w="60" w:type="dxa"/>
            <w:vAlign w:val="bottom"/>
          </w:tcPr>
          <w:p>
            <w:pPr>
              <w:spacing w:after="0"/>
              <w:rPr>
                <w:sz w:val="16"/>
                <w:szCs w:val="16"/>
                <w:color w:val="auto"/>
              </w:rPr>
            </w:pPr>
          </w:p>
        </w:tc>
        <w:tc>
          <w:tcPr>
            <w:tcW w:w="4880" w:type="dxa"/>
            <w:vAlign w:val="bottom"/>
            <w:tcBorders>
              <w:bottom w:val="single" w:sz="8" w:color="0000EE"/>
            </w:tcBorders>
            <w:gridSpan w:val="14"/>
          </w:tcPr>
          <w:p>
            <w:pPr>
              <w:spacing w:after="0" w:line="194" w:lineRule="exact"/>
              <w:rPr>
                <w:rFonts w:ascii="Arial" w:cs="Arial" w:eastAsia="Arial" w:hAnsi="Arial"/>
                <w:sz w:val="18"/>
                <w:szCs w:val="18"/>
                <w:color w:val="0000EE"/>
                <w:w w:val="90"/>
              </w:rPr>
            </w:pPr>
            <w:hyperlink w:anchor="page174">
              <w:r>
                <w:rPr>
                  <w:rFonts w:ascii="Arial" w:cs="Arial" w:eastAsia="Arial" w:hAnsi="Arial"/>
                  <w:sz w:val="18"/>
                  <w:szCs w:val="18"/>
                  <w:color w:val="0000EE"/>
                  <w:w w:val="90"/>
                </w:rPr>
                <w:t>Consent of KPMG, LLP, Independent Registered Public Accounting</w:t>
              </w:r>
            </w:hyperlink>
          </w:p>
        </w:tc>
        <w:tc>
          <w:tcPr>
            <w:tcW w:w="280" w:type="dxa"/>
            <w:vAlign w:val="bottom"/>
            <w:gridSpan w:val="9"/>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4" w:lineRule="exact"/>
              <w:rPr>
                <w:rFonts w:ascii="Arial" w:cs="Arial" w:eastAsia="Arial" w:hAnsi="Arial"/>
                <w:sz w:val="18"/>
                <w:szCs w:val="18"/>
                <w:color w:val="0000EE"/>
                <w:w w:val="94"/>
              </w:rPr>
            </w:pPr>
            <w:hyperlink w:anchor="page174">
              <w:r>
                <w:rPr>
                  <w:rFonts w:ascii="Arial" w:cs="Arial" w:eastAsia="Arial" w:hAnsi="Arial"/>
                  <w:sz w:val="18"/>
                  <w:szCs w:val="18"/>
                  <w:color w:val="0000EE"/>
                  <w:w w:val="94"/>
                </w:rPr>
                <w:t>Firm</w:t>
              </w:r>
            </w:hyperlink>
          </w:p>
        </w:tc>
        <w:tc>
          <w:tcPr>
            <w:tcW w:w="4800" w:type="dxa"/>
            <w:vAlign w:val="bottom"/>
            <w:gridSpan w:val="21"/>
          </w:tcPr>
          <w:p>
            <w:pPr>
              <w:spacing w:after="0"/>
              <w:rPr>
                <w:sz w:val="16"/>
                <w:szCs w:val="16"/>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24.1</w:t>
            </w: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rPr>
            </w:pPr>
            <w:hyperlink w:anchor="page123">
              <w:r>
                <w:rPr>
                  <w:rFonts w:ascii="Arial" w:cs="Arial" w:eastAsia="Arial" w:hAnsi="Arial"/>
                  <w:sz w:val="18"/>
                  <w:szCs w:val="18"/>
                  <w:color w:val="0000EE"/>
                </w:rPr>
                <w:t>Power of Attorney (included in signature page)</w:t>
              </w:r>
            </w:hyperlink>
          </w:p>
        </w:tc>
      </w:tr>
      <w:tr>
        <w:trPr>
          <w:trHeight w:val="20"/>
        </w:trPr>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3"/>
              </w:rPr>
            </w:pPr>
            <w:hyperlink w:anchor="page175">
              <w:r>
                <w:rPr>
                  <w:rFonts w:ascii="Arial" w:cs="Arial" w:eastAsia="Arial" w:hAnsi="Arial"/>
                  <w:sz w:val="18"/>
                  <w:szCs w:val="18"/>
                  <w:color w:val="0000EE"/>
                  <w:w w:val="93"/>
                </w:rPr>
                <w:t>Certification of the Chief Executive Officer Pursuant to Section 302 of</w:t>
              </w:r>
            </w:hyperlink>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6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w:anchor="page175">
              <w:r>
                <w:rPr>
                  <w:rFonts w:ascii="Arial" w:cs="Arial" w:eastAsia="Arial" w:hAnsi="Arial"/>
                  <w:sz w:val="18"/>
                  <w:szCs w:val="18"/>
                  <w:color w:val="0000EE"/>
                </w:rPr>
                <w:t>the Sarbanes-Oxley Act of 2002</w:t>
              </w:r>
            </w:hyperlink>
          </w:p>
        </w:tc>
        <w:tc>
          <w:tcPr>
            <w:tcW w:w="100" w:type="dxa"/>
            <w:vAlign w:val="bottom"/>
            <w:gridSpan w:val="4"/>
          </w:tcPr>
          <w:p>
            <w:pPr>
              <w:spacing w:after="0"/>
              <w:rPr>
                <w:sz w:val="16"/>
                <w:szCs w:val="16"/>
                <w:color w:val="auto"/>
              </w:rPr>
            </w:pPr>
          </w:p>
        </w:tc>
      </w:tr>
      <w:tr>
        <w:trPr>
          <w:trHeight w:val="20"/>
        </w:trPr>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760" w:type="dxa"/>
            <w:vAlign w:val="bottom"/>
            <w:gridSpan w:val="1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3"/>
              </w:rPr>
            </w:pPr>
            <w:hyperlink w:anchor="page176">
              <w:r>
                <w:rPr>
                  <w:rFonts w:ascii="Arial" w:cs="Arial" w:eastAsia="Arial" w:hAnsi="Arial"/>
                  <w:sz w:val="18"/>
                  <w:szCs w:val="18"/>
                  <w:color w:val="0000EE"/>
                  <w:w w:val="93"/>
                </w:rPr>
                <w:t>Certification of the Chief Financial Officer pursuant Section 302 of the</w:t>
              </w:r>
            </w:hyperlink>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91"/>
              </w:rPr>
            </w:pPr>
            <w:hyperlink w:anchor="page176">
              <w:r>
                <w:rPr>
                  <w:rFonts w:ascii="Arial" w:cs="Arial" w:eastAsia="Arial" w:hAnsi="Arial"/>
                  <w:sz w:val="18"/>
                  <w:szCs w:val="18"/>
                  <w:color w:val="0000EE"/>
                  <w:w w:val="91"/>
                </w:rPr>
                <w:t>Sarbanes-Oxley Act of 2002</w:t>
              </w:r>
            </w:hyperlink>
          </w:p>
        </w:tc>
        <w:tc>
          <w:tcPr>
            <w:tcW w:w="2960" w:type="dxa"/>
            <w:vAlign w:val="bottom"/>
            <w:tcBorders>
              <w:top w:val="single" w:sz="8" w:color="0000EE"/>
            </w:tcBorders>
            <w:gridSpan w:val="16"/>
          </w:tcPr>
          <w:p>
            <w:pPr>
              <w:spacing w:after="0"/>
              <w:rPr>
                <w:sz w:val="16"/>
                <w:szCs w:val="16"/>
                <w:color w:val="auto"/>
              </w:rPr>
            </w:pPr>
          </w:p>
        </w:tc>
        <w:tc>
          <w:tcPr>
            <w:tcW w:w="100" w:type="dxa"/>
            <w:vAlign w:val="bottom"/>
            <w:gridSpan w:val="4"/>
          </w:tcPr>
          <w:p>
            <w:pPr>
              <w:spacing w:after="0"/>
              <w:rPr>
                <w:sz w:val="16"/>
                <w:szCs w:val="16"/>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6"/>
                <w:szCs w:val="16"/>
                <w:color w:val="auto"/>
              </w:rPr>
            </w:pPr>
          </w:p>
        </w:tc>
        <w:tc>
          <w:tcPr>
            <w:tcW w:w="5120" w:type="dxa"/>
            <w:vAlign w:val="bottom"/>
            <w:tcBorders>
              <w:bottom w:val="single" w:sz="8" w:color="0000EE"/>
            </w:tcBorders>
            <w:gridSpan w:val="21"/>
          </w:tcPr>
          <w:p>
            <w:pPr>
              <w:spacing w:after="0" w:line="194" w:lineRule="exact"/>
              <w:rPr>
                <w:rFonts w:ascii="Arial" w:cs="Arial" w:eastAsia="Arial" w:hAnsi="Arial"/>
                <w:sz w:val="18"/>
                <w:szCs w:val="18"/>
                <w:color w:val="0000EE"/>
                <w:w w:val="91"/>
              </w:rPr>
            </w:pPr>
            <w:hyperlink w:anchor="page177">
              <w:r>
                <w:rPr>
                  <w:rFonts w:ascii="Arial" w:cs="Arial" w:eastAsia="Arial" w:hAnsi="Arial"/>
                  <w:sz w:val="18"/>
                  <w:szCs w:val="18"/>
                  <w:color w:val="0000EE"/>
                  <w:w w:val="91"/>
                </w:rPr>
                <w:t>Certification of the Chief Executive Officer pursuant Section 906 of the</w:t>
              </w:r>
            </w:hyperlink>
          </w:p>
        </w:tc>
        <w:tc>
          <w:tcPr>
            <w:tcW w:w="40" w:type="dxa"/>
            <w:vAlign w:val="bottom"/>
            <w:gridSpan w:val="2"/>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tcBorders>
              <w:bottom w:val="single" w:sz="8" w:color="0000EE"/>
            </w:tcBorders>
            <w:gridSpan w:val="3"/>
          </w:tcPr>
          <w:p>
            <w:pPr>
              <w:spacing w:after="0" w:line="194" w:lineRule="exact"/>
              <w:rPr>
                <w:rFonts w:ascii="Arial" w:cs="Arial" w:eastAsia="Arial" w:hAnsi="Arial"/>
                <w:sz w:val="18"/>
                <w:szCs w:val="18"/>
                <w:color w:val="0000EE"/>
                <w:w w:val="91"/>
              </w:rPr>
            </w:pPr>
            <w:hyperlink w:anchor="page177">
              <w:r>
                <w:rPr>
                  <w:rFonts w:ascii="Arial" w:cs="Arial" w:eastAsia="Arial" w:hAnsi="Arial"/>
                  <w:sz w:val="18"/>
                  <w:szCs w:val="18"/>
                  <w:color w:val="0000EE"/>
                  <w:w w:val="91"/>
                </w:rPr>
                <w:t>Sarbanes-Oxley Act of 2002</w:t>
              </w:r>
            </w:hyperlink>
          </w:p>
        </w:tc>
        <w:tc>
          <w:tcPr>
            <w:tcW w:w="3060" w:type="dxa"/>
            <w:vAlign w:val="bottom"/>
            <w:gridSpan w:val="20"/>
          </w:tcPr>
          <w:p>
            <w:pPr>
              <w:spacing w:after="0"/>
              <w:rPr>
                <w:sz w:val="16"/>
                <w:szCs w:val="16"/>
                <w:color w:val="auto"/>
              </w:rPr>
            </w:pPr>
          </w:p>
        </w:tc>
      </w:tr>
      <w:tr>
        <w:trPr>
          <w:trHeight w:val="194"/>
        </w:trPr>
        <w:tc>
          <w:tcPr>
            <w:tcW w:w="740" w:type="dxa"/>
            <w:vAlign w:val="bottom"/>
            <w:gridSpan w:val="2"/>
          </w:tcPr>
          <w:p>
            <w:pPr>
              <w:spacing w:after="0" w:line="194"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6"/>
                <w:szCs w:val="16"/>
                <w:color w:val="auto"/>
              </w:rPr>
            </w:pPr>
          </w:p>
        </w:tc>
        <w:tc>
          <w:tcPr>
            <w:tcW w:w="5160" w:type="dxa"/>
            <w:vAlign w:val="bottom"/>
            <w:gridSpan w:val="23"/>
          </w:tcPr>
          <w:p>
            <w:pPr>
              <w:spacing w:after="0" w:line="194" w:lineRule="exact"/>
              <w:rPr>
                <w:rFonts w:ascii="Arial" w:cs="Arial" w:eastAsia="Arial" w:hAnsi="Arial"/>
                <w:sz w:val="18"/>
                <w:szCs w:val="18"/>
                <w:color w:val="0000EE"/>
                <w:w w:val="93"/>
              </w:rPr>
            </w:pPr>
            <w:hyperlink w:anchor="page178">
              <w:r>
                <w:rPr>
                  <w:rFonts w:ascii="Arial" w:cs="Arial" w:eastAsia="Arial" w:hAnsi="Arial"/>
                  <w:sz w:val="18"/>
                  <w:szCs w:val="18"/>
                  <w:color w:val="0000EE"/>
                  <w:w w:val="93"/>
                </w:rPr>
                <w:t>Certification of the Chief Financial Officer pursuant Section 906 of the</w:t>
              </w:r>
            </w:hyperlink>
          </w:p>
        </w:tc>
      </w:tr>
      <w:tr>
        <w:trPr>
          <w:trHeight w:val="19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91"/>
              </w:rPr>
            </w:pPr>
            <w:hyperlink w:anchor="page178">
              <w:r>
                <w:rPr>
                  <w:rFonts w:ascii="Arial" w:cs="Arial" w:eastAsia="Arial" w:hAnsi="Arial"/>
                  <w:sz w:val="18"/>
                  <w:szCs w:val="18"/>
                  <w:color w:val="0000EE"/>
                  <w:w w:val="91"/>
                </w:rPr>
                <w:t>Sarbanes-Oxley Act of 2002</w:t>
              </w:r>
            </w:hyperlink>
          </w:p>
        </w:tc>
        <w:tc>
          <w:tcPr>
            <w:tcW w:w="2960" w:type="dxa"/>
            <w:vAlign w:val="bottom"/>
            <w:tcBorders>
              <w:top w:val="single" w:sz="8" w:color="0000EE"/>
            </w:tcBorders>
            <w:gridSpan w:val="16"/>
          </w:tcPr>
          <w:p>
            <w:pPr>
              <w:spacing w:after="0"/>
              <w:rPr>
                <w:sz w:val="16"/>
                <w:szCs w:val="16"/>
                <w:color w:val="auto"/>
              </w:rPr>
            </w:pPr>
          </w:p>
        </w:tc>
        <w:tc>
          <w:tcPr>
            <w:tcW w:w="100" w:type="dxa"/>
            <w:vAlign w:val="bottom"/>
            <w:gridSpan w:val="4"/>
          </w:tcPr>
          <w:p>
            <w:pPr>
              <w:spacing w:after="0"/>
              <w:rPr>
                <w:sz w:val="16"/>
                <w:szCs w:val="16"/>
                <w:color w:val="auto"/>
              </w:rPr>
            </w:pPr>
          </w:p>
        </w:tc>
      </w:tr>
    </w:tbl>
    <w:p>
      <w:pPr>
        <w:spacing w:after="0" w:line="12" w:lineRule="exact"/>
        <w:rPr>
          <w:sz w:val="20"/>
          <w:szCs w:val="20"/>
          <w:color w:val="auto"/>
        </w:rPr>
      </w:pPr>
    </w:p>
    <w:p>
      <w:pPr>
        <w:ind w:left="800" w:right="80" w:hanging="793"/>
        <w:spacing w:after="0" w:line="268"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Annual Report on Form 10-K for the year ended December 31, 2017, formatted in XBRL: (i) Consolidated Statements of Operations, (ii) Consolidated Statements of Comprehensive Income, (iii) Consolidated Balance Sheets,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8"/>
              </w:rPr>
              <w:t>Filed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color w:val="auto"/>
                <w:w w:val="89"/>
              </w:rPr>
              <w:t>Incorporated by Reference</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left="23"/>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2"/>
        </w:trPr>
        <w:tc>
          <w:tcPr>
            <w:tcW w:w="9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right"/>
              <w:ind w:right="203"/>
              <w:spacing w:after="0" w:line="122" w:lineRule="exact"/>
              <w:rPr>
                <w:sz w:val="20"/>
                <w:szCs w:val="20"/>
                <w:color w:val="auto"/>
              </w:rPr>
            </w:pPr>
            <w:r>
              <w:rPr>
                <w:rFonts w:ascii="Arial" w:cs="Arial" w:eastAsia="Arial" w:hAnsi="Arial"/>
                <w:sz w:val="14"/>
                <w:szCs w:val="14"/>
                <w:color w:val="auto"/>
                <w:w w:val="95"/>
              </w:rPr>
              <w:t>Exhibit</w:t>
            </w: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Herewith</w:t>
            </w:r>
          </w:p>
        </w:tc>
        <w:tc>
          <w:tcPr>
            <w:tcW w:w="840" w:type="dxa"/>
            <w:vAlign w:val="bottom"/>
            <w:gridSpan w:val="3"/>
          </w:tcPr>
          <w:p>
            <w:pPr>
              <w:ind w:left="180"/>
              <w:spacing w:after="0"/>
              <w:rPr>
                <w:sz w:val="20"/>
                <w:szCs w:val="20"/>
                <w:color w:val="auto"/>
              </w:rPr>
            </w:pPr>
            <w:r>
              <w:rPr>
                <w:rFonts w:ascii="Arial" w:cs="Arial" w:eastAsia="Arial" w:hAnsi="Arial"/>
                <w:sz w:val="14"/>
                <w:szCs w:val="14"/>
                <w:color w:val="auto"/>
              </w:rPr>
              <w:t>Form</w:t>
            </w:r>
          </w:p>
        </w:tc>
        <w:tc>
          <w:tcPr>
            <w:tcW w:w="1900" w:type="dxa"/>
            <w:vAlign w:val="bottom"/>
            <w:gridSpan w:val="3"/>
          </w:tcPr>
          <w:p>
            <w:pPr>
              <w:ind w:left="380"/>
              <w:spacing w:after="0"/>
              <w:rPr>
                <w:sz w:val="20"/>
                <w:szCs w:val="20"/>
                <w:color w:val="auto"/>
              </w:rPr>
            </w:pPr>
            <w:r>
              <w:rPr>
                <w:rFonts w:ascii="Arial" w:cs="Arial" w:eastAsia="Arial" w:hAnsi="Arial"/>
                <w:sz w:val="14"/>
                <w:szCs w:val="14"/>
                <w:color w:val="auto"/>
              </w:rPr>
              <w:t>SEC File No.</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rPr>
              <w:t>No.</w:t>
            </w:r>
          </w:p>
        </w:tc>
        <w:tc>
          <w:tcPr>
            <w:tcW w:w="1040" w:type="dxa"/>
            <w:vAlign w:val="bottom"/>
          </w:tcPr>
          <w:p>
            <w:pPr>
              <w:jc w:val="center"/>
              <w:ind w:left="23"/>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220"/>
        </w:trPr>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8-K</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auto"/>
            </w:tcBorders>
          </w:tcPr>
          <w:p>
            <w:pPr>
              <w:jc w:val="right"/>
              <w:ind w:right="283"/>
              <w:spacing w:after="0"/>
              <w:rPr>
                <w:sz w:val="20"/>
                <w:szCs w:val="20"/>
                <w:color w:val="auto"/>
              </w:rPr>
            </w:pPr>
            <w:r>
              <w:rPr>
                <w:rFonts w:ascii="Arial" w:cs="Arial" w:eastAsia="Arial" w:hAnsi="Arial"/>
                <w:sz w:val="18"/>
                <w:szCs w:val="18"/>
                <w:color w:val="auto"/>
              </w:rPr>
              <w:t>001-35362</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0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ind w:right="83"/>
              <w:spacing w:after="0"/>
              <w:rPr>
                <w:sz w:val="20"/>
                <w:szCs w:val="20"/>
                <w:color w:val="auto"/>
              </w:rPr>
            </w:pPr>
            <w:r>
              <w:rPr>
                <w:rFonts w:ascii="Arial" w:cs="Arial" w:eastAsia="Arial" w:hAnsi="Arial"/>
                <w:sz w:val="18"/>
                <w:szCs w:val="18"/>
                <w:color w:val="auto"/>
              </w:rPr>
              <w:t>6/30/15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160"/>
        <w:spacing w:after="0"/>
        <w:tabs>
          <w:tab w:leader="none" w:pos="3300" w:val="left"/>
          <w:tab w:leader="none" w:pos="1720" w:val="left"/>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001-35362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5/15/17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80" w:type="dxa"/>
        <w:tblCellMar>
          <w:top w:w="0" w:type="dxa"/>
          <w:left w:w="0" w:type="dxa"/>
          <w:bottom w:w="0" w:type="dxa"/>
          <w:right w:w="0" w:type="dxa"/>
        </w:tblCellMar>
      </w:tblPr>
      <w:tr>
        <w:trPr>
          <w:trHeight w:val="227"/>
        </w:trPr>
        <w:tc>
          <w:tcPr>
            <w:tcW w:w="1440" w:type="dxa"/>
            <w:vAlign w:val="bottom"/>
          </w:tcPr>
          <w:p>
            <w:pPr>
              <w:jc w:val="center"/>
              <w:ind w:left="257"/>
              <w:spacing w:after="0"/>
              <w:rPr>
                <w:sz w:val="20"/>
                <w:szCs w:val="20"/>
                <w:color w:val="auto"/>
              </w:rPr>
            </w:pPr>
            <w:r>
              <w:rPr>
                <w:rFonts w:ascii="Arial" w:cs="Arial" w:eastAsia="Arial" w:hAnsi="Arial"/>
                <w:sz w:val="18"/>
                <w:szCs w:val="18"/>
                <w:color w:val="auto"/>
                <w:w w:val="92"/>
              </w:rPr>
              <w:t>8-K</w:t>
            </w:r>
          </w:p>
        </w:tc>
        <w:tc>
          <w:tcPr>
            <w:tcW w:w="1540" w:type="dxa"/>
            <w:vAlign w:val="bottom"/>
          </w:tcPr>
          <w:p>
            <w:pPr>
              <w:jc w:val="right"/>
              <w:ind w:right="331"/>
              <w:spacing w:after="0"/>
              <w:rPr>
                <w:sz w:val="20"/>
                <w:szCs w:val="20"/>
                <w:color w:val="auto"/>
              </w:rPr>
            </w:pPr>
            <w:r>
              <w:rPr>
                <w:rFonts w:ascii="Arial" w:cs="Arial" w:eastAsia="Arial" w:hAnsi="Arial"/>
                <w:sz w:val="18"/>
                <w:szCs w:val="18"/>
                <w:color w:val="auto"/>
              </w:rPr>
              <w:t>001-35362</w:t>
            </w: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10.1</w:t>
            </w:r>
          </w:p>
        </w:tc>
        <w:tc>
          <w:tcPr>
            <w:tcW w:w="920" w:type="dxa"/>
            <w:vAlign w:val="bottom"/>
          </w:tcPr>
          <w:p>
            <w:pPr>
              <w:jc w:val="right"/>
              <w:spacing w:after="0"/>
              <w:rPr>
                <w:sz w:val="20"/>
                <w:szCs w:val="20"/>
                <w:color w:val="auto"/>
              </w:rPr>
            </w:pPr>
            <w:r>
              <w:rPr>
                <w:rFonts w:ascii="Arial" w:cs="Arial" w:eastAsia="Arial" w:hAnsi="Arial"/>
                <w:sz w:val="18"/>
                <w:szCs w:val="18"/>
                <w:color w:val="auto"/>
              </w:rPr>
              <w:t>10/8/15</w:t>
            </w:r>
          </w:p>
        </w:tc>
      </w:tr>
      <w:tr>
        <w:trPr>
          <w:trHeight w:val="377"/>
        </w:trPr>
        <w:tc>
          <w:tcPr>
            <w:tcW w:w="1440" w:type="dxa"/>
            <w:vAlign w:val="bottom"/>
          </w:tcPr>
          <w:p>
            <w:pPr>
              <w:spacing w:after="0"/>
              <w:rPr>
                <w:sz w:val="20"/>
                <w:szCs w:val="20"/>
                <w:color w:val="auto"/>
              </w:rPr>
            </w:pPr>
            <w:r>
              <w:rPr>
                <w:rFonts w:ascii="Arial" w:cs="Arial" w:eastAsia="Arial" w:hAnsi="Arial"/>
                <w:sz w:val="14"/>
                <w:szCs w:val="14"/>
                <w:color w:val="auto"/>
              </w:rPr>
              <w:t>X</w:t>
            </w: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2"/>
        </w:trPr>
        <w:tc>
          <w:tcPr>
            <w:tcW w:w="1440" w:type="dxa"/>
            <w:vAlign w:val="bottom"/>
          </w:tcPr>
          <w:p>
            <w:pPr>
              <w:jc w:val="center"/>
              <w:ind w:left="257"/>
              <w:spacing w:after="0"/>
              <w:rPr>
                <w:sz w:val="20"/>
                <w:szCs w:val="20"/>
                <w:color w:val="auto"/>
              </w:rPr>
            </w:pPr>
            <w:r>
              <w:rPr>
                <w:rFonts w:ascii="Arial" w:cs="Arial" w:eastAsia="Arial" w:hAnsi="Arial"/>
                <w:sz w:val="18"/>
                <w:szCs w:val="18"/>
                <w:color w:val="auto"/>
                <w:w w:val="94"/>
              </w:rPr>
              <w:t>10-Q</w:t>
            </w:r>
          </w:p>
        </w:tc>
        <w:tc>
          <w:tcPr>
            <w:tcW w:w="1540" w:type="dxa"/>
            <w:vAlign w:val="bottom"/>
          </w:tcPr>
          <w:p>
            <w:pPr>
              <w:jc w:val="right"/>
              <w:ind w:right="331"/>
              <w:spacing w:after="0"/>
              <w:rPr>
                <w:sz w:val="20"/>
                <w:szCs w:val="20"/>
                <w:color w:val="auto"/>
              </w:rPr>
            </w:pPr>
            <w:r>
              <w:rPr>
                <w:rFonts w:ascii="Arial" w:cs="Arial" w:eastAsia="Arial" w:hAnsi="Arial"/>
                <w:sz w:val="18"/>
                <w:szCs w:val="18"/>
                <w:color w:val="auto"/>
              </w:rPr>
              <w:t>001-36362</w:t>
            </w:r>
          </w:p>
        </w:tc>
        <w:tc>
          <w:tcPr>
            <w:tcW w:w="1060" w:type="dxa"/>
            <w:vAlign w:val="bottom"/>
          </w:tcPr>
          <w:p>
            <w:pPr>
              <w:jc w:val="right"/>
              <w:ind w:right="271"/>
              <w:spacing w:after="0"/>
              <w:rPr>
                <w:sz w:val="20"/>
                <w:szCs w:val="20"/>
                <w:color w:val="auto"/>
              </w:rPr>
            </w:pPr>
            <w:r>
              <w:rPr>
                <w:rFonts w:ascii="Arial" w:cs="Arial" w:eastAsia="Arial" w:hAnsi="Arial"/>
                <w:sz w:val="18"/>
                <w:szCs w:val="18"/>
                <w:color w:val="auto"/>
              </w:rPr>
              <w:t>10.4</w:t>
            </w:r>
          </w:p>
        </w:tc>
        <w:tc>
          <w:tcPr>
            <w:tcW w:w="920" w:type="dxa"/>
            <w:vAlign w:val="bottom"/>
          </w:tcPr>
          <w:p>
            <w:pPr>
              <w:jc w:val="right"/>
              <w:spacing w:after="0"/>
              <w:rPr>
                <w:sz w:val="20"/>
                <w:szCs w:val="20"/>
                <w:color w:val="auto"/>
              </w:rPr>
            </w:pPr>
            <w:r>
              <w:rPr>
                <w:rFonts w:ascii="Arial" w:cs="Arial" w:eastAsia="Arial" w:hAnsi="Arial"/>
                <w:sz w:val="18"/>
                <w:szCs w:val="18"/>
                <w:color w:val="auto"/>
              </w:rPr>
              <w:t>8/8/17</w:t>
            </w:r>
          </w:p>
        </w:tc>
      </w:tr>
    </w:tbl>
    <w:p>
      <w:pPr>
        <w:ind w:left="380"/>
        <w:spacing w:after="0"/>
        <w:rPr>
          <w:sz w:val="20"/>
          <w:szCs w:val="20"/>
          <w:color w:val="auto"/>
        </w:rPr>
      </w:pPr>
      <w:r>
        <w:rPr>
          <w:rFonts w:ascii="Arial" w:cs="Arial" w:eastAsia="Arial" w:hAnsi="Arial"/>
          <w:sz w:val="14"/>
          <w:szCs w:val="14"/>
          <w:color w:val="auto"/>
        </w:rPr>
        <w:t>X</w:t>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5960" w:space="60"/>
            <w:col w:w="5500"/>
          </w:cols>
          <w:pgMar w:left="240" w:top="334" w:right="13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i w:val="1"/>
          <w:iCs w:val="1"/>
          <w:color w:val="auto"/>
        </w:rPr>
        <w:t>+ Indicates a management contract or a compensatory plan, contract or arrangement.</w:t>
      </w:r>
    </w:p>
    <w:p>
      <w:pPr>
        <w:spacing w:after="0" w:line="200" w:lineRule="exact"/>
        <w:rPr>
          <w:sz w:val="20"/>
          <w:szCs w:val="20"/>
          <w:color w:val="auto"/>
        </w:rPr>
      </w:pPr>
    </w:p>
    <w:p>
      <w:pPr>
        <w:spacing w:after="0" w:line="2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552" w:right="1440" w:bottom="1440" w:gutter="0" w:footer="0" w:header="0"/>
        </w:sectPr>
      </w:pPr>
    </w:p>
    <w:bookmarkStart w:id="122" w:name="page123"/>
    <w:bookmarkEnd w:id="12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40" w:firstLine="598"/>
        <w:spacing w:after="0" w:line="270"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TRIPADVISOR, INC.</w:t>
      </w:r>
    </w:p>
    <w:p>
      <w:pPr>
        <w:spacing w:after="0" w:line="247" w:lineRule="exact"/>
        <w:rPr>
          <w:sz w:val="20"/>
          <w:szCs w:val="20"/>
          <w:color w:val="auto"/>
        </w:rPr>
      </w:pPr>
    </w:p>
    <w:p>
      <w:pPr>
        <w:ind w:left="7320"/>
        <w:spacing w:after="0"/>
        <w:tabs>
          <w:tab w:leader="none" w:pos="7780" w:val="left"/>
        </w:tabs>
        <w:rPr>
          <w:sz w:val="20"/>
          <w:szCs w:val="20"/>
          <w:color w:val="auto"/>
        </w:rPr>
      </w:pPr>
      <w:r>
        <w:rPr>
          <w:rFonts w:ascii="Arial" w:cs="Arial" w:eastAsia="Arial" w:hAnsi="Arial"/>
          <w:sz w:val="18"/>
          <w:szCs w:val="18"/>
          <w:color w:val="auto"/>
        </w:rPr>
        <w:t>By:</w:t>
        <w:tab/>
        <w:t>/s/ STEPHEN KAUFER</w:t>
      </w:r>
    </w:p>
    <w:p>
      <w:pPr>
        <w:spacing w:after="0" w:line="20"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February 21, 2018</w:t>
      </w:r>
      <w:r>
        <w:rPr>
          <w:sz w:val="20"/>
          <w:szCs w:val="20"/>
          <w:color w:val="auto"/>
        </w:rPr>
        <w:tab/>
      </w:r>
      <w:r>
        <w:rPr>
          <w:rFonts w:ascii="Arial" w:cs="Arial" w:eastAsia="Arial" w:hAnsi="Arial"/>
          <w:sz w:val="16"/>
          <w:szCs w:val="16"/>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-130175</wp:posOffset>
            </wp:positionV>
            <wp:extent cx="22974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ind w:left="7800"/>
        <w:spacing w:after="0"/>
        <w:rPr>
          <w:sz w:val="20"/>
          <w:szCs w:val="20"/>
          <w:color w:val="auto"/>
        </w:rPr>
      </w:pPr>
      <w:r>
        <w:rPr>
          <w:rFonts w:ascii="Arial" w:cs="Arial" w:eastAsia="Arial" w:hAnsi="Arial"/>
          <w:sz w:val="18"/>
          <w:szCs w:val="18"/>
          <w:color w:val="auto"/>
        </w:rPr>
        <w:t>Chief Executive Officer and President</w:t>
      </w: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4"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We, the undersigned officers and directors of TripAdvisor, Inc., hereby severally constitute and appoint Stephen Kaufer and Ernst Teunissen,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as amended, and all requirements of the Securities and Exchange Commission.</w:t>
      </w:r>
    </w:p>
    <w:p>
      <w:pPr>
        <w:spacing w:after="0" w:line="157" w:lineRule="exact"/>
        <w:rPr>
          <w:sz w:val="20"/>
          <w:szCs w:val="20"/>
          <w:color w:val="auto"/>
        </w:rPr>
      </w:pPr>
    </w:p>
    <w:p>
      <w:pPr>
        <w:ind w:right="380" w:firstLine="598"/>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21, 2018.</w:t>
      </w: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00"/>
          </w:cols>
          <w:pgMar w:left="240" w:top="335" w:right="3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3"/>
        </w:trPr>
        <w:tc>
          <w:tcPr>
            <w:tcW w:w="434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Signature</w:t>
            </w:r>
          </w:p>
        </w:tc>
        <w:tc>
          <w:tcPr>
            <w:tcW w:w="1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26"/>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0"/>
              </w:rPr>
              <w:t>Chief Executive Officer, President and Director</w:t>
            </w: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Stephen Kaufer</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r>
      <w:tr>
        <w:trPr>
          <w:trHeight w:val="33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Ernst Teunissen</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(Principal Financial Officer)</w:t>
            </w:r>
          </w:p>
        </w:tc>
      </w:tr>
      <w:tr>
        <w:trPr>
          <w:trHeight w:val="33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NOEL WATSON</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Chief Accounting Officer</w:t>
            </w: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Noel Watson</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r>
      <w:tr>
        <w:trPr>
          <w:trHeight w:val="33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B. MAFFEI</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89"/>
              </w:rPr>
              <w:t>Chairman of the Board</w:t>
            </w:r>
          </w:p>
        </w:tc>
      </w:tr>
      <w:tr>
        <w:trPr>
          <w:trHeight w:val="246"/>
        </w:trPr>
        <w:tc>
          <w:tcPr>
            <w:tcW w:w="4340" w:type="dxa"/>
            <w:vAlign w:val="bottom"/>
          </w:tcPr>
          <w:p>
            <w:pPr>
              <w:spacing w:after="0"/>
              <w:rPr>
                <w:sz w:val="20"/>
                <w:szCs w:val="20"/>
                <w:color w:val="auto"/>
              </w:rPr>
            </w:pPr>
            <w:r>
              <w:rPr>
                <w:rFonts w:ascii="Arial" w:cs="Arial" w:eastAsia="Arial" w:hAnsi="Arial"/>
                <w:sz w:val="18"/>
                <w:szCs w:val="18"/>
                <w:color w:val="auto"/>
              </w:rPr>
              <w:t>Gregory B. Maffei</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80" w:type="dxa"/>
            <w:vAlign w:val="bottom"/>
          </w:tcPr>
          <w:p>
            <w:pPr>
              <w:spacing w:after="0"/>
              <w:rPr>
                <w:sz w:val="21"/>
                <w:szCs w:val="21"/>
                <w:color w:val="auto"/>
              </w:rPr>
            </w:pPr>
          </w:p>
        </w:tc>
      </w:tr>
      <w:tr>
        <w:trPr>
          <w:trHeight w:val="375"/>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C. HOAG</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Jay C. Hoag</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33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DIPCHAND V. NISHAR</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Dipchand V. Nishar</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33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PHILIPS</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Jeremy Philips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33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M. RASCOFF</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Spencer M. Rascoff</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333"/>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 ROSENTHALER</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46"/>
        </w:trPr>
        <w:tc>
          <w:tcPr>
            <w:tcW w:w="4340" w:type="dxa"/>
            <w:vAlign w:val="bottom"/>
          </w:tcPr>
          <w:p>
            <w:pPr>
              <w:spacing w:after="0"/>
              <w:rPr>
                <w:sz w:val="20"/>
                <w:szCs w:val="20"/>
                <w:color w:val="auto"/>
              </w:rPr>
            </w:pPr>
            <w:r>
              <w:rPr>
                <w:rFonts w:ascii="Arial" w:cs="Arial" w:eastAsia="Arial" w:hAnsi="Arial"/>
                <w:sz w:val="18"/>
                <w:szCs w:val="18"/>
                <w:color w:val="auto"/>
              </w:rPr>
              <w:t>Albert E. Rosenthaler</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80" w:type="dxa"/>
            <w:vAlign w:val="bottom"/>
          </w:tcPr>
          <w:p>
            <w:pPr>
              <w:spacing w:after="0"/>
              <w:rPr>
                <w:sz w:val="21"/>
                <w:szCs w:val="21"/>
                <w:color w:val="auto"/>
              </w:rPr>
            </w:pPr>
          </w:p>
        </w:tc>
      </w:tr>
      <w:tr>
        <w:trPr>
          <w:trHeight w:val="348"/>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SUKHINDER SINGH CASSIDY</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46"/>
        </w:trPr>
        <w:tc>
          <w:tcPr>
            <w:tcW w:w="4340" w:type="dxa"/>
            <w:vAlign w:val="bottom"/>
          </w:tcPr>
          <w:p>
            <w:pPr>
              <w:spacing w:after="0"/>
              <w:rPr>
                <w:sz w:val="20"/>
                <w:szCs w:val="20"/>
                <w:color w:val="auto"/>
              </w:rPr>
            </w:pPr>
            <w:r>
              <w:rPr>
                <w:rFonts w:ascii="Arial" w:cs="Arial" w:eastAsia="Arial" w:hAnsi="Arial"/>
                <w:sz w:val="18"/>
                <w:szCs w:val="18"/>
                <w:color w:val="auto"/>
              </w:rPr>
              <w:t>Sukhinder Singh Cassidy</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80" w:type="dxa"/>
            <w:vAlign w:val="bottom"/>
          </w:tcPr>
          <w:p>
            <w:pPr>
              <w:spacing w:after="0"/>
              <w:rPr>
                <w:sz w:val="21"/>
                <w:szCs w:val="21"/>
                <w:color w:val="auto"/>
              </w:rPr>
            </w:pPr>
          </w:p>
        </w:tc>
      </w:tr>
      <w:tr>
        <w:trPr>
          <w:trHeight w:val="348"/>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WIESENTHAL</w:t>
            </w:r>
          </w:p>
        </w:tc>
        <w:tc>
          <w:tcPr>
            <w:tcW w:w="1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221"/>
        </w:trPr>
        <w:tc>
          <w:tcPr>
            <w:tcW w:w="4340" w:type="dxa"/>
            <w:vAlign w:val="bottom"/>
          </w:tcPr>
          <w:p>
            <w:pPr>
              <w:spacing w:after="0"/>
              <w:rPr>
                <w:sz w:val="20"/>
                <w:szCs w:val="20"/>
                <w:color w:val="auto"/>
              </w:rPr>
            </w:pPr>
            <w:r>
              <w:rPr>
                <w:rFonts w:ascii="Arial" w:cs="Arial" w:eastAsia="Arial" w:hAnsi="Arial"/>
                <w:sz w:val="18"/>
                <w:szCs w:val="18"/>
                <w:color w:val="auto"/>
              </w:rPr>
              <w:t>Robert S. Wiesenthal</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880"/>
        </w:trPr>
        <w:tc>
          <w:tcPr>
            <w:tcW w:w="4340" w:type="dxa"/>
            <w:vAlign w:val="bottom"/>
          </w:tcPr>
          <w:p>
            <w:pPr>
              <w:spacing w:after="0"/>
              <w:rPr>
                <w:sz w:val="24"/>
                <w:szCs w:val="24"/>
                <w:color w:val="auto"/>
              </w:rPr>
            </w:pPr>
          </w:p>
        </w:tc>
        <w:tc>
          <w:tcPr>
            <w:tcW w:w="7080" w:type="dxa"/>
            <w:vAlign w:val="bottom"/>
            <w:gridSpan w:val="3"/>
          </w:tcPr>
          <w:p>
            <w:pPr>
              <w:jc w:val="right"/>
              <w:ind w:right="5492"/>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20"/>
          </w:cols>
          <w:pgMar w:left="240" w:top="33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EMPLOYMENT AGREEMENT</w:t>
      </w:r>
    </w:p>
    <w:p>
      <w:pPr>
        <w:spacing w:after="0" w:line="224" w:lineRule="exact"/>
        <w:rPr>
          <w:sz w:val="20"/>
          <w:szCs w:val="20"/>
          <w:color w:val="auto"/>
        </w:rPr>
      </w:pPr>
    </w:p>
    <w:p>
      <w:pPr>
        <w:ind w:right="560" w:firstLine="878"/>
        <w:spacing w:after="0" w:line="300" w:lineRule="auto"/>
        <w:rPr>
          <w:sz w:val="20"/>
          <w:szCs w:val="20"/>
          <w:color w:val="auto"/>
        </w:rPr>
      </w:pPr>
      <w:r>
        <w:rPr>
          <w:rFonts w:ascii="Arial" w:cs="Arial" w:eastAsia="Arial" w:hAnsi="Arial"/>
          <w:sz w:val="17"/>
          <w:szCs w:val="17"/>
          <w:color w:val="auto"/>
        </w:rPr>
        <w:t>THIS AMENDMENT TO EMPLOYMENT AGREEMENT (“Amendment”) is entered into by and between Seth Kalvert (“Executive”) and TripAdvisor, LLC, a Delaware limited liability company (the “Company”), and is effective as of February 19, 2018 (the “Effective Date”).</w:t>
      </w:r>
    </w:p>
    <w:p>
      <w:pPr>
        <w:spacing w:after="0" w:line="152" w:lineRule="exact"/>
        <w:rPr>
          <w:sz w:val="20"/>
          <w:szCs w:val="20"/>
          <w:color w:val="auto"/>
        </w:rPr>
      </w:pPr>
    </w:p>
    <w:p>
      <w:pPr>
        <w:ind w:right="160" w:firstLine="878"/>
        <w:spacing w:after="0" w:line="270" w:lineRule="auto"/>
        <w:rPr>
          <w:sz w:val="20"/>
          <w:szCs w:val="20"/>
          <w:color w:val="auto"/>
        </w:rPr>
      </w:pPr>
      <w:r>
        <w:rPr>
          <w:rFonts w:ascii="Arial" w:cs="Arial" w:eastAsia="Arial" w:hAnsi="Arial"/>
          <w:sz w:val="18"/>
          <w:szCs w:val="18"/>
          <w:color w:val="auto"/>
        </w:rPr>
        <w:t>WHEREAS, the Company and the Executive previously entered into an Employment Agreement effective as of May 19, 2016 (the “Agreement”) to establish the terms and conditions of the Executive’s employment with the Company.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the Company and Executive desire to amend the Agreement as set forth below.</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NOW, THEREFORE, in consideration of the mutual agreements hereinafter set forth, Executive and the Company have agreed and do hereby agree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7" w:lineRule="exact"/>
        <w:rPr>
          <w:sz w:val="20"/>
          <w:szCs w:val="20"/>
          <w:color w:val="auto"/>
        </w:rPr>
      </w:pPr>
    </w:p>
    <w:p>
      <w:pPr>
        <w:ind w:left="1660" w:hanging="776"/>
        <w:spacing w:after="0"/>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Agreement is hereby amended to extend the term of the Agreement and replacing Section 2A. of the Agreement in its entirety with</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w:t>
      </w:r>
    </w:p>
    <w:p>
      <w:pPr>
        <w:spacing w:after="0" w:line="207" w:lineRule="exact"/>
        <w:rPr>
          <w:sz w:val="20"/>
          <w:szCs w:val="20"/>
          <w:color w:val="auto"/>
        </w:rPr>
      </w:pPr>
    </w:p>
    <w:p>
      <w:pPr>
        <w:ind w:left="880" w:right="220"/>
        <w:spacing w:after="0" w:line="259" w:lineRule="auto"/>
        <w:rPr>
          <w:sz w:val="20"/>
          <w:szCs w:val="20"/>
          <w:color w:val="auto"/>
        </w:rPr>
      </w:pPr>
      <w:r>
        <w:rPr>
          <w:rFonts w:ascii="Arial" w:cs="Arial" w:eastAsia="Arial" w:hAnsi="Arial"/>
          <w:sz w:val="18"/>
          <w:szCs w:val="18"/>
          <w:color w:val="auto"/>
        </w:rPr>
        <w:t xml:space="preserve">“2A.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The term (the “Term”) of this Agreement shall commence on the Effective Date and shall continue through March 31, 2021, unless sooner terminated in accordance with the provisions of Section 1 of the Standard Terms and Conditions attached hereto.”</w:t>
      </w:r>
    </w:p>
    <w:p>
      <w:pPr>
        <w:spacing w:after="0" w:line="184" w:lineRule="exact"/>
        <w:rPr>
          <w:sz w:val="20"/>
          <w:szCs w:val="20"/>
          <w:color w:val="auto"/>
        </w:rPr>
      </w:pPr>
    </w:p>
    <w:p>
      <w:pPr>
        <w:ind w:right="160" w:firstLine="884"/>
        <w:spacing w:after="0" w:line="270" w:lineRule="auto"/>
        <w:tabs>
          <w:tab w:leader="none" w:pos="16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Agreement is hereby amended by removing the existing subsection (i) in Section 1(d) of the Standard Terms and Conditions to the Employment Agreement and replacing it with the new (i) set forth below:</w:t>
      </w:r>
    </w:p>
    <w:p>
      <w:pPr>
        <w:spacing w:after="0" w:line="175" w:lineRule="exact"/>
        <w:rPr>
          <w:sz w:val="20"/>
          <w:szCs w:val="20"/>
          <w:color w:val="auto"/>
        </w:rPr>
      </w:pPr>
    </w:p>
    <w:p>
      <w:pPr>
        <w:ind w:left="1700" w:hanging="816"/>
        <w:spacing w:after="0"/>
        <w:tabs>
          <w:tab w:leader="none" w:pos="1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 shall continue to pay Executive the Base Salary through the longer of (x) 12 months following such termination date, and</w:t>
      </w:r>
    </w:p>
    <w:p>
      <w:pPr>
        <w:spacing w:after="0" w:line="42" w:lineRule="exact"/>
        <w:rPr>
          <w:rFonts w:ascii="Arial" w:cs="Arial" w:eastAsia="Arial" w:hAnsi="Arial"/>
          <w:sz w:val="16"/>
          <w:szCs w:val="16"/>
          <w:color w:val="auto"/>
        </w:rPr>
      </w:pPr>
    </w:p>
    <w:p>
      <w:pPr>
        <w:ind w:left="880" w:firstLine="4"/>
        <w:spacing w:after="0" w:line="288" w:lineRule="auto"/>
        <w:tabs>
          <w:tab w:leader="none" w:pos="11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remaining Term of the Agreement up to a maximum of 18 months following such termination date (in either case, such period, the “Salary Continuation Period” and such payments, the “Cash Severance Payments” in either case), such amount to be payable in equal biweekly installments and the Company shall pay in cash to Executive (within 10 business days of each applicable monthly period) for each month between the date of termination and the end of the Salary Continuation Period an amount equal to the premiums charged by the Company to maintain COBRA benefits continuation coverage for Executive and Executive’s eligible dependents to the extent such coverage is then in place;</w:t>
      </w:r>
    </w:p>
    <w:p>
      <w:pPr>
        <w:spacing w:after="0" w:line="165" w:lineRule="exact"/>
        <w:rPr>
          <w:sz w:val="20"/>
          <w:szCs w:val="20"/>
          <w:color w:val="auto"/>
        </w:rPr>
      </w:pPr>
    </w:p>
    <w:p>
      <w:pPr>
        <w:ind w:right="20" w:firstLine="884"/>
        <w:spacing w:after="0" w:line="270" w:lineRule="auto"/>
        <w:tabs>
          <w:tab w:leader="none" w:pos="16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Agreement is hereby amended by removing the existing sentence below in Section 1(d) of the Standard Terms and Conditions to the Employment Agreement and replacing it with the new language also set forth below: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Existing Sentence:</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expiration of the Term shall not give rise to any payment to Executive or acceleration obligation under this Section 1(d).</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New Sentence:</w:t>
      </w:r>
    </w:p>
    <w:p>
      <w:pPr>
        <w:spacing w:after="0" w:line="220" w:lineRule="exact"/>
        <w:rPr>
          <w:sz w:val="20"/>
          <w:szCs w:val="20"/>
          <w:color w:val="auto"/>
        </w:rPr>
      </w:pPr>
    </w:p>
    <w:p>
      <w:pPr>
        <w:ind w:left="880" w:right="20"/>
        <w:spacing w:after="0" w:line="253" w:lineRule="auto"/>
        <w:rPr>
          <w:sz w:val="20"/>
          <w:szCs w:val="20"/>
          <w:color w:val="auto"/>
        </w:rPr>
      </w:pPr>
      <w:r>
        <w:rPr>
          <w:rFonts w:ascii="Arial" w:cs="Arial" w:eastAsia="Arial" w:hAnsi="Arial"/>
          <w:sz w:val="18"/>
          <w:szCs w:val="18"/>
          <w:color w:val="auto"/>
        </w:rPr>
        <w:t>The expiration of the Term shall be treated for all intents and purposes (including with respect to the Employment Agreement, the TripAdvisor, Inc. Executive Severance Plan and Summary Plan Description and the TripAdvisor, Inc. Amended and Restated 2011 Stock and Annual Incentive Plan, as each of the same may be amended from time to time) as a Termination of Employment without Cause or resignation for Good Reason not in connection with a Change in Control, and, in such event, the Executive shall be entitled to the benefits described in Section 1(d) of the Standard Terms and Conditions.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25" w:name="page126"/>
    <w:bookmarkEnd w:id="125"/>
    <w:p>
      <w:pPr>
        <w:ind w:right="40" w:firstLine="878"/>
        <w:spacing w:after="0" w:line="270" w:lineRule="auto"/>
        <w:rPr>
          <w:sz w:val="20"/>
          <w:szCs w:val="20"/>
          <w:color w:val="auto"/>
        </w:rPr>
      </w:pPr>
      <w:r>
        <w:rPr>
          <w:rFonts w:ascii="Arial" w:cs="Arial" w:eastAsia="Arial" w:hAnsi="Arial"/>
          <w:sz w:val="18"/>
          <w:szCs w:val="18"/>
          <w:color w:val="auto"/>
        </w:rPr>
        <w:t>IN WITNESS WHEREOF, the Company has caused this Amendment to be executed and delivered by its duly authorized officer and Executive has executed and delivered this Amendment.</w:t>
      </w:r>
    </w:p>
    <w:p>
      <w:pPr>
        <w:spacing w:after="0" w:line="17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TRIPADVISOR, LLC</w:t>
      </w:r>
    </w:p>
    <w:p>
      <w:pPr>
        <w:spacing w:after="0" w:line="220" w:lineRule="exact"/>
        <w:rPr>
          <w:sz w:val="20"/>
          <w:szCs w:val="20"/>
          <w:color w:val="auto"/>
        </w:rPr>
      </w:pPr>
    </w:p>
    <w:tbl>
      <w:tblPr>
        <w:tblLayout w:type="fixed"/>
        <w:tblInd w:w="6300" w:type="dxa"/>
        <w:tblCellMar>
          <w:top w:w="0" w:type="dxa"/>
          <w:left w:w="0" w:type="dxa"/>
          <w:bottom w:w="0" w:type="dxa"/>
          <w:right w:w="0" w:type="dxa"/>
        </w:tblCellMar>
      </w:tblP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208"/>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Kaufer</w:t>
            </w:r>
          </w:p>
        </w:tc>
      </w:t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bl>
    <w:p>
      <w:pPr>
        <w:spacing w:after="0" w:line="19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Seth Kalvert</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-130175</wp:posOffset>
            </wp:positionV>
            <wp:extent cx="32550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325501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2"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10.10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EMPLOYMENT AGREEMENT</w:t>
      </w:r>
    </w:p>
    <w:p>
      <w:pPr>
        <w:spacing w:after="0" w:line="207" w:lineRule="exact"/>
        <w:rPr>
          <w:sz w:val="20"/>
          <w:szCs w:val="20"/>
          <w:color w:val="auto"/>
        </w:rPr>
      </w:pPr>
    </w:p>
    <w:p>
      <w:pPr>
        <w:ind w:right="340" w:firstLine="878"/>
        <w:spacing w:after="0" w:line="300" w:lineRule="auto"/>
        <w:rPr>
          <w:sz w:val="20"/>
          <w:szCs w:val="20"/>
          <w:color w:val="auto"/>
        </w:rPr>
      </w:pPr>
      <w:r>
        <w:rPr>
          <w:rFonts w:ascii="Arial" w:cs="Arial" w:eastAsia="Arial" w:hAnsi="Arial"/>
          <w:sz w:val="17"/>
          <w:szCs w:val="17"/>
          <w:color w:val="auto"/>
        </w:rPr>
        <w:t>THIS AMENDMENT TO EMPLOYMENT AGREEMENT (“Amendment”) is entered into by and between Stephen Kaufer (“Executive”) and TripAdvisor, LLC, a Delaware limited liability company (the “Company”), and is effective as of November 28, 2017 (the “Effective Date”).</w:t>
      </w:r>
    </w:p>
    <w:p>
      <w:pPr>
        <w:spacing w:after="0" w:line="152" w:lineRule="exact"/>
        <w:rPr>
          <w:sz w:val="20"/>
          <w:szCs w:val="20"/>
          <w:color w:val="auto"/>
        </w:rPr>
      </w:pPr>
    </w:p>
    <w:p>
      <w:pPr>
        <w:ind w:right="140" w:firstLine="878"/>
        <w:spacing w:after="0" w:line="270" w:lineRule="auto"/>
        <w:rPr>
          <w:sz w:val="20"/>
          <w:szCs w:val="20"/>
          <w:color w:val="auto"/>
        </w:rPr>
      </w:pPr>
      <w:r>
        <w:rPr>
          <w:rFonts w:ascii="Arial" w:cs="Arial" w:eastAsia="Arial" w:hAnsi="Arial"/>
          <w:sz w:val="18"/>
          <w:szCs w:val="18"/>
          <w:color w:val="auto"/>
        </w:rPr>
        <w:t>WHEREAS, the Company and the Executive previously entered into an Employment Agreement effective as of March 31, 2014 (the “Agreement”) to establish the terms and conditions of the Executive's employment with the Company.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the Company and Executive desire to amend the Agreement as set forth below.</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NOW</w:t>
      </w:r>
      <w:r>
        <w:rPr>
          <w:rFonts w:ascii="Arial" w:cs="Arial" w:eastAsia="Arial" w:hAnsi="Arial"/>
          <w:sz w:val="16"/>
          <w:szCs w:val="16"/>
          <w:b w:val="1"/>
          <w:bCs w:val="1"/>
          <w:color w:val="auto"/>
        </w:rPr>
        <w:t>,</w:t>
      </w:r>
      <w:r>
        <w:rPr>
          <w:rFonts w:ascii="Arial" w:cs="Arial" w:eastAsia="Arial" w:hAnsi="Arial"/>
          <w:sz w:val="16"/>
          <w:szCs w:val="16"/>
          <w:color w:val="auto"/>
        </w:rPr>
        <w:t xml:space="preserve"> THEREFORE, in consideration of the mutual agreements hereinafter set forth, Executive and the Company have agreed and do hereby agree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7" w:lineRule="exact"/>
        <w:rPr>
          <w:sz w:val="20"/>
          <w:szCs w:val="20"/>
          <w:color w:val="auto"/>
        </w:rPr>
      </w:pPr>
    </w:p>
    <w:p>
      <w:pPr>
        <w:jc w:val="both"/>
        <w:ind w:right="200" w:firstLine="884"/>
        <w:spacing w:after="0" w:line="259" w:lineRule="auto"/>
        <w:tabs>
          <w:tab w:leader="none" w:pos="16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Agreement is hereby amended to recognize that one of the private companies on which Executive served on the Board of Directors has since become a public company and others may become a public company in the future and replacing Section 1A of the Agreement in its entirety with the following:</w:t>
      </w:r>
    </w:p>
    <w:p>
      <w:pPr>
        <w:spacing w:after="0" w:line="184" w:lineRule="exact"/>
        <w:rPr>
          <w:sz w:val="20"/>
          <w:szCs w:val="20"/>
          <w:color w:val="auto"/>
        </w:rPr>
      </w:pPr>
    </w:p>
    <w:p>
      <w:pPr>
        <w:ind w:left="880" w:right="40" w:firstLine="810"/>
        <w:spacing w:after="0" w:line="282" w:lineRule="auto"/>
        <w:rPr>
          <w:sz w:val="20"/>
          <w:szCs w:val="20"/>
          <w:color w:val="auto"/>
        </w:rPr>
      </w:pPr>
      <w:r>
        <w:rPr>
          <w:rFonts w:ascii="Arial" w:cs="Arial" w:eastAsia="Arial" w:hAnsi="Arial"/>
          <w:sz w:val="16"/>
          <w:szCs w:val="16"/>
          <w:color w:val="auto"/>
        </w:rPr>
        <w:t xml:space="preserve">1A. </w:t>
      </w:r>
      <w:r>
        <w:rPr>
          <w:rFonts w:ascii="Arial" w:cs="Arial" w:eastAsia="Arial" w:hAnsi="Arial"/>
          <w:sz w:val="16"/>
          <w:szCs w:val="16"/>
          <w:u w:val="single" w:color="auto"/>
          <w:color w:val="auto"/>
        </w:rPr>
        <w:t>EMPLOYMENT</w:t>
      </w:r>
      <w:r>
        <w:rPr>
          <w:rFonts w:ascii="Arial" w:cs="Arial" w:eastAsia="Arial" w:hAnsi="Arial"/>
          <w:sz w:val="16"/>
          <w:szCs w:val="16"/>
          <w:color w:val="auto"/>
        </w:rPr>
        <w:t>. The Company agrees to employ Executive as President and Chief Executive Officer of TripAdvisor, Inc., a Delaware corporation (“TripAdvisor”) and its subsidiaries (including the Company) and Executive accepts and agrees to such employment. During Executive's employment with the Company, Executive shall perform all services and acts necessary or advisable to fulfill the duties and responsibilities as are commensurate and consistent with Executive's position and shall render such services on the terms set forth herein. During Executive's employment with the Company, Executive shall report directly to the Board of Directors of TripAdvisor (the “Board”). Executive shall have such powers and duties with respect to the Company as may reasonably be assigned to Executive by the Board, to the extent consistent with Executive's position and status. Executive agrees to devote substantially all of Executive's working time, attention and efforts to the Company, provided that nothing set forth herein shall limit or modify Executive's charitable and club activities and activities as a member of the Board of Directors of a limited number of companies other than the Company, TripAdvisor and its subsidiaries (such board activities not to exceed without the consent of the Compensation Committee, (i) three private company board seats, (ii) any public company board seat but only to the extent that any of the private companies listed on the Company's proxy statement filed on April 26, 2017 subsequently became or becomes a public company (e.g. CarGurus, Inc.) and (iii) one not-for-profit company board seat) as long as such activities do not interfere with Executive's efforts contemplated herein. Executive shall perform the duties of Executive's position in accordance with the Company's policies as in effect from time to time. Executive's principal place of employment shall be the Company's offices located in Needham, Massachusetts.</w:t>
      </w:r>
    </w:p>
    <w:p>
      <w:pPr>
        <w:spacing w:after="0" w:line="177" w:lineRule="exact"/>
        <w:rPr>
          <w:sz w:val="20"/>
          <w:szCs w:val="20"/>
          <w:color w:val="auto"/>
        </w:rPr>
      </w:pPr>
    </w:p>
    <w:p>
      <w:pPr>
        <w:ind w:left="1660" w:hanging="776"/>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Agreement is hereby amended to extend the term of the Agreement and replacing Section 2A. of the Agreement in its entirety with</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w:t>
      </w:r>
    </w:p>
    <w:p>
      <w:pPr>
        <w:spacing w:after="0" w:line="207" w:lineRule="exact"/>
        <w:rPr>
          <w:sz w:val="20"/>
          <w:szCs w:val="20"/>
          <w:color w:val="auto"/>
        </w:rPr>
      </w:pPr>
    </w:p>
    <w:p>
      <w:pPr>
        <w:ind w:right="20" w:firstLine="878"/>
        <w:spacing w:after="0" w:line="300" w:lineRule="auto"/>
        <w:rPr>
          <w:sz w:val="20"/>
          <w:szCs w:val="20"/>
          <w:color w:val="auto"/>
        </w:rPr>
      </w:pPr>
      <w:r>
        <w:rPr>
          <w:rFonts w:ascii="Arial" w:cs="Arial" w:eastAsia="Arial" w:hAnsi="Arial"/>
          <w:sz w:val="17"/>
          <w:szCs w:val="17"/>
          <w:color w:val="auto"/>
        </w:rPr>
        <w:t xml:space="preserve">“2A. </w:t>
      </w:r>
      <w:r>
        <w:rPr>
          <w:rFonts w:ascii="Arial" w:cs="Arial" w:eastAsia="Arial" w:hAnsi="Arial"/>
          <w:sz w:val="17"/>
          <w:szCs w:val="17"/>
          <w:u w:val="single" w:color="auto"/>
          <w:color w:val="auto"/>
        </w:rPr>
        <w:t>TERM OF AGREEMENT</w:t>
      </w:r>
      <w:r>
        <w:rPr>
          <w:rFonts w:ascii="Arial" w:cs="Arial" w:eastAsia="Arial" w:hAnsi="Arial"/>
          <w:sz w:val="17"/>
          <w:szCs w:val="17"/>
          <w:color w:val="auto"/>
        </w:rPr>
        <w:t>. The term (the “Term”) of this Agreement shall commence on the Effective Date and shall continue through March 31, 2023, unless sooner terminated in accordance with the provisions of Section 1 of the Standard Terms and Conditions attached hereto.”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27" w:name="page128"/>
    <w:bookmarkEnd w:id="127"/>
    <w:p>
      <w:pPr>
        <w:ind w:left="1660" w:hanging="776"/>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Agreement is hereby amended by increasing Executive's base salary and replacing Section 3.A.(a) in its entirety with the following:</w:t>
      </w:r>
    </w:p>
    <w:p>
      <w:pPr>
        <w:spacing w:after="0" w:line="243" w:lineRule="exact"/>
        <w:rPr>
          <w:sz w:val="20"/>
          <w:szCs w:val="20"/>
          <w:color w:val="auto"/>
        </w:rPr>
      </w:pPr>
    </w:p>
    <w:p>
      <w:pPr>
        <w:ind w:left="880"/>
        <w:spacing w:after="0" w:line="25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BASE SALARY</w:t>
      </w:r>
      <w:r>
        <w:rPr>
          <w:rFonts w:ascii="Arial" w:cs="Arial" w:eastAsia="Arial" w:hAnsi="Arial"/>
          <w:sz w:val="18"/>
          <w:szCs w:val="18"/>
          <w:color w:val="auto"/>
        </w:rPr>
        <w:t>. Commencing on January 1, 2018, the Company shall pay Executive an annual base salary of $800,000.00 (the “Base Salary”), payable in equal biweekly installments or in accordance with the Company's payroll practice as in effect from time to time. For all purposes under this Agreement, the term “Base Salary” shall refer to Base Salary as in effect from time to time. Executive's Base Salary shall be reviewed at least annually by the Compensation Committee of the Board (the “Compensation Committee”) and may be increased but not decreased.</w:t>
      </w:r>
    </w:p>
    <w:p>
      <w:pPr>
        <w:spacing w:after="0" w:line="191" w:lineRule="exact"/>
        <w:rPr>
          <w:sz w:val="20"/>
          <w:szCs w:val="20"/>
          <w:color w:val="auto"/>
        </w:rPr>
      </w:pPr>
    </w:p>
    <w:p>
      <w:pPr>
        <w:ind w:right="80" w:firstLine="884"/>
        <w:spacing w:after="0" w:line="270" w:lineRule="auto"/>
        <w:tabs>
          <w:tab w:leader="none" w:pos="16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Agreement is hereby amended by removing the existing sentence below in Section 1(d) of the Standard Terms and Conditions to the Employment Agreement and replacing it with the new language also set forth below:</w:t>
      </w:r>
    </w:p>
    <w:p>
      <w:pPr>
        <w:spacing w:after="0" w:line="282"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Existing Sentence:</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expiration of the Term shall not give rise to any payment to Executive or acceleration obligation under this Section 1(d).</w:t>
      </w:r>
    </w:p>
    <w:p>
      <w:pPr>
        <w:spacing w:after="0" w:line="32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New Sentence:</w:t>
      </w:r>
    </w:p>
    <w:p>
      <w:pPr>
        <w:spacing w:after="0" w:line="113" w:lineRule="exact"/>
        <w:rPr>
          <w:sz w:val="20"/>
          <w:szCs w:val="20"/>
          <w:color w:val="auto"/>
        </w:rPr>
      </w:pPr>
    </w:p>
    <w:p>
      <w:pPr>
        <w:ind w:left="880" w:right="40"/>
        <w:spacing w:after="0" w:line="292" w:lineRule="auto"/>
        <w:rPr>
          <w:sz w:val="20"/>
          <w:szCs w:val="20"/>
          <w:color w:val="auto"/>
        </w:rPr>
      </w:pPr>
      <w:r>
        <w:rPr>
          <w:rFonts w:ascii="Arial" w:cs="Arial" w:eastAsia="Arial" w:hAnsi="Arial"/>
          <w:sz w:val="16"/>
          <w:szCs w:val="16"/>
          <w:color w:val="auto"/>
        </w:rPr>
        <w:t>The expiration of the Term shall be treated for all intents and purposes (including with respect to the Employment Agreement, the TripAdvisor Severance Plan and Summary Plan Description and the TripAdvisor Amended and Restated 2011 Stock and Annual Incentive Plan, as the same may be amended from time to time) as a Termination of Employment without Cause or resignation for Good Reason not in connection with a Change in Control, and in such event, the Executive shall be entitled to the better of the benefits described in Section 1(d) of the Standard Terms and Conditions to the Employment and the TripAdvisor Executive Severance Plan and Summary Plan Description.</w:t>
      </w:r>
    </w:p>
    <w:p>
      <w:pPr>
        <w:spacing w:after="0" w:line="162" w:lineRule="exact"/>
        <w:rPr>
          <w:sz w:val="20"/>
          <w:szCs w:val="20"/>
          <w:color w:val="auto"/>
        </w:rPr>
      </w:pPr>
    </w:p>
    <w:p>
      <w:pPr>
        <w:ind w:right="200" w:firstLine="878"/>
        <w:spacing w:after="0" w:line="270" w:lineRule="auto"/>
        <w:rPr>
          <w:sz w:val="20"/>
          <w:szCs w:val="20"/>
          <w:color w:val="auto"/>
        </w:rPr>
      </w:pPr>
      <w:r>
        <w:rPr>
          <w:rFonts w:ascii="Arial" w:cs="Arial" w:eastAsia="Arial" w:hAnsi="Arial"/>
          <w:sz w:val="18"/>
          <w:szCs w:val="18"/>
          <w:color w:val="auto"/>
        </w:rPr>
        <w:t>IN WITNESS WHEREOF, the Company has caused this Amendment to be executed and delivered by its duly authorized officer and Executive has executed and delivered this Amendment.</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LLC</w:t>
      </w:r>
    </w:p>
    <w:p>
      <w:pPr>
        <w:spacing w:after="0" w:line="247" w:lineRule="exact"/>
        <w:rPr>
          <w:sz w:val="20"/>
          <w:szCs w:val="20"/>
          <w:color w:val="auto"/>
        </w:rPr>
      </w:pPr>
    </w:p>
    <w:p>
      <w:pPr>
        <w:ind w:left="6880"/>
        <w:spacing w:after="0"/>
        <w:tabs>
          <w:tab w:leader="none" w:pos="7360" w:val="left"/>
        </w:tabs>
        <w:rPr>
          <w:sz w:val="20"/>
          <w:szCs w:val="20"/>
          <w:color w:val="auto"/>
        </w:rPr>
      </w:pPr>
      <w:r>
        <w:rPr>
          <w:rFonts w:ascii="Arial" w:cs="Arial" w:eastAsia="Arial" w:hAnsi="Arial"/>
          <w:sz w:val="18"/>
          <w:szCs w:val="18"/>
          <w:color w:val="auto"/>
        </w:rPr>
        <w:t>By:</w:t>
        <w:tab/>
        <w:t>/s/ Seth J. Kalvert</w:t>
      </w:r>
    </w:p>
    <w:p>
      <w:pPr>
        <w:spacing w:after="0" w:line="2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-130175</wp:posOffset>
            </wp:positionV>
            <wp:extent cx="2560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ind w:left="7380"/>
        <w:spacing w:after="0"/>
        <w:rPr>
          <w:sz w:val="20"/>
          <w:szCs w:val="20"/>
          <w:color w:val="auto"/>
        </w:rPr>
      </w:pPr>
      <w:r>
        <w:rPr>
          <w:rFonts w:ascii="Arial" w:cs="Arial" w:eastAsia="Arial" w:hAnsi="Arial"/>
          <w:sz w:val="18"/>
          <w:szCs w:val="18"/>
          <w:color w:val="auto"/>
        </w:rPr>
        <w:t>Manager and Secretary</w:t>
      </w:r>
    </w:p>
    <w:p>
      <w:pPr>
        <w:spacing w:after="0" w:line="234"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Stephen Kaufer</w:t>
      </w:r>
    </w:p>
    <w:p>
      <w:pPr>
        <w:spacing w:after="0" w:line="20"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-130175</wp:posOffset>
            </wp:positionV>
            <wp:extent cx="2560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66" w:right="2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OPTION AGREEMENT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(Time-Based)</w:t>
      </w:r>
    </w:p>
    <w:p>
      <w:pPr>
        <w:spacing w:after="0" w:line="207" w:lineRule="exact"/>
        <w:rPr>
          <w:sz w:val="20"/>
          <w:szCs w:val="20"/>
          <w:color w:val="auto"/>
        </w:rPr>
      </w:pPr>
    </w:p>
    <w:p>
      <w:pPr>
        <w:jc w:val="both"/>
        <w:ind w:right="40" w:firstLine="878"/>
        <w:spacing w:after="0" w:line="334" w:lineRule="auto"/>
        <w:rPr>
          <w:sz w:val="20"/>
          <w:szCs w:val="20"/>
          <w:color w:val="auto"/>
        </w:rPr>
      </w:pPr>
      <w:r>
        <w:rPr>
          <w:rFonts w:ascii="Arial" w:cs="Arial" w:eastAsia="Arial" w:hAnsi="Arial"/>
          <w:sz w:val="16"/>
          <w:szCs w:val="16"/>
          <w:color w:val="auto"/>
        </w:rPr>
        <w:t>THIS OPTION AGREEMENT (this “Agreement”), November 28, 2017 (the “Grant Date”), between TripAdvisor, Inc., a Delaware corporation (the “Company”), and Stephen Kaufer (the “Eligible Individual”), describes the terms of an award (“Award”) of an Option to the Eligible Individual by the Company.</w:t>
      </w:r>
    </w:p>
    <w:p>
      <w:pPr>
        <w:spacing w:after="0" w:line="129" w:lineRule="exact"/>
        <w:rPr>
          <w:sz w:val="20"/>
          <w:szCs w:val="20"/>
          <w:color w:val="auto"/>
        </w:rPr>
      </w:pPr>
    </w:p>
    <w:p>
      <w:pPr>
        <w:ind w:right="220" w:firstLine="878"/>
        <w:spacing w:after="0" w:line="270"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Amended and Restated 2011 Stock and Annual Incentive Plan (as amended from time to time, the “Plan”).</w:t>
      </w:r>
    </w:p>
    <w:p>
      <w:pPr>
        <w:spacing w:after="0" w:line="171" w:lineRule="exact"/>
        <w:rPr>
          <w:sz w:val="20"/>
          <w:szCs w:val="20"/>
          <w:color w:val="auto"/>
        </w:rPr>
      </w:pPr>
    </w:p>
    <w:p>
      <w:pPr>
        <w:ind w:left="880" w:hanging="873"/>
        <w:spacing w:after="0"/>
        <w:tabs>
          <w:tab w:leader="none" w:pos="8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Option</w:t>
      </w:r>
    </w:p>
    <w:p>
      <w:pPr>
        <w:spacing w:after="0" w:line="250" w:lineRule="exact"/>
        <w:rPr>
          <w:rFonts w:ascii="Arial" w:cs="Arial" w:eastAsia="Arial" w:hAnsi="Arial"/>
          <w:sz w:val="18"/>
          <w:szCs w:val="18"/>
          <w:b w:val="1"/>
          <w:bCs w:val="1"/>
          <w:color w:val="auto"/>
        </w:rPr>
      </w:pPr>
    </w:p>
    <w:p>
      <w:pPr>
        <w:ind w:right="100" w:firstLine="884"/>
        <w:spacing w:after="0" w:line="246" w:lineRule="auto"/>
        <w:tabs>
          <w:tab w:leader="none" w:pos="1745" w:val="left"/>
        </w:tabs>
        <w:numPr>
          <w:ilvl w:val="1"/>
          <w:numId w:val="61"/>
        </w:numPr>
        <w:rPr>
          <w:rFonts w:ascii="Arial" w:cs="Arial" w:eastAsia="Arial" w:hAnsi="Arial"/>
          <w:sz w:val="20"/>
          <w:szCs w:val="20"/>
          <w:color w:val="auto"/>
        </w:rPr>
      </w:pPr>
      <w:r>
        <w:rPr>
          <w:rFonts w:ascii="Arial" w:cs="Arial" w:eastAsia="Arial" w:hAnsi="Arial"/>
          <w:sz w:val="18"/>
          <w:szCs w:val="18"/>
          <w:color w:val="auto"/>
        </w:rPr>
        <w:t xml:space="preserve">Subject to the terms and conditions of this Agreement and the Plan, the Company hereby grants to the Eligible Individual an Option to purchase 780,000 Shares at the exercise price of $ </w:t>
      </w:r>
      <w:r>
        <w:rPr>
          <w:rFonts w:ascii="Arial" w:cs="Arial" w:eastAsia="Arial" w:hAnsi="Arial"/>
          <w:sz w:val="18"/>
          <w:szCs w:val="18"/>
          <w:u w:val="single" w:color="auto"/>
          <w:color w:val="auto"/>
        </w:rPr>
        <w:t>34.71</w:t>
      </w:r>
      <w:r>
        <w:rPr>
          <w:rFonts w:ascii="Arial" w:cs="Arial" w:eastAsia="Arial" w:hAnsi="Arial"/>
          <w:sz w:val="18"/>
          <w:szCs w:val="18"/>
          <w:color w:val="auto"/>
        </w:rPr>
        <w:t xml:space="preserve"> per Share.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which is hereby incorporated by reference into, and shall be read as part and parcel of, this Agreement.</w:t>
      </w:r>
    </w:p>
    <w:p>
      <w:pPr>
        <w:spacing w:after="0" w:line="223" w:lineRule="exact"/>
        <w:rPr>
          <w:rFonts w:ascii="Arial" w:cs="Arial" w:eastAsia="Arial" w:hAnsi="Arial"/>
          <w:sz w:val="20"/>
          <w:szCs w:val="20"/>
          <w:color w:val="auto"/>
        </w:rPr>
      </w:pPr>
    </w:p>
    <w:p>
      <w:pPr>
        <w:ind w:right="220" w:firstLine="884"/>
        <w:spacing w:after="0" w:line="243" w:lineRule="auto"/>
        <w:tabs>
          <w:tab w:leader="none" w:pos="1757" w:val="left"/>
        </w:tabs>
        <w:numPr>
          <w:ilvl w:val="1"/>
          <w:numId w:val="61"/>
        </w:numPr>
        <w:rPr>
          <w:rFonts w:ascii="Arial" w:cs="Arial" w:eastAsia="Arial" w:hAnsi="Arial"/>
          <w:sz w:val="20"/>
          <w:szCs w:val="20"/>
          <w:color w:val="auto"/>
        </w:rPr>
      </w:pPr>
      <w:r>
        <w:rPr>
          <w:rFonts w:ascii="Arial" w:cs="Arial" w:eastAsia="Arial" w:hAnsi="Arial"/>
          <w:sz w:val="18"/>
          <w:szCs w:val="18"/>
          <w:color w:val="auto"/>
        </w:rPr>
        <w:t>The Option shall be a Nonqualified Option. Unless earlier terminated pursuant to the terms of this Agreement or the Plan, the Option shall expire on the ten-year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6539230</wp:posOffset>
            </wp:positionH>
            <wp:positionV relativeFrom="paragraph">
              <wp:posOffset>-720725</wp:posOffset>
            </wp:positionV>
            <wp:extent cx="196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19685" cy="8255"/>
                    </a:xfrm>
                    <a:prstGeom prst="rect">
                      <a:avLst/>
                    </a:prstGeom>
                    <a:noFill/>
                  </pic:spPr>
                </pic:pic>
              </a:graphicData>
            </a:graphic>
          </wp:anchor>
        </w:drawing>
      </w:r>
    </w:p>
    <w:p>
      <w:pPr>
        <w:spacing w:after="0" w:line="174" w:lineRule="exact"/>
        <w:rPr>
          <w:sz w:val="20"/>
          <w:szCs w:val="20"/>
          <w:color w:val="auto"/>
        </w:rPr>
      </w:pPr>
    </w:p>
    <w:p>
      <w:pPr>
        <w:ind w:left="880" w:hanging="873"/>
        <w:spacing w:after="0"/>
        <w:tabs>
          <w:tab w:leader="none" w:pos="8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p>
    <w:p>
      <w:pPr>
        <w:spacing w:after="0" w:line="224" w:lineRule="exact"/>
        <w:rPr>
          <w:rFonts w:ascii="Arial" w:cs="Arial" w:eastAsia="Arial" w:hAnsi="Arial"/>
          <w:sz w:val="18"/>
          <w:szCs w:val="18"/>
          <w:b w:val="1"/>
          <w:bCs w:val="1"/>
          <w:color w:val="auto"/>
        </w:rPr>
      </w:pPr>
    </w:p>
    <w:p>
      <w:pPr>
        <w:jc w:val="both"/>
        <w:ind w:right="260" w:firstLine="884"/>
        <w:spacing w:after="0" w:line="255" w:lineRule="auto"/>
        <w:tabs>
          <w:tab w:leader="none" w:pos="1716" w:val="left"/>
        </w:tabs>
        <w:numPr>
          <w:ilvl w:val="1"/>
          <w:numId w:val="62"/>
        </w:numPr>
        <w:rPr>
          <w:rFonts w:ascii="Arial" w:cs="Arial" w:eastAsia="Arial" w:hAnsi="Arial"/>
          <w:sz w:val="18"/>
          <w:szCs w:val="18"/>
          <w:color w:val="auto"/>
        </w:rPr>
      </w:pPr>
      <w:r>
        <w:rPr>
          <w:rFonts w:ascii="Arial" w:cs="Arial" w:eastAsia="Arial" w:hAnsi="Arial"/>
          <w:sz w:val="18"/>
          <w:szCs w:val="18"/>
          <w:color w:val="auto"/>
        </w:rPr>
        <w:t>Subject to (i) the terms and conditions of this Agreement, the Grant Details and the Plan, and (ii) the Eligible Individual’s continuous employment by the Company or one of its Subsidiaries or Affiliates, 50% of the Option shall vest and become exercisable on August I, 2021 and 50% of the Option shall vest and become exercisable on August 1, 2022 (such period commencing the date hereof and ending August l, 2022 shall be referred to as the “Vesting Period”).</w:t>
      </w:r>
    </w:p>
    <w:p>
      <w:pPr>
        <w:spacing w:after="0" w:line="188" w:lineRule="exact"/>
        <w:rPr>
          <w:rFonts w:ascii="Arial" w:cs="Arial" w:eastAsia="Arial" w:hAnsi="Arial"/>
          <w:sz w:val="18"/>
          <w:szCs w:val="18"/>
          <w:color w:val="auto"/>
        </w:rPr>
      </w:pPr>
    </w:p>
    <w:p>
      <w:pPr>
        <w:ind w:right="140" w:firstLine="884"/>
        <w:spacing w:after="0" w:line="274" w:lineRule="auto"/>
        <w:tabs>
          <w:tab w:leader="none" w:pos="1726" w:val="left"/>
        </w:tabs>
        <w:numPr>
          <w:ilvl w:val="1"/>
          <w:numId w:val="62"/>
        </w:numPr>
        <w:rPr>
          <w:rFonts w:ascii="Arial" w:cs="Arial" w:eastAsia="Arial" w:hAnsi="Arial"/>
          <w:sz w:val="17"/>
          <w:szCs w:val="17"/>
          <w:color w:val="auto"/>
        </w:rPr>
      </w:pPr>
      <w:r>
        <w:rPr>
          <w:rFonts w:ascii="Arial" w:cs="Arial" w:eastAsia="Arial" w:hAnsi="Arial"/>
          <w:sz w:val="17"/>
          <w:szCs w:val="17"/>
          <w:color w:val="auto"/>
        </w:rPr>
        <w:t>In the event a Termination of Employment of the Eligible Individual occurs during the Vesting Period for any reason (or for no reason), and except as provided in Section 4 below, then the terms of the Employment Agreement dated March 31, 2014 between TripAdvisor LLC and the Eligible Individual (as the same may be amended from time to time, the “Employment Agreement”) shall dictate the treatment of the Award and, to the extent it is not provided for in the Employment Agreement, then the terms of the Plan shall dictate the treatment of the Award.</w:t>
      </w:r>
    </w:p>
    <w:p>
      <w:pPr>
        <w:spacing w:after="0" w:line="171" w:lineRule="exact"/>
        <w:rPr>
          <w:rFonts w:ascii="Arial" w:cs="Arial" w:eastAsia="Arial" w:hAnsi="Arial"/>
          <w:sz w:val="17"/>
          <w:szCs w:val="17"/>
          <w:color w:val="auto"/>
        </w:rPr>
      </w:pPr>
    </w:p>
    <w:p>
      <w:pPr>
        <w:ind w:left="880" w:hanging="873"/>
        <w:spacing w:after="0"/>
        <w:tabs>
          <w:tab w:leader="none" w:pos="8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w:t>
      </w:r>
    </w:p>
    <w:p>
      <w:pPr>
        <w:spacing w:after="0" w:line="224" w:lineRule="exact"/>
        <w:rPr>
          <w:rFonts w:ascii="Arial" w:cs="Arial" w:eastAsia="Arial" w:hAnsi="Arial"/>
          <w:sz w:val="18"/>
          <w:szCs w:val="18"/>
          <w:b w:val="1"/>
          <w:bCs w:val="1"/>
          <w:color w:val="auto"/>
        </w:rPr>
      </w:pPr>
    </w:p>
    <w:p>
      <w:pPr>
        <w:jc w:val="both"/>
        <w:ind w:right="120" w:firstLine="884"/>
        <w:spacing w:after="0" w:line="281" w:lineRule="auto"/>
        <w:tabs>
          <w:tab w:leader="none" w:pos="1716"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67" w:lineRule="exact"/>
        <w:rPr>
          <w:rFonts w:ascii="Arial" w:cs="Arial" w:eastAsia="Arial" w:hAnsi="Arial"/>
          <w:sz w:val="17"/>
          <w:szCs w:val="17"/>
          <w:color w:val="auto"/>
        </w:rPr>
      </w:pPr>
    </w:p>
    <w:p>
      <w:pPr>
        <w:ind w:right="40" w:firstLine="884"/>
        <w:spacing w:after="0" w:line="306" w:lineRule="auto"/>
        <w:tabs>
          <w:tab w:leader="none" w:pos="1726"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Exercise Notice shall be accompanied by payment of the aggregate exercise price as to all Shares in respect of which the Option is being exercised. Payment of the aggregate exercise price shall be by any of the following, or a combination thereof, at the election of the Eligible Individual: (i) cash, (ii) check, (iii) a “broker-assisted” or “same-day sale”; or (iv) other method authorized by the Company and/or the Plan Administrator.</w:t>
      </w:r>
    </w:p>
    <w:p>
      <w:pPr>
        <w:spacing w:after="0" w:line="150" w:lineRule="exact"/>
        <w:rPr>
          <w:rFonts w:ascii="Arial" w:cs="Arial" w:eastAsia="Arial" w:hAnsi="Arial"/>
          <w:sz w:val="16"/>
          <w:szCs w:val="16"/>
          <w:color w:val="auto"/>
        </w:rPr>
      </w:pPr>
    </w:p>
    <w:p>
      <w:pPr>
        <w:ind w:right="100" w:firstLine="884"/>
        <w:spacing w:after="0" w:line="270" w:lineRule="auto"/>
        <w:tabs>
          <w:tab w:leader="none" w:pos="1716"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387350</wp:posOffset>
            </wp:positionV>
            <wp:extent cx="729043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29" w:name="page130"/>
    <w:bookmarkEnd w:id="129"/>
    <w:p>
      <w:pPr>
        <w:ind w:left="880" w:hanging="873"/>
        <w:spacing w:after="0"/>
        <w:tabs>
          <w:tab w:leader="none" w:pos="8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by the Company for Cause</w:t>
      </w:r>
    </w:p>
    <w:p>
      <w:pPr>
        <w:spacing w:after="0" w:line="224" w:lineRule="exact"/>
        <w:rPr>
          <w:rFonts w:ascii="Arial" w:cs="Arial" w:eastAsia="Arial" w:hAnsi="Arial"/>
          <w:sz w:val="18"/>
          <w:szCs w:val="18"/>
          <w:b w:val="1"/>
          <w:bCs w:val="1"/>
          <w:color w:val="auto"/>
        </w:rPr>
      </w:pPr>
    </w:p>
    <w:p>
      <w:pPr>
        <w:ind w:right="60" w:firstLine="884"/>
        <w:spacing w:after="0" w:line="285" w:lineRule="auto"/>
        <w:tabs>
          <w:tab w:leader="none" w:pos="1716"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•Notwithstanding the provisions of Section 2(b) above, in the event the Eligible Individual incurs a Termination of Employment for Cause or the Eligible Individual voluntarily incurs a Termination of Employment within two years after any event or circumstance that would have been grounds for a Termination of Employment for Cause, the Eligible Individual agrees that the Option (whether or not vested) shall be forfeited and cancelled in their entirety upon such Termination of Employment. In such event, the Company may cause the Eligible Individual, immediately upon notice from the Company, to either (i) return the Option and/or Shares issued upon exercise of Option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exercise of the Option during the two-year period after the events or circumstances giving rise to or constituting grounds for such Termination of Employment for Cause (i.e. the value of the Shares issued upon exercise of the Option and sold), in each case including any dividend equivalents or other distributions received in respect of any such Shares.</w:t>
      </w:r>
    </w:p>
    <w:p>
      <w:pPr>
        <w:spacing w:after="0" w:line="169" w:lineRule="exact"/>
        <w:rPr>
          <w:rFonts w:ascii="Arial" w:cs="Arial" w:eastAsia="Arial" w:hAnsi="Arial"/>
          <w:sz w:val="16"/>
          <w:szCs w:val="16"/>
          <w:color w:val="auto"/>
        </w:rPr>
      </w:pPr>
    </w:p>
    <w:p>
      <w:pPr>
        <w:ind w:right="320" w:firstLine="884"/>
        <w:spacing w:after="0" w:line="259" w:lineRule="auto"/>
        <w:tabs>
          <w:tab w:leader="none" w:pos="17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 purposes of this Agreement, employment with the Company shall include employment with the Company’s Subsidiaries or Affiliates. The Committee shall have the exclusive discretion to determine whether there has been any Termination of Employment and whether there existed Cause.</w:t>
      </w:r>
    </w:p>
    <w:p>
      <w:pPr>
        <w:spacing w:after="0" w:line="180" w:lineRule="exact"/>
        <w:rPr>
          <w:rFonts w:ascii="Arial" w:cs="Arial" w:eastAsia="Arial" w:hAnsi="Arial"/>
          <w:sz w:val="18"/>
          <w:szCs w:val="18"/>
          <w:color w:val="auto"/>
        </w:rPr>
      </w:pPr>
    </w:p>
    <w:p>
      <w:pPr>
        <w:ind w:left="880" w:hanging="873"/>
        <w:spacing w:after="0"/>
        <w:tabs>
          <w:tab w:leader="none" w:pos="8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the Option</w:t>
      </w:r>
    </w:p>
    <w:p>
      <w:pPr>
        <w:spacing w:after="0" w:line="224" w:lineRule="exact"/>
        <w:rPr>
          <w:sz w:val="20"/>
          <w:szCs w:val="20"/>
          <w:color w:val="auto"/>
        </w:rPr>
      </w:pPr>
    </w:p>
    <w:p>
      <w:pPr>
        <w:ind w:right="200" w:firstLine="878"/>
        <w:spacing w:after="0" w:line="334" w:lineRule="auto"/>
        <w:rPr>
          <w:sz w:val="20"/>
          <w:szCs w:val="20"/>
          <w:color w:val="auto"/>
        </w:rPr>
      </w:pPr>
      <w:r>
        <w:rPr>
          <w:rFonts w:ascii="Arial" w:cs="Arial" w:eastAsia="Arial" w:hAnsi="Arial"/>
          <w:sz w:val="16"/>
          <w:szCs w:val="16"/>
          <w:color w:val="auto"/>
        </w:rPr>
        <w:t>During the Vesting Period and until such time as the Option is ultimately exercised as provided herein or on the website of the Plan Administrator, the Option shall not be transferable by the Eligible Individual by means of sale, assignment, exchange, encumbrance, pledge, hedge or otherwise.</w:t>
      </w:r>
    </w:p>
    <w:p>
      <w:pPr>
        <w:spacing w:after="0" w:line="125" w:lineRule="exact"/>
        <w:rPr>
          <w:sz w:val="20"/>
          <w:szCs w:val="20"/>
          <w:color w:val="auto"/>
        </w:rPr>
      </w:pPr>
    </w:p>
    <w:p>
      <w:pPr>
        <w:ind w:left="880" w:hanging="873"/>
        <w:spacing w:after="0"/>
        <w:tabs>
          <w:tab w:leader="none" w:pos="8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224" w:lineRule="exact"/>
        <w:rPr>
          <w:sz w:val="20"/>
          <w:szCs w:val="20"/>
          <w:color w:val="auto"/>
        </w:rPr>
      </w:pPr>
    </w:p>
    <w:p>
      <w:pPr>
        <w:ind w:right="140" w:firstLine="878"/>
        <w:spacing w:after="0" w:line="270" w:lineRule="auto"/>
        <w:rPr>
          <w:sz w:val="20"/>
          <w:szCs w:val="20"/>
          <w:color w:val="auto"/>
        </w:rPr>
      </w:pPr>
      <w:r>
        <w:rPr>
          <w:rFonts w:ascii="Arial" w:cs="Arial" w:eastAsia="Arial" w:hAnsi="Arial"/>
          <w:sz w:val="18"/>
          <w:szCs w:val="18"/>
          <w:color w:val="auto"/>
        </w:rPr>
        <w:t>Except as otherwise specifically provided in this Agreement, until such time as the Option is exercised, the Eligible Individual shall not be entitled to any rights of a stockholder with respect to the Option.</w:t>
      </w:r>
    </w:p>
    <w:p>
      <w:pPr>
        <w:spacing w:after="0" w:line="171" w:lineRule="exact"/>
        <w:rPr>
          <w:sz w:val="20"/>
          <w:szCs w:val="20"/>
          <w:color w:val="auto"/>
        </w:rPr>
      </w:pPr>
    </w:p>
    <w:p>
      <w:pPr>
        <w:ind w:left="880" w:hanging="873"/>
        <w:spacing w:after="0"/>
        <w:tabs>
          <w:tab w:leader="none" w:pos="8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Change in Stock; Change in Control</w:t>
      </w:r>
    </w:p>
    <w:p>
      <w:pPr>
        <w:spacing w:after="0" w:line="224" w:lineRule="exact"/>
        <w:rPr>
          <w:rFonts w:ascii="Arial" w:cs="Arial" w:eastAsia="Arial" w:hAnsi="Arial"/>
          <w:sz w:val="18"/>
          <w:szCs w:val="18"/>
          <w:b w:val="1"/>
          <w:bCs w:val="1"/>
          <w:color w:val="auto"/>
        </w:rPr>
      </w:pPr>
    </w:p>
    <w:p>
      <w:pPr>
        <w:ind w:firstLine="884"/>
        <w:spacing w:after="0" w:line="271" w:lineRule="auto"/>
        <w:tabs>
          <w:tab w:leader="none" w:pos="1716" w:val="left"/>
        </w:tabs>
        <w:numPr>
          <w:ilvl w:val="1"/>
          <w:numId w:val="65"/>
        </w:numPr>
        <w:rPr>
          <w:rFonts w:ascii="Arial" w:cs="Arial" w:eastAsia="Arial" w:hAnsi="Arial"/>
          <w:sz w:val="17"/>
          <w:szCs w:val="17"/>
          <w:color w:val="auto"/>
        </w:rPr>
      </w:pPr>
      <w:r>
        <w:rPr>
          <w:rFonts w:ascii="Arial" w:cs="Arial" w:eastAsia="Arial" w:hAnsi="Arial"/>
          <w:sz w:val="17"/>
          <w:szCs w:val="17"/>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78" w:lineRule="exact"/>
        <w:rPr>
          <w:rFonts w:ascii="Arial" w:cs="Arial" w:eastAsia="Arial" w:hAnsi="Arial"/>
          <w:sz w:val="17"/>
          <w:szCs w:val="17"/>
          <w:color w:val="auto"/>
        </w:rPr>
      </w:pPr>
    </w:p>
    <w:p>
      <w:pPr>
        <w:ind w:right="20" w:firstLine="884"/>
        <w:spacing w:after="0" w:line="287" w:lineRule="auto"/>
        <w:tabs>
          <w:tab w:leader="none" w:pos="1726" w:val="left"/>
        </w:tabs>
        <w:numPr>
          <w:ilvl w:val="1"/>
          <w:numId w:val="65"/>
        </w:numPr>
        <w:rPr>
          <w:rFonts w:ascii="Arial" w:cs="Arial" w:eastAsia="Arial" w:hAnsi="Arial"/>
          <w:sz w:val="16"/>
          <w:szCs w:val="16"/>
          <w:color w:val="auto"/>
        </w:rPr>
      </w:pPr>
      <w:r>
        <w:rPr>
          <w:rFonts w:ascii="Arial" w:cs="Arial" w:eastAsia="Arial" w:hAnsi="Arial"/>
          <w:sz w:val="16"/>
          <w:szCs w:val="16"/>
          <w:color w:val="auto"/>
        </w:rPr>
        <w:t>In the case of Corporate Transactions, such adjustments may include, without limitation (i) the cancellation of the Option in exchange for payments of cash,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168" w:lineRule="exact"/>
        <w:rPr>
          <w:rFonts w:ascii="Arial" w:cs="Arial" w:eastAsia="Arial" w:hAnsi="Arial"/>
          <w:sz w:val="16"/>
          <w:szCs w:val="16"/>
          <w:color w:val="auto"/>
        </w:rPr>
      </w:pPr>
    </w:p>
    <w:p>
      <w:pPr>
        <w:ind w:left="1720" w:hanging="836"/>
        <w:spacing w:after="0"/>
        <w:tabs>
          <w:tab w:leader="none" w:pos="17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 all</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Participants.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30" w:name="page131"/>
    <w:bookmarkEnd w:id="130"/>
    <w:p>
      <w:pPr>
        <w:ind w:right="200" w:firstLine="884"/>
        <w:spacing w:after="0" w:line="289" w:lineRule="auto"/>
        <w:tabs>
          <w:tab w:leader="none" w:pos="1726" w:val="left"/>
        </w:tabs>
        <w:numPr>
          <w:ilvl w:val="1"/>
          <w:numId w:val="66"/>
        </w:numPr>
        <w:rPr>
          <w:rFonts w:ascii="Arial" w:cs="Arial" w:eastAsia="Arial" w:hAnsi="Arial"/>
          <w:sz w:val="16"/>
          <w:szCs w:val="16"/>
          <w:color w:val="auto"/>
        </w:rPr>
      </w:pPr>
      <w:r>
        <w:rPr>
          <w:rFonts w:ascii="Arial" w:cs="Arial" w:eastAsia="Arial" w:hAnsi="Arial"/>
          <w:sz w:val="16"/>
          <w:szCs w:val="16"/>
          <w:color w:val="auto"/>
        </w:rPr>
        <w:t>In the event of a Change in Control, the Award will be treated as though it vested annually pro rata over the Vesting Period, with a portion of the Award potentially accelerating and becoming exercisable as of the effective date of the Change in Control and the remaining unvested Option vesting pro rata on each anniversary of August 1, 2017 through the remaining Vesting Period. For purposes of illustration, in the case of an Award of 100 Options with a vesting start date of August 1, 2017 and vesting 50% on August 1, 2021 and 50% on August l, 2022, if a Change in Control were to occur on March l, 2020, then 40 Options would vest and become exercisable immediately on the effective date of the Change in Control and the remaining 60 Options would vest pro rata annually over the remaining Vesting Period, or 20 Options would vest on each of August l, 2020, August l, 2021 and August 1, 2022.</w:t>
      </w:r>
    </w:p>
    <w:p>
      <w:pPr>
        <w:spacing w:after="0" w:line="165" w:lineRule="exact"/>
        <w:rPr>
          <w:rFonts w:ascii="Arial" w:cs="Arial" w:eastAsia="Arial" w:hAnsi="Arial"/>
          <w:sz w:val="16"/>
          <w:szCs w:val="16"/>
          <w:color w:val="auto"/>
        </w:rPr>
      </w:pPr>
    </w:p>
    <w:p>
      <w:pPr>
        <w:ind w:right="100" w:firstLine="884"/>
        <w:spacing w:after="0" w:line="270" w:lineRule="auto"/>
        <w:tabs>
          <w:tab w:leader="none" w:pos="1716"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event of a Termination of Employment during the two year period following a Change in Control, the provisions of Section 10(b) of the Plan shall apply; provided, however, that the Committee in its discretion may provide for earlier accelerated vesting.</w:t>
      </w:r>
    </w:p>
    <w:p>
      <w:pPr>
        <w:spacing w:after="0" w:line="171" w:lineRule="exact"/>
        <w:rPr>
          <w:rFonts w:ascii="Arial" w:cs="Arial" w:eastAsia="Arial" w:hAnsi="Arial"/>
          <w:sz w:val="18"/>
          <w:szCs w:val="18"/>
          <w:color w:val="auto"/>
        </w:rPr>
      </w:pPr>
    </w:p>
    <w:p>
      <w:pPr>
        <w:ind w:left="880" w:hanging="873"/>
        <w:spacing w:after="0"/>
        <w:tabs>
          <w:tab w:leader="none" w:pos="8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Fees and Withholding</w:t>
      </w:r>
    </w:p>
    <w:p>
      <w:pPr>
        <w:spacing w:after="0" w:line="224" w:lineRule="exact"/>
        <w:rPr>
          <w:rFonts w:ascii="Arial" w:cs="Arial" w:eastAsia="Arial" w:hAnsi="Arial"/>
          <w:sz w:val="18"/>
          <w:szCs w:val="18"/>
          <w:b w:val="1"/>
          <w:bCs w:val="1"/>
          <w:color w:val="auto"/>
        </w:rPr>
      </w:pPr>
    </w:p>
    <w:p>
      <w:pPr>
        <w:ind w:right="380" w:firstLine="884"/>
        <w:spacing w:after="0" w:line="259" w:lineRule="auto"/>
        <w:tabs>
          <w:tab w:leader="none" w:pos="1716"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Option, together with any and all other fees and expenses necessarily incurred by the Company in connection therewith.</w:t>
      </w:r>
    </w:p>
    <w:p>
      <w:pPr>
        <w:spacing w:after="0" w:line="184" w:lineRule="exact"/>
        <w:rPr>
          <w:rFonts w:ascii="Arial" w:cs="Arial" w:eastAsia="Arial" w:hAnsi="Arial"/>
          <w:sz w:val="18"/>
          <w:szCs w:val="18"/>
          <w:color w:val="auto"/>
        </w:rPr>
      </w:pPr>
    </w:p>
    <w:p>
      <w:pPr>
        <w:ind w:firstLine="884"/>
        <w:spacing w:after="0" w:line="284" w:lineRule="auto"/>
        <w:tabs>
          <w:tab w:leader="none" w:pos="1726" w:val="left"/>
        </w:tabs>
        <w:numPr>
          <w:ilvl w:val="1"/>
          <w:numId w:val="67"/>
        </w:numPr>
        <w:rPr>
          <w:rFonts w:ascii="Arial" w:cs="Arial" w:eastAsia="Arial" w:hAnsi="Arial"/>
          <w:sz w:val="16"/>
          <w:szCs w:val="16"/>
          <w:color w:val="auto"/>
        </w:rPr>
      </w:pPr>
      <w:r>
        <w:rPr>
          <w:rFonts w:ascii="Arial" w:cs="Arial" w:eastAsia="Arial" w:hAnsi="Arial"/>
          <w:sz w:val="16"/>
          <w:szCs w:val="16"/>
          <w:color w:val="auto"/>
        </w:rPr>
        <w:t>Regardless of any action the Company, its Affiliate or Subsidiary takes with respect to any or all income tax, social insurance, payroll tax, payment on account or other tax related withholding (“Tax-Related Items”), the Eligible Individual acknowledges that the ultimate liability for all Tax-Related Items legally due by the Eligible Individual is and remains the Eligible Individual’s responsibility and that the Company and/or its Affiliate or Subsidiary</w:t>
      </w:r>
    </w:p>
    <w:p>
      <w:pPr>
        <w:ind w:right="160"/>
        <w:spacing w:after="0" w:line="297" w:lineRule="auto"/>
        <w:rPr>
          <w:rFonts w:ascii="Arial" w:cs="Arial" w:eastAsia="Arial" w:hAnsi="Arial"/>
          <w:sz w:val="16"/>
          <w:szCs w:val="16"/>
          <w:color w:val="auto"/>
        </w:rPr>
      </w:pPr>
      <w:r>
        <w:rPr>
          <w:rFonts w:ascii="Arial" w:cs="Arial" w:eastAsia="Arial" w:hAnsi="Arial"/>
          <w:sz w:val="16"/>
          <w:szCs w:val="16"/>
          <w:color w:val="auto"/>
        </w:rPr>
        <w:t>(1) make no representations or undertakings regarding the treatment of any Tax-Related Items in connection with any aspect of the Award, including the exercise of the Option and issuance of the Shares in connection therewith, the receipt of cash or any dividends or dividend equivalents; and (2) do not commit to structure the terms of the award or any aspect of the Option to reduce or eliminate the Eligible Individual’s liability for Tax-Related Items.</w:t>
      </w:r>
    </w:p>
    <w:p>
      <w:pPr>
        <w:spacing w:after="0" w:line="158" w:lineRule="exact"/>
        <w:rPr>
          <w:rFonts w:ascii="Arial" w:cs="Arial" w:eastAsia="Arial" w:hAnsi="Arial"/>
          <w:sz w:val="16"/>
          <w:szCs w:val="16"/>
          <w:color w:val="auto"/>
        </w:rPr>
      </w:pPr>
    </w:p>
    <w:p>
      <w:pPr>
        <w:ind w:right="60" w:firstLine="884"/>
        <w:spacing w:after="0" w:line="284" w:lineRule="auto"/>
        <w:tabs>
          <w:tab w:leader="none" w:pos="1716"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 the event that the Company, Subsidiary or Affiliate is required to withhold any Tax-Related Items as a result of the award, vesting or exercise of the Option,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exercise of the Option Award if the Eligible Individual fails to comply with his or her obligations in connection with the Tax-Related Items as described in this Section.</w:t>
      </w:r>
    </w:p>
    <w:p>
      <w:pPr>
        <w:spacing w:after="0" w:line="168" w:lineRule="exact"/>
        <w:rPr>
          <w:rFonts w:ascii="Arial" w:cs="Arial" w:eastAsia="Arial" w:hAnsi="Arial"/>
          <w:sz w:val="16"/>
          <w:szCs w:val="16"/>
          <w:color w:val="auto"/>
        </w:rPr>
      </w:pPr>
    </w:p>
    <w:p>
      <w:pPr>
        <w:ind w:right="80" w:firstLine="884"/>
        <w:spacing w:after="0" w:line="250" w:lineRule="auto"/>
        <w:tabs>
          <w:tab w:leader="none" w:pos="1726"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66" w:right="259" w:bottom="1440" w:gutter="0" w:footer="0" w:header="0"/>
        </w:sectPr>
      </w:pPr>
    </w:p>
    <w:bookmarkStart w:id="131" w:name="page132"/>
    <w:bookmarkEnd w:id="131"/>
    <w:p>
      <w:pPr>
        <w:ind w:left="873" w:hanging="873"/>
        <w:spacing w:after="0"/>
        <w:tabs>
          <w:tab w:leader="none" w:pos="873"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Restrictions</w:t>
      </w:r>
    </w:p>
    <w:p>
      <w:pPr>
        <w:spacing w:after="0" w:line="224" w:lineRule="exact"/>
        <w:rPr>
          <w:rFonts w:ascii="Arial" w:cs="Arial" w:eastAsia="Arial" w:hAnsi="Arial"/>
          <w:sz w:val="18"/>
          <w:szCs w:val="18"/>
          <w:b w:val="1"/>
          <w:bCs w:val="1"/>
          <w:color w:val="auto"/>
        </w:rPr>
      </w:pPr>
    </w:p>
    <w:p>
      <w:pPr>
        <w:ind w:left="-7" w:right="80" w:firstLine="884"/>
        <w:spacing w:after="0" w:line="274" w:lineRule="auto"/>
        <w:tabs>
          <w:tab w:leader="none" w:pos="1709"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5" w:lineRule="exact"/>
        <w:rPr>
          <w:rFonts w:ascii="Arial" w:cs="Arial" w:eastAsia="Arial" w:hAnsi="Arial"/>
          <w:sz w:val="17"/>
          <w:szCs w:val="17"/>
          <w:color w:val="auto"/>
        </w:rPr>
      </w:pPr>
    </w:p>
    <w:p>
      <w:pPr>
        <w:ind w:left="-7" w:firstLine="884"/>
        <w:spacing w:after="0" w:line="251" w:lineRule="auto"/>
        <w:tabs>
          <w:tab w:leader="none" w:pos="1719"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among other things,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9" w:lineRule="exact"/>
        <w:rPr>
          <w:rFonts w:ascii="Arial" w:cs="Arial" w:eastAsia="Arial" w:hAnsi="Arial"/>
          <w:sz w:val="18"/>
          <w:szCs w:val="18"/>
          <w:color w:val="auto"/>
        </w:rPr>
      </w:pPr>
    </w:p>
    <w:p>
      <w:pPr>
        <w:ind w:left="873" w:hanging="873"/>
        <w:spacing w:after="0"/>
        <w:tabs>
          <w:tab w:leader="none" w:pos="873"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224" w:lineRule="exact"/>
        <w:rPr>
          <w:rFonts w:ascii="Arial" w:cs="Arial" w:eastAsia="Arial" w:hAnsi="Arial"/>
          <w:sz w:val="18"/>
          <w:szCs w:val="18"/>
          <w:b w:val="1"/>
          <w:bCs w:val="1"/>
          <w:color w:val="auto"/>
        </w:rPr>
      </w:pPr>
    </w:p>
    <w:p>
      <w:pPr>
        <w:ind w:left="873"/>
        <w:spacing w:after="0"/>
        <w:rPr>
          <w:rFonts w:ascii="Arial" w:cs="Arial" w:eastAsia="Arial" w:hAnsi="Arial"/>
          <w:sz w:val="18"/>
          <w:szCs w:val="18"/>
          <w:b w:val="1"/>
          <w:bCs w:val="1"/>
          <w:color w:val="auto"/>
        </w:rPr>
      </w:pPr>
      <w:r>
        <w:rPr>
          <w:rFonts w:ascii="Arial" w:cs="Arial" w:eastAsia="Arial" w:hAnsi="Arial"/>
          <w:sz w:val="18"/>
          <w:szCs w:val="18"/>
          <w:color w:val="auto"/>
        </w:rPr>
        <w:t>In accepting the Award, the Eligible Individual acknowledges that:</w:t>
      </w:r>
    </w:p>
    <w:p>
      <w:pPr>
        <w:spacing w:after="0" w:line="220" w:lineRule="exact"/>
        <w:rPr>
          <w:rFonts w:ascii="Arial" w:cs="Arial" w:eastAsia="Arial" w:hAnsi="Arial"/>
          <w:sz w:val="18"/>
          <w:szCs w:val="18"/>
          <w:b w:val="1"/>
          <w:bCs w:val="1"/>
          <w:color w:val="auto"/>
        </w:rPr>
      </w:pPr>
    </w:p>
    <w:p>
      <w:pPr>
        <w:ind w:left="-7" w:right="640" w:firstLine="884"/>
        <w:spacing w:after="0" w:line="270" w:lineRule="auto"/>
        <w:tabs>
          <w:tab w:leader="none" w:pos="1709"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5" w:lineRule="exact"/>
        <w:rPr>
          <w:rFonts w:ascii="Arial" w:cs="Arial" w:eastAsia="Arial" w:hAnsi="Arial"/>
          <w:sz w:val="18"/>
          <w:szCs w:val="18"/>
          <w:color w:val="auto"/>
        </w:rPr>
      </w:pPr>
    </w:p>
    <w:p>
      <w:pPr>
        <w:ind w:left="-7" w:right="160" w:firstLine="884"/>
        <w:spacing w:after="0" w:line="270" w:lineRule="auto"/>
        <w:tabs>
          <w:tab w:leader="none" w:pos="1719"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Awards, or benefits in lieu of Awards, even if Awards have been awarded repeatedly in the past;</w:t>
      </w:r>
    </w:p>
    <w:p>
      <w:pPr>
        <w:spacing w:after="0" w:line="175" w:lineRule="exact"/>
        <w:rPr>
          <w:rFonts w:ascii="Arial" w:cs="Arial" w:eastAsia="Arial" w:hAnsi="Arial"/>
          <w:sz w:val="18"/>
          <w:szCs w:val="18"/>
          <w:color w:val="auto"/>
        </w:rPr>
      </w:pPr>
    </w:p>
    <w:p>
      <w:pPr>
        <w:ind w:left="1713" w:hanging="836"/>
        <w:spacing w:after="0"/>
        <w:tabs>
          <w:tab w:leader="none" w:pos="17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220" w:lineRule="exact"/>
        <w:rPr>
          <w:rFonts w:ascii="Arial" w:cs="Arial" w:eastAsia="Arial" w:hAnsi="Arial"/>
          <w:sz w:val="18"/>
          <w:szCs w:val="18"/>
          <w:color w:val="auto"/>
        </w:rPr>
      </w:pPr>
    </w:p>
    <w:p>
      <w:pPr>
        <w:jc w:val="both"/>
        <w:ind w:left="-7" w:right="420" w:firstLine="884"/>
        <w:spacing w:after="0" w:line="259" w:lineRule="auto"/>
        <w:tabs>
          <w:tab w:leader="none" w:pos="1719"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4" w:lineRule="exact"/>
        <w:rPr>
          <w:rFonts w:ascii="Arial" w:cs="Arial" w:eastAsia="Arial" w:hAnsi="Arial"/>
          <w:sz w:val="18"/>
          <w:szCs w:val="18"/>
          <w:color w:val="auto"/>
        </w:rPr>
      </w:pPr>
    </w:p>
    <w:p>
      <w:pPr>
        <w:ind w:left="1713" w:hanging="836"/>
        <w:spacing w:after="0"/>
        <w:tabs>
          <w:tab w:leader="none" w:pos="1713"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220" w:lineRule="exact"/>
        <w:rPr>
          <w:rFonts w:ascii="Arial" w:cs="Arial" w:eastAsia="Arial" w:hAnsi="Arial"/>
          <w:sz w:val="18"/>
          <w:szCs w:val="18"/>
          <w:color w:val="auto"/>
        </w:rPr>
      </w:pPr>
    </w:p>
    <w:p>
      <w:pPr>
        <w:ind w:left="-7" w:right="340" w:firstLine="884"/>
        <w:spacing w:after="0" w:line="270" w:lineRule="auto"/>
        <w:tabs>
          <w:tab w:leader="none" w:pos="1689"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Award is an extraordinary item that does not constitute regular compensation of any kind for services of any kind rendered to the Company, Subsidiary, or Affiliate;</w:t>
      </w:r>
    </w:p>
    <w:p>
      <w:pPr>
        <w:spacing w:after="0" w:line="175" w:lineRule="exact"/>
        <w:rPr>
          <w:rFonts w:ascii="Arial" w:cs="Arial" w:eastAsia="Arial" w:hAnsi="Arial"/>
          <w:sz w:val="18"/>
          <w:szCs w:val="18"/>
          <w:color w:val="auto"/>
        </w:rPr>
      </w:pPr>
    </w:p>
    <w:p>
      <w:pPr>
        <w:ind w:left="-7" w:right="120" w:firstLine="884"/>
        <w:spacing w:after="0" w:line="281" w:lineRule="auto"/>
        <w:tabs>
          <w:tab w:leader="none" w:pos="1719"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w:t>
      </w:r>
    </w:p>
    <w:p>
      <w:pPr>
        <w:spacing w:after="0" w:line="167" w:lineRule="exact"/>
        <w:rPr>
          <w:rFonts w:ascii="Arial" w:cs="Arial" w:eastAsia="Arial" w:hAnsi="Arial"/>
          <w:sz w:val="17"/>
          <w:szCs w:val="17"/>
          <w:color w:val="auto"/>
        </w:rPr>
      </w:pPr>
    </w:p>
    <w:p>
      <w:pPr>
        <w:ind w:left="-7" w:right="700" w:firstLine="884"/>
        <w:spacing w:after="0" w:line="270" w:lineRule="auto"/>
        <w:tabs>
          <w:tab w:leader="none" w:pos="1719"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event that the Eligible Individual is not an employee of the Company, a Subsidiary or an Affiliate, the Award will not be interpreted to form an employment contract or relationship with the Company; and</w:t>
      </w:r>
    </w:p>
    <w:p>
      <w:pPr>
        <w:spacing w:after="0" w:line="175"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29043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73"/>
          </w:cols>
          <w:pgMar w:left="247" w:top="561" w:right="279" w:bottom="1440" w:gutter="0" w:footer="0" w:header="0"/>
        </w:sectPr>
      </w:pPr>
    </w:p>
    <w:bookmarkStart w:id="132" w:name="page133"/>
    <w:bookmarkEnd w:id="132"/>
    <w:p>
      <w:pPr>
        <w:ind w:right="140" w:firstLine="884"/>
        <w:spacing w:after="0" w:line="269" w:lineRule="auto"/>
        <w:tabs>
          <w:tab w:leader="none" w:pos="1686" w:val="left"/>
        </w:tabs>
        <w:numPr>
          <w:ilvl w:val="1"/>
          <w:numId w:val="69"/>
        </w:numPr>
        <w:rPr>
          <w:rFonts w:ascii="Arial" w:cs="Arial" w:eastAsia="Arial" w:hAnsi="Arial"/>
          <w:sz w:val="17"/>
          <w:szCs w:val="17"/>
          <w:color w:val="auto"/>
        </w:rPr>
      </w:pPr>
      <w:r>
        <w:rPr>
          <w:rFonts w:ascii="Arial" w:cs="Arial" w:eastAsia="Arial" w:hAnsi="Arial"/>
          <w:sz w:val="17"/>
          <w:szCs w:val="17"/>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the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76" w:lineRule="exact"/>
        <w:rPr>
          <w:rFonts w:ascii="Arial" w:cs="Arial" w:eastAsia="Arial" w:hAnsi="Arial"/>
          <w:sz w:val="17"/>
          <w:szCs w:val="17"/>
          <w:color w:val="auto"/>
        </w:rPr>
      </w:pPr>
    </w:p>
    <w:p>
      <w:pPr>
        <w:ind w:left="880" w:hanging="873"/>
        <w:spacing w:after="0"/>
        <w:tabs>
          <w:tab w:leader="none" w:pos="8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p>
    <w:p>
      <w:pPr>
        <w:spacing w:after="0" w:line="224"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7"/>
          <w:szCs w:val="17"/>
          <w:color w:val="auto"/>
        </w:rPr>
        <w:t>The Company is not providing any tax, legal or financial advice, nor is the Company making any recommendations regarding the Eligible</w:t>
      </w:r>
    </w:p>
    <w:p>
      <w:pPr>
        <w:spacing w:after="0" w:line="3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8" w:lineRule="exact"/>
        <w:rPr>
          <w:sz w:val="20"/>
          <w:szCs w:val="20"/>
          <w:color w:val="auto"/>
        </w:rPr>
      </w:pPr>
    </w:p>
    <w:p>
      <w:pPr>
        <w:ind w:left="880" w:hanging="873"/>
        <w:spacing w:after="0"/>
        <w:tabs>
          <w:tab w:leader="none" w:pos="8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4" w:lineRule="exact"/>
        <w:rPr>
          <w:sz w:val="20"/>
          <w:szCs w:val="20"/>
          <w:color w:val="auto"/>
        </w:rPr>
      </w:pPr>
    </w:p>
    <w:p>
      <w:pPr>
        <w:jc w:val="both"/>
        <w:ind w:right="40" w:firstLine="878"/>
        <w:spacing w:after="0" w:line="259"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880" w:hanging="873"/>
        <w:spacing w:after="0"/>
        <w:tabs>
          <w:tab w:leader="none" w:pos="8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224" w:lineRule="exact"/>
        <w:rPr>
          <w:sz w:val="20"/>
          <w:szCs w:val="20"/>
          <w:color w:val="auto"/>
        </w:rPr>
      </w:pPr>
    </w:p>
    <w:p>
      <w:pPr>
        <w:ind w:right="160" w:firstLine="878"/>
        <w:spacing w:after="0" w:line="259"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3"/>
        <w:spacing w:after="0"/>
        <w:tabs>
          <w:tab w:leader="none" w:pos="8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Applicable to Construction; Consent to Jurisdiction</w:t>
      </w:r>
    </w:p>
    <w:p>
      <w:pPr>
        <w:spacing w:after="0" w:line="224" w:lineRule="exact"/>
        <w:rPr>
          <w:rFonts w:ascii="Arial" w:cs="Arial" w:eastAsia="Arial" w:hAnsi="Arial"/>
          <w:sz w:val="18"/>
          <w:szCs w:val="18"/>
          <w:b w:val="1"/>
          <w:bCs w:val="1"/>
          <w:color w:val="auto"/>
        </w:rPr>
      </w:pPr>
    </w:p>
    <w:p>
      <w:pPr>
        <w:ind w:right="220" w:firstLine="884"/>
        <w:spacing w:after="0" w:line="306" w:lineRule="auto"/>
        <w:tabs>
          <w:tab w:leader="none" w:pos="1716"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150" w:lineRule="exact"/>
        <w:rPr>
          <w:rFonts w:ascii="Arial" w:cs="Arial" w:eastAsia="Arial" w:hAnsi="Arial"/>
          <w:sz w:val="16"/>
          <w:szCs w:val="16"/>
          <w:color w:val="auto"/>
        </w:rPr>
      </w:pPr>
    </w:p>
    <w:p>
      <w:pPr>
        <w:ind w:firstLine="884"/>
        <w:spacing w:after="0" w:line="274" w:lineRule="auto"/>
        <w:tabs>
          <w:tab w:leader="none" w:pos="1726"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1" w:lineRule="exact"/>
        <w:rPr>
          <w:rFonts w:ascii="Arial" w:cs="Arial" w:eastAsia="Arial" w:hAnsi="Arial"/>
          <w:sz w:val="17"/>
          <w:szCs w:val="17"/>
          <w:color w:val="auto"/>
        </w:rPr>
      </w:pPr>
    </w:p>
    <w:p>
      <w:pPr>
        <w:ind w:left="880" w:hanging="873"/>
        <w:spacing w:after="0"/>
        <w:tabs>
          <w:tab w:leader="none" w:pos="8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224" w:lineRule="exact"/>
        <w:rPr>
          <w:rFonts w:ascii="Arial" w:cs="Arial" w:eastAsia="Arial" w:hAnsi="Arial"/>
          <w:sz w:val="18"/>
          <w:szCs w:val="18"/>
          <w:b w:val="1"/>
          <w:bCs w:val="1"/>
          <w:color w:val="auto"/>
        </w:rPr>
      </w:pPr>
    </w:p>
    <w:p>
      <w:pPr>
        <w:ind w:right="160" w:firstLine="884"/>
        <w:spacing w:after="0" w:line="259" w:lineRule="auto"/>
        <w:tabs>
          <w:tab w:leader="none" w:pos="1716"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rFonts w:ascii="Arial" w:cs="Arial" w:eastAsia="Arial" w:hAnsi="Arial"/>
          <w:sz w:val="18"/>
          <w:szCs w:val="18"/>
          <w:color w:val="auto"/>
        </w:rPr>
      </w:pPr>
    </w:p>
    <w:p>
      <w:pPr>
        <w:jc w:val="both"/>
        <w:ind w:right="60" w:firstLine="884"/>
        <w:spacing w:after="0" w:line="274" w:lineRule="auto"/>
        <w:tabs>
          <w:tab w:leader="none" w:pos="1726"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66" w:right="259" w:bottom="1440" w:gutter="0" w:footer="0" w:header="0"/>
        </w:sectPr>
      </w:pPr>
    </w:p>
    <w:bookmarkStart w:id="133" w:name="page134"/>
    <w:bookmarkEnd w:id="133"/>
    <w:p>
      <w:pPr>
        <w:spacing w:after="0" w:line="259" w:lineRule="auto"/>
        <w:rPr>
          <w:sz w:val="20"/>
          <w:szCs w:val="20"/>
          <w:color w:val="auto"/>
        </w:rPr>
      </w:pPr>
      <w:r>
        <w:rPr>
          <w:rFonts w:ascii="Arial" w:cs="Arial" w:eastAsia="Arial" w:hAnsi="Arial"/>
          <w:sz w:val="18"/>
          <w:szCs w:val="18"/>
          <w:color w:val="auto"/>
        </w:rPr>
        <w:t>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0" w:lineRule="exact"/>
        <w:rPr>
          <w:sz w:val="20"/>
          <w:szCs w:val="20"/>
          <w:color w:val="auto"/>
        </w:rPr>
      </w:pPr>
    </w:p>
    <w:p>
      <w:pPr>
        <w:ind w:left="880" w:hanging="873"/>
        <w:spacing w:after="0"/>
        <w:tabs>
          <w:tab w:leader="none" w:pos="8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224" w:lineRule="exact"/>
        <w:rPr>
          <w:rFonts w:ascii="Arial" w:cs="Arial" w:eastAsia="Arial" w:hAnsi="Arial"/>
          <w:sz w:val="18"/>
          <w:szCs w:val="18"/>
          <w:b w:val="1"/>
          <w:bCs w:val="1"/>
          <w:color w:val="auto"/>
        </w:rPr>
      </w:pPr>
    </w:p>
    <w:p>
      <w:pPr>
        <w:ind w:right="80" w:firstLine="884"/>
        <w:spacing w:after="0" w:line="287" w:lineRule="auto"/>
        <w:tabs>
          <w:tab w:leader="none" w:pos="1716"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8" w:lineRule="exact"/>
        <w:rPr>
          <w:rFonts w:ascii="Arial" w:cs="Arial" w:eastAsia="Arial" w:hAnsi="Arial"/>
          <w:sz w:val="16"/>
          <w:szCs w:val="16"/>
          <w:color w:val="auto"/>
        </w:rPr>
      </w:pPr>
    </w:p>
    <w:p>
      <w:pPr>
        <w:ind w:right="80" w:firstLine="884"/>
        <w:spacing w:after="0" w:line="268" w:lineRule="auto"/>
        <w:tabs>
          <w:tab w:leader="none" w:pos="1726"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0" w:lineRule="exact"/>
        <w:rPr>
          <w:rFonts w:ascii="Arial" w:cs="Arial" w:eastAsia="Arial" w:hAnsi="Arial"/>
          <w:sz w:val="17"/>
          <w:szCs w:val="17"/>
          <w:color w:val="auto"/>
        </w:rPr>
      </w:pPr>
    </w:p>
    <w:p>
      <w:pPr>
        <w:ind w:right="160" w:firstLine="884"/>
        <w:spacing w:after="0" w:line="292" w:lineRule="auto"/>
        <w:tabs>
          <w:tab w:leader="none" w:pos="1716"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8" w:lineRule="exact"/>
        <w:rPr>
          <w:rFonts w:ascii="Arial" w:cs="Arial" w:eastAsia="Arial" w:hAnsi="Arial"/>
          <w:sz w:val="16"/>
          <w:szCs w:val="16"/>
          <w:color w:val="auto"/>
        </w:rPr>
      </w:pPr>
    </w:p>
    <w:p>
      <w:pPr>
        <w:ind w:left="880" w:hanging="873"/>
        <w:spacing w:after="0"/>
        <w:tabs>
          <w:tab w:leader="none" w:pos="8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224" w:lineRule="exact"/>
        <w:rPr>
          <w:rFonts w:ascii="Arial" w:cs="Arial" w:eastAsia="Arial" w:hAnsi="Arial"/>
          <w:sz w:val="18"/>
          <w:szCs w:val="18"/>
          <w:b w:val="1"/>
          <w:bCs w:val="1"/>
          <w:color w:val="auto"/>
        </w:rPr>
      </w:pPr>
    </w:p>
    <w:p>
      <w:pPr>
        <w:ind w:right="40" w:firstLine="884"/>
        <w:spacing w:after="0" w:line="274" w:lineRule="auto"/>
        <w:tabs>
          <w:tab w:leader="none" w:pos="1716"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5" w:lineRule="exact"/>
        <w:rPr>
          <w:rFonts w:ascii="Arial" w:cs="Arial" w:eastAsia="Arial" w:hAnsi="Arial"/>
          <w:sz w:val="17"/>
          <w:szCs w:val="17"/>
          <w:color w:val="auto"/>
        </w:rPr>
      </w:pPr>
    </w:p>
    <w:p>
      <w:pPr>
        <w:ind w:right="60" w:firstLine="884"/>
        <w:spacing w:after="0" w:line="269" w:lineRule="auto"/>
        <w:tabs>
          <w:tab w:leader="none" w:pos="1726"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134" w:name="page135"/>
    <w:bookmarkEnd w:id="134"/>
    <w:p>
      <w:pPr>
        <w:ind w:left="880" w:hanging="873"/>
        <w:spacing w:after="0"/>
        <w:tabs>
          <w:tab w:leader="none" w:pos="8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Language</w:t>
      </w:r>
    </w:p>
    <w:p>
      <w:pPr>
        <w:spacing w:after="0" w:line="224"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80" w:lineRule="exact"/>
        <w:rPr>
          <w:sz w:val="20"/>
          <w:szCs w:val="20"/>
          <w:color w:val="auto"/>
        </w:rPr>
      </w:pPr>
    </w:p>
    <w:p>
      <w:pPr>
        <w:ind w:left="880" w:hanging="873"/>
        <w:spacing w:after="0"/>
        <w:tabs>
          <w:tab w:leader="none" w:pos="8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224" w:lineRule="exact"/>
        <w:rPr>
          <w:sz w:val="20"/>
          <w:szCs w:val="20"/>
          <w:color w:val="auto"/>
        </w:rPr>
      </w:pPr>
    </w:p>
    <w:p>
      <w:pPr>
        <w:ind w:right="40" w:firstLine="878"/>
        <w:spacing w:after="0" w:line="274" w:lineRule="auto"/>
        <w:rPr>
          <w:sz w:val="20"/>
          <w:szCs w:val="20"/>
          <w:color w:val="auto"/>
        </w:rPr>
      </w:pPr>
      <w:r>
        <w:rPr>
          <w:rFonts w:ascii="Arial" w:cs="Arial" w:eastAsia="Arial" w:hAnsi="Arial"/>
          <w:sz w:val="17"/>
          <w:szCs w:val="17"/>
          <w:color w:val="auto"/>
        </w:rPr>
        <w:t>The Company may, in its sole discretion, decide to deliver any documents related to the Award under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5" w:lineRule="exact"/>
        <w:rPr>
          <w:sz w:val="20"/>
          <w:szCs w:val="20"/>
          <w:color w:val="auto"/>
        </w:rPr>
      </w:pPr>
    </w:p>
    <w:p>
      <w:pPr>
        <w:ind w:firstLine="878"/>
        <w:spacing w:after="0" w:line="270" w:lineRule="auto"/>
        <w:rPr>
          <w:sz w:val="20"/>
          <w:szCs w:val="20"/>
          <w:color w:val="auto"/>
        </w:rPr>
      </w:pPr>
      <w:r>
        <w:rPr>
          <w:rFonts w:ascii="Arial" w:cs="Arial" w:eastAsia="Arial" w:hAnsi="Arial"/>
          <w:sz w:val="18"/>
          <w:szCs w:val="18"/>
          <w:color w:val="auto"/>
        </w:rPr>
        <w:t>By accepting this Agreement and participating in the Plan, the Eligible Individual agrees to be bound by the terms and conditions of the Plan and this Agreement, including the Grant Details.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the Company and the Eligible Individual have executed and delivered this Agreement as of the date first written above.</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20"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J. Kalvert</w:t>
            </w:r>
          </w:p>
        </w:tc>
      </w:tr>
      <w:tr>
        <w:trPr>
          <w:trHeight w:val="193"/>
        </w:trPr>
        <w:tc>
          <w:tcPr>
            <w:tcW w:w="600" w:type="dxa"/>
            <w:vAlign w:val="bottom"/>
          </w:tcPr>
          <w:p>
            <w:pPr>
              <w:spacing w:after="0"/>
              <w:rPr>
                <w:sz w:val="16"/>
                <w:szCs w:val="16"/>
                <w:color w:val="auto"/>
              </w:rPr>
            </w:pPr>
          </w:p>
        </w:tc>
        <w:tc>
          <w:tcPr>
            <w:tcW w:w="3960" w:type="dxa"/>
            <w:vAlign w:val="bottom"/>
          </w:tcPr>
          <w:p>
            <w:pPr>
              <w:spacing w:after="0" w:line="194" w:lineRule="exact"/>
              <w:rPr>
                <w:sz w:val="20"/>
                <w:szCs w:val="20"/>
                <w:color w:val="auto"/>
              </w:rPr>
            </w:pPr>
            <w:r>
              <w:rPr>
                <w:rFonts w:ascii="Arial" w:cs="Arial" w:eastAsia="Arial" w:hAnsi="Arial"/>
                <w:sz w:val="18"/>
                <w:szCs w:val="18"/>
                <w:color w:val="auto"/>
              </w:rPr>
              <w:t>Seth J. Kalvert,</w:t>
            </w:r>
          </w:p>
        </w:tc>
      </w:tr>
      <w:tr>
        <w:trPr>
          <w:trHeight w:val="214"/>
        </w:trPr>
        <w:tc>
          <w:tcPr>
            <w:tcW w:w="6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27"/>
        </w:trPr>
        <w:tc>
          <w:tcPr>
            <w:tcW w:w="6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General Counsel and Secretary</w:t>
            </w:r>
          </w:p>
        </w:tc>
      </w:tr>
      <w:tr>
        <w:trPr>
          <w:trHeight w:val="428"/>
        </w:trPr>
        <w:tc>
          <w:tcPr>
            <w:tcW w:w="60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221"/>
        </w:trPr>
        <w:tc>
          <w:tcPr>
            <w:tcW w:w="6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Stephen Kaufer</w:t>
            </w: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6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RESTRICTED STOCK UNIT AGREEMENT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(Time-Based)</w:t>
      </w:r>
    </w:p>
    <w:p>
      <w:pPr>
        <w:spacing w:after="0" w:line="203" w:lineRule="exact"/>
        <w:rPr>
          <w:sz w:val="20"/>
          <w:szCs w:val="20"/>
          <w:color w:val="auto"/>
        </w:rPr>
      </w:pPr>
    </w:p>
    <w:p>
      <w:pPr>
        <w:ind w:right="140" w:firstLine="878"/>
        <w:spacing w:after="0" w:line="261" w:lineRule="auto"/>
        <w:rPr>
          <w:sz w:val="20"/>
          <w:szCs w:val="20"/>
          <w:color w:val="auto"/>
        </w:rPr>
      </w:pPr>
      <w:r>
        <w:rPr>
          <w:rFonts w:ascii="Arial" w:cs="Arial" w:eastAsia="Arial" w:hAnsi="Arial"/>
          <w:sz w:val="18"/>
          <w:szCs w:val="18"/>
          <w:b w:val="1"/>
          <w:bCs w:val="1"/>
          <w:color w:val="auto"/>
        </w:rPr>
        <w:t xml:space="preserve">THIS RESTRICTED STOCK UNIT AGREEMENT </w:t>
      </w:r>
      <w:r>
        <w:rPr>
          <w:rFonts w:ascii="Arial" w:cs="Arial" w:eastAsia="Arial" w:hAnsi="Arial"/>
          <w:sz w:val="18"/>
          <w:szCs w:val="18"/>
          <w:color w:val="auto"/>
        </w:rPr>
        <w:t>(this “Agreement”), dated as of November 28, 2017 (the “Grant Date”),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TripAdvisor, Inc., a Delaware corporation (the “Company”), and Stephen Kaufer (the “Eligible Individual”), describes the terms of an award (the “Award”) of Restricted Stock Units to the Eligible Individual by the Company.</w:t>
      </w:r>
    </w:p>
    <w:p>
      <w:pPr>
        <w:spacing w:after="0" w:line="183" w:lineRule="exact"/>
        <w:rPr>
          <w:sz w:val="20"/>
          <w:szCs w:val="20"/>
          <w:color w:val="auto"/>
        </w:rPr>
      </w:pPr>
    </w:p>
    <w:p>
      <w:pPr>
        <w:ind w:right="220" w:firstLine="878"/>
        <w:spacing w:after="0" w:line="270"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Amended and Restated 2011 Stock and Annual Incentive Plan (as amended from time to time, the “Plan”).</w:t>
      </w:r>
    </w:p>
    <w:p>
      <w:pPr>
        <w:spacing w:after="0" w:line="171" w:lineRule="exact"/>
        <w:rPr>
          <w:sz w:val="20"/>
          <w:szCs w:val="20"/>
          <w:color w:val="auto"/>
        </w:rPr>
      </w:pPr>
    </w:p>
    <w:p>
      <w:pPr>
        <w:ind w:left="880" w:hanging="873"/>
        <w:spacing w:after="0"/>
        <w:tabs>
          <w:tab w:leader="none" w:pos="8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Vesting of Restricted Stock Units</w:t>
      </w:r>
    </w:p>
    <w:p>
      <w:pPr>
        <w:spacing w:after="0" w:line="224" w:lineRule="exact"/>
        <w:rPr>
          <w:rFonts w:ascii="Arial" w:cs="Arial" w:eastAsia="Arial" w:hAnsi="Arial"/>
          <w:sz w:val="18"/>
          <w:szCs w:val="18"/>
          <w:b w:val="1"/>
          <w:bCs w:val="1"/>
          <w:color w:val="auto"/>
        </w:rPr>
      </w:pPr>
    </w:p>
    <w:p>
      <w:pPr>
        <w:ind w:right="160" w:firstLine="884"/>
        <w:spacing w:after="0" w:line="253" w:lineRule="auto"/>
        <w:tabs>
          <w:tab w:leader="none" w:pos="1716" w:val="left"/>
        </w:tabs>
        <w:numPr>
          <w:ilvl w:val="1"/>
          <w:numId w:val="7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the Plan and the Grant Details (as defined below), the Company hereby grants 426,000 Restricted Stock Units to the Eligible Individual.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which is hereby incorporated by reference into, and shall be read as part and parcel of, this Agreement.</w:t>
      </w:r>
    </w:p>
    <w:p>
      <w:pPr>
        <w:spacing w:after="0" w:line="190" w:lineRule="exact"/>
        <w:rPr>
          <w:rFonts w:ascii="Arial" w:cs="Arial" w:eastAsia="Arial" w:hAnsi="Arial"/>
          <w:sz w:val="18"/>
          <w:szCs w:val="18"/>
          <w:color w:val="auto"/>
        </w:rPr>
      </w:pPr>
    </w:p>
    <w:p>
      <w:pPr>
        <w:ind w:right="160" w:firstLine="884"/>
        <w:spacing w:after="0" w:line="306" w:lineRule="auto"/>
        <w:tabs>
          <w:tab w:leader="none" w:pos="1726" w:val="left"/>
        </w:tabs>
        <w:numPr>
          <w:ilvl w:val="1"/>
          <w:numId w:val="77"/>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Grant Details and the Plan, 213,000 of the Restricted Stock Units shall vest and no longer be subject to any restriction on August 1, 2021 and 213,000 of the Restricted Stock Units shall vest and no longer be subject to any restriction on August I, 2022 (such period commencing August l, 2017 and during which restrictions apply shall be referred to as the “RSU Restriction Period”).</w:t>
      </w:r>
    </w:p>
    <w:p>
      <w:pPr>
        <w:spacing w:after="0" w:line="150" w:lineRule="exact"/>
        <w:rPr>
          <w:rFonts w:ascii="Arial" w:cs="Arial" w:eastAsia="Arial" w:hAnsi="Arial"/>
          <w:sz w:val="16"/>
          <w:szCs w:val="16"/>
          <w:color w:val="auto"/>
        </w:rPr>
      </w:pPr>
    </w:p>
    <w:p>
      <w:pPr>
        <w:ind w:right="100" w:firstLine="884"/>
        <w:spacing w:after="0" w:line="274" w:lineRule="auto"/>
        <w:tabs>
          <w:tab w:leader="none" w:pos="1716" w:val="left"/>
        </w:tabs>
        <w:numPr>
          <w:ilvl w:val="1"/>
          <w:numId w:val="77"/>
        </w:numPr>
        <w:rPr>
          <w:rFonts w:ascii="Arial" w:cs="Arial" w:eastAsia="Arial" w:hAnsi="Arial"/>
          <w:sz w:val="17"/>
          <w:szCs w:val="17"/>
          <w:color w:val="auto"/>
        </w:rPr>
      </w:pPr>
      <w:r>
        <w:rPr>
          <w:rFonts w:ascii="Arial" w:cs="Arial" w:eastAsia="Arial" w:hAnsi="Arial"/>
          <w:sz w:val="17"/>
          <w:szCs w:val="17"/>
          <w:color w:val="auto"/>
        </w:rPr>
        <w:t>In the event a Termination of Employment of the Eligible Individual occurs during the RSU Restriction Period for any reason (or for no reason) and except as provided in Section 2 below, the terms of the Employment Agreement dated March 31, 2014 between TripAdvisor LLC and the Eligible Individual (as the same may be amended from time to time, the “Employment Agreement”) shall dictate the treatment of the Award and, to the extent it is not provided for in the Employment Agreement, then the terms of the Plan shall dictate the treatment of the Award.</w:t>
      </w:r>
    </w:p>
    <w:p>
      <w:pPr>
        <w:spacing w:after="0" w:line="171" w:lineRule="exact"/>
        <w:rPr>
          <w:sz w:val="20"/>
          <w:szCs w:val="20"/>
          <w:color w:val="auto"/>
        </w:rPr>
      </w:pPr>
    </w:p>
    <w:p>
      <w:pPr>
        <w:ind w:left="880" w:hanging="873"/>
        <w:spacing w:after="0"/>
        <w:tabs>
          <w:tab w:leader="none" w:pos="8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by the Company for Cause.</w:t>
      </w:r>
    </w:p>
    <w:p>
      <w:pPr>
        <w:spacing w:after="0" w:line="224" w:lineRule="exact"/>
        <w:rPr>
          <w:rFonts w:ascii="Arial" w:cs="Arial" w:eastAsia="Arial" w:hAnsi="Arial"/>
          <w:sz w:val="18"/>
          <w:szCs w:val="18"/>
          <w:b w:val="1"/>
          <w:bCs w:val="1"/>
          <w:color w:val="auto"/>
        </w:rPr>
      </w:pPr>
    </w:p>
    <w:p>
      <w:pPr>
        <w:ind w:right="100" w:firstLine="884"/>
        <w:spacing w:after="0" w:line="266" w:lineRule="auto"/>
        <w:tabs>
          <w:tab w:leader="none" w:pos="1716" w:val="left"/>
        </w:tabs>
        <w:numPr>
          <w:ilvl w:val="1"/>
          <w:numId w:val="78"/>
        </w:numPr>
        <w:rPr>
          <w:rFonts w:ascii="Arial" w:cs="Arial" w:eastAsia="Arial" w:hAnsi="Arial"/>
          <w:sz w:val="17"/>
          <w:szCs w:val="17"/>
          <w:color w:val="auto"/>
        </w:rPr>
      </w:pPr>
      <w:r>
        <w:rPr>
          <w:rFonts w:ascii="Arial" w:cs="Arial" w:eastAsia="Arial" w:hAnsi="Arial"/>
          <w:sz w:val="17"/>
          <w:szCs w:val="17"/>
          <w:color w:val="auto"/>
        </w:rPr>
        <w:t>Notwithstanding the provisions of Section I(c)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Restricted Stock Units (whether or not vested) shall be forfeited and cancelled in their entirety upon such Termination of Employment. In such event, the Company may cause the Eligible Individual, immediately upon notice from the Company, to either (i) return the Shares issued upon settlement of Restricted Stock Units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Restricted Stock Units that vested during the two-year period after the events or circumstances giving rise to or constituting grounds for such Termination of Employment for Cause (i.e., the value of the Restricted Stock Units upon vesting), in each case including any dividend equivalents or other distributions received in respect of any such Restricted Stock Units.</w:t>
      </w:r>
    </w:p>
    <w:p>
      <w:pPr>
        <w:spacing w:after="0" w:line="183" w:lineRule="exact"/>
        <w:rPr>
          <w:rFonts w:ascii="Arial" w:cs="Arial" w:eastAsia="Arial" w:hAnsi="Arial"/>
          <w:sz w:val="17"/>
          <w:szCs w:val="17"/>
          <w:color w:val="auto"/>
        </w:rPr>
      </w:pPr>
    </w:p>
    <w:p>
      <w:pPr>
        <w:ind w:right="160" w:firstLine="884"/>
        <w:spacing w:after="0" w:line="259" w:lineRule="auto"/>
        <w:tabs>
          <w:tab w:leader="none" w:pos="1726"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325120</wp:posOffset>
            </wp:positionV>
            <wp:extent cx="729043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36" w:name="page137"/>
    <w:bookmarkEnd w:id="136"/>
    <w:p>
      <w:pPr>
        <w:ind w:left="880" w:hanging="873"/>
        <w:spacing w:after="0"/>
        <w:tabs>
          <w:tab w:leader="none" w:pos="8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224" w:lineRule="exact"/>
        <w:rPr>
          <w:sz w:val="20"/>
          <w:szCs w:val="20"/>
          <w:color w:val="auto"/>
        </w:rPr>
      </w:pPr>
    </w:p>
    <w:p>
      <w:pPr>
        <w:ind w:right="40" w:firstLine="878"/>
        <w:spacing w:after="0" w:line="289" w:lineRule="auto"/>
        <w:rPr>
          <w:sz w:val="20"/>
          <w:szCs w:val="20"/>
          <w:color w:val="auto"/>
        </w:rPr>
      </w:pPr>
      <w:r>
        <w:rPr>
          <w:rFonts w:ascii="Arial" w:cs="Arial" w:eastAsia="Arial" w:hAnsi="Arial"/>
          <w:sz w:val="16"/>
          <w:szCs w:val="16"/>
          <w:color w:val="auto"/>
        </w:rPr>
        <w:t>As soon as practicable after any Restricted Stock Units have vested and are no longer subject to the RSU Restriction Period, such Restricted Stock Units shall be settled. Subject to Section 6 (pertaining to the withholding of taxes), for each Restricted Stock Unit settled pursuant to this Section 2, the Company shall issue one Share for each vested Restricted Stock Unit and cause to be delivered to the Eligible Individual one or more unlegended, freely-transferable stock certificates in respect of such Shares issued upon settlement of the vested Restricted Stock Units. Notwithstanding the foregoing, the Company shall be entitled to hold the Shares issuable upon settlement of Restricted Stock Units that have vested until the Company or Plan Administrator shall have received from the Eligible Individual a duly executed Form W-9 or Form W-8, as applicable, as well as such other documents as may be legally required.</w:t>
      </w:r>
    </w:p>
    <w:p>
      <w:pPr>
        <w:spacing w:after="0" w:line="162" w:lineRule="exact"/>
        <w:rPr>
          <w:sz w:val="20"/>
          <w:szCs w:val="20"/>
          <w:color w:val="auto"/>
        </w:rPr>
      </w:pPr>
    </w:p>
    <w:p>
      <w:pPr>
        <w:ind w:left="880" w:hanging="873"/>
        <w:spacing w:after="0"/>
        <w:tabs>
          <w:tab w:leader="none" w:pos="8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the Restricted Stock Units</w:t>
      </w:r>
    </w:p>
    <w:p>
      <w:pPr>
        <w:spacing w:after="0" w:line="224" w:lineRule="exact"/>
        <w:rPr>
          <w:sz w:val="20"/>
          <w:szCs w:val="20"/>
          <w:color w:val="auto"/>
        </w:rPr>
      </w:pPr>
    </w:p>
    <w:p>
      <w:pPr>
        <w:jc w:val="both"/>
        <w:ind w:right="380" w:firstLine="878"/>
        <w:spacing w:after="0" w:line="259" w:lineRule="auto"/>
        <w:rPr>
          <w:sz w:val="20"/>
          <w:szCs w:val="20"/>
          <w:color w:val="auto"/>
        </w:rPr>
      </w:pPr>
      <w:r>
        <w:rPr>
          <w:rFonts w:ascii="Arial" w:cs="Arial" w:eastAsia="Arial" w:hAnsi="Arial"/>
          <w:sz w:val="18"/>
          <w:szCs w:val="18"/>
          <w:color w:val="auto"/>
        </w:rPr>
        <w:t>During the RSU Restriction Period and until such time as the Restricted Stock Units are settled as provided herein or on the website of the Plan Administrator, the Restricted Stock Units shall not be transferable by the Eligible Individual by means of sale, assignment, exchange, encumbrance, pledge, hedge or otherwise.</w:t>
      </w:r>
    </w:p>
    <w:p>
      <w:pPr>
        <w:spacing w:after="0" w:line="180" w:lineRule="exact"/>
        <w:rPr>
          <w:sz w:val="20"/>
          <w:szCs w:val="20"/>
          <w:color w:val="auto"/>
        </w:rPr>
      </w:pPr>
    </w:p>
    <w:p>
      <w:pPr>
        <w:ind w:left="880" w:hanging="873"/>
        <w:spacing w:after="0"/>
        <w:tabs>
          <w:tab w:leader="none" w:pos="8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224" w:lineRule="exact"/>
        <w:rPr>
          <w:sz w:val="20"/>
          <w:szCs w:val="20"/>
          <w:color w:val="auto"/>
        </w:rPr>
      </w:pPr>
    </w:p>
    <w:p>
      <w:pPr>
        <w:ind w:right="80" w:firstLine="878"/>
        <w:spacing w:after="0" w:line="287" w:lineRule="auto"/>
        <w:rPr>
          <w:sz w:val="20"/>
          <w:szCs w:val="20"/>
          <w:color w:val="auto"/>
        </w:rPr>
      </w:pPr>
      <w:r>
        <w:rPr>
          <w:rFonts w:ascii="Arial" w:cs="Arial" w:eastAsia="Arial" w:hAnsi="Arial"/>
          <w:sz w:val="16"/>
          <w:szCs w:val="16"/>
          <w:color w:val="auto"/>
        </w:rPr>
        <w:t>Except as otherwise specifically provided in this Agreement, during the RSU Restriction Period the Eligible Individual shall not be entitled to any rights of a stockholder with respect to the Restricted Stock Units. Notwithstanding the foregoing, if the Company declares and pays dividends on the Common Stock during the RSU Restriction Period, the Eligible Individual will be credited with additional amounts for each Restricted Stock Unit equal to the dividend that would have been paid with respect to such Restricted Stock Unit if it had been an actual share of Common Stock, which amount shall remain subject to restrictions (and as determined by the Committee may be reinvested in Restricted Stock Units or may be held in kind as restricted property) and shall vest concurrently with the vesting of the Restricted Stock Units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165" w:lineRule="exact"/>
        <w:rPr>
          <w:sz w:val="20"/>
          <w:szCs w:val="20"/>
          <w:color w:val="auto"/>
        </w:rPr>
      </w:pPr>
    </w:p>
    <w:p>
      <w:pPr>
        <w:ind w:left="880" w:hanging="873"/>
        <w:spacing w:after="0"/>
        <w:tabs>
          <w:tab w:leader="none" w:pos="8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Adiustment in the Event of Change in Stock; Change in Control</w:t>
      </w:r>
    </w:p>
    <w:p>
      <w:pPr>
        <w:spacing w:after="0" w:line="224" w:lineRule="exact"/>
        <w:rPr>
          <w:rFonts w:ascii="Arial" w:cs="Arial" w:eastAsia="Arial" w:hAnsi="Arial"/>
          <w:sz w:val="18"/>
          <w:szCs w:val="18"/>
          <w:b w:val="1"/>
          <w:bCs w:val="1"/>
          <w:color w:val="auto"/>
        </w:rPr>
      </w:pPr>
    </w:p>
    <w:p>
      <w:pPr>
        <w:ind w:firstLine="884"/>
        <w:spacing w:after="0" w:line="292" w:lineRule="auto"/>
        <w:tabs>
          <w:tab w:leader="none" w:pos="1716" w:val="left"/>
        </w:tabs>
        <w:numPr>
          <w:ilvl w:val="1"/>
          <w:numId w:val="82"/>
        </w:numPr>
        <w:rPr>
          <w:rFonts w:ascii="Arial" w:cs="Arial" w:eastAsia="Arial" w:hAnsi="Arial"/>
          <w:sz w:val="16"/>
          <w:szCs w:val="16"/>
          <w:color w:val="auto"/>
        </w:rPr>
      </w:pPr>
      <w:r>
        <w:rPr>
          <w:rFonts w:ascii="Arial" w:cs="Arial" w:eastAsia="Arial" w:hAnsi="Arial"/>
          <w:sz w:val="16"/>
          <w:szCs w:val="16"/>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Restricted Stock Units and the number and kind of shares of Common Stock underlying the Restricted Stock Units.</w:t>
      </w:r>
    </w:p>
    <w:p>
      <w:pPr>
        <w:spacing w:after="0" w:line="162" w:lineRule="exact"/>
        <w:rPr>
          <w:rFonts w:ascii="Arial" w:cs="Arial" w:eastAsia="Arial" w:hAnsi="Arial"/>
          <w:sz w:val="16"/>
          <w:szCs w:val="16"/>
          <w:color w:val="auto"/>
        </w:rPr>
      </w:pPr>
    </w:p>
    <w:p>
      <w:pPr>
        <w:ind w:right="20" w:firstLine="884"/>
        <w:spacing w:after="0" w:line="267" w:lineRule="auto"/>
        <w:tabs>
          <w:tab w:leader="none" w:pos="1726" w:val="left"/>
        </w:tabs>
        <w:numPr>
          <w:ilvl w:val="1"/>
          <w:numId w:val="82"/>
        </w:numPr>
        <w:rPr>
          <w:rFonts w:ascii="Arial" w:cs="Arial" w:eastAsia="Arial" w:hAnsi="Arial"/>
          <w:sz w:val="17"/>
          <w:szCs w:val="17"/>
          <w:color w:val="auto"/>
        </w:rPr>
      </w:pPr>
      <w:r>
        <w:rPr>
          <w:rFonts w:ascii="Arial" w:cs="Arial" w:eastAsia="Arial" w:hAnsi="Arial"/>
          <w:sz w:val="17"/>
          <w:szCs w:val="17"/>
          <w:color w:val="auto"/>
        </w:rPr>
        <w:t>In the case of Corporate Transactions, such adjustments may include, without limitation (i) the cancellation of the Restricted Stock Units in exchange for payments of cash, property or a combination thereof having an aggregate value equal to the value of such Restricted Stock Units, as determined by the Committee or the Board in its sole discretion, (ii) the substitution of other property (including, without limitation, cash or other securities of the Company and securities of entities other than the Company) for the shares of Common Stock underlying the Restricted Stock Units and (iii) in connection with any Disaffiliation, arranging for the assumption of the Restricted Stock Units, or the replacement of the Restricted Stock Units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Units that remain based upon securities of the Company).</w:t>
      </w:r>
    </w:p>
    <w:p>
      <w:pPr>
        <w:spacing w:after="0" w:line="182" w:lineRule="exact"/>
        <w:rPr>
          <w:rFonts w:ascii="Arial" w:cs="Arial" w:eastAsia="Arial" w:hAnsi="Arial"/>
          <w:sz w:val="17"/>
          <w:szCs w:val="17"/>
          <w:color w:val="auto"/>
        </w:rPr>
      </w:pPr>
    </w:p>
    <w:p>
      <w:pPr>
        <w:ind w:left="1720" w:hanging="836"/>
        <w:spacing w:after="0"/>
        <w:tabs>
          <w:tab w:leader="none" w:pos="17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wil1 be final and conclusive and need not be the same for all</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Eligible Individuals.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37" w:name="page138"/>
    <w:bookmarkEnd w:id="137"/>
    <w:p>
      <w:pPr>
        <w:jc w:val="both"/>
        <w:ind w:left="-7" w:right="100" w:firstLine="884"/>
        <w:spacing w:after="0" w:line="326" w:lineRule="auto"/>
        <w:tabs>
          <w:tab w:leader="none" w:pos="1719" w:val="left"/>
        </w:tabs>
        <w:numPr>
          <w:ilvl w:val="1"/>
          <w:numId w:val="83"/>
        </w:numPr>
        <w:rPr>
          <w:rFonts w:ascii="Arial" w:cs="Arial" w:eastAsia="Arial" w:hAnsi="Arial"/>
          <w:sz w:val="14"/>
          <w:szCs w:val="14"/>
          <w:color w:val="auto"/>
        </w:rPr>
      </w:pPr>
      <w:r>
        <w:rPr>
          <w:rFonts w:ascii="Arial" w:cs="Arial" w:eastAsia="Arial" w:hAnsi="Arial"/>
          <w:sz w:val="14"/>
          <w:szCs w:val="14"/>
          <w:color w:val="auto"/>
        </w:rPr>
        <w:t>In the event of a Change in Control, the Award will be treated as though it vested annually pro rata over the RSU Restriction Period</w:t>
      </w:r>
      <w:r>
        <w:rPr>
          <w:rFonts w:ascii="Arial" w:cs="Arial" w:eastAsia="Arial" w:hAnsi="Arial"/>
          <w:sz w:val="14"/>
          <w:szCs w:val="14"/>
          <w:b w:val="1"/>
          <w:bCs w:val="1"/>
          <w:color w:val="auto"/>
        </w:rPr>
        <w:t>,</w:t>
      </w:r>
      <w:r>
        <w:rPr>
          <w:rFonts w:ascii="Arial" w:cs="Arial" w:eastAsia="Arial" w:hAnsi="Arial"/>
          <w:sz w:val="14"/>
          <w:szCs w:val="14"/>
          <w:color w:val="auto"/>
        </w:rPr>
        <w:t xml:space="preserve"> with a portion of the Award potentially accelerating and settling as of the effective date of the Change in Control and the remaining unvested Restricted Stock Units vesting pro rata on each anniversary of August l, 2017 through the remaining RSU Restriction Period. For purposes of illustration, in the case of an Award of</w:t>
      </w:r>
    </w:p>
    <w:p>
      <w:pPr>
        <w:spacing w:after="0" w:line="1" w:lineRule="exact"/>
        <w:rPr>
          <w:rFonts w:ascii="Arial" w:cs="Arial" w:eastAsia="Arial" w:hAnsi="Arial"/>
          <w:sz w:val="14"/>
          <w:szCs w:val="14"/>
          <w:color w:val="auto"/>
        </w:rPr>
      </w:pPr>
    </w:p>
    <w:p>
      <w:pPr>
        <w:ind w:left="-7" w:right="120" w:firstLine="7"/>
        <w:spacing w:after="0" w:line="250" w:lineRule="auto"/>
        <w:tabs>
          <w:tab w:leader="none" w:pos="3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Restricted Stock Units with a vesting start date of August 1, 2017 and vesting 50% on August 1</w:t>
      </w:r>
      <w:r>
        <w:rPr>
          <w:rFonts w:ascii="Arial" w:cs="Arial" w:eastAsia="Arial" w:hAnsi="Arial"/>
          <w:sz w:val="18"/>
          <w:szCs w:val="18"/>
          <w:b w:val="1"/>
          <w:bCs w:val="1"/>
          <w:color w:val="auto"/>
        </w:rPr>
        <w:t>,</w:t>
      </w:r>
      <w:r>
        <w:rPr>
          <w:rFonts w:ascii="Arial" w:cs="Arial" w:eastAsia="Arial" w:hAnsi="Arial"/>
          <w:sz w:val="18"/>
          <w:szCs w:val="18"/>
          <w:color w:val="auto"/>
        </w:rPr>
        <w:t xml:space="preserve"> 2021 and 50% on August 1, 2022, if a Change in Control were to occur on March 1</w:t>
      </w:r>
      <w:r>
        <w:rPr>
          <w:rFonts w:ascii="Arial" w:cs="Arial" w:eastAsia="Arial" w:hAnsi="Arial"/>
          <w:sz w:val="18"/>
          <w:szCs w:val="18"/>
          <w:b w:val="1"/>
          <w:bCs w:val="1"/>
          <w:color w:val="auto"/>
        </w:rPr>
        <w:t>,</w:t>
      </w:r>
      <w:r>
        <w:rPr>
          <w:rFonts w:ascii="Arial" w:cs="Arial" w:eastAsia="Arial" w:hAnsi="Arial"/>
          <w:sz w:val="18"/>
          <w:szCs w:val="18"/>
          <w:color w:val="auto"/>
        </w:rPr>
        <w:t xml:space="preserve"> 2020, then 40 Restricted Stock Units would vest and settle immediately on the effective date of the Change in Control and the remaining 60 Restricted Stock Units would vest pro rata over the remaining RSU Restriction Period, or 20 Restricted Stock Units would vest on each of August I, 2020, August 1, 2021, and August I, 2022.</w:t>
      </w:r>
    </w:p>
    <w:p>
      <w:pPr>
        <w:spacing w:after="0" w:line="192" w:lineRule="exact"/>
        <w:rPr>
          <w:rFonts w:ascii="Arial" w:cs="Arial" w:eastAsia="Arial" w:hAnsi="Arial"/>
          <w:sz w:val="18"/>
          <w:szCs w:val="18"/>
          <w:color w:val="auto"/>
        </w:rPr>
      </w:pPr>
    </w:p>
    <w:p>
      <w:pPr>
        <w:ind w:left="-7" w:right="80" w:firstLine="884"/>
        <w:spacing w:after="0" w:line="270" w:lineRule="auto"/>
        <w:tabs>
          <w:tab w:leader="none" w:pos="1709"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event of a Termination of Employment during the two year period following a Change in Control, the provisions of Section 10(b) of the Plan shall apply; provided, however, the Committee in its discretion may provide for earlier accelerated vesting.</w:t>
      </w:r>
    </w:p>
    <w:p>
      <w:pPr>
        <w:spacing w:after="0" w:line="171" w:lineRule="exact"/>
        <w:rPr>
          <w:rFonts w:ascii="Arial" w:cs="Arial" w:eastAsia="Arial" w:hAnsi="Arial"/>
          <w:sz w:val="18"/>
          <w:szCs w:val="18"/>
          <w:color w:val="auto"/>
        </w:rPr>
      </w:pPr>
    </w:p>
    <w:p>
      <w:pPr>
        <w:ind w:left="873" w:hanging="873"/>
        <w:spacing w:after="0"/>
        <w:tabs>
          <w:tab w:leader="none" w:pos="873"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Fees and Withholding</w:t>
      </w:r>
    </w:p>
    <w:p>
      <w:pPr>
        <w:spacing w:after="0" w:line="224" w:lineRule="exact"/>
        <w:rPr>
          <w:rFonts w:ascii="Arial" w:cs="Arial" w:eastAsia="Arial" w:hAnsi="Arial"/>
          <w:sz w:val="18"/>
          <w:szCs w:val="18"/>
          <w:b w:val="1"/>
          <w:bCs w:val="1"/>
          <w:color w:val="auto"/>
        </w:rPr>
      </w:pPr>
    </w:p>
    <w:p>
      <w:pPr>
        <w:ind w:left="-7" w:right="240" w:firstLine="884"/>
        <w:spacing w:after="0" w:line="259" w:lineRule="auto"/>
        <w:tabs>
          <w:tab w:leader="none" w:pos="170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Restricted Stock Units, together with any and all other fees and expenses necessarily incurred by the Company in connection therewith.</w:t>
      </w:r>
    </w:p>
    <w:p>
      <w:pPr>
        <w:spacing w:after="0" w:line="184" w:lineRule="exact"/>
        <w:rPr>
          <w:rFonts w:ascii="Arial" w:cs="Arial" w:eastAsia="Arial" w:hAnsi="Arial"/>
          <w:sz w:val="18"/>
          <w:szCs w:val="18"/>
          <w:color w:val="auto"/>
        </w:rPr>
      </w:pPr>
    </w:p>
    <w:p>
      <w:pPr>
        <w:ind w:left="-7" w:right="40" w:firstLine="884"/>
        <w:spacing w:after="0" w:line="289" w:lineRule="auto"/>
        <w:tabs>
          <w:tab w:leader="none" w:pos="1719" w:val="left"/>
        </w:tabs>
        <w:numPr>
          <w:ilvl w:val="1"/>
          <w:numId w:val="85"/>
        </w:numPr>
        <w:rPr>
          <w:rFonts w:ascii="Arial" w:cs="Arial" w:eastAsia="Arial" w:hAnsi="Arial"/>
          <w:sz w:val="16"/>
          <w:szCs w:val="16"/>
          <w:color w:val="auto"/>
        </w:rPr>
      </w:pPr>
      <w:r>
        <w:rPr>
          <w:rFonts w:ascii="Arial" w:cs="Arial" w:eastAsia="Arial" w:hAnsi="Arial"/>
          <w:sz w:val="16"/>
          <w:szCs w:val="16"/>
          <w:color w:val="auto"/>
        </w:rPr>
        <w:t>Regardless of any action the Company, its Affiliate or Subsidiary takes with respect to any or all income tax, social insurance, payroll tax, payment on account or other tax. related withholding (“Tax-Related Items”), the Eligible Individual acknowledges that the ultimate liability for all Tax-Related Items legally due by the Eligible Individual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Restricted Stock Units, the receipt of cash or any dividends or dividend equivalents; and (ii) do not commit to structure the terms of the Award or any aspect of the Restricted Stock Units to reduce or eliminate the Eligible Individual’s liability for Tax-Related Items.</w:t>
      </w:r>
    </w:p>
    <w:p>
      <w:pPr>
        <w:spacing w:after="0" w:line="165" w:lineRule="exact"/>
        <w:rPr>
          <w:rFonts w:ascii="Arial" w:cs="Arial" w:eastAsia="Arial" w:hAnsi="Arial"/>
          <w:sz w:val="16"/>
          <w:szCs w:val="16"/>
          <w:color w:val="auto"/>
        </w:rPr>
      </w:pPr>
    </w:p>
    <w:p>
      <w:pPr>
        <w:ind w:left="-7" w:firstLine="884"/>
        <w:spacing w:after="0" w:line="264" w:lineRule="auto"/>
        <w:tabs>
          <w:tab w:leader="none" w:pos="1709" w:val="left"/>
        </w:tabs>
        <w:numPr>
          <w:ilvl w:val="1"/>
          <w:numId w:val="85"/>
        </w:numPr>
        <w:rPr>
          <w:rFonts w:ascii="Arial" w:cs="Arial" w:eastAsia="Arial" w:hAnsi="Arial"/>
          <w:sz w:val="17"/>
          <w:szCs w:val="17"/>
          <w:color w:val="auto"/>
        </w:rPr>
      </w:pPr>
      <w:r>
        <w:rPr>
          <w:rFonts w:ascii="Arial" w:cs="Arial" w:eastAsia="Arial" w:hAnsi="Arial"/>
          <w:sz w:val="17"/>
          <w:szCs w:val="17"/>
          <w:color w:val="auto"/>
        </w:rPr>
        <w:t>In the event that the Company, Subsidiary or Affiliate is required to withhold any Tax-Related Items as a result of the award or vesting of the Restricted Stock Units,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Restricted Stock Unit if the Eligible Individual fails to comply with his or her obligations in connection with the Tax-Related Items as described in this Section.</w:t>
      </w:r>
    </w:p>
    <w:p>
      <w:pPr>
        <w:spacing w:after="0" w:line="191"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29043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93"/>
          </w:cols>
          <w:pgMar w:left="247" w:top="562" w:right="259" w:bottom="1440" w:gutter="0" w:footer="0" w:header="0"/>
        </w:sectPr>
      </w:pPr>
    </w:p>
    <w:bookmarkStart w:id="138" w:name="page139"/>
    <w:bookmarkEnd w:id="138"/>
    <w:p>
      <w:pPr>
        <w:ind w:left="-7" w:right="140" w:firstLine="884"/>
        <w:spacing w:after="0" w:line="250" w:lineRule="auto"/>
        <w:tabs>
          <w:tab w:leader="none" w:pos="1719"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93" w:lineRule="exact"/>
        <w:rPr>
          <w:rFonts w:ascii="Arial" w:cs="Arial" w:eastAsia="Arial" w:hAnsi="Arial"/>
          <w:sz w:val="18"/>
          <w:szCs w:val="18"/>
          <w:color w:val="auto"/>
        </w:rPr>
      </w:pPr>
    </w:p>
    <w:p>
      <w:pPr>
        <w:ind w:left="873" w:hanging="873"/>
        <w:spacing w:after="0"/>
        <w:tabs>
          <w:tab w:leader="none" w:pos="87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Restrictions</w:t>
      </w:r>
    </w:p>
    <w:p>
      <w:pPr>
        <w:spacing w:after="0" w:line="224" w:lineRule="exact"/>
        <w:rPr>
          <w:rFonts w:ascii="Arial" w:cs="Arial" w:eastAsia="Arial" w:hAnsi="Arial"/>
          <w:sz w:val="18"/>
          <w:szCs w:val="18"/>
          <w:b w:val="1"/>
          <w:bCs w:val="1"/>
          <w:color w:val="auto"/>
        </w:rPr>
      </w:pPr>
    </w:p>
    <w:p>
      <w:pPr>
        <w:ind w:left="-7" w:right="120" w:firstLine="884"/>
        <w:spacing w:after="0" w:line="274" w:lineRule="auto"/>
        <w:tabs>
          <w:tab w:leader="none" w:pos="1709"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5" w:lineRule="exact"/>
        <w:rPr>
          <w:rFonts w:ascii="Arial" w:cs="Arial" w:eastAsia="Arial" w:hAnsi="Arial"/>
          <w:sz w:val="17"/>
          <w:szCs w:val="17"/>
          <w:color w:val="auto"/>
        </w:rPr>
      </w:pPr>
    </w:p>
    <w:p>
      <w:pPr>
        <w:ind w:left="-7" w:firstLine="884"/>
        <w:spacing w:after="0" w:line="289" w:lineRule="auto"/>
        <w:tabs>
          <w:tab w:leader="none" w:pos="1719"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Restricted Stock Units,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61" w:lineRule="exact"/>
        <w:rPr>
          <w:rFonts w:ascii="Arial" w:cs="Arial" w:eastAsia="Arial" w:hAnsi="Arial"/>
          <w:sz w:val="16"/>
          <w:szCs w:val="16"/>
          <w:color w:val="auto"/>
        </w:rPr>
      </w:pPr>
    </w:p>
    <w:p>
      <w:pPr>
        <w:ind w:left="873" w:hanging="873"/>
        <w:spacing w:after="0"/>
        <w:tabs>
          <w:tab w:leader="none" w:pos="87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224" w:lineRule="exact"/>
        <w:rPr>
          <w:rFonts w:ascii="Arial" w:cs="Arial" w:eastAsia="Arial" w:hAnsi="Arial"/>
          <w:sz w:val="18"/>
          <w:szCs w:val="18"/>
          <w:b w:val="1"/>
          <w:bCs w:val="1"/>
          <w:color w:val="auto"/>
        </w:rPr>
      </w:pPr>
    </w:p>
    <w:p>
      <w:pPr>
        <w:ind w:left="873"/>
        <w:spacing w:after="0"/>
        <w:rPr>
          <w:rFonts w:ascii="Arial" w:cs="Arial" w:eastAsia="Arial" w:hAnsi="Arial"/>
          <w:sz w:val="18"/>
          <w:szCs w:val="18"/>
          <w:b w:val="1"/>
          <w:bCs w:val="1"/>
          <w:color w:val="auto"/>
        </w:rPr>
      </w:pPr>
      <w:r>
        <w:rPr>
          <w:rFonts w:ascii="Arial" w:cs="Arial" w:eastAsia="Arial" w:hAnsi="Arial"/>
          <w:sz w:val="18"/>
          <w:szCs w:val="18"/>
          <w:color w:val="auto"/>
        </w:rPr>
        <w:t>In accepting the Award, the Eligible Individual acknowledges that:</w:t>
      </w:r>
    </w:p>
    <w:p>
      <w:pPr>
        <w:spacing w:after="0" w:line="220" w:lineRule="exact"/>
        <w:rPr>
          <w:rFonts w:ascii="Arial" w:cs="Arial" w:eastAsia="Arial" w:hAnsi="Arial"/>
          <w:sz w:val="18"/>
          <w:szCs w:val="18"/>
          <w:b w:val="1"/>
          <w:bCs w:val="1"/>
          <w:color w:val="auto"/>
        </w:rPr>
      </w:pPr>
    </w:p>
    <w:p>
      <w:pPr>
        <w:ind w:left="-7" w:right="680" w:firstLine="884"/>
        <w:spacing w:after="0" w:line="270" w:lineRule="auto"/>
        <w:tabs>
          <w:tab w:leader="none" w:pos="170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5" w:lineRule="exact"/>
        <w:rPr>
          <w:rFonts w:ascii="Arial" w:cs="Arial" w:eastAsia="Arial" w:hAnsi="Arial"/>
          <w:sz w:val="18"/>
          <w:szCs w:val="18"/>
          <w:color w:val="auto"/>
        </w:rPr>
      </w:pPr>
    </w:p>
    <w:p>
      <w:pPr>
        <w:ind w:left="-7" w:right="180" w:firstLine="884"/>
        <w:spacing w:after="0" w:line="270" w:lineRule="auto"/>
        <w:tabs>
          <w:tab w:leader="none" w:pos="171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Awards, or benefits in lieu of Awards, even if Awards have been made repeatedly in the past;</w:t>
      </w:r>
    </w:p>
    <w:p>
      <w:pPr>
        <w:spacing w:after="0" w:line="175" w:lineRule="exact"/>
        <w:rPr>
          <w:rFonts w:ascii="Arial" w:cs="Arial" w:eastAsia="Arial" w:hAnsi="Arial"/>
          <w:sz w:val="18"/>
          <w:szCs w:val="18"/>
          <w:color w:val="auto"/>
        </w:rPr>
      </w:pPr>
    </w:p>
    <w:p>
      <w:pPr>
        <w:ind w:left="1713" w:hanging="836"/>
        <w:spacing w:after="0"/>
        <w:tabs>
          <w:tab w:leader="none" w:pos="1713"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220" w:lineRule="exact"/>
        <w:rPr>
          <w:rFonts w:ascii="Arial" w:cs="Arial" w:eastAsia="Arial" w:hAnsi="Arial"/>
          <w:sz w:val="18"/>
          <w:szCs w:val="18"/>
          <w:color w:val="auto"/>
        </w:rPr>
      </w:pPr>
    </w:p>
    <w:p>
      <w:pPr>
        <w:jc w:val="both"/>
        <w:ind w:left="-7" w:right="420" w:firstLine="884"/>
        <w:spacing w:after="0" w:line="259" w:lineRule="auto"/>
        <w:tabs>
          <w:tab w:leader="none" w:pos="171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4" w:lineRule="exact"/>
        <w:rPr>
          <w:rFonts w:ascii="Arial" w:cs="Arial" w:eastAsia="Arial" w:hAnsi="Arial"/>
          <w:sz w:val="18"/>
          <w:szCs w:val="18"/>
          <w:color w:val="auto"/>
        </w:rPr>
      </w:pPr>
    </w:p>
    <w:p>
      <w:pPr>
        <w:ind w:left="1713" w:hanging="836"/>
        <w:spacing w:after="0"/>
        <w:tabs>
          <w:tab w:leader="none" w:pos="171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220" w:lineRule="exact"/>
        <w:rPr>
          <w:rFonts w:ascii="Arial" w:cs="Arial" w:eastAsia="Arial" w:hAnsi="Arial"/>
          <w:sz w:val="18"/>
          <w:szCs w:val="18"/>
          <w:color w:val="auto"/>
        </w:rPr>
      </w:pPr>
    </w:p>
    <w:p>
      <w:pPr>
        <w:ind w:left="-7" w:right="380" w:firstLine="884"/>
        <w:spacing w:after="0" w:line="270" w:lineRule="auto"/>
        <w:tabs>
          <w:tab w:leader="none" w:pos="168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Award is an extraordinary item that does not constitute regular compensation of any kind for services of any kind rendered to the Company, Subsidiary, or Affiliate;</w:t>
      </w:r>
    </w:p>
    <w:p>
      <w:pPr>
        <w:spacing w:after="0" w:line="175"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29043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13"/>
          </w:cols>
          <w:pgMar w:left="247" w:top="566" w:right="239" w:bottom="1440" w:gutter="0" w:footer="0" w:header="0"/>
        </w:sectPr>
      </w:pPr>
    </w:p>
    <w:bookmarkStart w:id="139" w:name="page140"/>
    <w:bookmarkEnd w:id="139"/>
    <w:p>
      <w:pPr>
        <w:ind w:right="160" w:firstLine="884"/>
        <w:spacing w:after="0" w:line="306" w:lineRule="auto"/>
        <w:tabs>
          <w:tab w:leader="none" w:pos="1726"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50" w:lineRule="exact"/>
        <w:rPr>
          <w:rFonts w:ascii="Arial" w:cs="Arial" w:eastAsia="Arial" w:hAnsi="Arial"/>
          <w:sz w:val="16"/>
          <w:szCs w:val="16"/>
          <w:color w:val="auto"/>
        </w:rPr>
      </w:pPr>
    </w:p>
    <w:p>
      <w:pPr>
        <w:ind w:right="720" w:firstLine="884"/>
        <w:spacing w:after="0" w:line="270" w:lineRule="auto"/>
        <w:tabs>
          <w:tab w:leader="none" w:pos="1726"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 the event that the Eligible Individual is not an employee of the Company, a Subsidiary or an Affiliate, the Award will not be interpreted to form an employment contract or relationship with the Company; and</w:t>
      </w:r>
    </w:p>
    <w:p>
      <w:pPr>
        <w:spacing w:after="0" w:line="175" w:lineRule="exact"/>
        <w:rPr>
          <w:rFonts w:ascii="Arial" w:cs="Arial" w:eastAsia="Arial" w:hAnsi="Arial"/>
          <w:sz w:val="18"/>
          <w:szCs w:val="18"/>
          <w:color w:val="auto"/>
        </w:rPr>
      </w:pPr>
    </w:p>
    <w:p>
      <w:pPr>
        <w:ind w:right="160" w:firstLine="884"/>
        <w:spacing w:after="0" w:line="269" w:lineRule="auto"/>
        <w:tabs>
          <w:tab w:leader="none" w:pos="1686" w:val="left"/>
        </w:tabs>
        <w:numPr>
          <w:ilvl w:val="1"/>
          <w:numId w:val="88"/>
        </w:numPr>
        <w:rPr>
          <w:rFonts w:ascii="Arial" w:cs="Arial" w:eastAsia="Arial" w:hAnsi="Arial"/>
          <w:sz w:val="17"/>
          <w:szCs w:val="17"/>
          <w:color w:val="auto"/>
        </w:rPr>
      </w:pPr>
      <w:r>
        <w:rPr>
          <w:rFonts w:ascii="Arial" w:cs="Arial" w:eastAsia="Arial" w:hAnsi="Arial"/>
          <w:sz w:val="17"/>
          <w:szCs w:val="17"/>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the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76" w:lineRule="exact"/>
        <w:rPr>
          <w:rFonts w:ascii="Arial" w:cs="Arial" w:eastAsia="Arial" w:hAnsi="Arial"/>
          <w:sz w:val="17"/>
          <w:szCs w:val="17"/>
          <w:color w:val="auto"/>
        </w:rPr>
      </w:pPr>
    </w:p>
    <w:p>
      <w:pPr>
        <w:ind w:left="880" w:hanging="873"/>
        <w:spacing w:after="0"/>
        <w:tabs>
          <w:tab w:leader="none" w:pos="8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p>
    <w:p>
      <w:pPr>
        <w:spacing w:after="0" w:line="224" w:lineRule="exact"/>
        <w:rPr>
          <w:sz w:val="20"/>
          <w:szCs w:val="20"/>
          <w:color w:val="auto"/>
        </w:rPr>
      </w:pPr>
    </w:p>
    <w:p>
      <w:pPr>
        <w:ind w:right="140" w:firstLine="878"/>
        <w:spacing w:after="0" w:line="255"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4" w:lineRule="exact"/>
        <w:rPr>
          <w:sz w:val="20"/>
          <w:szCs w:val="20"/>
          <w:color w:val="auto"/>
        </w:rPr>
      </w:pPr>
    </w:p>
    <w:p>
      <w:pPr>
        <w:ind w:left="880" w:hanging="873"/>
        <w:spacing w:after="0"/>
        <w:tabs>
          <w:tab w:leader="none" w:pos="8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4" w:lineRule="exact"/>
        <w:rPr>
          <w:sz w:val="20"/>
          <w:szCs w:val="20"/>
          <w:color w:val="auto"/>
        </w:rPr>
      </w:pPr>
    </w:p>
    <w:p>
      <w:pPr>
        <w:ind w:right="120" w:firstLine="878"/>
        <w:spacing w:after="0" w:line="259"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880" w:hanging="873"/>
        <w:spacing w:after="0"/>
        <w:tabs>
          <w:tab w:leader="none" w:pos="8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224" w:lineRule="exact"/>
        <w:rPr>
          <w:sz w:val="20"/>
          <w:szCs w:val="20"/>
          <w:color w:val="auto"/>
        </w:rPr>
      </w:pPr>
    </w:p>
    <w:p>
      <w:pPr>
        <w:ind w:right="160" w:firstLine="878"/>
        <w:spacing w:after="0" w:line="259"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3"/>
        <w:spacing w:after="0"/>
        <w:tabs>
          <w:tab w:leader="none" w:pos="8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Applicable to Construction; Consent to Jurisdiction</w:t>
      </w:r>
    </w:p>
    <w:p>
      <w:pPr>
        <w:spacing w:after="0" w:line="224" w:lineRule="exact"/>
        <w:rPr>
          <w:rFonts w:ascii="Arial" w:cs="Arial" w:eastAsia="Arial" w:hAnsi="Arial"/>
          <w:sz w:val="18"/>
          <w:szCs w:val="18"/>
          <w:b w:val="1"/>
          <w:bCs w:val="1"/>
          <w:color w:val="auto"/>
        </w:rPr>
      </w:pPr>
    </w:p>
    <w:p>
      <w:pPr>
        <w:ind w:right="20" w:firstLine="884"/>
        <w:spacing w:after="0" w:line="367" w:lineRule="auto"/>
        <w:tabs>
          <w:tab w:leader="none" w:pos="1716" w:val="left"/>
        </w:tabs>
        <w:numPr>
          <w:ilvl w:val="1"/>
          <w:numId w:val="92"/>
        </w:numPr>
        <w:rPr>
          <w:rFonts w:ascii="Arial" w:cs="Arial" w:eastAsia="Arial" w:hAnsi="Arial"/>
          <w:sz w:val="14"/>
          <w:szCs w:val="14"/>
          <w:color w:val="auto"/>
        </w:rPr>
      </w:pPr>
      <w:r>
        <w:rPr>
          <w:rFonts w:ascii="Arial" w:cs="Arial" w:eastAsia="Arial" w:hAnsi="Arial"/>
          <w:sz w:val="14"/>
          <w:szCs w:val="14"/>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Units are subject to the terms and conditions of the Plan, which are hereby incorporated by reference.</w:t>
      </w:r>
    </w:p>
    <w:p>
      <w:pPr>
        <w:spacing w:after="0" w:line="115" w:lineRule="exact"/>
        <w:rPr>
          <w:rFonts w:ascii="Arial" w:cs="Arial" w:eastAsia="Arial" w:hAnsi="Arial"/>
          <w:sz w:val="14"/>
          <w:szCs w:val="14"/>
          <w:color w:val="auto"/>
        </w:rPr>
      </w:pPr>
    </w:p>
    <w:p>
      <w:pPr>
        <w:ind w:firstLine="884"/>
        <w:spacing w:after="0" w:line="274" w:lineRule="auto"/>
        <w:tabs>
          <w:tab w:leader="none" w:pos="1726" w:val="left"/>
        </w:tabs>
        <w:numPr>
          <w:ilvl w:val="1"/>
          <w:numId w:val="92"/>
        </w:numPr>
        <w:rPr>
          <w:rFonts w:ascii="Arial" w:cs="Arial" w:eastAsia="Arial" w:hAnsi="Arial"/>
          <w:sz w:val="17"/>
          <w:szCs w:val="17"/>
          <w:color w:val="auto"/>
        </w:rPr>
      </w:pPr>
      <w:r>
        <w:rPr>
          <w:rFonts w:ascii="Arial" w:cs="Arial" w:eastAsia="Arial" w:hAnsi="Arial"/>
          <w:sz w:val="17"/>
          <w:szCs w:val="17"/>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66" w:right="259" w:bottom="1440" w:gutter="0" w:footer="0" w:header="0"/>
        </w:sectPr>
      </w:pPr>
    </w:p>
    <w:bookmarkStart w:id="140" w:name="page141"/>
    <w:bookmarkEnd w:id="140"/>
    <w:p>
      <w:pPr>
        <w:ind w:left="873" w:hanging="873"/>
        <w:spacing w:after="0"/>
        <w:tabs>
          <w:tab w:leader="none" w:pos="873"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224" w:lineRule="exact"/>
        <w:rPr>
          <w:rFonts w:ascii="Arial" w:cs="Arial" w:eastAsia="Arial" w:hAnsi="Arial"/>
          <w:sz w:val="18"/>
          <w:szCs w:val="18"/>
          <w:b w:val="1"/>
          <w:bCs w:val="1"/>
          <w:color w:val="auto"/>
        </w:rPr>
      </w:pPr>
    </w:p>
    <w:p>
      <w:pPr>
        <w:ind w:left="-7" w:right="160" w:firstLine="884"/>
        <w:spacing w:after="0" w:line="259" w:lineRule="auto"/>
        <w:tabs>
          <w:tab w:leader="none" w:pos="1709"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rFonts w:ascii="Arial" w:cs="Arial" w:eastAsia="Arial" w:hAnsi="Arial"/>
          <w:sz w:val="18"/>
          <w:szCs w:val="18"/>
          <w:color w:val="auto"/>
        </w:rPr>
      </w:pPr>
    </w:p>
    <w:p>
      <w:pPr>
        <w:ind w:left="-7" w:firstLine="884"/>
        <w:spacing w:after="0" w:line="251" w:lineRule="auto"/>
        <w:tabs>
          <w:tab w:leader="none" w:pos="17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Restricted Stock Units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9" w:lineRule="exact"/>
        <w:rPr>
          <w:rFonts w:ascii="Arial" w:cs="Arial" w:eastAsia="Arial" w:hAnsi="Arial"/>
          <w:sz w:val="18"/>
          <w:szCs w:val="18"/>
          <w:color w:val="auto"/>
        </w:rPr>
      </w:pPr>
    </w:p>
    <w:p>
      <w:pPr>
        <w:ind w:left="873" w:hanging="873"/>
        <w:spacing w:after="0"/>
        <w:tabs>
          <w:tab w:leader="none" w:pos="873"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224" w:lineRule="exact"/>
        <w:rPr>
          <w:rFonts w:ascii="Arial" w:cs="Arial" w:eastAsia="Arial" w:hAnsi="Arial"/>
          <w:sz w:val="18"/>
          <w:szCs w:val="18"/>
          <w:b w:val="1"/>
          <w:bCs w:val="1"/>
          <w:color w:val="auto"/>
        </w:rPr>
      </w:pPr>
    </w:p>
    <w:p>
      <w:pPr>
        <w:ind w:left="-7" w:right="60" w:firstLine="884"/>
        <w:spacing w:after="0" w:line="287" w:lineRule="auto"/>
        <w:tabs>
          <w:tab w:leader="none" w:pos="1709"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8" w:lineRule="exact"/>
        <w:rPr>
          <w:rFonts w:ascii="Arial" w:cs="Arial" w:eastAsia="Arial" w:hAnsi="Arial"/>
          <w:sz w:val="16"/>
          <w:szCs w:val="16"/>
          <w:color w:val="auto"/>
        </w:rPr>
      </w:pPr>
    </w:p>
    <w:p>
      <w:pPr>
        <w:ind w:left="-7" w:right="60" w:firstLine="884"/>
        <w:spacing w:after="0" w:line="268" w:lineRule="auto"/>
        <w:tabs>
          <w:tab w:leader="none" w:pos="1719"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0" w:lineRule="exact"/>
        <w:rPr>
          <w:rFonts w:ascii="Arial" w:cs="Arial" w:eastAsia="Arial" w:hAnsi="Arial"/>
          <w:sz w:val="17"/>
          <w:szCs w:val="17"/>
          <w:color w:val="auto"/>
        </w:rPr>
      </w:pPr>
    </w:p>
    <w:p>
      <w:pPr>
        <w:ind w:left="-7" w:right="140" w:firstLine="884"/>
        <w:spacing w:after="0" w:line="292" w:lineRule="auto"/>
        <w:tabs>
          <w:tab w:leader="none" w:pos="1709"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62"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29043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93"/>
          </w:cols>
          <w:pgMar w:left="247" w:top="562" w:right="259" w:bottom="1440" w:gutter="0" w:footer="0" w:header="0"/>
        </w:sectPr>
      </w:pPr>
    </w:p>
    <w:bookmarkStart w:id="141" w:name="page142"/>
    <w:bookmarkEnd w:id="141"/>
    <w:p>
      <w:pPr>
        <w:ind w:left="880" w:hanging="873"/>
        <w:spacing w:after="0"/>
        <w:tabs>
          <w:tab w:leader="none" w:pos="8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224" w:lineRule="exact"/>
        <w:rPr>
          <w:rFonts w:ascii="Arial" w:cs="Arial" w:eastAsia="Arial" w:hAnsi="Arial"/>
          <w:sz w:val="18"/>
          <w:szCs w:val="18"/>
          <w:b w:val="1"/>
          <w:bCs w:val="1"/>
          <w:color w:val="auto"/>
        </w:rPr>
      </w:pPr>
    </w:p>
    <w:p>
      <w:pPr>
        <w:ind w:firstLine="884"/>
        <w:spacing w:after="0" w:line="274" w:lineRule="auto"/>
        <w:tabs>
          <w:tab w:leader="none" w:pos="1716"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5" w:lineRule="exact"/>
        <w:rPr>
          <w:rFonts w:ascii="Arial" w:cs="Arial" w:eastAsia="Arial" w:hAnsi="Arial"/>
          <w:sz w:val="17"/>
          <w:szCs w:val="17"/>
          <w:color w:val="auto"/>
        </w:rPr>
      </w:pPr>
    </w:p>
    <w:p>
      <w:pPr>
        <w:ind w:right="60" w:firstLine="884"/>
        <w:spacing w:after="0" w:line="269" w:lineRule="auto"/>
        <w:tabs>
          <w:tab w:leader="none" w:pos="1726"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This Award and payments made pursuant to this Agreement and the Plan are intended to qualify for an exemption from Section 409A of the Code. It the Company make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76" w:lineRule="exact"/>
        <w:rPr>
          <w:rFonts w:ascii="Arial" w:cs="Arial" w:eastAsia="Arial" w:hAnsi="Arial"/>
          <w:sz w:val="17"/>
          <w:szCs w:val="17"/>
          <w:color w:val="auto"/>
        </w:rPr>
      </w:pPr>
    </w:p>
    <w:p>
      <w:pPr>
        <w:ind w:left="880" w:hanging="873"/>
        <w:spacing w:after="0"/>
        <w:tabs>
          <w:tab w:leader="none" w:pos="8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language</w:t>
      </w:r>
    </w:p>
    <w:p>
      <w:pPr>
        <w:spacing w:after="0" w:line="224" w:lineRule="exact"/>
        <w:rPr>
          <w:sz w:val="20"/>
          <w:szCs w:val="20"/>
          <w:color w:val="auto"/>
        </w:rPr>
      </w:pPr>
    </w:p>
    <w:p>
      <w:pPr>
        <w:ind w:right="100" w:firstLine="878"/>
        <w:spacing w:after="0" w:line="259" w:lineRule="auto"/>
        <w:rPr>
          <w:sz w:val="20"/>
          <w:szCs w:val="20"/>
          <w:color w:val="auto"/>
        </w:rPr>
      </w:pPr>
      <w:r>
        <w:rPr>
          <w:rFonts w:ascii="Arial" w:cs="Arial" w:eastAsia="Arial" w:hAnsi="Arial"/>
          <w:sz w:val="18"/>
          <w:szCs w:val="18"/>
          <w:color w:val="auto"/>
        </w:rPr>
        <w:t>The Eligible Individual has received this Agreement and any other related communication and consents to having receives these document related to the plan translated into a language other than English and if the translated version is different than the English version in any way, the English version will control.</w:t>
      </w:r>
    </w:p>
    <w:p>
      <w:pPr>
        <w:spacing w:after="0" w:line="180" w:lineRule="exact"/>
        <w:rPr>
          <w:sz w:val="20"/>
          <w:szCs w:val="20"/>
          <w:color w:val="auto"/>
        </w:rPr>
      </w:pPr>
    </w:p>
    <w:p>
      <w:pPr>
        <w:ind w:left="880" w:hanging="873"/>
        <w:spacing w:after="0"/>
        <w:tabs>
          <w:tab w:leader="none" w:pos="8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224" w:lineRule="exact"/>
        <w:rPr>
          <w:sz w:val="20"/>
          <w:szCs w:val="20"/>
          <w:color w:val="auto"/>
        </w:rPr>
      </w:pPr>
    </w:p>
    <w:p>
      <w:pPr>
        <w:ind w:right="140" w:firstLine="878"/>
        <w:spacing w:after="0" w:line="255" w:lineRule="auto"/>
        <w:rPr>
          <w:sz w:val="20"/>
          <w:szCs w:val="20"/>
          <w:color w:val="auto"/>
        </w:rPr>
      </w:pPr>
      <w:r>
        <w:rPr>
          <w:rFonts w:ascii="Arial" w:cs="Arial" w:eastAsia="Arial" w:hAnsi="Arial"/>
          <w:sz w:val="18"/>
          <w:szCs w:val="18"/>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delivery and, if requested, to agree to participate in the Plan through an on-line or electronic system established and maintained by the Company or another third party designated by the Company.</w:t>
      </w:r>
    </w:p>
    <w:p>
      <w:pPr>
        <w:spacing w:after="0" w:line="188" w:lineRule="exact"/>
        <w:rPr>
          <w:sz w:val="20"/>
          <w:szCs w:val="20"/>
          <w:color w:val="auto"/>
        </w:rPr>
      </w:pPr>
    </w:p>
    <w:p>
      <w:pPr>
        <w:ind w:right="180" w:firstLine="878"/>
        <w:spacing w:after="0" w:line="270" w:lineRule="auto"/>
        <w:rPr>
          <w:sz w:val="20"/>
          <w:szCs w:val="20"/>
          <w:color w:val="auto"/>
        </w:rPr>
      </w:pPr>
      <w:r>
        <w:rPr>
          <w:rFonts w:ascii="Arial" w:cs="Arial" w:eastAsia="Arial" w:hAnsi="Arial"/>
          <w:sz w:val="18"/>
          <w:szCs w:val="18"/>
          <w:color w:val="auto"/>
        </w:rPr>
        <w:t>By accepting this Agreement and participating in the Plan, the Eligible Individual agrees to be bound by the terms and conditions of the Plan and this Agreement, including the Grant Details.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WITNESS WHEREOF, the Company and the Eligible Individual have executed and delivered this Agreement as of the date first written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47" w:lineRule="exact"/>
        <w:rPr>
          <w:sz w:val="20"/>
          <w:szCs w:val="20"/>
          <w:color w:val="auto"/>
        </w:rPr>
      </w:pPr>
    </w:p>
    <w:p>
      <w:pPr>
        <w:ind w:left="6860"/>
        <w:spacing w:after="0"/>
        <w:tabs>
          <w:tab w:leader="none" w:pos="7320" w:val="left"/>
        </w:tabs>
        <w:rPr>
          <w:sz w:val="20"/>
          <w:szCs w:val="20"/>
          <w:color w:val="auto"/>
        </w:rPr>
      </w:pPr>
      <w:r>
        <w:rPr>
          <w:rFonts w:ascii="Arial" w:cs="Arial" w:eastAsia="Arial" w:hAnsi="Arial"/>
          <w:sz w:val="18"/>
          <w:szCs w:val="18"/>
          <w:color w:val="auto"/>
        </w:rPr>
        <w:t>By:</w:t>
        <w:tab/>
        <w:t>/s/ Seth J. Kalvert</w:t>
      </w:r>
    </w:p>
    <w:p>
      <w:pPr>
        <w:spacing w:after="0" w:line="2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-130175</wp:posOffset>
            </wp:positionV>
            <wp:extent cx="25939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2593975" cy="8255"/>
                    </a:xfrm>
                    <a:prstGeom prst="rect">
                      <a:avLst/>
                    </a:prstGeom>
                    <a:noFill/>
                  </pic:spPr>
                </pic:pic>
              </a:graphicData>
            </a:graphic>
          </wp:anchor>
        </w:drawing>
      </w:r>
    </w:p>
    <w:p>
      <w:pPr>
        <w:ind w:left="7340"/>
        <w:spacing w:after="0"/>
        <w:rPr>
          <w:sz w:val="20"/>
          <w:szCs w:val="20"/>
          <w:color w:val="auto"/>
        </w:rPr>
      </w:pPr>
      <w:r>
        <w:rPr>
          <w:rFonts w:ascii="Arial" w:cs="Arial" w:eastAsia="Arial" w:hAnsi="Arial"/>
          <w:sz w:val="18"/>
          <w:szCs w:val="18"/>
          <w:color w:val="auto"/>
        </w:rPr>
        <w:t>Senior Vice President,</w:t>
      </w:r>
    </w:p>
    <w:p>
      <w:pPr>
        <w:spacing w:after="0" w:line="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General Counsel and Secretary</w:t>
      </w:r>
    </w:p>
    <w:p>
      <w:pPr>
        <w:spacing w:after="0" w:line="23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 Stephen Kaufer</w:t>
      </w:r>
    </w:p>
    <w:p>
      <w:pPr>
        <w:spacing w:after="0" w:line="2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-130175</wp:posOffset>
            </wp:positionV>
            <wp:extent cx="25939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259397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62" w:right="2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RESTRICTED STOCK UNIT AGREEMENT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 Based)</w:t>
      </w:r>
    </w:p>
    <w:p>
      <w:pPr>
        <w:spacing w:after="0" w:line="207"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THIS RESTRICTED STOCK UNIT AGREEMENT (this “Agreement”), dated as of November 28, 2017 (the “Grant Date”), between TripAdvisor, Inc., a Delaware corporation (the”Company”), and Stephen Kaufer (the “Eligible Individual”), describes the terms of an award (“Award”) of restricted stock units (“RSUs”) to the Eligible Individual by the Company.</w:t>
      </w:r>
    </w:p>
    <w:p>
      <w:pPr>
        <w:spacing w:after="0" w:line="184" w:lineRule="exact"/>
        <w:rPr>
          <w:sz w:val="20"/>
          <w:szCs w:val="20"/>
          <w:color w:val="auto"/>
        </w:rPr>
      </w:pPr>
    </w:p>
    <w:p>
      <w:pPr>
        <w:ind w:right="260" w:firstLine="878"/>
        <w:spacing w:after="0" w:line="270"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Amended and Restated 2011 Stock and Annual Incentive Plan (as amended from time to time, the “Plan”).</w:t>
      </w:r>
    </w:p>
    <w:p>
      <w:pPr>
        <w:spacing w:after="0" w:line="171" w:lineRule="exact"/>
        <w:rPr>
          <w:sz w:val="20"/>
          <w:szCs w:val="20"/>
          <w:color w:val="auto"/>
        </w:rPr>
      </w:pPr>
    </w:p>
    <w:p>
      <w:pPr>
        <w:ind w:left="880" w:hanging="873"/>
        <w:spacing w:after="0"/>
        <w:tabs>
          <w:tab w:leader="none" w:pos="8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Vesting of Restricted Stock Units</w:t>
      </w:r>
    </w:p>
    <w:p>
      <w:pPr>
        <w:spacing w:after="0" w:line="224" w:lineRule="exact"/>
        <w:rPr>
          <w:rFonts w:ascii="Arial" w:cs="Arial" w:eastAsia="Arial" w:hAnsi="Arial"/>
          <w:sz w:val="18"/>
          <w:szCs w:val="18"/>
          <w:b w:val="1"/>
          <w:bCs w:val="1"/>
          <w:color w:val="auto"/>
        </w:rPr>
      </w:pPr>
    </w:p>
    <w:p>
      <w:pPr>
        <w:ind w:right="80" w:firstLine="884"/>
        <w:spacing w:after="0" w:line="269" w:lineRule="auto"/>
        <w:tabs>
          <w:tab w:leader="none" w:pos="1716" w:val="left"/>
        </w:tabs>
        <w:numPr>
          <w:ilvl w:val="1"/>
          <w:numId w:val="96"/>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and the Plan and the Grant Details (as defined below), the Company hereby grants RSUs to the Eligible Individual in the target amount of 213,000 (“Target RSUs”) assuming target performance and up to a maximum of 266,250 RSUs, with the actual number of RSUs earned to be based on actual performance as more specifically described below.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which is hereby incorporated by reference into, and shall be read as part and parcel of, this Agreement.</w:t>
      </w:r>
    </w:p>
    <w:p>
      <w:pPr>
        <w:spacing w:after="0" w:line="180" w:lineRule="exact"/>
        <w:rPr>
          <w:rFonts w:ascii="Arial" w:cs="Arial" w:eastAsia="Arial" w:hAnsi="Arial"/>
          <w:sz w:val="17"/>
          <w:szCs w:val="17"/>
          <w:color w:val="auto"/>
        </w:rPr>
      </w:pPr>
    </w:p>
    <w:p>
      <w:pPr>
        <w:ind w:right="200" w:firstLine="884"/>
        <w:spacing w:after="0" w:line="297" w:lineRule="auto"/>
        <w:tabs>
          <w:tab w:leader="none" w:pos="1726"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The amount of RSUs earned under this Award will be based on the Company’s TSR (as defined below) performance over the period commencing January l, 2018 through December 31, 2020 (the “Performance Period”) relative to the TSR performance of the Nasdaq Composite Total Return Index (the “Index”) over the Performance Period. The amount of RSUs earned under this Award shall be determined based on the calculation of the applicable percentile ranking of the Company relative to the Index in accordance with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and the terms provided in this Agreement.</w:t>
      </w:r>
    </w:p>
    <w:p>
      <w:pPr>
        <w:spacing w:after="0" w:line="157" w:lineRule="exact"/>
        <w:rPr>
          <w:rFonts w:ascii="Arial" w:cs="Arial" w:eastAsia="Arial" w:hAnsi="Arial"/>
          <w:sz w:val="16"/>
          <w:szCs w:val="16"/>
          <w:color w:val="auto"/>
        </w:rPr>
      </w:pPr>
    </w:p>
    <w:p>
      <w:pPr>
        <w:ind w:firstLine="884"/>
        <w:spacing w:after="0" w:line="286" w:lineRule="auto"/>
        <w:tabs>
          <w:tab w:leader="none" w:pos="1716" w:val="left"/>
        </w:tabs>
        <w:numPr>
          <w:ilvl w:val="1"/>
          <w:numId w:val="96"/>
        </w:numPr>
        <w:rPr>
          <w:rFonts w:ascii="Arial" w:cs="Arial" w:eastAsia="Arial" w:hAnsi="Arial"/>
          <w:sz w:val="16"/>
          <w:szCs w:val="16"/>
          <w:color w:val="auto"/>
        </w:rPr>
      </w:pPr>
      <w:r>
        <w:rPr>
          <w:rFonts w:ascii="Arial" w:cs="Arial" w:eastAsia="Arial" w:hAnsi="Arial"/>
          <w:sz w:val="16"/>
          <w:szCs w:val="16"/>
          <w:color w:val="auto"/>
        </w:rPr>
        <w:t>For purposes of this Agreement, “TSR” means the change in fair market value over the specified period of time, expressed as a percentage, of an initial investment in specified common stock, including the effect of any dividends actually paid as if the dividends were reinvested in the stock of the Company or the Index, as the case may be, and proportionately adjusted for stock splits, reorganizations or similar transactions occurring during the Performance Period, as provided herein or as determined utilizing such methodology as the Committee, or its delegate, shall have approved. Notwithstanding the foregoing, the Committee, or its delegate, shall have the discretion to make appropriate and equitable adjustments of the TSR of any company (including the Company) whose shares trade ex-dividend as of December 31, 2020; provided, however, that no such adjustment shall be permitted if it would result in the loss of the otherwise available exemption of the Award under Section l62(m) of the Code. The TSR shall be based on the trailing 30-trading day average closing stock prices of the Company and the Index measured as of (and including the 30</w:t>
      </w:r>
      <w:r>
        <w:rPr>
          <w:rFonts w:ascii="Arial" w:cs="Arial" w:eastAsia="Arial" w:hAnsi="Arial"/>
          <w:sz w:val="13"/>
          <w:szCs w:val="13"/>
          <w:color w:val="auto"/>
        </w:rPr>
        <w:t>th</w:t>
      </w:r>
      <w:r>
        <w:rPr>
          <w:rFonts w:ascii="Arial" w:cs="Arial" w:eastAsia="Arial" w:hAnsi="Arial"/>
          <w:sz w:val="16"/>
          <w:szCs w:val="16"/>
          <w:color w:val="auto"/>
        </w:rPr>
        <w:t xml:space="preserve"> day) the first and last trading days of the Performance Period.</w:t>
      </w:r>
    </w:p>
    <w:p>
      <w:pPr>
        <w:spacing w:after="0" w:line="168" w:lineRule="exact"/>
        <w:rPr>
          <w:rFonts w:ascii="Arial" w:cs="Arial" w:eastAsia="Arial" w:hAnsi="Arial"/>
          <w:sz w:val="16"/>
          <w:szCs w:val="16"/>
          <w:color w:val="auto"/>
        </w:rPr>
      </w:pPr>
    </w:p>
    <w:p>
      <w:pPr>
        <w:ind w:right="40" w:firstLine="884"/>
        <w:spacing w:after="0" w:line="274" w:lineRule="auto"/>
        <w:tabs>
          <w:tab w:leader="none" w:pos="1726" w:val="left"/>
        </w:tabs>
        <w:numPr>
          <w:ilvl w:val="1"/>
          <w:numId w:val="96"/>
        </w:numPr>
        <w:rPr>
          <w:rFonts w:ascii="Arial" w:cs="Arial" w:eastAsia="Arial" w:hAnsi="Arial"/>
          <w:sz w:val="17"/>
          <w:szCs w:val="17"/>
          <w:color w:val="auto"/>
        </w:rPr>
      </w:pPr>
      <w:r>
        <w:rPr>
          <w:rFonts w:ascii="Arial" w:cs="Arial" w:eastAsia="Arial" w:hAnsi="Arial"/>
          <w:sz w:val="17"/>
          <w:szCs w:val="17"/>
          <w:color w:val="auto"/>
        </w:rPr>
        <w:t>Except as otherwise provided herein, in the event a Termination of Employment of the Eligible Individual occurs during the Performance Period for any reason (or for no reason), the terms of the Employment Agreement dated March 31, 2014 between TripAdvisor LLC and the Eligible Individual (as the same may be amended from time to time, the “Employment Agreement”) shall dictate the treatment of the Award and, to the extent it is not provided for in the Employment Agreement, then the terms of the Plan shall dictate the treatment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319405</wp:posOffset>
            </wp:positionV>
            <wp:extent cx="729043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43" w:name="page144"/>
    <w:bookmarkEnd w:id="143"/>
    <w:p>
      <w:pPr>
        <w:ind w:left="880" w:hanging="873"/>
        <w:spacing w:after="0"/>
        <w:tabs>
          <w:tab w:leader="none" w:pos="8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by the Company for Cause.</w:t>
      </w:r>
    </w:p>
    <w:p>
      <w:pPr>
        <w:spacing w:after="0" w:line="224" w:lineRule="exact"/>
        <w:rPr>
          <w:rFonts w:ascii="Arial" w:cs="Arial" w:eastAsia="Arial" w:hAnsi="Arial"/>
          <w:sz w:val="18"/>
          <w:szCs w:val="18"/>
          <w:b w:val="1"/>
          <w:bCs w:val="1"/>
          <w:color w:val="auto"/>
        </w:rPr>
      </w:pPr>
    </w:p>
    <w:p>
      <w:pPr>
        <w:ind w:firstLine="884"/>
        <w:spacing w:after="0" w:line="285" w:lineRule="auto"/>
        <w:tabs>
          <w:tab w:leader="none" w:pos="1716" w:val="left"/>
        </w:tabs>
        <w:numPr>
          <w:ilvl w:val="1"/>
          <w:numId w:val="97"/>
        </w:numPr>
        <w:rPr>
          <w:rFonts w:ascii="Arial" w:cs="Arial" w:eastAsia="Arial" w:hAnsi="Arial"/>
          <w:sz w:val="16"/>
          <w:szCs w:val="16"/>
          <w:color w:val="auto"/>
        </w:rPr>
      </w:pPr>
      <w:r>
        <w:rPr>
          <w:rFonts w:ascii="Arial" w:cs="Arial" w:eastAsia="Arial" w:hAnsi="Arial"/>
          <w:sz w:val="16"/>
          <w:szCs w:val="16"/>
          <w:color w:val="auto"/>
        </w:rPr>
        <w:t>Notwithstanding the provisions of Section 1(d) above, in the event that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canceled in their entirety upon such Termination of Employment.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69" w:lineRule="exact"/>
        <w:rPr>
          <w:rFonts w:ascii="Arial" w:cs="Arial" w:eastAsia="Arial" w:hAnsi="Arial"/>
          <w:sz w:val="16"/>
          <w:szCs w:val="16"/>
          <w:color w:val="auto"/>
        </w:rPr>
      </w:pPr>
    </w:p>
    <w:p>
      <w:pPr>
        <w:ind w:right="60" w:firstLine="884"/>
        <w:spacing w:after="0" w:line="259" w:lineRule="auto"/>
        <w:tabs>
          <w:tab w:leader="none" w:pos="1726" w:val="left"/>
        </w:tabs>
        <w:numPr>
          <w:ilvl w:val="1"/>
          <w:numId w:val="97"/>
        </w:numPr>
        <w:rPr>
          <w:rFonts w:ascii="Arial" w:cs="Arial" w:eastAsia="Arial" w:hAnsi="Arial"/>
          <w:sz w:val="18"/>
          <w:szCs w:val="18"/>
          <w:color w:val="auto"/>
        </w:rPr>
      </w:pPr>
      <w:r>
        <w:rPr>
          <w:rFonts w:ascii="Arial" w:cs="Arial" w:eastAsia="Arial" w:hAnsi="Arial"/>
          <w:sz w:val="18"/>
          <w:szCs w:val="18"/>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180" w:lineRule="exact"/>
        <w:rPr>
          <w:rFonts w:ascii="Arial" w:cs="Arial" w:eastAsia="Arial" w:hAnsi="Arial"/>
          <w:sz w:val="18"/>
          <w:szCs w:val="18"/>
          <w:color w:val="auto"/>
        </w:rPr>
      </w:pPr>
    </w:p>
    <w:p>
      <w:pPr>
        <w:ind w:left="880" w:hanging="873"/>
        <w:spacing w:after="0"/>
        <w:tabs>
          <w:tab w:leader="none" w:pos="8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220" w:lineRule="exact"/>
        <w:rPr>
          <w:sz w:val="20"/>
          <w:szCs w:val="20"/>
          <w:color w:val="auto"/>
        </w:rPr>
      </w:pPr>
    </w:p>
    <w:p>
      <w:pPr>
        <w:jc w:val="both"/>
        <w:ind w:right="80" w:firstLine="878"/>
        <w:spacing w:after="0" w:line="370" w:lineRule="auto"/>
        <w:rPr>
          <w:sz w:val="20"/>
          <w:szCs w:val="20"/>
          <w:color w:val="auto"/>
        </w:rPr>
      </w:pPr>
      <w:r>
        <w:rPr>
          <w:rFonts w:ascii="Arial" w:cs="Arial" w:eastAsia="Arial" w:hAnsi="Arial"/>
          <w:sz w:val="14"/>
          <w:szCs w:val="14"/>
          <w:color w:val="auto"/>
        </w:rPr>
        <w:t xml:space="preserve">As soon as practicable after any RSUs have vested and are no longer subject to the RSU Restriction Period, such </w:t>
      </w:r>
      <w:r>
        <w:rPr>
          <w:rFonts w:ascii="Arial" w:cs="Arial" w:eastAsia="Arial" w:hAnsi="Arial"/>
          <w:sz w:val="14"/>
          <w:szCs w:val="14"/>
          <w:b w:val="1"/>
          <w:bCs w:val="1"/>
          <w:color w:val="auto"/>
        </w:rPr>
        <w:t>RSUs</w:t>
      </w:r>
      <w:r>
        <w:rPr>
          <w:rFonts w:ascii="Arial" w:cs="Arial" w:eastAsia="Arial" w:hAnsi="Arial"/>
          <w:sz w:val="14"/>
          <w:szCs w:val="14"/>
          <w:color w:val="auto"/>
        </w:rPr>
        <w:t xml:space="preserve"> shall be settled. Subject to Section 6 (pertaining to the withholding of taxes), for each RSU settled pursuant to this Section 2, the Company shall issue one Share and cause to be delivered to the Eligible Individual one or more unlegended, freely-transferable stock certificates in respect of such Shares issued upon settlement of the vested RSUs.</w:t>
      </w:r>
    </w:p>
    <w:p>
      <w:pPr>
        <w:spacing w:after="0" w:line="110" w:lineRule="exact"/>
        <w:rPr>
          <w:sz w:val="20"/>
          <w:szCs w:val="20"/>
          <w:color w:val="auto"/>
        </w:rPr>
      </w:pPr>
    </w:p>
    <w:p>
      <w:pPr>
        <w:ind w:left="880" w:hanging="873"/>
        <w:spacing w:after="0"/>
        <w:tabs>
          <w:tab w:leader="none" w:pos="8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the Restricted Stock Units</w:t>
      </w:r>
    </w:p>
    <w:p>
      <w:pPr>
        <w:spacing w:after="0" w:line="224" w:lineRule="exact"/>
        <w:rPr>
          <w:sz w:val="20"/>
          <w:szCs w:val="20"/>
          <w:color w:val="auto"/>
        </w:rPr>
      </w:pPr>
    </w:p>
    <w:p>
      <w:pPr>
        <w:ind w:right="220" w:firstLine="878"/>
        <w:spacing w:after="0" w:line="334" w:lineRule="auto"/>
        <w:rPr>
          <w:sz w:val="20"/>
          <w:szCs w:val="20"/>
          <w:color w:val="auto"/>
        </w:rPr>
      </w:pPr>
      <w:r>
        <w:rPr>
          <w:rFonts w:ascii="Arial" w:cs="Arial" w:eastAsia="Arial" w:hAnsi="Arial"/>
          <w:sz w:val="16"/>
          <w:szCs w:val="16"/>
          <w:color w:val="auto"/>
        </w:rPr>
        <w:t>During the RSU Restriction Period and until such time as the RSUs are settled as provided herein or on the website of the Plan Administrator, the RSUs shall not be transferable by the Eligible Individual by means of sale, assignment, exchange, encumbrance, pledge, hedge or otherwise.</w:t>
      </w:r>
    </w:p>
    <w:p>
      <w:pPr>
        <w:spacing w:after="0" w:line="125" w:lineRule="exact"/>
        <w:rPr>
          <w:sz w:val="20"/>
          <w:szCs w:val="20"/>
          <w:color w:val="auto"/>
        </w:rPr>
      </w:pPr>
    </w:p>
    <w:p>
      <w:pPr>
        <w:ind w:left="880" w:hanging="873"/>
        <w:spacing w:after="0"/>
        <w:tabs>
          <w:tab w:leader="none" w:pos="8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224" w:lineRule="exact"/>
        <w:rPr>
          <w:sz w:val="20"/>
          <w:szCs w:val="20"/>
          <w:color w:val="auto"/>
        </w:rPr>
      </w:pPr>
    </w:p>
    <w:p>
      <w:pPr>
        <w:ind w:right="20" w:firstLine="878"/>
        <w:spacing w:after="0" w:line="268" w:lineRule="auto"/>
        <w:rPr>
          <w:sz w:val="20"/>
          <w:szCs w:val="20"/>
          <w:color w:val="auto"/>
        </w:rPr>
      </w:pPr>
      <w:r>
        <w:rPr>
          <w:rFonts w:ascii="Arial" w:cs="Arial" w:eastAsia="Arial" w:hAnsi="Arial"/>
          <w:sz w:val="17"/>
          <w:szCs w:val="17"/>
          <w:color w:val="auto"/>
        </w:rPr>
        <w:t xml:space="preserve">Except as otherwise specifically provided in this Agreement, during the RSU Restriction Period the Eligible Individual shall not be entitled to any rights of a stockholder with respect to the </w:t>
      </w:r>
      <w:r>
        <w:rPr>
          <w:rFonts w:ascii="Arial" w:cs="Arial" w:eastAsia="Arial" w:hAnsi="Arial"/>
          <w:sz w:val="17"/>
          <w:szCs w:val="17"/>
          <w:b w:val="1"/>
          <w:bCs w:val="1"/>
          <w:color w:val="auto"/>
        </w:rPr>
        <w:t>RS</w:t>
      </w:r>
      <w:r>
        <w:rPr>
          <w:rFonts w:ascii="Arial" w:cs="Arial" w:eastAsia="Arial" w:hAnsi="Arial"/>
          <w:sz w:val="17"/>
          <w:szCs w:val="17"/>
          <w:color w:val="auto"/>
        </w:rPr>
        <w:t>Us. Notwithstanding the foregoing, if the Company declares and pays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 or may be held in kind as restricted property) and shall vest concurrently with the vesting of the RSU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177" w:lineRule="exact"/>
        <w:rPr>
          <w:sz w:val="20"/>
          <w:szCs w:val="20"/>
          <w:color w:val="auto"/>
        </w:rPr>
      </w:pPr>
    </w:p>
    <w:p>
      <w:pPr>
        <w:ind w:left="880" w:hanging="873"/>
        <w:spacing w:after="0"/>
        <w:tabs>
          <w:tab w:leader="none" w:pos="8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Change in Stock; Change in Control</w:t>
      </w:r>
    </w:p>
    <w:p>
      <w:pPr>
        <w:spacing w:after="0" w:line="224" w:lineRule="exact"/>
        <w:rPr>
          <w:rFonts w:ascii="Arial" w:cs="Arial" w:eastAsia="Arial" w:hAnsi="Arial"/>
          <w:sz w:val="18"/>
          <w:szCs w:val="18"/>
          <w:b w:val="1"/>
          <w:bCs w:val="1"/>
          <w:color w:val="auto"/>
        </w:rPr>
      </w:pPr>
    </w:p>
    <w:p>
      <w:pPr>
        <w:ind w:right="20" w:firstLine="884"/>
        <w:spacing w:after="0" w:line="271" w:lineRule="auto"/>
        <w:tabs>
          <w:tab w:leader="none" w:pos="1716"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48" w:right="259" w:bottom="1440" w:gutter="0" w:footer="0" w:header="0"/>
        </w:sectPr>
      </w:pPr>
    </w:p>
    <w:bookmarkStart w:id="144" w:name="page145"/>
    <w:bookmarkEnd w:id="144"/>
    <w:p>
      <w:pPr>
        <w:ind w:right="60" w:firstLine="884"/>
        <w:spacing w:after="0" w:line="287" w:lineRule="auto"/>
        <w:tabs>
          <w:tab w:leader="none" w:pos="172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the case of Corporate Transactions, such adjustments may include, without limitation (i) the cancellation of the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68" w:lineRule="exact"/>
        <w:rPr>
          <w:rFonts w:ascii="Arial" w:cs="Arial" w:eastAsia="Arial" w:hAnsi="Arial"/>
          <w:sz w:val="16"/>
          <w:szCs w:val="16"/>
          <w:color w:val="auto"/>
        </w:rPr>
      </w:pPr>
    </w:p>
    <w:p>
      <w:pPr>
        <w:ind w:left="1720" w:hanging="836"/>
        <w:spacing w:after="0"/>
        <w:tabs>
          <w:tab w:leader="none" w:pos="17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the event of a Change in Control before the end of the Performance Period, upon consummation of the closing of the Change in</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 then:</w:t>
      </w:r>
    </w:p>
    <w:p>
      <w:pPr>
        <w:spacing w:after="0" w:line="207" w:lineRule="exact"/>
        <w:rPr>
          <w:rFonts w:ascii="Arial" w:cs="Arial" w:eastAsia="Arial" w:hAnsi="Arial"/>
          <w:sz w:val="16"/>
          <w:szCs w:val="16"/>
          <w:color w:val="auto"/>
        </w:rPr>
      </w:pPr>
    </w:p>
    <w:p>
      <w:pPr>
        <w:ind w:left="2620" w:right="80" w:hanging="864"/>
        <w:spacing w:after="0" w:line="259" w:lineRule="auto"/>
        <w:tabs>
          <w:tab w:leader="none" w:pos="26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 xml:space="preserve">The Performance Period shall end on the closing date of the Change in Control (for purposes of this section, the “Adjusted Performance Period”) for purposes of determining TSR for the Company and the Index and the number of RSUs that shall be earned for purposes of Section </w:t>
      </w:r>
      <w:r>
        <w:rPr>
          <w:rFonts w:ascii="Arial" w:cs="Arial" w:eastAsia="Arial" w:hAnsi="Arial"/>
          <w:sz w:val="18"/>
          <w:szCs w:val="18"/>
          <w:b w:val="1"/>
          <w:bCs w:val="1"/>
          <w:color w:val="auto"/>
        </w:rPr>
        <w:t>1</w:t>
      </w:r>
      <w:r>
        <w:rPr>
          <w:rFonts w:ascii="Arial" w:cs="Arial" w:eastAsia="Arial" w:hAnsi="Arial"/>
          <w:sz w:val="18"/>
          <w:szCs w:val="18"/>
          <w:color w:val="auto"/>
        </w:rPr>
        <w:t xml:space="preserve"> of this Agreement (“Earned RSUs”);</w:t>
      </w:r>
    </w:p>
    <w:p>
      <w:pPr>
        <w:spacing w:after="0" w:line="184" w:lineRule="exact"/>
        <w:rPr>
          <w:rFonts w:ascii="Arial" w:cs="Arial" w:eastAsia="Arial" w:hAnsi="Arial"/>
          <w:sz w:val="18"/>
          <w:szCs w:val="18"/>
          <w:color w:val="auto"/>
        </w:rPr>
      </w:pPr>
    </w:p>
    <w:p>
      <w:pPr>
        <w:ind w:left="2620" w:right="140" w:hanging="864"/>
        <w:spacing w:after="0" w:line="334" w:lineRule="auto"/>
        <w:tabs>
          <w:tab w:leader="none" w:pos="262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The Earned RSUs that would have vested through the date of the Change in Control, assuming daily pro rata vesting over the Performance Period, shall accelerate and vest and those RSUs shall settle as of the date of the Change in Control;</w:t>
      </w:r>
    </w:p>
    <w:p>
      <w:pPr>
        <w:spacing w:after="0" w:line="128" w:lineRule="exact"/>
        <w:rPr>
          <w:rFonts w:ascii="Arial" w:cs="Arial" w:eastAsia="Arial" w:hAnsi="Arial"/>
          <w:sz w:val="16"/>
          <w:szCs w:val="16"/>
          <w:color w:val="auto"/>
        </w:rPr>
      </w:pPr>
    </w:p>
    <w:p>
      <w:pPr>
        <w:ind w:left="2620" w:hanging="864"/>
        <w:spacing w:after="0"/>
        <w:tabs>
          <w:tab w:leader="none" w:pos="2620" w:val="left"/>
        </w:tabs>
        <w:numPr>
          <w:ilvl w:val="2"/>
          <w:numId w:val="101"/>
        </w:numPr>
        <w:rPr>
          <w:rFonts w:ascii="Arial" w:cs="Arial" w:eastAsia="Arial" w:hAnsi="Arial"/>
          <w:sz w:val="16"/>
          <w:szCs w:val="16"/>
          <w:color w:val="auto"/>
        </w:rPr>
      </w:pPr>
      <w:r>
        <w:rPr>
          <w:rFonts w:ascii="Arial" w:cs="Arial" w:eastAsia="Arial" w:hAnsi="Arial"/>
          <w:sz w:val="16"/>
          <w:szCs w:val="16"/>
          <w:color w:val="auto"/>
        </w:rPr>
        <w:t>Any remaining Earned RSUs (i.e. the positive difference, if any, between Earned RSUs calculated pursuant to Section 6(c)</w:t>
      </w:r>
    </w:p>
    <w:p>
      <w:pPr>
        <w:spacing w:after="0" w:line="42" w:lineRule="exact"/>
        <w:rPr>
          <w:rFonts w:ascii="Arial" w:cs="Arial" w:eastAsia="Arial" w:hAnsi="Arial"/>
          <w:sz w:val="16"/>
          <w:szCs w:val="16"/>
          <w:color w:val="auto"/>
        </w:rPr>
      </w:pPr>
    </w:p>
    <w:p>
      <w:pPr>
        <w:jc w:val="both"/>
        <w:ind w:left="2620" w:right="40"/>
        <w:spacing w:after="0" w:line="251" w:lineRule="auto"/>
        <w:rPr>
          <w:rFonts w:ascii="Arial" w:cs="Arial" w:eastAsia="Arial" w:hAnsi="Arial"/>
          <w:sz w:val="16"/>
          <w:szCs w:val="16"/>
          <w:color w:val="auto"/>
        </w:rPr>
      </w:pPr>
      <w:r>
        <w:rPr>
          <w:rFonts w:ascii="Arial" w:cs="Arial" w:eastAsia="Arial" w:hAnsi="Arial"/>
          <w:sz w:val="18"/>
          <w:szCs w:val="18"/>
          <w:color w:val="auto"/>
        </w:rPr>
        <w:t>(i) above and those for which vesting was accelerated pursuant to Section 6(c)(ii) above) shall vest and no longer be subject to any restriction on a pro rata basis on each anniversary, as the case may be, of December 31</w:t>
      </w:r>
      <w:r>
        <w:rPr>
          <w:rFonts w:ascii="Arial" w:cs="Arial" w:eastAsia="Arial" w:hAnsi="Arial"/>
          <w:sz w:val="15"/>
          <w:szCs w:val="15"/>
          <w:color w:val="auto"/>
        </w:rPr>
        <w:t>st</w:t>
      </w:r>
      <w:r>
        <w:rPr>
          <w:rFonts w:ascii="Arial" w:cs="Arial" w:eastAsia="Arial" w:hAnsi="Arial"/>
          <w:sz w:val="18"/>
          <w:szCs w:val="18"/>
          <w:color w:val="auto"/>
        </w:rPr>
        <w:t xml:space="preserve"> that follows the last date of the Adjusted Performance Period through December 31, 2020.</w:t>
      </w:r>
    </w:p>
    <w:p>
      <w:pPr>
        <w:spacing w:after="0" w:line="192" w:lineRule="exact"/>
        <w:rPr>
          <w:rFonts w:ascii="Arial" w:cs="Arial" w:eastAsia="Arial" w:hAnsi="Arial"/>
          <w:sz w:val="16"/>
          <w:szCs w:val="16"/>
          <w:color w:val="auto"/>
        </w:rPr>
      </w:pPr>
    </w:p>
    <w:p>
      <w:pPr>
        <w:ind w:left="1740" w:hanging="856"/>
        <w:spacing w:after="0"/>
        <w:tabs>
          <w:tab w:leader="none" w:pos="17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 all</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Participants.</w:t>
      </w:r>
    </w:p>
    <w:p>
      <w:pPr>
        <w:spacing w:after="0" w:line="207" w:lineRule="exact"/>
        <w:rPr>
          <w:rFonts w:ascii="Arial" w:cs="Arial" w:eastAsia="Arial" w:hAnsi="Arial"/>
          <w:sz w:val="17"/>
          <w:szCs w:val="17"/>
          <w:color w:val="auto"/>
        </w:rPr>
      </w:pPr>
    </w:p>
    <w:p>
      <w:pPr>
        <w:ind w:right="140" w:firstLine="884"/>
        <w:spacing w:after="0" w:line="270" w:lineRule="auto"/>
        <w:tabs>
          <w:tab w:leader="none" w:pos="171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the event of a Termination of Employment during the two year period following a Change in Control, the provisions of Section l0(b) of the Plan shall apply; provided, that the Committee in its discretion may provide for earlier accelerated vesting.</w:t>
      </w:r>
    </w:p>
    <w:p>
      <w:pPr>
        <w:spacing w:after="0" w:line="171" w:lineRule="exact"/>
        <w:rPr>
          <w:rFonts w:ascii="Arial" w:cs="Arial" w:eastAsia="Arial" w:hAnsi="Arial"/>
          <w:sz w:val="18"/>
          <w:szCs w:val="18"/>
          <w:color w:val="auto"/>
        </w:rPr>
      </w:pPr>
    </w:p>
    <w:p>
      <w:pPr>
        <w:ind w:left="880" w:hanging="873"/>
        <w:spacing w:after="0"/>
        <w:tabs>
          <w:tab w:leader="none" w:pos="8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a Termination of Employment without Cause or Resignation for Good Reason</w:t>
      </w:r>
    </w:p>
    <w:p>
      <w:pPr>
        <w:spacing w:after="0" w:line="224" w:lineRule="exact"/>
        <w:rPr>
          <w:rFonts w:ascii="Arial" w:cs="Arial" w:eastAsia="Arial" w:hAnsi="Arial"/>
          <w:sz w:val="18"/>
          <w:szCs w:val="18"/>
          <w:b w:val="1"/>
          <w:bCs w:val="1"/>
          <w:color w:val="auto"/>
        </w:rPr>
      </w:pPr>
    </w:p>
    <w:p>
      <w:pPr>
        <w:ind w:right="200" w:firstLine="884"/>
        <w:spacing w:after="0" w:line="270" w:lineRule="auto"/>
        <w:tabs>
          <w:tab w:leader="none" w:pos="171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the event of Termination of Employment without Cause or resignation for Good Reason, before the end of the Performance Period, not in connection with a Change in Control, then:</w:t>
      </w:r>
    </w:p>
    <w:p>
      <w:pPr>
        <w:spacing w:after="0" w:line="175" w:lineRule="exact"/>
        <w:rPr>
          <w:rFonts w:ascii="Arial" w:cs="Arial" w:eastAsia="Arial" w:hAnsi="Arial"/>
          <w:sz w:val="18"/>
          <w:szCs w:val="18"/>
          <w:color w:val="auto"/>
        </w:rPr>
      </w:pPr>
    </w:p>
    <w:p>
      <w:pPr>
        <w:ind w:left="2620" w:hanging="864"/>
        <w:spacing w:after="0" w:line="259" w:lineRule="auto"/>
        <w:tabs>
          <w:tab w:leader="none" w:pos="26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Performance Period shall end on the date of the Termination of Employment (for purposes of this section, the “Adjusted Performance Period”) for purposes of determining TSR for the Company and the Index and the number of RSUs that shall be earned for purposes of Section l of this Agreement (“Earned RSUs”);</w:t>
      </w:r>
    </w:p>
    <w:p>
      <w:pPr>
        <w:spacing w:after="0" w:line="184" w:lineRule="exact"/>
        <w:rPr>
          <w:rFonts w:ascii="Arial" w:cs="Arial" w:eastAsia="Arial" w:hAnsi="Arial"/>
          <w:sz w:val="18"/>
          <w:szCs w:val="18"/>
          <w:color w:val="auto"/>
        </w:rPr>
      </w:pPr>
    </w:p>
    <w:p>
      <w:pPr>
        <w:ind w:left="2620" w:right="140" w:hanging="864"/>
        <w:spacing w:after="0" w:line="259" w:lineRule="auto"/>
        <w:tabs>
          <w:tab w:leader="none" w:pos="26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Earned RSUs that would have vested through the one year anniversary of the date of the Termination of Employment, assuming daily pro rata vesting over this period, shall accelerate and vest and those RSUs shall settle as of the date of the Termination of Employment;</w:t>
      </w:r>
    </w:p>
    <w:p>
      <w:pPr>
        <w:spacing w:after="0" w:line="184" w:lineRule="exact"/>
        <w:rPr>
          <w:rFonts w:ascii="Arial" w:cs="Arial" w:eastAsia="Arial" w:hAnsi="Arial"/>
          <w:sz w:val="18"/>
          <w:szCs w:val="18"/>
          <w:color w:val="auto"/>
        </w:rPr>
      </w:pPr>
    </w:p>
    <w:p>
      <w:pPr>
        <w:ind w:left="2620" w:right="460" w:hanging="864"/>
        <w:spacing w:after="0" w:line="270" w:lineRule="auto"/>
        <w:tabs>
          <w:tab w:leader="none" w:pos="26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Any RSUs for which acceleration did not vest (i.e. the positive difference, if any, between Target RSUs and RSUs for which vesting accelerated pursuant to Section 7(a)(ii) above) shall expire.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45" w:name="page146"/>
    <w:bookmarkEnd w:id="145"/>
    <w:p>
      <w:pPr>
        <w:ind w:left="1740" w:hanging="856"/>
        <w:spacing w:after="0"/>
        <w:tabs>
          <w:tab w:leader="none" w:pos="174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 all</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Participants.</w:t>
      </w:r>
    </w:p>
    <w:p>
      <w:pPr>
        <w:spacing w:after="0" w:line="203" w:lineRule="exact"/>
        <w:rPr>
          <w:rFonts w:ascii="Arial" w:cs="Arial" w:eastAsia="Arial" w:hAnsi="Arial"/>
          <w:sz w:val="17"/>
          <w:szCs w:val="17"/>
          <w:color w:val="auto"/>
        </w:rPr>
      </w:pPr>
    </w:p>
    <w:p>
      <w:pPr>
        <w:ind w:left="880" w:hanging="873"/>
        <w:spacing w:after="0"/>
        <w:tabs>
          <w:tab w:leader="none" w:pos="8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Fees and Withholding</w:t>
      </w:r>
    </w:p>
    <w:p>
      <w:pPr>
        <w:spacing w:after="0" w:line="224" w:lineRule="exact"/>
        <w:rPr>
          <w:rFonts w:ascii="Arial" w:cs="Arial" w:eastAsia="Arial" w:hAnsi="Arial"/>
          <w:sz w:val="18"/>
          <w:szCs w:val="18"/>
          <w:b w:val="1"/>
          <w:bCs w:val="1"/>
          <w:color w:val="auto"/>
        </w:rPr>
      </w:pPr>
    </w:p>
    <w:p>
      <w:pPr>
        <w:jc w:val="both"/>
        <w:ind w:right="440" w:firstLine="884"/>
        <w:spacing w:after="0" w:line="259" w:lineRule="auto"/>
        <w:tabs>
          <w:tab w:leader="none" w:pos="171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84" w:lineRule="exact"/>
        <w:rPr>
          <w:rFonts w:ascii="Arial" w:cs="Arial" w:eastAsia="Arial" w:hAnsi="Arial"/>
          <w:sz w:val="18"/>
          <w:szCs w:val="18"/>
          <w:color w:val="auto"/>
        </w:rPr>
      </w:pPr>
    </w:p>
    <w:p>
      <w:pPr>
        <w:ind w:firstLine="884"/>
        <w:spacing w:after="0" w:line="269" w:lineRule="auto"/>
        <w:tabs>
          <w:tab w:leader="none" w:pos="1726" w:val="left"/>
        </w:tabs>
        <w:numPr>
          <w:ilvl w:val="1"/>
          <w:numId w:val="104"/>
        </w:numPr>
        <w:rPr>
          <w:rFonts w:ascii="Arial" w:cs="Arial" w:eastAsia="Arial" w:hAnsi="Arial"/>
          <w:sz w:val="17"/>
          <w:szCs w:val="17"/>
          <w:color w:val="auto"/>
        </w:rPr>
      </w:pPr>
      <w:r>
        <w:rPr>
          <w:rFonts w:ascii="Arial" w:cs="Arial" w:eastAsia="Arial" w:hAnsi="Arial"/>
          <w:sz w:val="17"/>
          <w:szCs w:val="17"/>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the Eligible Individual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RSUsto reduce or eliminate the Eligible Individual’s liability for Tax-Related Items.</w:t>
      </w:r>
    </w:p>
    <w:p>
      <w:pPr>
        <w:spacing w:after="0" w:line="180" w:lineRule="exact"/>
        <w:rPr>
          <w:rFonts w:ascii="Arial" w:cs="Arial" w:eastAsia="Arial" w:hAnsi="Arial"/>
          <w:sz w:val="17"/>
          <w:szCs w:val="17"/>
          <w:color w:val="auto"/>
        </w:rPr>
      </w:pPr>
    </w:p>
    <w:p>
      <w:pPr>
        <w:ind w:right="20" w:firstLine="884"/>
        <w:spacing w:after="0" w:line="282" w:lineRule="auto"/>
        <w:tabs>
          <w:tab w:leader="none" w:pos="171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the event that the Company, Subsidiary or Affiliate is required to withhold any Tax- Related Items as a result of the award or vesting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 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Award if the Eligible Individual fails to comply with his or her obligations in connection with the Tax-Related Items as described in this Section.</w:t>
      </w:r>
    </w:p>
    <w:p>
      <w:pPr>
        <w:spacing w:after="0" w:line="174" w:lineRule="exact"/>
        <w:rPr>
          <w:rFonts w:ascii="Arial" w:cs="Arial" w:eastAsia="Arial" w:hAnsi="Arial"/>
          <w:sz w:val="16"/>
          <w:szCs w:val="16"/>
          <w:color w:val="auto"/>
        </w:rPr>
      </w:pPr>
    </w:p>
    <w:p>
      <w:pPr>
        <w:ind w:right="60" w:firstLine="884"/>
        <w:spacing w:after="0" w:line="287" w:lineRule="auto"/>
        <w:tabs>
          <w:tab w:leader="none" w:pos="1726"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46" w:name="page147"/>
    <w:bookmarkEnd w:id="146"/>
    <w:p>
      <w:pPr>
        <w:ind w:left="873" w:hanging="873"/>
        <w:spacing w:after="0"/>
        <w:tabs>
          <w:tab w:leader="none" w:pos="873"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Restrictions</w:t>
      </w:r>
    </w:p>
    <w:p>
      <w:pPr>
        <w:spacing w:after="0" w:line="224" w:lineRule="exact"/>
        <w:rPr>
          <w:rFonts w:ascii="Arial" w:cs="Arial" w:eastAsia="Arial" w:hAnsi="Arial"/>
          <w:sz w:val="18"/>
          <w:szCs w:val="18"/>
          <w:b w:val="1"/>
          <w:bCs w:val="1"/>
          <w:color w:val="auto"/>
        </w:rPr>
      </w:pPr>
    </w:p>
    <w:p>
      <w:pPr>
        <w:ind w:left="-7" w:right="160" w:firstLine="884"/>
        <w:spacing w:after="0" w:line="274" w:lineRule="auto"/>
        <w:tabs>
          <w:tab w:leader="none" w:pos="170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5" w:lineRule="exact"/>
        <w:rPr>
          <w:rFonts w:ascii="Arial" w:cs="Arial" w:eastAsia="Arial" w:hAnsi="Arial"/>
          <w:sz w:val="17"/>
          <w:szCs w:val="17"/>
          <w:color w:val="auto"/>
        </w:rPr>
      </w:pPr>
    </w:p>
    <w:p>
      <w:pPr>
        <w:ind w:left="-7" w:firstLine="884"/>
        <w:spacing w:after="0" w:line="289" w:lineRule="auto"/>
        <w:tabs>
          <w:tab w:leader="none" w:pos="171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61" w:lineRule="exact"/>
        <w:rPr>
          <w:rFonts w:ascii="Arial" w:cs="Arial" w:eastAsia="Arial" w:hAnsi="Arial"/>
          <w:sz w:val="16"/>
          <w:szCs w:val="16"/>
          <w:color w:val="auto"/>
        </w:rPr>
      </w:pPr>
    </w:p>
    <w:p>
      <w:pPr>
        <w:ind w:left="873" w:hanging="873"/>
        <w:spacing w:after="0"/>
        <w:tabs>
          <w:tab w:leader="none" w:pos="873"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224" w:lineRule="exact"/>
        <w:rPr>
          <w:rFonts w:ascii="Arial" w:cs="Arial" w:eastAsia="Arial" w:hAnsi="Arial"/>
          <w:sz w:val="18"/>
          <w:szCs w:val="18"/>
          <w:b w:val="1"/>
          <w:bCs w:val="1"/>
          <w:color w:val="auto"/>
        </w:rPr>
      </w:pPr>
    </w:p>
    <w:p>
      <w:pPr>
        <w:ind w:left="873"/>
        <w:spacing w:after="0"/>
        <w:rPr>
          <w:rFonts w:ascii="Arial" w:cs="Arial" w:eastAsia="Arial" w:hAnsi="Arial"/>
          <w:sz w:val="18"/>
          <w:szCs w:val="18"/>
          <w:b w:val="1"/>
          <w:bCs w:val="1"/>
          <w:color w:val="auto"/>
        </w:rPr>
      </w:pPr>
      <w:r>
        <w:rPr>
          <w:rFonts w:ascii="Arial" w:cs="Arial" w:eastAsia="Arial" w:hAnsi="Arial"/>
          <w:sz w:val="18"/>
          <w:szCs w:val="18"/>
          <w:color w:val="auto"/>
        </w:rPr>
        <w:t>In accepting the Award, the Eligible Individual acknowledges that:</w:t>
      </w:r>
    </w:p>
    <w:p>
      <w:pPr>
        <w:spacing w:after="0" w:line="220" w:lineRule="exact"/>
        <w:rPr>
          <w:rFonts w:ascii="Arial" w:cs="Arial" w:eastAsia="Arial" w:hAnsi="Arial"/>
          <w:sz w:val="18"/>
          <w:szCs w:val="18"/>
          <w:b w:val="1"/>
          <w:bCs w:val="1"/>
          <w:color w:val="auto"/>
        </w:rPr>
      </w:pPr>
    </w:p>
    <w:p>
      <w:pPr>
        <w:ind w:left="-7" w:right="780" w:firstLine="884"/>
        <w:spacing w:after="0" w:line="270" w:lineRule="auto"/>
        <w:tabs>
          <w:tab w:leader="none" w:pos="170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5" w:lineRule="exact"/>
        <w:rPr>
          <w:rFonts w:ascii="Arial" w:cs="Arial" w:eastAsia="Arial" w:hAnsi="Arial"/>
          <w:sz w:val="18"/>
          <w:szCs w:val="18"/>
          <w:color w:val="auto"/>
        </w:rPr>
      </w:pPr>
    </w:p>
    <w:p>
      <w:pPr>
        <w:ind w:left="-7" w:right="220" w:firstLine="884"/>
        <w:spacing w:after="0" w:line="270" w:lineRule="auto"/>
        <w:tabs>
          <w:tab w:leader="none" w:pos="171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Awards, or benefits in lieu of Awards, even if Awards have been granted repeatedly in the past;</w:t>
      </w:r>
    </w:p>
    <w:p>
      <w:pPr>
        <w:spacing w:after="0" w:line="175" w:lineRule="exact"/>
        <w:rPr>
          <w:rFonts w:ascii="Arial" w:cs="Arial" w:eastAsia="Arial" w:hAnsi="Arial"/>
          <w:sz w:val="18"/>
          <w:szCs w:val="18"/>
          <w:color w:val="auto"/>
        </w:rPr>
      </w:pPr>
    </w:p>
    <w:p>
      <w:pPr>
        <w:ind w:left="1713" w:hanging="836"/>
        <w:spacing w:after="0"/>
        <w:tabs>
          <w:tab w:leader="none" w:pos="171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Company; all decisions with respect to future Awards, if any, will be at the sole discretion of the</w:t>
      </w:r>
    </w:p>
    <w:p>
      <w:pPr>
        <w:spacing w:after="0" w:line="220" w:lineRule="exact"/>
        <w:rPr>
          <w:rFonts w:ascii="Arial" w:cs="Arial" w:eastAsia="Arial" w:hAnsi="Arial"/>
          <w:sz w:val="18"/>
          <w:szCs w:val="18"/>
          <w:color w:val="auto"/>
        </w:rPr>
      </w:pPr>
    </w:p>
    <w:p>
      <w:pPr>
        <w:ind w:left="-7" w:right="420" w:firstLine="884"/>
        <w:spacing w:after="0" w:line="259" w:lineRule="auto"/>
        <w:tabs>
          <w:tab w:leader="none" w:pos="171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4" w:lineRule="exact"/>
        <w:rPr>
          <w:rFonts w:ascii="Arial" w:cs="Arial" w:eastAsia="Arial" w:hAnsi="Arial"/>
          <w:sz w:val="18"/>
          <w:szCs w:val="18"/>
          <w:color w:val="auto"/>
        </w:rPr>
      </w:pPr>
    </w:p>
    <w:p>
      <w:pPr>
        <w:ind w:left="1713" w:hanging="836"/>
        <w:spacing w:after="0"/>
        <w:tabs>
          <w:tab w:leader="none" w:pos="171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220" w:lineRule="exact"/>
        <w:rPr>
          <w:rFonts w:ascii="Arial" w:cs="Arial" w:eastAsia="Arial" w:hAnsi="Arial"/>
          <w:sz w:val="18"/>
          <w:szCs w:val="18"/>
          <w:color w:val="auto"/>
        </w:rPr>
      </w:pPr>
    </w:p>
    <w:p>
      <w:pPr>
        <w:ind w:left="-7" w:right="460" w:firstLine="884"/>
        <w:spacing w:after="0" w:line="270" w:lineRule="auto"/>
        <w:tabs>
          <w:tab w:leader="none" w:pos="168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Award is an extraordinary item that does not constitute regular compensation of any kind for services of any kind rendered to the Company, Subsidiary, or Affiliate;</w:t>
      </w:r>
    </w:p>
    <w:p>
      <w:pPr>
        <w:spacing w:after="0" w:line="175" w:lineRule="exact"/>
        <w:rPr>
          <w:rFonts w:ascii="Arial" w:cs="Arial" w:eastAsia="Arial" w:hAnsi="Arial"/>
          <w:sz w:val="18"/>
          <w:szCs w:val="18"/>
          <w:color w:val="auto"/>
        </w:rPr>
      </w:pPr>
    </w:p>
    <w:p>
      <w:pPr>
        <w:ind w:left="-7" w:firstLine="884"/>
        <w:spacing w:after="0" w:line="281" w:lineRule="auto"/>
        <w:tabs>
          <w:tab w:leader="none" w:pos="171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67" w:lineRule="exact"/>
        <w:rPr>
          <w:rFonts w:ascii="Arial" w:cs="Arial" w:eastAsia="Arial" w:hAnsi="Arial"/>
          <w:sz w:val="17"/>
          <w:szCs w:val="17"/>
          <w:color w:val="auto"/>
        </w:rPr>
      </w:pPr>
    </w:p>
    <w:p>
      <w:pPr>
        <w:ind w:left="-7" w:right="720" w:firstLine="884"/>
        <w:spacing w:after="0" w:line="270" w:lineRule="auto"/>
        <w:tabs>
          <w:tab w:leader="none" w:pos="171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the event that the Eligible Individual is not an employee of the Company, a Subsidiary or an Affiliate, the Award will not be interpreted to form an employment contract or relationship with the Company; and</w:t>
      </w:r>
    </w:p>
    <w:p>
      <w:pPr>
        <w:spacing w:after="0" w:line="175"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29043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93"/>
          </w:cols>
          <w:pgMar w:left="247" w:top="548" w:right="259" w:bottom="1440" w:gutter="0" w:footer="0" w:header="0"/>
        </w:sectPr>
      </w:pPr>
    </w:p>
    <w:bookmarkStart w:id="147" w:name="page148"/>
    <w:bookmarkEnd w:id="147"/>
    <w:p>
      <w:pPr>
        <w:ind w:right="200" w:firstLine="884"/>
        <w:spacing w:after="0" w:line="269" w:lineRule="auto"/>
        <w:tabs>
          <w:tab w:leader="none" w:pos="1686"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76" w:lineRule="exact"/>
        <w:rPr>
          <w:rFonts w:ascii="Arial" w:cs="Arial" w:eastAsia="Arial" w:hAnsi="Arial"/>
          <w:sz w:val="17"/>
          <w:szCs w:val="17"/>
          <w:color w:val="auto"/>
        </w:rPr>
      </w:pPr>
    </w:p>
    <w:p>
      <w:pPr>
        <w:ind w:left="880" w:hanging="873"/>
        <w:spacing w:after="0"/>
        <w:tabs>
          <w:tab w:leader="none" w:pos="8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p>
    <w:p>
      <w:pPr>
        <w:spacing w:after="0" w:line="224"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7"/>
          <w:szCs w:val="17"/>
          <w:color w:val="auto"/>
        </w:rPr>
        <w:t>The Company is not providing any tax, legal or financial advice, nor is the Company making any recommendations regarding the Eligible</w:t>
      </w:r>
    </w:p>
    <w:p>
      <w:pPr>
        <w:spacing w:after="0" w:line="3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8" w:lineRule="exact"/>
        <w:rPr>
          <w:sz w:val="20"/>
          <w:szCs w:val="20"/>
          <w:color w:val="auto"/>
        </w:rPr>
      </w:pPr>
    </w:p>
    <w:p>
      <w:pPr>
        <w:ind w:left="880" w:hanging="873"/>
        <w:spacing w:after="0"/>
        <w:tabs>
          <w:tab w:leader="none" w:pos="8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4" w:lineRule="exact"/>
        <w:rPr>
          <w:sz w:val="20"/>
          <w:szCs w:val="20"/>
          <w:color w:val="auto"/>
        </w:rPr>
      </w:pPr>
    </w:p>
    <w:p>
      <w:pPr>
        <w:jc w:val="both"/>
        <w:ind w:right="20" w:firstLine="878"/>
        <w:spacing w:after="0" w:line="259"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880" w:hanging="873"/>
        <w:spacing w:after="0"/>
        <w:tabs>
          <w:tab w:leader="none" w:pos="8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224" w:lineRule="exact"/>
        <w:rPr>
          <w:sz w:val="20"/>
          <w:szCs w:val="20"/>
          <w:color w:val="auto"/>
        </w:rPr>
      </w:pPr>
    </w:p>
    <w:p>
      <w:pPr>
        <w:ind w:right="280" w:firstLine="878"/>
        <w:spacing w:after="0" w:line="259"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3"/>
        <w:spacing w:after="0"/>
        <w:tabs>
          <w:tab w:leader="none" w:pos="8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Applicable to Construction; Consent to, Jurisdiction</w:t>
      </w:r>
    </w:p>
    <w:p>
      <w:pPr>
        <w:spacing w:after="0" w:line="224" w:lineRule="exact"/>
        <w:rPr>
          <w:rFonts w:ascii="Arial" w:cs="Arial" w:eastAsia="Arial" w:hAnsi="Arial"/>
          <w:sz w:val="18"/>
          <w:szCs w:val="18"/>
          <w:b w:val="1"/>
          <w:bCs w:val="1"/>
          <w:color w:val="auto"/>
        </w:rPr>
      </w:pPr>
    </w:p>
    <w:p>
      <w:pPr>
        <w:ind w:right="260" w:firstLine="884"/>
        <w:spacing w:after="0" w:line="306" w:lineRule="auto"/>
        <w:tabs>
          <w:tab w:leader="none" w:pos="171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50" w:lineRule="exact"/>
        <w:rPr>
          <w:rFonts w:ascii="Arial" w:cs="Arial" w:eastAsia="Arial" w:hAnsi="Arial"/>
          <w:sz w:val="16"/>
          <w:szCs w:val="16"/>
          <w:color w:val="auto"/>
        </w:rPr>
      </w:pPr>
    </w:p>
    <w:p>
      <w:pPr>
        <w:ind w:right="140" w:firstLine="884"/>
        <w:spacing w:after="0" w:line="297" w:lineRule="auto"/>
        <w:tabs>
          <w:tab w:leader="none" w:pos="172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53" w:lineRule="exact"/>
        <w:rPr>
          <w:rFonts w:ascii="Arial" w:cs="Arial" w:eastAsia="Arial" w:hAnsi="Arial"/>
          <w:sz w:val="16"/>
          <w:szCs w:val="16"/>
          <w:color w:val="auto"/>
        </w:rPr>
      </w:pPr>
    </w:p>
    <w:p>
      <w:pPr>
        <w:ind w:left="880" w:hanging="873"/>
        <w:spacing w:after="0"/>
        <w:tabs>
          <w:tab w:leader="none" w:pos="8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224" w:lineRule="exact"/>
        <w:rPr>
          <w:rFonts w:ascii="Arial" w:cs="Arial" w:eastAsia="Arial" w:hAnsi="Arial"/>
          <w:sz w:val="18"/>
          <w:szCs w:val="18"/>
          <w:b w:val="1"/>
          <w:bCs w:val="1"/>
          <w:color w:val="auto"/>
        </w:rPr>
      </w:pPr>
    </w:p>
    <w:p>
      <w:pPr>
        <w:ind w:firstLine="884"/>
        <w:spacing w:after="0" w:line="259" w:lineRule="auto"/>
        <w:tabs>
          <w:tab w:leader="none" w:pos="171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48" w:name="page149"/>
    <w:bookmarkEnd w:id="148"/>
    <w:p>
      <w:pPr>
        <w:ind w:left="-7" w:firstLine="884"/>
        <w:spacing w:after="0" w:line="289" w:lineRule="auto"/>
        <w:tabs>
          <w:tab w:leader="none" w:pos="1719"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61" w:lineRule="exact"/>
        <w:rPr>
          <w:rFonts w:ascii="Arial" w:cs="Arial" w:eastAsia="Arial" w:hAnsi="Arial"/>
          <w:sz w:val="16"/>
          <w:szCs w:val="16"/>
          <w:color w:val="auto"/>
        </w:rPr>
      </w:pPr>
    </w:p>
    <w:p>
      <w:pPr>
        <w:ind w:left="873" w:hanging="873"/>
        <w:spacing w:after="0"/>
        <w:tabs>
          <w:tab w:leader="none" w:pos="87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224" w:lineRule="exact"/>
        <w:rPr>
          <w:rFonts w:ascii="Arial" w:cs="Arial" w:eastAsia="Arial" w:hAnsi="Arial"/>
          <w:sz w:val="18"/>
          <w:szCs w:val="18"/>
          <w:b w:val="1"/>
          <w:bCs w:val="1"/>
          <w:color w:val="auto"/>
        </w:rPr>
      </w:pPr>
    </w:p>
    <w:p>
      <w:pPr>
        <w:ind w:left="-7" w:firstLine="884"/>
        <w:spacing w:after="0" w:line="268" w:lineRule="auto"/>
        <w:tabs>
          <w:tab w:leader="none" w:pos="1709"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0" w:lineRule="exact"/>
        <w:rPr>
          <w:rFonts w:ascii="Arial" w:cs="Arial" w:eastAsia="Arial" w:hAnsi="Arial"/>
          <w:sz w:val="17"/>
          <w:szCs w:val="17"/>
          <w:color w:val="auto"/>
        </w:rPr>
      </w:pPr>
    </w:p>
    <w:p>
      <w:pPr>
        <w:ind w:left="-7" w:right="80" w:firstLine="884"/>
        <w:spacing w:after="0" w:line="268" w:lineRule="auto"/>
        <w:tabs>
          <w:tab w:leader="none" w:pos="1719"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0" w:lineRule="exact"/>
        <w:rPr>
          <w:rFonts w:ascii="Arial" w:cs="Arial" w:eastAsia="Arial" w:hAnsi="Arial"/>
          <w:sz w:val="17"/>
          <w:szCs w:val="17"/>
          <w:color w:val="auto"/>
        </w:rPr>
      </w:pPr>
    </w:p>
    <w:p>
      <w:pPr>
        <w:ind w:left="-7" w:right="120" w:firstLine="884"/>
        <w:spacing w:after="0" w:line="292" w:lineRule="auto"/>
        <w:tabs>
          <w:tab w:leader="none" w:pos="1709"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8" w:lineRule="exact"/>
        <w:rPr>
          <w:rFonts w:ascii="Arial" w:cs="Arial" w:eastAsia="Arial" w:hAnsi="Arial"/>
          <w:sz w:val="16"/>
          <w:szCs w:val="16"/>
          <w:color w:val="auto"/>
        </w:rPr>
      </w:pPr>
    </w:p>
    <w:p>
      <w:pPr>
        <w:ind w:left="873" w:hanging="873"/>
        <w:spacing w:after="0"/>
        <w:tabs>
          <w:tab w:leader="none" w:pos="87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224" w:lineRule="exact"/>
        <w:rPr>
          <w:rFonts w:ascii="Arial" w:cs="Arial" w:eastAsia="Arial" w:hAnsi="Arial"/>
          <w:sz w:val="18"/>
          <w:szCs w:val="18"/>
          <w:b w:val="1"/>
          <w:bCs w:val="1"/>
          <w:color w:val="auto"/>
        </w:rPr>
      </w:pPr>
    </w:p>
    <w:p>
      <w:pPr>
        <w:ind w:left="-7" w:right="560" w:firstLine="884"/>
        <w:spacing w:after="0" w:line="334" w:lineRule="auto"/>
        <w:tabs>
          <w:tab w:leader="none" w:pos="1709"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This Agreement, including Appendix A, constitutes the entire agreement between the parties with respect to the RSU award, and supersedes all prior agreements, understandings, and communications between the parties, whether oral or written, relating to the same subject matter.</w:t>
      </w:r>
    </w:p>
    <w:p>
      <w:pPr>
        <w:spacing w:after="0" w:line="128" w:lineRule="exact"/>
        <w:rPr>
          <w:rFonts w:ascii="Arial" w:cs="Arial" w:eastAsia="Arial" w:hAnsi="Arial"/>
          <w:sz w:val="16"/>
          <w:szCs w:val="16"/>
          <w:color w:val="auto"/>
        </w:rPr>
      </w:pPr>
    </w:p>
    <w:p>
      <w:pPr>
        <w:jc w:val="both"/>
        <w:ind w:left="-7" w:right="180" w:firstLine="884"/>
        <w:spacing w:after="0" w:line="297" w:lineRule="auto"/>
        <w:tabs>
          <w:tab w:leader="none" w:pos="1719"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Company may modify, amend or waive the terms of the RSU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57"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29043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13"/>
          </w:cols>
          <w:pgMar w:left="247" w:top="552" w:right="239" w:bottom="1440" w:gutter="0" w:footer="0" w:header="0"/>
        </w:sectPr>
      </w:pPr>
    </w:p>
    <w:bookmarkStart w:id="149" w:name="page150"/>
    <w:bookmarkEnd w:id="149"/>
    <w:p>
      <w:pPr>
        <w:ind w:firstLine="884"/>
        <w:spacing w:after="0" w:line="269" w:lineRule="auto"/>
        <w:tabs>
          <w:tab w:leader="none" w:pos="1716"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76" w:lineRule="exact"/>
        <w:rPr>
          <w:rFonts w:ascii="Arial" w:cs="Arial" w:eastAsia="Arial" w:hAnsi="Arial"/>
          <w:sz w:val="17"/>
          <w:szCs w:val="17"/>
          <w:color w:val="auto"/>
        </w:rPr>
      </w:pPr>
    </w:p>
    <w:p>
      <w:pPr>
        <w:ind w:left="880" w:hanging="873"/>
        <w:spacing w:after="0"/>
        <w:tabs>
          <w:tab w:leader="none" w:pos="8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Language</w:t>
      </w:r>
    </w:p>
    <w:p>
      <w:pPr>
        <w:spacing w:after="0" w:line="224"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6"/>
          <w:szCs w:val="16"/>
          <w:color w:val="auto"/>
        </w:rPr>
        <w:t>The Eligible Individual has received this Agreement and any other related communications and consents to having received these documents solely</w:t>
      </w:r>
    </w:p>
    <w:p>
      <w:pPr>
        <w:spacing w:after="0" w:line="4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84" w:lineRule="exact"/>
        <w:rPr>
          <w:sz w:val="20"/>
          <w:szCs w:val="20"/>
          <w:color w:val="auto"/>
        </w:rPr>
      </w:pPr>
    </w:p>
    <w:p>
      <w:pPr>
        <w:ind w:left="880" w:hanging="873"/>
        <w:spacing w:after="0"/>
        <w:tabs>
          <w:tab w:leader="none" w:pos="8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224" w:lineRule="exact"/>
        <w:rPr>
          <w:sz w:val="20"/>
          <w:szCs w:val="20"/>
          <w:color w:val="auto"/>
        </w:rPr>
      </w:pPr>
    </w:p>
    <w:p>
      <w:pPr>
        <w:ind w:firstLine="878"/>
        <w:spacing w:after="0" w:line="274" w:lineRule="auto"/>
        <w:rPr>
          <w:sz w:val="20"/>
          <w:szCs w:val="20"/>
          <w:color w:val="auto"/>
        </w:rPr>
      </w:pPr>
      <w:r>
        <w:rPr>
          <w:rFonts w:ascii="Arial" w:cs="Arial" w:eastAsia="Arial" w:hAnsi="Arial"/>
          <w:sz w:val="17"/>
          <w:szCs w:val="17"/>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5" w:lineRule="exact"/>
        <w:rPr>
          <w:sz w:val="20"/>
          <w:szCs w:val="20"/>
          <w:color w:val="auto"/>
        </w:rPr>
      </w:pPr>
    </w:p>
    <w:p>
      <w:pPr>
        <w:ind w:right="220" w:firstLine="878"/>
        <w:spacing w:after="0" w:line="270" w:lineRule="auto"/>
        <w:rPr>
          <w:sz w:val="20"/>
          <w:szCs w:val="20"/>
          <w:color w:val="auto"/>
        </w:rPr>
      </w:pPr>
      <w:r>
        <w:rPr>
          <w:rFonts w:ascii="Arial" w:cs="Arial" w:eastAsia="Arial" w:hAnsi="Arial"/>
          <w:sz w:val="18"/>
          <w:szCs w:val="18"/>
          <w:color w:val="auto"/>
        </w:rPr>
        <w:t>By accepting this Agreement and participating in the Plan, the Eligible Individual agrees to be bound by the terms and conditions of the Plan and this Agreement, including the Grant Details.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the Company and the Eligible Individual have executed and delivered this Agreement as of the date first written above.</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4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Seth J. Kalvert</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-130175</wp:posOffset>
            </wp:positionV>
            <wp:extent cx="26028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Senior Vice President,</w:t>
      </w:r>
    </w:p>
    <w:p>
      <w:pPr>
        <w:spacing w:after="0" w:line="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Counsel and Secretary</w:t>
      </w:r>
    </w:p>
    <w:p>
      <w:pPr>
        <w:spacing w:after="0" w:line="23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Stephen Kaufer</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-130175</wp:posOffset>
            </wp:positionV>
            <wp:extent cx="26028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1"/>
        </w:trPr>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20" w:type="dxa"/>
            <w:vAlign w:val="bottom"/>
          </w:tcPr>
          <w:p>
            <w:pPr>
              <w:jc w:val="center"/>
              <w:ind w:right="2011"/>
              <w:spacing w:after="0"/>
              <w:rPr>
                <w:sz w:val="20"/>
                <w:szCs w:val="20"/>
                <w:color w:val="auto"/>
              </w:rPr>
            </w:pPr>
            <w:r>
              <w:rPr>
                <w:rFonts w:ascii="Arial" w:cs="Arial" w:eastAsia="Arial" w:hAnsi="Arial"/>
                <w:sz w:val="18"/>
                <w:szCs w:val="18"/>
                <w:b w:val="1"/>
                <w:bCs w:val="1"/>
                <w:color w:val="auto"/>
                <w:w w:val="99"/>
              </w:rPr>
              <w:t xml:space="preserve">SCHEDULE </w:t>
            </w:r>
            <w:r>
              <w:rPr>
                <w:rFonts w:ascii="Arial" w:cs="Arial" w:eastAsia="Arial" w:hAnsi="Arial"/>
                <w:sz w:val="18"/>
                <w:szCs w:val="18"/>
                <w:color w:val="auto"/>
                <w:w w:val="99"/>
              </w:rPr>
              <w:t>I</w:t>
            </w:r>
          </w:p>
        </w:tc>
      </w:tr>
      <w:tr>
        <w:trPr>
          <w:trHeight w:val="410"/>
        </w:trPr>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20" w:type="dxa"/>
            <w:vAlign w:val="bottom"/>
          </w:tcPr>
          <w:p>
            <w:pPr>
              <w:jc w:val="center"/>
              <w:ind w:right="2011"/>
              <w:spacing w:after="0"/>
              <w:rPr>
                <w:sz w:val="20"/>
                <w:szCs w:val="20"/>
                <w:color w:val="auto"/>
              </w:rPr>
            </w:pPr>
            <w:r>
              <w:rPr>
                <w:rFonts w:ascii="Arial" w:cs="Arial" w:eastAsia="Arial" w:hAnsi="Arial"/>
                <w:sz w:val="18"/>
                <w:szCs w:val="18"/>
                <w:b w:val="1"/>
                <w:bCs w:val="1"/>
                <w:color w:val="auto"/>
                <w:w w:val="99"/>
              </w:rPr>
              <w:t>DETAILS OF RELATIVE RETURN FACTOR</w:t>
            </w:r>
          </w:p>
        </w:tc>
      </w:tr>
      <w:tr>
        <w:trPr>
          <w:trHeight w:val="214"/>
        </w:trPr>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20" w:type="dxa"/>
            <w:vAlign w:val="bottom"/>
          </w:tcPr>
          <w:p>
            <w:pPr>
              <w:jc w:val="center"/>
              <w:ind w:right="2031"/>
              <w:spacing w:after="0"/>
              <w:rPr>
                <w:sz w:val="20"/>
                <w:szCs w:val="20"/>
                <w:color w:val="auto"/>
              </w:rPr>
            </w:pPr>
            <w:r>
              <w:rPr>
                <w:rFonts w:ascii="Arial" w:cs="Arial" w:eastAsia="Arial" w:hAnsi="Arial"/>
                <w:sz w:val="18"/>
                <w:szCs w:val="18"/>
                <w:b w:val="1"/>
                <w:bCs w:val="1"/>
                <w:color w:val="auto"/>
                <w:w w:val="97"/>
              </w:rPr>
              <w:t>AND</w:t>
            </w:r>
          </w:p>
        </w:tc>
      </w:tr>
      <w:tr>
        <w:trPr>
          <w:trHeight w:val="231"/>
        </w:trPr>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20" w:type="dxa"/>
            <w:vAlign w:val="bottom"/>
          </w:tcPr>
          <w:p>
            <w:pPr>
              <w:jc w:val="center"/>
              <w:ind w:right="2011"/>
              <w:spacing w:after="0"/>
              <w:rPr>
                <w:sz w:val="20"/>
                <w:szCs w:val="20"/>
                <w:color w:val="auto"/>
              </w:rPr>
            </w:pPr>
            <w:r>
              <w:rPr>
                <w:rFonts w:ascii="Arial" w:cs="Arial" w:eastAsia="Arial" w:hAnsi="Arial"/>
                <w:sz w:val="18"/>
                <w:szCs w:val="18"/>
                <w:b w:val="1"/>
                <w:bCs w:val="1"/>
                <w:color w:val="auto"/>
                <w:w w:val="98"/>
              </w:rPr>
              <w:t>ILLUSTRATIONS OF RESULTING NUMBER OF EARNED RSUS</w:t>
            </w:r>
          </w:p>
        </w:tc>
      </w:tr>
      <w:tr>
        <w:trPr>
          <w:trHeight w:val="389"/>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TSR Calculation:</w:t>
            </w:r>
          </w:p>
        </w:tc>
        <w:tc>
          <w:tcPr>
            <w:tcW w:w="1020" w:type="dxa"/>
            <w:vAlign w:val="bottom"/>
          </w:tcPr>
          <w:p>
            <w:pPr>
              <w:spacing w:after="0"/>
              <w:rPr>
                <w:sz w:val="24"/>
                <w:szCs w:val="24"/>
                <w:color w:val="auto"/>
              </w:rPr>
            </w:pPr>
          </w:p>
        </w:tc>
        <w:tc>
          <w:tcPr>
            <w:tcW w:w="8820" w:type="dxa"/>
            <w:vAlign w:val="bottom"/>
          </w:tcPr>
          <w:p>
            <w:pPr>
              <w:spacing w:after="0"/>
              <w:rPr>
                <w:sz w:val="24"/>
                <w:szCs w:val="24"/>
                <w:color w:val="auto"/>
              </w:rPr>
            </w:pPr>
          </w:p>
        </w:tc>
      </w:tr>
      <w:tr>
        <w:trPr>
          <w:trHeight w:val="460"/>
        </w:trPr>
        <w:tc>
          <w:tcPr>
            <w:tcW w:w="2360" w:type="dxa"/>
            <w:vAlign w:val="bottom"/>
            <w:gridSpan w:val="2"/>
          </w:tcPr>
          <w:p>
            <w:pPr>
              <w:ind w:left="640"/>
              <w:spacing w:after="0"/>
              <w:rPr>
                <w:sz w:val="20"/>
                <w:szCs w:val="20"/>
                <w:color w:val="auto"/>
              </w:rPr>
            </w:pPr>
            <w:r>
              <w:rPr>
                <w:rFonts w:ascii="Arial" w:cs="Arial" w:eastAsia="Arial" w:hAnsi="Arial"/>
                <w:sz w:val="18"/>
                <w:szCs w:val="18"/>
                <w:color w:val="auto"/>
              </w:rPr>
              <w:t>Company TSR =</w:t>
            </w:r>
          </w:p>
        </w:tc>
        <w:tc>
          <w:tcPr>
            <w:tcW w:w="8820" w:type="dxa"/>
            <w:vAlign w:val="bottom"/>
          </w:tcPr>
          <w:p>
            <w:pPr>
              <w:ind w:left="500"/>
              <w:spacing w:after="0"/>
              <w:rPr>
                <w:sz w:val="20"/>
                <w:szCs w:val="20"/>
                <w:color w:val="auto"/>
              </w:rPr>
            </w:pPr>
            <w:r>
              <w:rPr>
                <w:rFonts w:ascii="Arial" w:cs="Arial" w:eastAsia="Arial" w:hAnsi="Arial"/>
                <w:sz w:val="18"/>
                <w:szCs w:val="18"/>
                <w:color w:val="auto"/>
                <w:w w:val="91"/>
              </w:rPr>
              <w:t>((Average closing stock price* of the Company for the last 30 trading days of Performance Period/Average closing</w:t>
            </w:r>
          </w:p>
        </w:tc>
      </w:tr>
      <w:tr>
        <w:trPr>
          <w:trHeight w:val="227"/>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0"/>
              </w:rPr>
              <w:t>stock price* of the Company for the last 30 trading days prior to the commencement of the Performance Period) - 1)</w:t>
            </w:r>
          </w:p>
        </w:tc>
      </w:tr>
      <w:tr>
        <w:trPr>
          <w:trHeight w:val="414"/>
        </w:trPr>
        <w:tc>
          <w:tcPr>
            <w:tcW w:w="2360" w:type="dxa"/>
            <w:vAlign w:val="bottom"/>
            <w:gridSpan w:val="2"/>
          </w:tcPr>
          <w:p>
            <w:pPr>
              <w:ind w:left="640"/>
              <w:spacing w:after="0"/>
              <w:rPr>
                <w:sz w:val="20"/>
                <w:szCs w:val="20"/>
                <w:color w:val="auto"/>
              </w:rPr>
            </w:pPr>
            <w:r>
              <w:rPr>
                <w:rFonts w:ascii="Arial" w:cs="Arial" w:eastAsia="Arial" w:hAnsi="Arial"/>
                <w:sz w:val="18"/>
                <w:szCs w:val="18"/>
                <w:color w:val="auto"/>
              </w:rPr>
              <w:t>Index TSR =</w:t>
            </w:r>
          </w:p>
        </w:tc>
        <w:tc>
          <w:tcPr>
            <w:tcW w:w="8820" w:type="dxa"/>
            <w:vAlign w:val="bottom"/>
          </w:tcPr>
          <w:p>
            <w:pPr>
              <w:ind w:left="500"/>
              <w:spacing w:after="0"/>
              <w:rPr>
                <w:sz w:val="20"/>
                <w:szCs w:val="20"/>
                <w:color w:val="auto"/>
              </w:rPr>
            </w:pPr>
            <w:r>
              <w:rPr>
                <w:rFonts w:ascii="Arial" w:cs="Arial" w:eastAsia="Arial" w:hAnsi="Arial"/>
                <w:sz w:val="18"/>
                <w:szCs w:val="18"/>
                <w:color w:val="auto"/>
                <w:w w:val="89"/>
              </w:rPr>
              <w:t>((Average closing stock price* of the Index for the last 30 trading days of Performance Period /Average closing stock</w:t>
            </w:r>
          </w:p>
        </w:tc>
      </w:tr>
      <w:tr>
        <w:trPr>
          <w:trHeight w:val="227"/>
        </w:trPr>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20" w:type="dxa"/>
            <w:vAlign w:val="bottom"/>
          </w:tcPr>
          <w:p>
            <w:pPr>
              <w:ind w:left="500"/>
              <w:spacing w:after="0"/>
              <w:rPr>
                <w:sz w:val="20"/>
                <w:szCs w:val="20"/>
                <w:color w:val="auto"/>
              </w:rPr>
            </w:pPr>
            <w:r>
              <w:rPr>
                <w:rFonts w:ascii="Arial" w:cs="Arial" w:eastAsia="Arial" w:hAnsi="Arial"/>
                <w:sz w:val="18"/>
                <w:szCs w:val="18"/>
                <w:color w:val="auto"/>
                <w:w w:val="98"/>
              </w:rPr>
              <w:t>price* of the Index for the last 30 trading days prior to the commencement of the Performance Period) - 1)</w:t>
            </w:r>
          </w:p>
        </w:tc>
      </w:tr>
    </w:tbl>
    <w:p>
      <w:pPr>
        <w:spacing w:after="0" w:line="200" w:lineRule="exact"/>
        <w:rPr>
          <w:sz w:val="20"/>
          <w:szCs w:val="20"/>
          <w:color w:val="auto"/>
        </w:rPr>
      </w:pPr>
    </w:p>
    <w:p>
      <w:pPr>
        <w:spacing w:after="0" w:line="2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*Average closing stock price adjusted to reflect reinvested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Metric Details:</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shall apply:</w:t>
      </w:r>
    </w:p>
    <w:p>
      <w:pPr>
        <w:spacing w:after="0" w:line="220" w:lineRule="exact"/>
        <w:rPr>
          <w:sz w:val="20"/>
          <w:szCs w:val="20"/>
          <w:color w:val="auto"/>
        </w:rPr>
      </w:pPr>
    </w:p>
    <w:p>
      <w:pPr>
        <w:ind w:left="1300" w:hanging="425"/>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Formula:</w:t>
      </w:r>
    </w:p>
    <w:p>
      <w:pPr>
        <w:spacing w:after="0" w:line="22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80% + ((Company TSR – Index TSR) X 2) = Payout Factor</w:t>
      </w:r>
    </w:p>
    <w:p>
      <w:pPr>
        <w:spacing w:after="0" w:line="220" w:lineRule="exact"/>
        <w:rPr>
          <w:sz w:val="20"/>
          <w:szCs w:val="20"/>
          <w:color w:val="auto"/>
        </w:rPr>
      </w:pPr>
    </w:p>
    <w:p>
      <w:pPr>
        <w:ind w:left="1300" w:hanging="425"/>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80% of the Target RSUs are earned when the Company’s TSR is equal to Index TSR.</w:t>
      </w:r>
    </w:p>
    <w:p>
      <w:pPr>
        <w:spacing w:after="0" w:line="220" w:lineRule="exact"/>
        <w:rPr>
          <w:rFonts w:ascii="Arial" w:cs="Arial" w:eastAsia="Arial" w:hAnsi="Arial"/>
          <w:sz w:val="18"/>
          <w:szCs w:val="18"/>
          <w:color w:val="auto"/>
        </w:rPr>
      </w:pPr>
    </w:p>
    <w:p>
      <w:pPr>
        <w:ind w:left="1300" w:right="160" w:hanging="425"/>
        <w:spacing w:after="0" w:line="255" w:lineRule="auto"/>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number of RSUs earned is increased (or decreased) by 2% of the Target RSUs for every 1% that the Company’s TSR exceeds (or trails) the Index TSR.</w:t>
      </w:r>
    </w:p>
    <w:p>
      <w:pPr>
        <w:ind w:left="1300" w:hanging="425"/>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Implied payout range/performance requirement: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1400" w:type="dxa"/>
            <w:vAlign w:val="bottom"/>
            <w:tcBorders>
              <w:right w:val="single" w:sz="8" w:color="auto"/>
            </w:tcBorders>
          </w:tcPr>
          <w:p>
            <w:pPr>
              <w:spacing w:after="0"/>
              <w:rPr>
                <w:sz w:val="24"/>
                <w:szCs w:val="24"/>
                <w:color w:val="auto"/>
              </w:rPr>
            </w:pPr>
          </w:p>
        </w:tc>
        <w:tc>
          <w:tcPr>
            <w:tcW w:w="1280" w:type="dxa"/>
            <w:vAlign w:val="bottom"/>
            <w:tcBorders>
              <w:top w:val="single" w:sz="8" w:color="auto"/>
              <w:bottom w:val="single" w:sz="8" w:color="auto"/>
              <w:right w:val="single" w:sz="8" w:color="auto"/>
            </w:tcBorders>
          </w:tcPr>
          <w:p>
            <w:pPr>
              <w:spacing w:after="0"/>
              <w:rPr>
                <w:sz w:val="24"/>
                <w:szCs w:val="24"/>
                <w:color w:val="auto"/>
              </w:rPr>
            </w:pPr>
          </w:p>
        </w:tc>
        <w:tc>
          <w:tcPr>
            <w:tcW w:w="28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Performance v. Index</w:t>
            </w:r>
          </w:p>
        </w:tc>
        <w:tc>
          <w:tcPr>
            <w:tcW w:w="1500" w:type="dxa"/>
            <w:vAlign w:val="bottom"/>
            <w:tcBorders>
              <w:top w:val="single" w:sz="8" w:color="auto"/>
              <w:bottom w:val="single" w:sz="8" w:color="auto"/>
              <w:right w:val="single" w:sz="8" w:color="auto"/>
            </w:tcBorders>
          </w:tcPr>
          <w:p>
            <w:pPr>
              <w:spacing w:after="0"/>
              <w:rPr>
                <w:sz w:val="24"/>
                <w:szCs w:val="24"/>
                <w:color w:val="auto"/>
              </w:rPr>
            </w:pPr>
          </w:p>
        </w:tc>
        <w:tc>
          <w:tcPr>
            <w:tcW w:w="30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Payout (% of Target RSUs)</w:t>
            </w:r>
          </w:p>
        </w:tc>
        <w:tc>
          <w:tcPr>
            <w:tcW w:w="1380" w:type="dxa"/>
            <w:vAlign w:val="bottom"/>
          </w:tcPr>
          <w:p>
            <w:pPr>
              <w:spacing w:after="0"/>
              <w:rPr>
                <w:sz w:val="24"/>
                <w:szCs w:val="24"/>
                <w:color w:val="auto"/>
              </w:rPr>
            </w:pPr>
          </w:p>
        </w:tc>
      </w:tr>
      <w:tr>
        <w:trPr>
          <w:trHeight w:val="314"/>
        </w:trPr>
        <w:tc>
          <w:tcPr>
            <w:tcW w:w="1400" w:type="dxa"/>
            <w:vAlign w:val="bottom"/>
            <w:tcBorders>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w:t>
            </w: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Company TSR = Index TSR + 22.5%</w:t>
            </w:r>
          </w:p>
        </w:tc>
        <w:tc>
          <w:tcPr>
            <w:tcW w:w="150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125%</w:t>
            </w:r>
          </w:p>
        </w:tc>
        <w:tc>
          <w:tcPr>
            <w:tcW w:w="1380" w:type="dxa"/>
            <w:vAlign w:val="bottom"/>
          </w:tcPr>
          <w:p>
            <w:pPr>
              <w:spacing w:after="0"/>
              <w:rPr>
                <w:sz w:val="24"/>
                <w:szCs w:val="24"/>
                <w:color w:val="auto"/>
              </w:rPr>
            </w:pPr>
          </w:p>
        </w:tc>
      </w:tr>
      <w:tr>
        <w:trPr>
          <w:trHeight w:val="314"/>
        </w:trPr>
        <w:tc>
          <w:tcPr>
            <w:tcW w:w="1400" w:type="dxa"/>
            <w:vAlign w:val="bottom"/>
            <w:tcBorders>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Company TSR = Index TSR + 10%</w:t>
            </w:r>
          </w:p>
        </w:tc>
        <w:tc>
          <w:tcPr>
            <w:tcW w:w="150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100%</w:t>
            </w:r>
          </w:p>
        </w:tc>
        <w:tc>
          <w:tcPr>
            <w:tcW w:w="1380" w:type="dxa"/>
            <w:vAlign w:val="bottom"/>
          </w:tcPr>
          <w:p>
            <w:pPr>
              <w:spacing w:after="0"/>
              <w:rPr>
                <w:sz w:val="24"/>
                <w:szCs w:val="24"/>
                <w:color w:val="auto"/>
              </w:rPr>
            </w:pPr>
          </w:p>
        </w:tc>
      </w:tr>
      <w:tr>
        <w:trPr>
          <w:trHeight w:val="314"/>
        </w:trPr>
        <w:tc>
          <w:tcPr>
            <w:tcW w:w="1400" w:type="dxa"/>
            <w:vAlign w:val="bottom"/>
            <w:tcBorders>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Company TSR = Index TSR- 40%</w:t>
            </w:r>
          </w:p>
        </w:tc>
        <w:tc>
          <w:tcPr>
            <w:tcW w:w="1500" w:type="dxa"/>
            <w:vAlign w:val="bottom"/>
            <w:tcBorders>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1380" w:type="dxa"/>
            <w:vAlign w:val="bottom"/>
          </w:tcPr>
          <w:p>
            <w:pPr>
              <w:spacing w:after="0"/>
              <w:rPr>
                <w:sz w:val="24"/>
                <w:szCs w:val="24"/>
                <w:color w:val="auto"/>
              </w:rPr>
            </w:pPr>
          </w:p>
        </w:tc>
      </w:tr>
      <w:tr>
        <w:trPr>
          <w:trHeight w:val="847"/>
        </w:trPr>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00" w:type="dxa"/>
            <w:vAlign w:val="bottom"/>
          </w:tcPr>
          <w:p>
            <w:pPr>
              <w:jc w:val="right"/>
              <w:ind w:right="1191"/>
              <w:spacing w:after="0"/>
              <w:rPr>
                <w:sz w:val="20"/>
                <w:szCs w:val="20"/>
                <w:color w:val="auto"/>
              </w:rPr>
            </w:pPr>
            <w:r>
              <w:rPr>
                <w:rFonts w:ascii="Arial" w:cs="Arial" w:eastAsia="Arial" w:hAnsi="Arial"/>
                <w:sz w:val="18"/>
                <w:szCs w:val="18"/>
                <w:color w:val="auto"/>
              </w:rPr>
              <w:t>9</w:t>
            </w:r>
          </w:p>
        </w:tc>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Illustration 1:</w:t>
            </w:r>
          </w:p>
        </w:tc>
        <w:tc>
          <w:tcPr>
            <w:tcW w:w="2080" w:type="dxa"/>
            <w:vAlign w:val="bottom"/>
          </w:tcPr>
          <w:p>
            <w:pPr>
              <w:spacing w:after="0"/>
              <w:rPr>
                <w:sz w:val="17"/>
                <w:szCs w:val="17"/>
                <w:color w:val="auto"/>
              </w:rPr>
            </w:pPr>
          </w:p>
        </w:tc>
      </w:tr>
      <w:tr>
        <w:trPr>
          <w:trHeight w:val="433"/>
        </w:trPr>
        <w:tc>
          <w:tcPr>
            <w:tcW w:w="1060" w:type="dxa"/>
            <w:vAlign w:val="bottom"/>
            <w:tcBorders>
              <w:top w:val="single" w:sz="8" w:color="auto"/>
            </w:tcBorders>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b w:val="1"/>
                <w:bCs w:val="1"/>
                <w:color w:val="auto"/>
              </w:rPr>
              <w:t>Assumptions</w:t>
            </w:r>
          </w:p>
        </w:tc>
        <w:tc>
          <w:tcPr>
            <w:tcW w:w="208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Company:</w:t>
            </w:r>
          </w:p>
        </w:tc>
        <w:tc>
          <w:tcPr>
            <w:tcW w:w="2080" w:type="dxa"/>
            <w:vAlign w:val="bottom"/>
          </w:tcPr>
          <w:p>
            <w:pPr>
              <w:spacing w:after="0"/>
              <w:rPr>
                <w:sz w:val="18"/>
                <w:szCs w:val="18"/>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Average closing stock price for last 30 trading days of Performance Period:</w:t>
            </w:r>
          </w:p>
        </w:tc>
        <w:tc>
          <w:tcPr>
            <w:tcW w:w="2080" w:type="dxa"/>
            <w:vAlign w:val="bottom"/>
          </w:tcPr>
          <w:p>
            <w:pPr>
              <w:ind w:left="700"/>
              <w:spacing w:after="0"/>
              <w:rPr>
                <w:sz w:val="20"/>
                <w:szCs w:val="20"/>
                <w:color w:val="auto"/>
              </w:rPr>
            </w:pPr>
            <w:r>
              <w:rPr>
                <w:rFonts w:ascii="Arial" w:cs="Arial" w:eastAsia="Arial" w:hAnsi="Arial"/>
                <w:sz w:val="18"/>
                <w:szCs w:val="18"/>
                <w:color w:val="auto"/>
              </w:rPr>
              <w:t>$43.00</w:t>
            </w: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Average closing stock price for last 30 trading days prior to the commencement</w:t>
            </w:r>
          </w:p>
        </w:tc>
        <w:tc>
          <w:tcPr>
            <w:tcW w:w="2080" w:type="dxa"/>
            <w:vAlign w:val="bottom"/>
          </w:tcPr>
          <w:p>
            <w:pPr>
              <w:spacing w:after="0"/>
              <w:rPr>
                <w:sz w:val="18"/>
                <w:szCs w:val="18"/>
                <w:color w:val="auto"/>
              </w:rPr>
            </w:pP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of the Performance Period:</w:t>
            </w:r>
          </w:p>
        </w:tc>
        <w:tc>
          <w:tcPr>
            <w:tcW w:w="2080" w:type="dxa"/>
            <w:vAlign w:val="bottom"/>
          </w:tcPr>
          <w:p>
            <w:pPr>
              <w:ind w:left="700"/>
              <w:spacing w:after="0"/>
              <w:rPr>
                <w:sz w:val="20"/>
                <w:szCs w:val="20"/>
                <w:color w:val="auto"/>
              </w:rPr>
            </w:pPr>
            <w:r>
              <w:rPr>
                <w:rFonts w:ascii="Arial" w:cs="Arial" w:eastAsia="Arial" w:hAnsi="Arial"/>
                <w:sz w:val="18"/>
                <w:szCs w:val="18"/>
                <w:color w:val="auto"/>
              </w:rPr>
              <w:t>$37.57</w:t>
            </w:r>
          </w:p>
        </w:tc>
      </w:tr>
      <w:tr>
        <w:trPr>
          <w:trHeight w:val="414"/>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Index:</w:t>
            </w:r>
          </w:p>
        </w:tc>
        <w:tc>
          <w:tcPr>
            <w:tcW w:w="208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Average closing stock price for last 30 trading days of Performance Period:</w:t>
            </w:r>
          </w:p>
        </w:tc>
        <w:tc>
          <w:tcPr>
            <w:tcW w:w="2080" w:type="dxa"/>
            <w:vAlign w:val="bottom"/>
          </w:tcPr>
          <w:p>
            <w:pPr>
              <w:ind w:left="700"/>
              <w:spacing w:after="0"/>
              <w:rPr>
                <w:sz w:val="20"/>
                <w:szCs w:val="20"/>
                <w:color w:val="auto"/>
              </w:rPr>
            </w:pPr>
            <w:r>
              <w:rPr>
                <w:rFonts w:ascii="Arial" w:cs="Arial" w:eastAsia="Arial" w:hAnsi="Arial"/>
                <w:sz w:val="18"/>
                <w:szCs w:val="18"/>
                <w:color w:val="auto"/>
              </w:rPr>
              <w:t>$7,237.00</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w w:val="96"/>
              </w:rPr>
              <w:t>Average closing stock price for last 30 trading days prior to the commencement of the Performance Period:</w:t>
            </w:r>
          </w:p>
        </w:tc>
        <w:tc>
          <w:tcPr>
            <w:tcW w:w="2080" w:type="dxa"/>
            <w:vAlign w:val="bottom"/>
          </w:tcPr>
          <w:p>
            <w:pPr>
              <w:ind w:left="700"/>
              <w:spacing w:after="0"/>
              <w:rPr>
                <w:sz w:val="20"/>
                <w:szCs w:val="20"/>
                <w:color w:val="auto"/>
              </w:rPr>
            </w:pPr>
            <w:r>
              <w:rPr>
                <w:rFonts w:ascii="Arial" w:cs="Arial" w:eastAsia="Arial" w:hAnsi="Arial"/>
                <w:sz w:val="18"/>
                <w:szCs w:val="18"/>
                <w:color w:val="auto"/>
              </w:rPr>
              <w:t>$6,477.77</w:t>
            </w:r>
          </w:p>
        </w:tc>
      </w:tr>
      <w:tr>
        <w:trPr>
          <w:trHeight w:val="427"/>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b w:val="1"/>
                <w:bCs w:val="1"/>
                <w:color w:val="auto"/>
              </w:rPr>
              <w:t>Computations</w:t>
            </w:r>
          </w:p>
        </w:tc>
        <w:tc>
          <w:tcPr>
            <w:tcW w:w="2080" w:type="dxa"/>
            <w:vAlign w:val="bottom"/>
          </w:tcPr>
          <w:p>
            <w:pPr>
              <w:spacing w:after="0"/>
              <w:rPr>
                <w:sz w:val="24"/>
                <w:szCs w:val="24"/>
                <w:color w:val="auto"/>
              </w:rPr>
            </w:pPr>
          </w:p>
        </w:tc>
      </w:tr>
      <w:tr>
        <w:trPr>
          <w:trHeight w:val="414"/>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Company TSR ((43.00 / 37.57) - 1)</w:t>
            </w:r>
          </w:p>
        </w:tc>
        <w:tc>
          <w:tcPr>
            <w:tcW w:w="2080" w:type="dxa"/>
            <w:vAlign w:val="bottom"/>
          </w:tcPr>
          <w:p>
            <w:pPr>
              <w:ind w:left="700"/>
              <w:spacing w:after="0"/>
              <w:rPr>
                <w:sz w:val="20"/>
                <w:szCs w:val="20"/>
                <w:color w:val="auto"/>
              </w:rPr>
            </w:pPr>
            <w:r>
              <w:rPr>
                <w:rFonts w:ascii="Arial" w:cs="Arial" w:eastAsia="Arial" w:hAnsi="Arial"/>
                <w:sz w:val="18"/>
                <w:szCs w:val="18"/>
                <w:color w:val="auto"/>
              </w:rPr>
              <w:t>14.5%</w:t>
            </w: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Index Total Stockholder Return ((7,237.00/6,477.77 -1)</w:t>
            </w:r>
          </w:p>
        </w:tc>
        <w:tc>
          <w:tcPr>
            <w:tcW w:w="2080" w:type="dxa"/>
            <w:vAlign w:val="bottom"/>
          </w:tcPr>
          <w:p>
            <w:pPr>
              <w:ind w:left="700"/>
              <w:spacing w:after="0"/>
              <w:rPr>
                <w:sz w:val="20"/>
                <w:szCs w:val="20"/>
                <w:color w:val="auto"/>
              </w:rPr>
            </w:pPr>
            <w:r>
              <w:rPr>
                <w:rFonts w:ascii="Arial" w:cs="Arial" w:eastAsia="Arial" w:hAnsi="Arial"/>
                <w:sz w:val="18"/>
                <w:szCs w:val="18"/>
                <w:color w:val="auto"/>
              </w:rPr>
              <w:t>11.7%</w:t>
            </w: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Payout Factor 80% +((.145 - .117) X 2)</w:t>
            </w:r>
          </w:p>
        </w:tc>
        <w:tc>
          <w:tcPr>
            <w:tcW w:w="2080" w:type="dxa"/>
            <w:vAlign w:val="bottom"/>
          </w:tcPr>
          <w:p>
            <w:pPr>
              <w:ind w:left="700"/>
              <w:spacing w:after="0"/>
              <w:rPr>
                <w:sz w:val="20"/>
                <w:szCs w:val="20"/>
                <w:color w:val="auto"/>
              </w:rPr>
            </w:pPr>
            <w:r>
              <w:rPr>
                <w:rFonts w:ascii="Arial" w:cs="Arial" w:eastAsia="Arial" w:hAnsi="Arial"/>
                <w:sz w:val="18"/>
                <w:szCs w:val="18"/>
                <w:color w:val="auto"/>
              </w:rPr>
              <w:t>85.6%</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Earned RSUs: Target RSUs (1,000) multiplied by payout factor:</w:t>
            </w:r>
          </w:p>
        </w:tc>
        <w:tc>
          <w:tcPr>
            <w:tcW w:w="2080" w:type="dxa"/>
            <w:vAlign w:val="bottom"/>
          </w:tcPr>
          <w:p>
            <w:pPr>
              <w:ind w:left="700"/>
              <w:spacing w:after="0"/>
              <w:rPr>
                <w:sz w:val="20"/>
                <w:szCs w:val="20"/>
                <w:color w:val="auto"/>
              </w:rPr>
            </w:pPr>
            <w:r>
              <w:rPr>
                <w:rFonts w:ascii="Arial" w:cs="Arial" w:eastAsia="Arial" w:hAnsi="Arial"/>
                <w:sz w:val="18"/>
                <w:szCs w:val="18"/>
                <w:color w:val="auto"/>
              </w:rPr>
              <w:t>856%</w:t>
            </w:r>
          </w:p>
        </w:tc>
      </w:tr>
      <w:tr>
        <w:trPr>
          <w:trHeight w:val="389"/>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Illustration 2:</w:t>
            </w:r>
          </w:p>
        </w:tc>
        <w:tc>
          <w:tcPr>
            <w:tcW w:w="2080" w:type="dxa"/>
            <w:vAlign w:val="bottom"/>
          </w:tcPr>
          <w:p>
            <w:pPr>
              <w:spacing w:after="0"/>
              <w:rPr>
                <w:sz w:val="24"/>
                <w:szCs w:val="24"/>
                <w:color w:val="auto"/>
              </w:rPr>
            </w:pPr>
          </w:p>
        </w:tc>
      </w:tr>
      <w:tr>
        <w:trPr>
          <w:trHeight w:val="433"/>
        </w:trPr>
        <w:tc>
          <w:tcPr>
            <w:tcW w:w="1060" w:type="dxa"/>
            <w:vAlign w:val="bottom"/>
            <w:tcBorders>
              <w:top w:val="single" w:sz="8" w:color="auto"/>
            </w:tcBorders>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b w:val="1"/>
                <w:bCs w:val="1"/>
                <w:color w:val="auto"/>
              </w:rPr>
              <w:t>Assumptions</w:t>
            </w:r>
          </w:p>
        </w:tc>
        <w:tc>
          <w:tcPr>
            <w:tcW w:w="2080" w:type="dxa"/>
            <w:vAlign w:val="bottom"/>
          </w:tcPr>
          <w:p>
            <w:pPr>
              <w:spacing w:after="0"/>
              <w:rPr>
                <w:sz w:val="24"/>
                <w:szCs w:val="24"/>
                <w:color w:val="auto"/>
              </w:rPr>
            </w:pP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Company:</w:t>
            </w:r>
          </w:p>
        </w:tc>
        <w:tc>
          <w:tcPr>
            <w:tcW w:w="2080" w:type="dxa"/>
            <w:vAlign w:val="bottom"/>
          </w:tcPr>
          <w:p>
            <w:pPr>
              <w:spacing w:after="0"/>
              <w:rPr>
                <w:sz w:val="19"/>
                <w:szCs w:val="19"/>
                <w:color w:val="auto"/>
              </w:rPr>
            </w:pP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Average closing stock price for last 30 trading days of Performance Period:</w:t>
            </w:r>
          </w:p>
        </w:tc>
        <w:tc>
          <w:tcPr>
            <w:tcW w:w="2080" w:type="dxa"/>
            <w:vAlign w:val="bottom"/>
          </w:tcPr>
          <w:p>
            <w:pPr>
              <w:ind w:left="700"/>
              <w:spacing w:after="0"/>
              <w:rPr>
                <w:sz w:val="20"/>
                <w:szCs w:val="20"/>
                <w:color w:val="auto"/>
              </w:rPr>
            </w:pPr>
            <w:r>
              <w:rPr>
                <w:rFonts w:ascii="Arial" w:cs="Arial" w:eastAsia="Arial" w:hAnsi="Arial"/>
                <w:sz w:val="18"/>
                <w:szCs w:val="18"/>
                <w:color w:val="auto"/>
              </w:rPr>
              <w:t>$55.00</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w w:val="96"/>
              </w:rPr>
              <w:t>Average closing stock price for last 30 trading days prior to the commencement of the Performance Period:</w:t>
            </w:r>
          </w:p>
        </w:tc>
        <w:tc>
          <w:tcPr>
            <w:tcW w:w="2080" w:type="dxa"/>
            <w:vAlign w:val="bottom"/>
          </w:tcPr>
          <w:p>
            <w:pPr>
              <w:ind w:left="700"/>
              <w:spacing w:after="0"/>
              <w:rPr>
                <w:sz w:val="20"/>
                <w:szCs w:val="20"/>
                <w:color w:val="auto"/>
              </w:rPr>
            </w:pPr>
            <w:r>
              <w:rPr>
                <w:rFonts w:ascii="Arial" w:cs="Arial" w:eastAsia="Arial" w:hAnsi="Arial"/>
                <w:sz w:val="18"/>
                <w:szCs w:val="18"/>
                <w:color w:val="auto"/>
              </w:rPr>
              <w:t>$37.57</w:t>
            </w:r>
          </w:p>
        </w:tc>
      </w:tr>
      <w:tr>
        <w:trPr>
          <w:trHeight w:val="414"/>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Index:</w:t>
            </w:r>
          </w:p>
        </w:tc>
        <w:tc>
          <w:tcPr>
            <w:tcW w:w="208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Average closing stock price for last 30 trading days of Performance Period:</w:t>
            </w:r>
          </w:p>
        </w:tc>
        <w:tc>
          <w:tcPr>
            <w:tcW w:w="2080" w:type="dxa"/>
            <w:vAlign w:val="bottom"/>
          </w:tcPr>
          <w:p>
            <w:pPr>
              <w:ind w:left="700"/>
              <w:spacing w:after="0"/>
              <w:rPr>
                <w:sz w:val="20"/>
                <w:szCs w:val="20"/>
                <w:color w:val="auto"/>
              </w:rPr>
            </w:pPr>
            <w:r>
              <w:rPr>
                <w:rFonts w:ascii="Arial" w:cs="Arial" w:eastAsia="Arial" w:hAnsi="Arial"/>
                <w:sz w:val="18"/>
                <w:szCs w:val="18"/>
                <w:color w:val="auto"/>
              </w:rPr>
              <w:t>$6,932.00</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w w:val="96"/>
              </w:rPr>
              <w:t>Average closing stock price for last 30 trading days prior to the commencement of the Performance Period:</w:t>
            </w:r>
          </w:p>
        </w:tc>
        <w:tc>
          <w:tcPr>
            <w:tcW w:w="2080" w:type="dxa"/>
            <w:vAlign w:val="bottom"/>
          </w:tcPr>
          <w:p>
            <w:pPr>
              <w:ind w:left="700"/>
              <w:spacing w:after="0"/>
              <w:rPr>
                <w:sz w:val="20"/>
                <w:szCs w:val="20"/>
                <w:color w:val="auto"/>
              </w:rPr>
            </w:pPr>
            <w:r>
              <w:rPr>
                <w:rFonts w:ascii="Arial" w:cs="Arial" w:eastAsia="Arial" w:hAnsi="Arial"/>
                <w:sz w:val="18"/>
                <w:szCs w:val="18"/>
                <w:color w:val="auto"/>
              </w:rPr>
              <w:t>$6,477.77</w:t>
            </w:r>
          </w:p>
        </w:tc>
      </w:tr>
      <w:tr>
        <w:trPr>
          <w:trHeight w:val="427"/>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b w:val="1"/>
                <w:bCs w:val="1"/>
                <w:color w:val="auto"/>
              </w:rPr>
              <w:t>Computations</w:t>
            </w:r>
          </w:p>
        </w:tc>
        <w:tc>
          <w:tcPr>
            <w:tcW w:w="2080" w:type="dxa"/>
            <w:vAlign w:val="bottom"/>
          </w:tcPr>
          <w:p>
            <w:pPr>
              <w:spacing w:after="0"/>
              <w:rPr>
                <w:sz w:val="24"/>
                <w:szCs w:val="24"/>
                <w:color w:val="auto"/>
              </w:rPr>
            </w:pPr>
          </w:p>
        </w:tc>
      </w:tr>
      <w:tr>
        <w:trPr>
          <w:trHeight w:val="414"/>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 xml:space="preserve">Company TSR ((55.00 </w:t>
            </w:r>
            <w:r>
              <w:rPr>
                <w:rFonts w:ascii="Arial" w:cs="Arial" w:eastAsia="Arial" w:hAnsi="Arial"/>
                <w:sz w:val="18"/>
                <w:szCs w:val="18"/>
                <w:i w:val="1"/>
                <w:iCs w:val="1"/>
                <w:color w:val="auto"/>
              </w:rPr>
              <w:t>I</w:t>
            </w:r>
            <w:r>
              <w:rPr>
                <w:rFonts w:ascii="Arial" w:cs="Arial" w:eastAsia="Arial" w:hAnsi="Arial"/>
                <w:sz w:val="18"/>
                <w:szCs w:val="18"/>
                <w:color w:val="auto"/>
              </w:rPr>
              <w:t xml:space="preserve"> 37.57) - 1)</w:t>
            </w:r>
          </w:p>
        </w:tc>
        <w:tc>
          <w:tcPr>
            <w:tcW w:w="2080" w:type="dxa"/>
            <w:vAlign w:val="bottom"/>
          </w:tcPr>
          <w:p>
            <w:pPr>
              <w:ind w:left="700"/>
              <w:spacing w:after="0"/>
              <w:rPr>
                <w:sz w:val="20"/>
                <w:szCs w:val="20"/>
                <w:color w:val="auto"/>
              </w:rPr>
            </w:pPr>
            <w:r>
              <w:rPr>
                <w:rFonts w:ascii="Arial" w:cs="Arial" w:eastAsia="Arial" w:hAnsi="Arial"/>
                <w:sz w:val="18"/>
                <w:szCs w:val="18"/>
                <w:color w:val="auto"/>
              </w:rPr>
              <w:t>46.4%</w:t>
            </w: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Index TSR ((6,932.00/6,477.77 -1)</w:t>
            </w:r>
          </w:p>
        </w:tc>
        <w:tc>
          <w:tcPr>
            <w:tcW w:w="2080" w:type="dxa"/>
            <w:vAlign w:val="bottom"/>
          </w:tcPr>
          <w:p>
            <w:pPr>
              <w:ind w:left="700"/>
              <w:spacing w:after="0"/>
              <w:rPr>
                <w:sz w:val="20"/>
                <w:szCs w:val="20"/>
                <w:color w:val="auto"/>
              </w:rPr>
            </w:pPr>
            <w:r>
              <w:rPr>
                <w:rFonts w:ascii="Arial" w:cs="Arial" w:eastAsia="Arial" w:hAnsi="Arial"/>
                <w:sz w:val="18"/>
                <w:szCs w:val="18"/>
                <w:color w:val="auto"/>
              </w:rPr>
              <w:t>7.0%</w:t>
            </w: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Payout Factor 80% +((.464 - .070) X 2)</w:t>
            </w:r>
          </w:p>
        </w:tc>
        <w:tc>
          <w:tcPr>
            <w:tcW w:w="2080" w:type="dxa"/>
            <w:vAlign w:val="bottom"/>
          </w:tcPr>
          <w:p>
            <w:pPr>
              <w:ind w:left="700"/>
              <w:spacing w:after="0"/>
              <w:rPr>
                <w:sz w:val="20"/>
                <w:szCs w:val="20"/>
                <w:color w:val="auto"/>
              </w:rPr>
            </w:pPr>
            <w:r>
              <w:rPr>
                <w:rFonts w:ascii="Arial" w:cs="Arial" w:eastAsia="Arial" w:hAnsi="Arial"/>
                <w:sz w:val="18"/>
                <w:szCs w:val="18"/>
                <w:color w:val="auto"/>
              </w:rPr>
              <w:t>158.8%</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Earned RSUs: Target RSUs (1,000) multiplied by payout factor (subject to 125% max):</w:t>
            </w:r>
          </w:p>
        </w:tc>
        <w:tc>
          <w:tcPr>
            <w:tcW w:w="2080" w:type="dxa"/>
            <w:vAlign w:val="bottom"/>
          </w:tcPr>
          <w:p>
            <w:pPr>
              <w:ind w:left="700"/>
              <w:spacing w:after="0"/>
              <w:rPr>
                <w:sz w:val="20"/>
                <w:szCs w:val="20"/>
                <w:color w:val="auto"/>
              </w:rPr>
            </w:pPr>
            <w:r>
              <w:rPr>
                <w:rFonts w:ascii="Arial" w:cs="Arial" w:eastAsia="Arial" w:hAnsi="Arial"/>
                <w:sz w:val="18"/>
                <w:szCs w:val="18"/>
                <w:color w:val="auto"/>
              </w:rPr>
              <w:t>1,250</w:t>
            </w:r>
          </w:p>
        </w:tc>
      </w:tr>
      <w:tr>
        <w:trPr>
          <w:trHeight w:val="641"/>
        </w:trPr>
        <w:tc>
          <w:tcPr>
            <w:tcW w:w="9360" w:type="dxa"/>
            <w:vAlign w:val="bottom"/>
            <w:gridSpan w:val="2"/>
          </w:tcPr>
          <w:p>
            <w:pPr>
              <w:jc w:val="right"/>
              <w:ind w:right="3471"/>
              <w:spacing w:after="0"/>
              <w:rPr>
                <w:sz w:val="20"/>
                <w:szCs w:val="20"/>
                <w:color w:val="auto"/>
              </w:rPr>
            </w:pPr>
            <w:r>
              <w:rPr>
                <w:rFonts w:ascii="Arial" w:cs="Arial" w:eastAsia="Arial" w:hAnsi="Arial"/>
                <w:sz w:val="18"/>
                <w:szCs w:val="18"/>
                <w:color w:val="auto"/>
              </w:rPr>
              <w:t>10</w:t>
            </w:r>
          </w:p>
        </w:tc>
        <w:tc>
          <w:tcPr>
            <w:tcW w:w="208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9"/>
                <w:szCs w:val="9"/>
                <w:color w:val="auto"/>
              </w:rPr>
            </w:pPr>
          </w:p>
        </w:tc>
        <w:tc>
          <w:tcPr>
            <w:tcW w:w="83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Illustration 3:</w:t>
            </w:r>
          </w:p>
        </w:tc>
        <w:tc>
          <w:tcPr>
            <w:tcW w:w="1420" w:type="dxa"/>
            <w:vAlign w:val="bottom"/>
          </w:tcPr>
          <w:p>
            <w:pPr>
              <w:spacing w:after="0"/>
              <w:rPr>
                <w:sz w:val="17"/>
                <w:szCs w:val="17"/>
                <w:color w:val="auto"/>
              </w:rPr>
            </w:pPr>
          </w:p>
        </w:tc>
      </w:tr>
      <w:tr>
        <w:trPr>
          <w:trHeight w:val="446"/>
        </w:trPr>
        <w:tc>
          <w:tcPr>
            <w:tcW w:w="1060" w:type="dxa"/>
            <w:vAlign w:val="bottom"/>
            <w:tcBorders>
              <w:top w:val="single" w:sz="8" w:color="auto"/>
            </w:tcBorders>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b w:val="1"/>
                <w:bCs w:val="1"/>
                <w:color w:val="auto"/>
              </w:rPr>
              <w:t>Assumptions</w:t>
            </w:r>
          </w:p>
        </w:tc>
        <w:tc>
          <w:tcPr>
            <w:tcW w:w="1420" w:type="dxa"/>
            <w:vAlign w:val="bottom"/>
          </w:tcPr>
          <w:p>
            <w:pPr>
              <w:spacing w:after="0"/>
              <w:rPr>
                <w:sz w:val="24"/>
                <w:szCs w:val="24"/>
                <w:color w:val="auto"/>
              </w:rPr>
            </w:pPr>
          </w:p>
        </w:tc>
      </w:tr>
      <w:tr>
        <w:trPr>
          <w:trHeight w:val="414"/>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Company:</w:t>
            </w:r>
          </w:p>
        </w:tc>
        <w:tc>
          <w:tcPr>
            <w:tcW w:w="142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Average closing stock price for last 30 trading days of Performance Period:</w:t>
            </w:r>
          </w:p>
        </w:tc>
        <w:tc>
          <w:tcPr>
            <w:tcW w:w="1420" w:type="dxa"/>
            <w:vAlign w:val="bottom"/>
          </w:tcPr>
          <w:p>
            <w:pPr>
              <w:ind w:left="700"/>
              <w:spacing w:after="0"/>
              <w:rPr>
                <w:sz w:val="20"/>
                <w:szCs w:val="20"/>
                <w:color w:val="auto"/>
              </w:rPr>
            </w:pPr>
            <w:r>
              <w:rPr>
                <w:rFonts w:ascii="Arial" w:cs="Arial" w:eastAsia="Arial" w:hAnsi="Arial"/>
                <w:sz w:val="18"/>
                <w:szCs w:val="18"/>
                <w:color w:val="auto"/>
              </w:rPr>
              <w:t>$37.57</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w w:val="96"/>
              </w:rPr>
              <w:t>Average closing stock price for last 30 trading days prior to the commencement of the Performance Period:</w:t>
            </w:r>
          </w:p>
        </w:tc>
        <w:tc>
          <w:tcPr>
            <w:tcW w:w="1420" w:type="dxa"/>
            <w:vAlign w:val="bottom"/>
          </w:tcPr>
          <w:p>
            <w:pPr>
              <w:ind w:left="700"/>
              <w:spacing w:after="0"/>
              <w:rPr>
                <w:sz w:val="20"/>
                <w:szCs w:val="20"/>
                <w:color w:val="auto"/>
              </w:rPr>
            </w:pPr>
            <w:r>
              <w:rPr>
                <w:rFonts w:ascii="Arial" w:cs="Arial" w:eastAsia="Arial" w:hAnsi="Arial"/>
                <w:sz w:val="18"/>
                <w:szCs w:val="18"/>
                <w:color w:val="auto"/>
              </w:rPr>
              <w:t>$35.00</w:t>
            </w:r>
          </w:p>
        </w:tc>
      </w:tr>
      <w:tr>
        <w:trPr>
          <w:trHeight w:val="414"/>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Index:</w:t>
            </w:r>
          </w:p>
        </w:tc>
        <w:tc>
          <w:tcPr>
            <w:tcW w:w="142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Average closing stock price for last 30 trading days of Performance Period:</w:t>
            </w:r>
          </w:p>
        </w:tc>
        <w:tc>
          <w:tcPr>
            <w:tcW w:w="1420" w:type="dxa"/>
            <w:vAlign w:val="bottom"/>
          </w:tcPr>
          <w:p>
            <w:pPr>
              <w:ind w:left="700"/>
              <w:spacing w:after="0"/>
              <w:rPr>
                <w:sz w:val="20"/>
                <w:szCs w:val="20"/>
                <w:color w:val="auto"/>
              </w:rPr>
            </w:pPr>
            <w:r>
              <w:rPr>
                <w:rFonts w:ascii="Arial" w:cs="Arial" w:eastAsia="Arial" w:hAnsi="Arial"/>
                <w:sz w:val="18"/>
                <w:szCs w:val="18"/>
                <w:color w:val="auto"/>
                <w:w w:val="87"/>
              </w:rPr>
              <w:t>$6,477.77</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w w:val="96"/>
              </w:rPr>
              <w:t>Average closing stock price for last 30 trading days prior to the commencement of the Performance Period:</w:t>
            </w:r>
          </w:p>
        </w:tc>
        <w:tc>
          <w:tcPr>
            <w:tcW w:w="1420" w:type="dxa"/>
            <w:vAlign w:val="bottom"/>
          </w:tcPr>
          <w:p>
            <w:pPr>
              <w:ind w:left="700"/>
              <w:spacing w:after="0"/>
              <w:rPr>
                <w:sz w:val="20"/>
                <w:szCs w:val="20"/>
                <w:color w:val="auto"/>
              </w:rPr>
            </w:pPr>
            <w:r>
              <w:rPr>
                <w:rFonts w:ascii="Arial" w:cs="Arial" w:eastAsia="Arial" w:hAnsi="Arial"/>
                <w:sz w:val="18"/>
                <w:szCs w:val="18"/>
                <w:color w:val="auto"/>
                <w:w w:val="87"/>
              </w:rPr>
              <w:t>$6,932.00</w:t>
            </w:r>
          </w:p>
        </w:tc>
      </w:tr>
      <w:tr>
        <w:trPr>
          <w:trHeight w:val="414"/>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b w:val="1"/>
                <w:bCs w:val="1"/>
                <w:color w:val="auto"/>
              </w:rPr>
              <w:t>Computations</w:t>
            </w:r>
          </w:p>
        </w:tc>
        <w:tc>
          <w:tcPr>
            <w:tcW w:w="142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Company TSR ((37.57 / 35.00) - 1)</w:t>
            </w:r>
          </w:p>
        </w:tc>
        <w:tc>
          <w:tcPr>
            <w:tcW w:w="1420" w:type="dxa"/>
            <w:vAlign w:val="bottom"/>
          </w:tcPr>
          <w:p>
            <w:pPr>
              <w:ind w:left="700"/>
              <w:spacing w:after="0"/>
              <w:rPr>
                <w:sz w:val="20"/>
                <w:szCs w:val="20"/>
                <w:color w:val="auto"/>
              </w:rPr>
            </w:pPr>
            <w:r>
              <w:rPr>
                <w:rFonts w:ascii="Arial" w:cs="Arial" w:eastAsia="Arial" w:hAnsi="Arial"/>
                <w:sz w:val="18"/>
                <w:szCs w:val="18"/>
                <w:color w:val="auto"/>
              </w:rPr>
              <w:t>07.3%</w:t>
            </w: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Index TSR ((6,477.77/6,932.00 -l)</w:t>
            </w:r>
          </w:p>
        </w:tc>
        <w:tc>
          <w:tcPr>
            <w:tcW w:w="1420" w:type="dxa"/>
            <w:vAlign w:val="bottom"/>
          </w:tcPr>
          <w:p>
            <w:pPr>
              <w:ind w:left="700"/>
              <w:spacing w:after="0"/>
              <w:rPr>
                <w:sz w:val="20"/>
                <w:szCs w:val="20"/>
                <w:color w:val="auto"/>
              </w:rPr>
            </w:pPr>
            <w:r>
              <w:rPr>
                <w:rFonts w:ascii="Arial" w:cs="Arial" w:eastAsia="Arial" w:hAnsi="Arial"/>
                <w:sz w:val="18"/>
                <w:szCs w:val="18"/>
                <w:color w:val="auto"/>
              </w:rPr>
              <w:t>(6.6)%</w:t>
            </w: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Payout Factor 80% + ((.073 – (0.66)) X 2)</w:t>
            </w:r>
          </w:p>
        </w:tc>
        <w:tc>
          <w:tcPr>
            <w:tcW w:w="1420" w:type="dxa"/>
            <w:vAlign w:val="bottom"/>
          </w:tcPr>
          <w:p>
            <w:pPr>
              <w:ind w:left="700"/>
              <w:spacing w:after="0"/>
              <w:rPr>
                <w:sz w:val="20"/>
                <w:szCs w:val="20"/>
                <w:color w:val="auto"/>
              </w:rPr>
            </w:pPr>
            <w:r>
              <w:rPr>
                <w:rFonts w:ascii="Arial" w:cs="Arial" w:eastAsia="Arial" w:hAnsi="Arial"/>
                <w:sz w:val="18"/>
                <w:szCs w:val="18"/>
                <w:color w:val="auto"/>
              </w:rPr>
              <w:t>1.078</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Earned RSUs:</w:t>
            </w:r>
          </w:p>
        </w:tc>
        <w:tc>
          <w:tcPr>
            <w:tcW w:w="1420" w:type="dxa"/>
            <w:vAlign w:val="bottom"/>
          </w:tcPr>
          <w:p>
            <w:pPr>
              <w:ind w:left="700"/>
              <w:spacing w:after="0"/>
              <w:rPr>
                <w:sz w:val="20"/>
                <w:szCs w:val="20"/>
                <w:color w:val="auto"/>
              </w:rPr>
            </w:pPr>
            <w:r>
              <w:rPr>
                <w:rFonts w:ascii="Arial" w:cs="Arial" w:eastAsia="Arial" w:hAnsi="Arial"/>
                <w:sz w:val="18"/>
                <w:szCs w:val="18"/>
                <w:color w:val="auto"/>
              </w:rPr>
              <w:t>1,078</w:t>
            </w:r>
          </w:p>
        </w:tc>
      </w:tr>
      <w:tr>
        <w:trPr>
          <w:trHeight w:val="389"/>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Illustration 4:</w:t>
            </w:r>
          </w:p>
        </w:tc>
        <w:tc>
          <w:tcPr>
            <w:tcW w:w="1420" w:type="dxa"/>
            <w:vAlign w:val="bottom"/>
          </w:tcPr>
          <w:p>
            <w:pPr>
              <w:spacing w:after="0"/>
              <w:rPr>
                <w:sz w:val="24"/>
                <w:szCs w:val="24"/>
                <w:color w:val="auto"/>
              </w:rPr>
            </w:pPr>
          </w:p>
        </w:tc>
      </w:tr>
      <w:tr>
        <w:trPr>
          <w:trHeight w:val="433"/>
        </w:trPr>
        <w:tc>
          <w:tcPr>
            <w:tcW w:w="1060" w:type="dxa"/>
            <w:vAlign w:val="bottom"/>
            <w:tcBorders>
              <w:top w:val="single" w:sz="8" w:color="auto"/>
            </w:tcBorders>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b w:val="1"/>
                <w:bCs w:val="1"/>
                <w:color w:val="auto"/>
              </w:rPr>
              <w:t>Assumptions</w:t>
            </w:r>
          </w:p>
        </w:tc>
        <w:tc>
          <w:tcPr>
            <w:tcW w:w="142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Company:</w:t>
            </w:r>
          </w:p>
        </w:tc>
        <w:tc>
          <w:tcPr>
            <w:tcW w:w="1420" w:type="dxa"/>
            <w:vAlign w:val="bottom"/>
          </w:tcPr>
          <w:p>
            <w:pPr>
              <w:spacing w:after="0"/>
              <w:rPr>
                <w:sz w:val="18"/>
                <w:szCs w:val="18"/>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Average closing stock price for last 30 trading days of Performance Period:</w:t>
            </w:r>
          </w:p>
        </w:tc>
        <w:tc>
          <w:tcPr>
            <w:tcW w:w="1420" w:type="dxa"/>
            <w:vAlign w:val="bottom"/>
          </w:tcPr>
          <w:p>
            <w:pPr>
              <w:ind w:left="700"/>
              <w:spacing w:after="0"/>
              <w:rPr>
                <w:sz w:val="20"/>
                <w:szCs w:val="20"/>
                <w:color w:val="auto"/>
              </w:rPr>
            </w:pPr>
            <w:r>
              <w:rPr>
                <w:rFonts w:ascii="Arial" w:cs="Arial" w:eastAsia="Arial" w:hAnsi="Arial"/>
                <w:sz w:val="18"/>
                <w:szCs w:val="18"/>
                <w:color w:val="auto"/>
              </w:rPr>
              <w:t>$35.00</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w w:val="96"/>
              </w:rPr>
              <w:t>Average closing stock price for last 30 trading days prior to the commencement of the Performance Period:</w:t>
            </w:r>
          </w:p>
        </w:tc>
        <w:tc>
          <w:tcPr>
            <w:tcW w:w="1420" w:type="dxa"/>
            <w:vAlign w:val="bottom"/>
          </w:tcPr>
          <w:p>
            <w:pPr>
              <w:ind w:left="700"/>
              <w:spacing w:after="0"/>
              <w:rPr>
                <w:sz w:val="20"/>
                <w:szCs w:val="20"/>
                <w:color w:val="auto"/>
              </w:rPr>
            </w:pPr>
            <w:r>
              <w:rPr>
                <w:rFonts w:ascii="Arial" w:cs="Arial" w:eastAsia="Arial" w:hAnsi="Arial"/>
                <w:sz w:val="18"/>
                <w:szCs w:val="18"/>
                <w:color w:val="auto"/>
              </w:rPr>
              <w:t>$37.57</w:t>
            </w:r>
          </w:p>
        </w:tc>
      </w:tr>
      <w:tr>
        <w:trPr>
          <w:trHeight w:val="414"/>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Index:</w:t>
            </w:r>
          </w:p>
        </w:tc>
        <w:tc>
          <w:tcPr>
            <w:tcW w:w="1420" w:type="dxa"/>
            <w:vAlign w:val="bottom"/>
          </w:tcPr>
          <w:p>
            <w:pPr>
              <w:spacing w:after="0"/>
              <w:rPr>
                <w:sz w:val="24"/>
                <w:szCs w:val="24"/>
                <w:color w:val="auto"/>
              </w:rPr>
            </w:pP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Average closing stock price for last 30 trading days of Performance Period:</w:t>
            </w:r>
          </w:p>
        </w:tc>
        <w:tc>
          <w:tcPr>
            <w:tcW w:w="1420" w:type="dxa"/>
            <w:vAlign w:val="bottom"/>
          </w:tcPr>
          <w:p>
            <w:pPr>
              <w:ind w:left="700"/>
              <w:spacing w:after="0"/>
              <w:rPr>
                <w:sz w:val="20"/>
                <w:szCs w:val="20"/>
                <w:color w:val="auto"/>
              </w:rPr>
            </w:pPr>
            <w:r>
              <w:rPr>
                <w:rFonts w:ascii="Arial" w:cs="Arial" w:eastAsia="Arial" w:hAnsi="Arial"/>
                <w:sz w:val="18"/>
                <w:szCs w:val="18"/>
                <w:color w:val="auto"/>
                <w:w w:val="87"/>
              </w:rPr>
              <w:t>$6,932.00</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w w:val="96"/>
              </w:rPr>
              <w:t>Average closing stock price for last 30 trading days prior to the commencement of the Performance Period:</w:t>
            </w:r>
          </w:p>
        </w:tc>
        <w:tc>
          <w:tcPr>
            <w:tcW w:w="1420" w:type="dxa"/>
            <w:vAlign w:val="bottom"/>
          </w:tcPr>
          <w:p>
            <w:pPr>
              <w:ind w:left="700"/>
              <w:spacing w:after="0"/>
              <w:rPr>
                <w:sz w:val="20"/>
                <w:szCs w:val="20"/>
                <w:color w:val="auto"/>
              </w:rPr>
            </w:pPr>
            <w:r>
              <w:rPr>
                <w:rFonts w:ascii="Arial" w:cs="Arial" w:eastAsia="Arial" w:hAnsi="Arial"/>
                <w:sz w:val="18"/>
                <w:szCs w:val="18"/>
                <w:color w:val="auto"/>
                <w:w w:val="87"/>
              </w:rPr>
              <w:t>$6,477.77</w:t>
            </w:r>
          </w:p>
        </w:tc>
      </w:tr>
      <w:tr>
        <w:trPr>
          <w:trHeight w:val="427"/>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b w:val="1"/>
                <w:bCs w:val="1"/>
                <w:color w:val="auto"/>
              </w:rPr>
              <w:t>Computations</w:t>
            </w:r>
          </w:p>
        </w:tc>
        <w:tc>
          <w:tcPr>
            <w:tcW w:w="1420" w:type="dxa"/>
            <w:vAlign w:val="bottom"/>
          </w:tcPr>
          <w:p>
            <w:pPr>
              <w:spacing w:after="0"/>
              <w:rPr>
                <w:sz w:val="24"/>
                <w:szCs w:val="24"/>
                <w:color w:val="auto"/>
              </w:rPr>
            </w:pPr>
          </w:p>
        </w:tc>
      </w:tr>
      <w:tr>
        <w:trPr>
          <w:trHeight w:val="414"/>
        </w:trPr>
        <w:tc>
          <w:tcPr>
            <w:tcW w:w="1060" w:type="dxa"/>
            <w:vAlign w:val="bottom"/>
          </w:tcPr>
          <w:p>
            <w:pPr>
              <w:spacing w:after="0"/>
              <w:rPr>
                <w:sz w:val="24"/>
                <w:szCs w:val="24"/>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Company TSR ((35.00 / 37.57) - l)</w:t>
            </w:r>
          </w:p>
        </w:tc>
        <w:tc>
          <w:tcPr>
            <w:tcW w:w="1420" w:type="dxa"/>
            <w:vAlign w:val="bottom"/>
          </w:tcPr>
          <w:p>
            <w:pPr>
              <w:ind w:left="700"/>
              <w:spacing w:after="0"/>
              <w:rPr>
                <w:sz w:val="20"/>
                <w:szCs w:val="20"/>
                <w:color w:val="auto"/>
              </w:rPr>
            </w:pPr>
            <w:r>
              <w:rPr>
                <w:rFonts w:ascii="Arial" w:cs="Arial" w:eastAsia="Arial" w:hAnsi="Arial"/>
                <w:sz w:val="18"/>
                <w:szCs w:val="18"/>
                <w:color w:val="auto"/>
              </w:rPr>
              <w:t>(6.8)%</w:t>
            </w: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Index TSR ((6,932,00/6,477.77 -1)</w:t>
            </w:r>
          </w:p>
        </w:tc>
        <w:tc>
          <w:tcPr>
            <w:tcW w:w="1420" w:type="dxa"/>
            <w:vAlign w:val="bottom"/>
          </w:tcPr>
          <w:p>
            <w:pPr>
              <w:ind w:left="700"/>
              <w:spacing w:after="0"/>
              <w:rPr>
                <w:sz w:val="20"/>
                <w:szCs w:val="20"/>
                <w:color w:val="auto"/>
              </w:rPr>
            </w:pPr>
            <w:r>
              <w:rPr>
                <w:rFonts w:ascii="Arial" w:cs="Arial" w:eastAsia="Arial" w:hAnsi="Arial"/>
                <w:sz w:val="18"/>
                <w:szCs w:val="18"/>
                <w:color w:val="auto"/>
              </w:rPr>
              <w:t>7.0%</w:t>
            </w:r>
          </w:p>
        </w:tc>
      </w:tr>
      <w:tr>
        <w:trPr>
          <w:trHeight w:val="214"/>
        </w:trPr>
        <w:tc>
          <w:tcPr>
            <w:tcW w:w="1060" w:type="dxa"/>
            <w:vAlign w:val="bottom"/>
          </w:tcPr>
          <w:p>
            <w:pPr>
              <w:spacing w:after="0"/>
              <w:rPr>
                <w:sz w:val="18"/>
                <w:szCs w:val="18"/>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Payout Factor 80% + ((-.068 - 0.070) X 2)</w:t>
            </w:r>
          </w:p>
        </w:tc>
        <w:tc>
          <w:tcPr>
            <w:tcW w:w="1420" w:type="dxa"/>
            <w:vAlign w:val="bottom"/>
          </w:tcPr>
          <w:p>
            <w:pPr>
              <w:ind w:left="700"/>
              <w:spacing w:after="0"/>
              <w:rPr>
                <w:sz w:val="20"/>
                <w:szCs w:val="20"/>
                <w:color w:val="auto"/>
              </w:rPr>
            </w:pPr>
            <w:r>
              <w:rPr>
                <w:rFonts w:ascii="Arial" w:cs="Arial" w:eastAsia="Arial" w:hAnsi="Arial"/>
                <w:sz w:val="18"/>
                <w:szCs w:val="18"/>
                <w:color w:val="auto"/>
              </w:rPr>
              <w:t>0.524</w:t>
            </w:r>
          </w:p>
        </w:tc>
      </w:tr>
      <w:tr>
        <w:trPr>
          <w:trHeight w:val="227"/>
        </w:trPr>
        <w:tc>
          <w:tcPr>
            <w:tcW w:w="1060" w:type="dxa"/>
            <w:vAlign w:val="bottom"/>
          </w:tcPr>
          <w:p>
            <w:pPr>
              <w:spacing w:after="0"/>
              <w:rPr>
                <w:sz w:val="19"/>
                <w:szCs w:val="19"/>
                <w:color w:val="auto"/>
              </w:rPr>
            </w:pPr>
          </w:p>
        </w:tc>
        <w:tc>
          <w:tcPr>
            <w:tcW w:w="8300" w:type="dxa"/>
            <w:vAlign w:val="bottom"/>
          </w:tcPr>
          <w:p>
            <w:pPr>
              <w:ind w:left="100"/>
              <w:spacing w:after="0"/>
              <w:rPr>
                <w:sz w:val="20"/>
                <w:szCs w:val="20"/>
                <w:color w:val="auto"/>
              </w:rPr>
            </w:pPr>
            <w:r>
              <w:rPr>
                <w:rFonts w:ascii="Arial" w:cs="Arial" w:eastAsia="Arial" w:hAnsi="Arial"/>
                <w:sz w:val="18"/>
                <w:szCs w:val="18"/>
                <w:color w:val="auto"/>
              </w:rPr>
              <w:t>Earned RSUs:</w:t>
            </w:r>
          </w:p>
        </w:tc>
        <w:tc>
          <w:tcPr>
            <w:tcW w:w="1420" w:type="dxa"/>
            <w:vAlign w:val="bottom"/>
          </w:tcPr>
          <w:p>
            <w:pPr>
              <w:ind w:left="700"/>
              <w:spacing w:after="0"/>
              <w:rPr>
                <w:sz w:val="20"/>
                <w:szCs w:val="20"/>
                <w:color w:val="auto"/>
              </w:rPr>
            </w:pPr>
            <w:r>
              <w:rPr>
                <w:rFonts w:ascii="Arial" w:cs="Arial" w:eastAsia="Arial" w:hAnsi="Arial"/>
                <w:sz w:val="18"/>
                <w:szCs w:val="18"/>
                <w:color w:val="auto"/>
              </w:rPr>
              <w:t>524</w:t>
            </w:r>
          </w:p>
        </w:tc>
      </w:tr>
      <w:tr>
        <w:trPr>
          <w:trHeight w:val="641"/>
        </w:trPr>
        <w:tc>
          <w:tcPr>
            <w:tcW w:w="9360" w:type="dxa"/>
            <w:vAlign w:val="bottom"/>
            <w:gridSpan w:val="2"/>
          </w:tcPr>
          <w:p>
            <w:pPr>
              <w:jc w:val="right"/>
              <w:ind w:right="3471"/>
              <w:spacing w:after="0"/>
              <w:rPr>
                <w:sz w:val="20"/>
                <w:szCs w:val="20"/>
                <w:color w:val="auto"/>
              </w:rPr>
            </w:pPr>
            <w:r>
              <w:rPr>
                <w:rFonts w:ascii="Arial" w:cs="Arial" w:eastAsia="Arial" w:hAnsi="Arial"/>
                <w:sz w:val="18"/>
                <w:szCs w:val="18"/>
                <w:color w:val="auto"/>
              </w:rPr>
              <w:t>11</w:t>
            </w:r>
          </w:p>
        </w:tc>
        <w:tc>
          <w:tcPr>
            <w:tcW w:w="1420" w:type="dxa"/>
            <w:vAlign w:val="bottom"/>
          </w:tcPr>
          <w:p>
            <w:pPr>
              <w:spacing w:after="0"/>
              <w:rPr>
                <w:sz w:val="24"/>
                <w:szCs w:val="24"/>
                <w:color w:val="auto"/>
              </w:rPr>
            </w:pPr>
          </w:p>
        </w:tc>
      </w:tr>
    </w:tbl>
    <w:p>
      <w:pPr>
        <w:sectPr>
          <w:pgSz w:w="11900" w:h="16838" w:orient="portrait"/>
          <w:cols w:equalWidth="0" w:num="1">
            <w:col w:w="10780"/>
          </w:cols>
          <w:pgMar w:left="240" w:top="320" w:right="8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 RESTRICTED STOCK UNIT AGREEMENT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Based)</w:t>
      </w:r>
    </w:p>
    <w:p>
      <w:pPr>
        <w:spacing w:after="0" w:line="207"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THIS RESTRICTED STOCK UNIT AGREEMENT (this “Agreement”), dated as of November 28, 2017 (the “Grant Date”), between TripAdvisor, Inc., a Delaware corporation (the “Company”), and Stephen Kaufer (the “Eligible Individual”), describes the terms of an award (the “Award”) of Restricted Stock Units (“RSUs”) to the Eligible Individual by the Company.</w:t>
      </w:r>
    </w:p>
    <w:p>
      <w:pPr>
        <w:spacing w:after="0" w:line="184" w:lineRule="exact"/>
        <w:rPr>
          <w:sz w:val="20"/>
          <w:szCs w:val="20"/>
          <w:color w:val="auto"/>
        </w:rPr>
      </w:pPr>
    </w:p>
    <w:p>
      <w:pPr>
        <w:ind w:right="120" w:firstLine="878"/>
        <w:spacing w:after="0" w:line="270" w:lineRule="auto"/>
        <w:rPr>
          <w:sz w:val="20"/>
          <w:szCs w:val="20"/>
          <w:color w:val="auto"/>
        </w:rPr>
      </w:pPr>
      <w:r>
        <w:rPr>
          <w:rFonts w:ascii="Arial" w:cs="Arial" w:eastAsia="Arial" w:hAnsi="Arial"/>
          <w:sz w:val="18"/>
          <w:szCs w:val="18"/>
          <w:color w:val="auto"/>
        </w:rPr>
        <w:t>All capitalized terms used herein, to the extent not defined, shall have the meanings set forth in the Company’s Amended and Restated 2011 Stock and Annual Incentive Plan (as amended from time to time, the “Plan”).</w:t>
      </w:r>
    </w:p>
    <w:p>
      <w:pPr>
        <w:spacing w:after="0" w:line="171" w:lineRule="exact"/>
        <w:rPr>
          <w:sz w:val="20"/>
          <w:szCs w:val="20"/>
          <w:color w:val="auto"/>
        </w:rPr>
      </w:pPr>
    </w:p>
    <w:p>
      <w:pPr>
        <w:ind w:left="880" w:hanging="873"/>
        <w:spacing w:after="0"/>
        <w:tabs>
          <w:tab w:leader="none" w:pos="8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Vesting of Restricted Stock Units</w:t>
      </w:r>
    </w:p>
    <w:p>
      <w:pPr>
        <w:spacing w:after="0" w:line="224" w:lineRule="exact"/>
        <w:rPr>
          <w:rFonts w:ascii="Arial" w:cs="Arial" w:eastAsia="Arial" w:hAnsi="Arial"/>
          <w:sz w:val="18"/>
          <w:szCs w:val="18"/>
          <w:b w:val="1"/>
          <w:bCs w:val="1"/>
          <w:color w:val="auto"/>
        </w:rPr>
      </w:pPr>
    </w:p>
    <w:p>
      <w:pPr>
        <w:ind w:right="120" w:firstLine="884"/>
        <w:spacing w:after="0" w:line="267" w:lineRule="auto"/>
        <w:tabs>
          <w:tab w:leader="none" w:pos="171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the Plan and the Grant Details (as defined below), the Company hereby grants 266,250 RSUs (the “Maximum RSUs”) to the Eligible Individual, with a target number of 213,000 RSUs (“Total Target RSUs”), to be earned over a period of four years. The actual number of RSUs to be earned each year pursuant to this Agreement will be based on the extent to which the performance metrics described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(the “Performance Metrics”) are achieved relative to the targets described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and may be more or less than the Total Target RSUs. In no event will the number of RSUs earned hereunder exceed the Maximum RSUs.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which is hereby incorporated by reference into, and shall be read as part and parcel of, this Agreement.</w:t>
      </w:r>
    </w:p>
    <w:p>
      <w:pPr>
        <w:spacing w:after="0" w:line="196" w:lineRule="exact"/>
        <w:rPr>
          <w:rFonts w:ascii="Arial" w:cs="Arial" w:eastAsia="Arial" w:hAnsi="Arial"/>
          <w:sz w:val="17"/>
          <w:szCs w:val="17"/>
          <w:color w:val="auto"/>
        </w:rPr>
      </w:pPr>
    </w:p>
    <w:p>
      <w:pPr>
        <w:ind w:right="100" w:firstLine="884"/>
        <w:spacing w:after="0" w:line="267" w:lineRule="auto"/>
        <w:tabs>
          <w:tab w:leader="none" w:pos="172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The number of RSUs earned under this Award shall be calculated as provided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following the completion of each of the performance periods described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(each a “Performance Period” and collectively, the “Performance Periods”) and on the basis of the level to which the Performance Metrics specified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are actually attained relative to the targets for each Performance Period. For purposes of clarity, vesting shall be determined as follows: If the Company fails to achieve at least 75% of the Performance Metric target for each Performance Period, zero RSUs will be earned for such Performance Period. If the Company achieves 75% of the Performance Metric target for each Performance Period, 50% of the Target RSUs set forth on Schedule I opposite the Performance Metric target will be earned for such Performance Period. If the Company achieves 100% of the Performance Metric target for each Performance Period, 100% of the Target RSUs set forth on Schedule I opposite the Performance Metric target will be earned for such Performance Period. If the Company achieves 112.5% or more of the Performance Metric target for each Performance Period, then 125% of the Target RSUs set forth on Schedule I opposite the Performance Metric target will be earned for such Performance Period. For performance above 75% of target and below 112.5% of target and not otherwise described in this paragraph, the number of RSUs that will be earned shall be determined by straight line interpolation between the threshold and maximum.</w:t>
      </w:r>
    </w:p>
    <w:p>
      <w:pPr>
        <w:spacing w:after="0" w:line="184" w:lineRule="exact"/>
        <w:rPr>
          <w:rFonts w:ascii="Arial" w:cs="Arial" w:eastAsia="Arial" w:hAnsi="Arial"/>
          <w:sz w:val="17"/>
          <w:szCs w:val="17"/>
          <w:color w:val="auto"/>
        </w:rPr>
      </w:pPr>
    </w:p>
    <w:p>
      <w:pPr>
        <w:ind w:right="120" w:firstLine="884"/>
        <w:spacing w:after="0" w:line="259" w:lineRule="auto"/>
        <w:tabs>
          <w:tab w:leader="none" w:pos="171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Within ninety days of the completion of each Performance Period, the Committee will determine in its sole discretion, and certify in accordance with the requirements of Section 162(m) of the Code, the extent to which the Performance Metrics have been satisfied. The RSUs shall vest and no longer be subject to any restriction within five business days of such determination.</w:t>
      </w:r>
    </w:p>
    <w:p>
      <w:pPr>
        <w:spacing w:after="0" w:line="184" w:lineRule="exact"/>
        <w:rPr>
          <w:rFonts w:ascii="Arial" w:cs="Arial" w:eastAsia="Arial" w:hAnsi="Arial"/>
          <w:sz w:val="18"/>
          <w:szCs w:val="18"/>
          <w:color w:val="auto"/>
        </w:rPr>
      </w:pPr>
    </w:p>
    <w:p>
      <w:pPr>
        <w:ind w:right="20" w:firstLine="884"/>
        <w:spacing w:after="0" w:line="274" w:lineRule="auto"/>
        <w:tabs>
          <w:tab w:leader="none" w:pos="172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Except as otherwise provided herein, in the event a Termination of Employment of the Eligible Individual occurs during any Performance Period for any reason (or for no reason), the terms of the Employment Agreement dated March 31, 2014 between TripAdvisor LLC and the Eligible Individual (as the same may be amended from time to time, the “Employment Agreement”) shall dictate the treatment of the Award and, to the extent it is not provided for in the Employment Agreement, then the terms of the Plan shall dictate the treatment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319405</wp:posOffset>
            </wp:positionV>
            <wp:extent cx="729043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54" w:name="page155"/>
    <w:bookmarkEnd w:id="154"/>
    <w:p>
      <w:pPr>
        <w:ind w:left="880" w:hanging="873"/>
        <w:spacing w:after="0"/>
        <w:tabs>
          <w:tab w:leader="none" w:pos="8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 by the Company for Cause</w:t>
      </w:r>
    </w:p>
    <w:p>
      <w:pPr>
        <w:spacing w:after="0" w:line="224" w:lineRule="exact"/>
        <w:rPr>
          <w:rFonts w:ascii="Arial" w:cs="Arial" w:eastAsia="Arial" w:hAnsi="Arial"/>
          <w:sz w:val="18"/>
          <w:szCs w:val="18"/>
          <w:b w:val="1"/>
          <w:bCs w:val="1"/>
          <w:color w:val="auto"/>
        </w:rPr>
      </w:pPr>
    </w:p>
    <w:p>
      <w:pPr>
        <w:ind w:right="40" w:firstLine="884"/>
        <w:spacing w:after="0" w:line="285" w:lineRule="auto"/>
        <w:tabs>
          <w:tab w:leader="none" w:pos="171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Notwithstanding the provisions of Section 1 (d)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canceled in their entirety upon such Termination of Employment.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69" w:lineRule="exact"/>
        <w:rPr>
          <w:rFonts w:ascii="Arial" w:cs="Arial" w:eastAsia="Arial" w:hAnsi="Arial"/>
          <w:sz w:val="16"/>
          <w:szCs w:val="16"/>
          <w:color w:val="auto"/>
        </w:rPr>
      </w:pPr>
    </w:p>
    <w:p>
      <w:pPr>
        <w:jc w:val="both"/>
        <w:ind w:right="620" w:firstLine="884"/>
        <w:spacing w:after="0" w:line="259" w:lineRule="auto"/>
        <w:tabs>
          <w:tab w:leader="none" w:pos="172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180" w:lineRule="exact"/>
        <w:rPr>
          <w:rFonts w:ascii="Arial" w:cs="Arial" w:eastAsia="Arial" w:hAnsi="Arial"/>
          <w:sz w:val="18"/>
          <w:szCs w:val="18"/>
          <w:color w:val="auto"/>
        </w:rPr>
      </w:pPr>
    </w:p>
    <w:p>
      <w:pPr>
        <w:ind w:left="880" w:hanging="873"/>
        <w:spacing w:after="0"/>
        <w:tabs>
          <w:tab w:leader="none" w:pos="8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Units</w:t>
      </w:r>
    </w:p>
    <w:p>
      <w:pPr>
        <w:spacing w:after="0" w:line="224" w:lineRule="exact"/>
        <w:rPr>
          <w:sz w:val="20"/>
          <w:szCs w:val="20"/>
          <w:color w:val="auto"/>
        </w:rPr>
      </w:pPr>
    </w:p>
    <w:p>
      <w:pPr>
        <w:ind w:firstLine="878"/>
        <w:spacing w:after="0" w:line="252" w:lineRule="auto"/>
        <w:rPr>
          <w:sz w:val="20"/>
          <w:szCs w:val="20"/>
          <w:color w:val="auto"/>
        </w:rPr>
      </w:pPr>
      <w:r>
        <w:rPr>
          <w:rFonts w:ascii="Arial" w:cs="Arial" w:eastAsia="Arial" w:hAnsi="Arial"/>
          <w:sz w:val="18"/>
          <w:szCs w:val="18"/>
          <w:color w:val="auto"/>
        </w:rPr>
        <w:t>As soon as practicable after any RSUs have vested and are no longer subject to the RSU Restriction Period, such RSUs shall be settled. Subject to Section 6 (pertaining to the withholding of taxes), for each RSU settled pursuant to this Section 2, the Company shall issue one Share for each vested RSU and cause to be delivered to the Eligible Individual one or more unlegended, freely-transferable stock certificates in respect of such Shares issued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187" w:lineRule="exact"/>
        <w:rPr>
          <w:sz w:val="20"/>
          <w:szCs w:val="20"/>
          <w:color w:val="auto"/>
        </w:rPr>
      </w:pPr>
    </w:p>
    <w:p>
      <w:pPr>
        <w:ind w:left="880" w:hanging="873"/>
        <w:spacing w:after="0"/>
        <w:tabs>
          <w:tab w:leader="none" w:pos="8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the RSUs</w:t>
      </w:r>
    </w:p>
    <w:p>
      <w:pPr>
        <w:spacing w:after="0" w:line="224" w:lineRule="exact"/>
        <w:rPr>
          <w:sz w:val="20"/>
          <w:szCs w:val="20"/>
          <w:color w:val="auto"/>
        </w:rPr>
      </w:pPr>
    </w:p>
    <w:p>
      <w:pPr>
        <w:ind w:right="280" w:firstLine="878"/>
        <w:spacing w:after="0" w:line="270" w:lineRule="auto"/>
        <w:rPr>
          <w:sz w:val="20"/>
          <w:szCs w:val="20"/>
          <w:color w:val="auto"/>
        </w:rPr>
      </w:pPr>
      <w:r>
        <w:rPr>
          <w:rFonts w:ascii="Arial" w:cs="Arial" w:eastAsia="Arial" w:hAnsi="Arial"/>
          <w:sz w:val="18"/>
          <w:szCs w:val="18"/>
          <w:color w:val="auto"/>
        </w:rPr>
        <w:t>Until such time as the RSUs are settled as provided herein or on the website of the Plan Administrator, the RSUs shall not be transferable by the Eligible Individual by means of sale, assignment, exchange, encumbrance, pledge, hedge or otherwise.</w:t>
      </w:r>
    </w:p>
    <w:p>
      <w:pPr>
        <w:spacing w:after="0" w:line="171" w:lineRule="exact"/>
        <w:rPr>
          <w:sz w:val="20"/>
          <w:szCs w:val="20"/>
          <w:color w:val="auto"/>
        </w:rPr>
      </w:pPr>
    </w:p>
    <w:p>
      <w:pPr>
        <w:ind w:left="880" w:hanging="873"/>
        <w:spacing w:after="0"/>
        <w:tabs>
          <w:tab w:leader="none" w:pos="8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as a Stockholder</w:t>
      </w:r>
    </w:p>
    <w:p>
      <w:pPr>
        <w:spacing w:after="0" w:line="224" w:lineRule="exact"/>
        <w:rPr>
          <w:sz w:val="20"/>
          <w:szCs w:val="20"/>
          <w:color w:val="auto"/>
        </w:rPr>
      </w:pPr>
    </w:p>
    <w:p>
      <w:pPr>
        <w:ind w:firstLine="878"/>
        <w:spacing w:after="0" w:line="268" w:lineRule="auto"/>
        <w:rPr>
          <w:sz w:val="20"/>
          <w:szCs w:val="20"/>
          <w:color w:val="auto"/>
        </w:rPr>
      </w:pPr>
      <w:r>
        <w:rPr>
          <w:rFonts w:ascii="Arial" w:cs="Arial" w:eastAsia="Arial" w:hAnsi="Arial"/>
          <w:sz w:val="17"/>
          <w:szCs w:val="17"/>
          <w:color w:val="auto"/>
        </w:rPr>
        <w:t>Except as otherwise specifically provided in this Agreement, until such RSUs have vested and settled, the Eligible Individual shall not be entitled to any rights of a stockholder with respect to the RSUs. Notwithstanding the foregoing, if the Company declares and pays dividends on the Common Stock prior to such RSUs vesting or settling,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155" w:name="page156"/>
    <w:bookmarkEnd w:id="155"/>
    <w:p>
      <w:pPr>
        <w:ind w:left="880" w:hanging="873"/>
        <w:spacing w:after="0"/>
        <w:tabs>
          <w:tab w:leader="none" w:pos="8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Change in Stock; Change in Control</w:t>
      </w:r>
    </w:p>
    <w:p>
      <w:pPr>
        <w:spacing w:after="0" w:line="224" w:lineRule="exact"/>
        <w:rPr>
          <w:rFonts w:ascii="Arial" w:cs="Arial" w:eastAsia="Arial" w:hAnsi="Arial"/>
          <w:sz w:val="18"/>
          <w:szCs w:val="18"/>
          <w:b w:val="1"/>
          <w:bCs w:val="1"/>
          <w:color w:val="auto"/>
        </w:rPr>
      </w:pPr>
    </w:p>
    <w:p>
      <w:pPr>
        <w:ind w:firstLine="884"/>
        <w:spacing w:after="0" w:line="271" w:lineRule="auto"/>
        <w:tabs>
          <w:tab w:leader="none" w:pos="1716"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78" w:lineRule="exact"/>
        <w:rPr>
          <w:rFonts w:ascii="Arial" w:cs="Arial" w:eastAsia="Arial" w:hAnsi="Arial"/>
          <w:sz w:val="17"/>
          <w:szCs w:val="17"/>
          <w:color w:val="auto"/>
        </w:rPr>
      </w:pPr>
    </w:p>
    <w:p>
      <w:pPr>
        <w:ind w:right="60" w:firstLine="884"/>
        <w:spacing w:after="0" w:line="287" w:lineRule="auto"/>
        <w:tabs>
          <w:tab w:leader="none" w:pos="172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In the case of Corporate Transactions, such adjustments may include, without limitation (i) the cancellation of the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68" w:lineRule="exact"/>
        <w:rPr>
          <w:rFonts w:ascii="Arial" w:cs="Arial" w:eastAsia="Arial" w:hAnsi="Arial"/>
          <w:sz w:val="16"/>
          <w:szCs w:val="16"/>
          <w:color w:val="auto"/>
        </w:rPr>
      </w:pPr>
    </w:p>
    <w:p>
      <w:pPr>
        <w:ind w:left="1720" w:hanging="836"/>
        <w:spacing w:after="0"/>
        <w:tabs>
          <w:tab w:leader="none" w:pos="172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 all</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Participants.</w:t>
      </w:r>
    </w:p>
    <w:p>
      <w:pPr>
        <w:spacing w:after="0" w:line="207" w:lineRule="exact"/>
        <w:rPr>
          <w:rFonts w:ascii="Arial" w:cs="Arial" w:eastAsia="Arial" w:hAnsi="Arial"/>
          <w:sz w:val="17"/>
          <w:szCs w:val="17"/>
          <w:color w:val="auto"/>
        </w:rPr>
      </w:pPr>
    </w:p>
    <w:p>
      <w:pPr>
        <w:ind w:left="1740" w:hanging="856"/>
        <w:spacing w:after="0"/>
        <w:tabs>
          <w:tab w:leader="none" w:pos="17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the event of a Change in Control during a Performance Period, then:</w:t>
      </w:r>
    </w:p>
    <w:p>
      <w:pPr>
        <w:spacing w:after="0" w:line="220" w:lineRule="exact"/>
        <w:rPr>
          <w:rFonts w:ascii="Arial" w:cs="Arial" w:eastAsia="Arial" w:hAnsi="Arial"/>
          <w:sz w:val="18"/>
          <w:szCs w:val="18"/>
          <w:color w:val="auto"/>
        </w:rPr>
      </w:pPr>
    </w:p>
    <w:p>
      <w:pPr>
        <w:ind w:left="2180" w:right="80" w:hanging="865"/>
        <w:spacing w:after="0" w:line="297" w:lineRule="auto"/>
        <w:tabs>
          <w:tab w:leader="none" w:pos="2180" w:val="left"/>
        </w:tabs>
        <w:numPr>
          <w:ilvl w:val="2"/>
          <w:numId w:val="122"/>
        </w:numPr>
        <w:rPr>
          <w:rFonts w:ascii="Arial" w:cs="Arial" w:eastAsia="Arial" w:hAnsi="Arial"/>
          <w:sz w:val="16"/>
          <w:szCs w:val="16"/>
          <w:color w:val="auto"/>
        </w:rPr>
      </w:pPr>
      <w:r>
        <w:rPr>
          <w:rFonts w:ascii="Arial" w:cs="Arial" w:eastAsia="Arial" w:hAnsi="Arial"/>
          <w:sz w:val="16"/>
          <w:szCs w:val="16"/>
          <w:color w:val="auto"/>
        </w:rPr>
        <w:t>Pro-rate that portion of the Target RSUs vesting as of the closing date of the Change in Control (the period commencing at the start of such Performance Period and ending on such date, the “Adjusted Performance Period”), with such pro-rata portion determined by multiplying the number of Target RSUs for such Performance Period by a fraction, the numerator of which equals the number of days contained in the Adjusted Performance Period and the denominator of which equals 365.</w:t>
      </w:r>
    </w:p>
    <w:p>
      <w:pPr>
        <w:spacing w:after="0" w:line="157" w:lineRule="exact"/>
        <w:rPr>
          <w:rFonts w:ascii="Arial" w:cs="Arial" w:eastAsia="Arial" w:hAnsi="Arial"/>
          <w:sz w:val="16"/>
          <w:szCs w:val="16"/>
          <w:color w:val="auto"/>
        </w:rPr>
      </w:pPr>
    </w:p>
    <w:p>
      <w:pPr>
        <w:ind w:left="2180" w:right="180" w:hanging="865"/>
        <w:spacing w:after="0" w:line="271" w:lineRule="auto"/>
        <w:tabs>
          <w:tab w:leader="none" w:pos="218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The remaining RSUs subject to this Award will be treated as time-based vesting on the last day of each remaining Performance Period without regard to the achievement of any performance metrics. For purposes of illustration, in the case of a Change in Control with a closing date of June 1, 2019 and assuming Target RSUs for each fiscal year in the amount of 65,000 RSUs, then 26,891 RSUs will vest and settle as of June 1, 2019, 38,109 RSUs will vest on December 31, 2019; 65,000 RSUs will vest on December 31, 2020 and 65,000 RSUs will vest and settle on December 31, 2021.</w:t>
      </w:r>
    </w:p>
    <w:p>
      <w:pPr>
        <w:spacing w:after="0" w:line="178" w:lineRule="exact"/>
        <w:rPr>
          <w:rFonts w:ascii="Arial" w:cs="Arial" w:eastAsia="Arial" w:hAnsi="Arial"/>
          <w:sz w:val="17"/>
          <w:szCs w:val="17"/>
          <w:color w:val="auto"/>
        </w:rPr>
      </w:pPr>
    </w:p>
    <w:p>
      <w:pPr>
        <w:ind w:right="80" w:firstLine="884"/>
        <w:spacing w:after="0" w:line="270" w:lineRule="auto"/>
        <w:tabs>
          <w:tab w:leader="none" w:pos="171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the event of a Termination of Employment during the two year period following a Change in Control, the provisions of Section 10(b) of the Plan shall apply; provided, however, that the Committee in its discretion may provide for earlier accelerated vesting.</w:t>
      </w:r>
    </w:p>
    <w:p>
      <w:pPr>
        <w:spacing w:after="0" w:line="171" w:lineRule="exact"/>
        <w:rPr>
          <w:rFonts w:ascii="Arial" w:cs="Arial" w:eastAsia="Arial" w:hAnsi="Arial"/>
          <w:sz w:val="18"/>
          <w:szCs w:val="18"/>
          <w:color w:val="auto"/>
        </w:rPr>
      </w:pPr>
    </w:p>
    <w:p>
      <w:pPr>
        <w:ind w:left="880" w:hanging="873"/>
        <w:spacing w:after="0"/>
        <w:tabs>
          <w:tab w:leader="none" w:pos="8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in the Event of a Termination of Employment without Cause or Resignation for Good Reason</w:t>
      </w:r>
    </w:p>
    <w:p>
      <w:pPr>
        <w:spacing w:after="0" w:line="224" w:lineRule="exact"/>
        <w:rPr>
          <w:rFonts w:ascii="Arial" w:cs="Arial" w:eastAsia="Arial" w:hAnsi="Arial"/>
          <w:sz w:val="18"/>
          <w:szCs w:val="18"/>
          <w:b w:val="1"/>
          <w:bCs w:val="1"/>
          <w:color w:val="auto"/>
        </w:rPr>
      </w:pPr>
    </w:p>
    <w:p>
      <w:pPr>
        <w:ind w:right="40" w:firstLine="884"/>
        <w:spacing w:after="0" w:line="270" w:lineRule="auto"/>
        <w:tabs>
          <w:tab w:leader="none" w:pos="171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the event of Termination of Employment without Cause or resignation for Good Reason, before the end of the Performance Period, not in connection with a Change in Control, then:</w:t>
      </w:r>
    </w:p>
    <w:p>
      <w:pPr>
        <w:spacing w:after="0" w:line="175" w:lineRule="exact"/>
        <w:rPr>
          <w:rFonts w:ascii="Arial" w:cs="Arial" w:eastAsia="Arial" w:hAnsi="Arial"/>
          <w:sz w:val="18"/>
          <w:szCs w:val="18"/>
          <w:color w:val="auto"/>
        </w:rPr>
      </w:pPr>
    </w:p>
    <w:p>
      <w:pPr>
        <w:jc w:val="both"/>
        <w:ind w:left="2180" w:right="180" w:hanging="865"/>
        <w:spacing w:after="0" w:line="281" w:lineRule="auto"/>
        <w:tabs>
          <w:tab w:leader="none" w:pos="218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Treat the Award is if it vested in equal annual installments over the Performance Period and accelerate the vesting of any RSUs that would have vested through the one year anniversary of the date of the Termination of Employment (“Earned RSUs”), such Earned RSUs to vest and settle as of the date of the Termination of Employment;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156" w:name="page157"/>
    <w:bookmarkEnd w:id="156"/>
    <w:p>
      <w:pPr>
        <w:ind w:left="2180" w:right="480" w:hanging="865"/>
        <w:spacing w:after="0" w:line="270" w:lineRule="auto"/>
        <w:tabs>
          <w:tab w:leader="none" w:pos="218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Any RSUs for which acceleration did not vest (i.e. the positive difference, if any, between Target RSUs and RSUs for which vesting accelerated pursuant to Section 7(a)(i) above) shall expire.</w:t>
      </w:r>
    </w:p>
    <w:p>
      <w:pPr>
        <w:spacing w:after="0" w:line="175" w:lineRule="exact"/>
        <w:rPr>
          <w:rFonts w:ascii="Arial" w:cs="Arial" w:eastAsia="Arial" w:hAnsi="Arial"/>
          <w:sz w:val="18"/>
          <w:szCs w:val="18"/>
          <w:color w:val="auto"/>
        </w:rPr>
      </w:pPr>
    </w:p>
    <w:p>
      <w:pPr>
        <w:ind w:left="1740" w:hanging="856"/>
        <w:spacing w:after="0"/>
        <w:tabs>
          <w:tab w:leader="none" w:pos="17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determination of the Committee regarding any such adjustment will be final and conclusive and need not be the same for all</w:t>
      </w:r>
    </w:p>
    <w:p>
      <w:pPr>
        <w:spacing w:after="0" w:line="3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Participants.</w:t>
      </w:r>
    </w:p>
    <w:p>
      <w:pPr>
        <w:spacing w:after="0" w:line="203" w:lineRule="exact"/>
        <w:rPr>
          <w:rFonts w:ascii="Arial" w:cs="Arial" w:eastAsia="Arial" w:hAnsi="Arial"/>
          <w:sz w:val="17"/>
          <w:szCs w:val="17"/>
          <w:color w:val="auto"/>
        </w:rPr>
      </w:pPr>
    </w:p>
    <w:p>
      <w:pPr>
        <w:ind w:left="880" w:hanging="873"/>
        <w:spacing w:after="0"/>
        <w:tabs>
          <w:tab w:leader="none" w:pos="8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Fees and Withholding</w:t>
      </w:r>
    </w:p>
    <w:p>
      <w:pPr>
        <w:spacing w:after="0" w:line="224" w:lineRule="exact"/>
        <w:rPr>
          <w:rFonts w:ascii="Arial" w:cs="Arial" w:eastAsia="Arial" w:hAnsi="Arial"/>
          <w:sz w:val="18"/>
          <w:szCs w:val="18"/>
          <w:b w:val="1"/>
          <w:bCs w:val="1"/>
          <w:color w:val="auto"/>
        </w:rPr>
      </w:pPr>
    </w:p>
    <w:p>
      <w:pPr>
        <w:ind w:right="420" w:firstLine="884"/>
        <w:spacing w:after="0" w:line="259" w:lineRule="auto"/>
        <w:tabs>
          <w:tab w:leader="none" w:pos="171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84" w:lineRule="exact"/>
        <w:rPr>
          <w:rFonts w:ascii="Arial" w:cs="Arial" w:eastAsia="Arial" w:hAnsi="Arial"/>
          <w:sz w:val="18"/>
          <w:szCs w:val="18"/>
          <w:color w:val="auto"/>
        </w:rPr>
      </w:pPr>
    </w:p>
    <w:p>
      <w:pPr>
        <w:ind w:right="80" w:firstLine="884"/>
        <w:spacing w:after="0" w:line="269" w:lineRule="auto"/>
        <w:tabs>
          <w:tab w:leader="none" w:pos="172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Regardless of any action the Company, its Affiliate or Subsidiary takes with respect to any or all income tax, social insurance, payroll tax, payment on account or other tax 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 to reduce or eliminate the Eligible Individual’s liability for Tax Related Items.</w:t>
      </w:r>
    </w:p>
    <w:p>
      <w:pPr>
        <w:spacing w:after="0" w:line="180" w:lineRule="exact"/>
        <w:rPr>
          <w:rFonts w:ascii="Arial" w:cs="Arial" w:eastAsia="Arial" w:hAnsi="Arial"/>
          <w:sz w:val="17"/>
          <w:szCs w:val="17"/>
          <w:color w:val="auto"/>
        </w:rPr>
      </w:pPr>
    </w:p>
    <w:p>
      <w:pPr>
        <w:ind w:firstLine="884"/>
        <w:spacing w:after="0" w:line="282" w:lineRule="auto"/>
        <w:tabs>
          <w:tab w:leader="none" w:pos="1716"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the event that the Company, Subsidiary or Affiliate is required to withhold any Tax-Related Items as a result of the award or vesting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6.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 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RSU if the Eligible Individual fails to comply with his or her obligations in connection with the Tax-Related Items as described in this Section.</w:t>
      </w:r>
    </w:p>
    <w:p>
      <w:pPr>
        <w:spacing w:after="0" w:line="174" w:lineRule="exact"/>
        <w:rPr>
          <w:rFonts w:ascii="Arial" w:cs="Arial" w:eastAsia="Arial" w:hAnsi="Arial"/>
          <w:sz w:val="16"/>
          <w:szCs w:val="16"/>
          <w:color w:val="auto"/>
        </w:rPr>
      </w:pPr>
    </w:p>
    <w:p>
      <w:pPr>
        <w:ind w:right="120" w:firstLine="884"/>
        <w:spacing w:after="0" w:line="250" w:lineRule="auto"/>
        <w:tabs>
          <w:tab w:leader="none" w:pos="172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57" w:name="page158"/>
    <w:bookmarkEnd w:id="157"/>
    <w:p>
      <w:pPr>
        <w:ind w:left="873" w:hanging="873"/>
        <w:spacing w:after="0"/>
        <w:tabs>
          <w:tab w:leader="none" w:pos="873"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Restrictions</w:t>
      </w:r>
    </w:p>
    <w:p>
      <w:pPr>
        <w:spacing w:after="0" w:line="224" w:lineRule="exact"/>
        <w:rPr>
          <w:rFonts w:ascii="Arial" w:cs="Arial" w:eastAsia="Arial" w:hAnsi="Arial"/>
          <w:sz w:val="18"/>
          <w:szCs w:val="18"/>
          <w:b w:val="1"/>
          <w:bCs w:val="1"/>
          <w:color w:val="auto"/>
        </w:rPr>
      </w:pPr>
    </w:p>
    <w:p>
      <w:pPr>
        <w:ind w:left="-7" w:right="100" w:firstLine="884"/>
        <w:spacing w:after="0" w:line="274" w:lineRule="auto"/>
        <w:tabs>
          <w:tab w:leader="none" w:pos="1709"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5" w:lineRule="exact"/>
        <w:rPr>
          <w:rFonts w:ascii="Arial" w:cs="Arial" w:eastAsia="Arial" w:hAnsi="Arial"/>
          <w:sz w:val="17"/>
          <w:szCs w:val="17"/>
          <w:color w:val="auto"/>
        </w:rPr>
      </w:pPr>
    </w:p>
    <w:p>
      <w:pPr>
        <w:ind w:left="-7" w:firstLine="884"/>
        <w:spacing w:after="0" w:line="289" w:lineRule="auto"/>
        <w:tabs>
          <w:tab w:leader="none" w:pos="171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61" w:lineRule="exact"/>
        <w:rPr>
          <w:rFonts w:ascii="Arial" w:cs="Arial" w:eastAsia="Arial" w:hAnsi="Arial"/>
          <w:sz w:val="16"/>
          <w:szCs w:val="16"/>
          <w:color w:val="auto"/>
        </w:rPr>
      </w:pPr>
    </w:p>
    <w:p>
      <w:pPr>
        <w:ind w:left="873" w:hanging="873"/>
        <w:spacing w:after="0"/>
        <w:tabs>
          <w:tab w:leader="none" w:pos="873"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Nature of Award</w:t>
      </w:r>
    </w:p>
    <w:p>
      <w:pPr>
        <w:spacing w:after="0" w:line="224" w:lineRule="exact"/>
        <w:rPr>
          <w:rFonts w:ascii="Arial" w:cs="Arial" w:eastAsia="Arial" w:hAnsi="Arial"/>
          <w:sz w:val="18"/>
          <w:szCs w:val="18"/>
          <w:b w:val="1"/>
          <w:bCs w:val="1"/>
          <w:color w:val="auto"/>
        </w:rPr>
      </w:pPr>
    </w:p>
    <w:p>
      <w:pPr>
        <w:ind w:left="873"/>
        <w:spacing w:after="0"/>
        <w:rPr>
          <w:rFonts w:ascii="Arial" w:cs="Arial" w:eastAsia="Arial" w:hAnsi="Arial"/>
          <w:sz w:val="18"/>
          <w:szCs w:val="18"/>
          <w:b w:val="1"/>
          <w:bCs w:val="1"/>
          <w:color w:val="auto"/>
        </w:rPr>
      </w:pPr>
      <w:r>
        <w:rPr>
          <w:rFonts w:ascii="Arial" w:cs="Arial" w:eastAsia="Arial" w:hAnsi="Arial"/>
          <w:sz w:val="18"/>
          <w:szCs w:val="18"/>
          <w:color w:val="auto"/>
        </w:rPr>
        <w:t>In accepting the Award, the Eligible Individual acknowledges that:</w:t>
      </w:r>
    </w:p>
    <w:p>
      <w:pPr>
        <w:spacing w:after="0" w:line="220" w:lineRule="exact"/>
        <w:rPr>
          <w:rFonts w:ascii="Arial" w:cs="Arial" w:eastAsia="Arial" w:hAnsi="Arial"/>
          <w:sz w:val="18"/>
          <w:szCs w:val="18"/>
          <w:b w:val="1"/>
          <w:bCs w:val="1"/>
          <w:color w:val="auto"/>
        </w:rPr>
      </w:pPr>
    </w:p>
    <w:p>
      <w:pPr>
        <w:ind w:left="-7" w:right="660" w:firstLine="884"/>
        <w:spacing w:after="0" w:line="270" w:lineRule="auto"/>
        <w:tabs>
          <w:tab w:leader="none" w:pos="170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5" w:lineRule="exact"/>
        <w:rPr>
          <w:rFonts w:ascii="Arial" w:cs="Arial" w:eastAsia="Arial" w:hAnsi="Arial"/>
          <w:sz w:val="18"/>
          <w:szCs w:val="18"/>
          <w:color w:val="auto"/>
        </w:rPr>
      </w:pPr>
    </w:p>
    <w:p>
      <w:pPr>
        <w:ind w:left="-7" w:right="180" w:firstLine="884"/>
        <w:spacing w:after="0" w:line="270" w:lineRule="auto"/>
        <w:tabs>
          <w:tab w:leader="none" w:pos="171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Awards, or benefits in lieu of Awards, even if Awards have been made repeatedly in the past;</w:t>
      </w:r>
    </w:p>
    <w:p>
      <w:pPr>
        <w:spacing w:after="0" w:line="175" w:lineRule="exact"/>
        <w:rPr>
          <w:rFonts w:ascii="Arial" w:cs="Arial" w:eastAsia="Arial" w:hAnsi="Arial"/>
          <w:sz w:val="18"/>
          <w:szCs w:val="18"/>
          <w:color w:val="auto"/>
        </w:rPr>
      </w:pPr>
    </w:p>
    <w:p>
      <w:pPr>
        <w:ind w:left="1713" w:hanging="836"/>
        <w:spacing w:after="0"/>
        <w:tabs>
          <w:tab w:leader="none" w:pos="171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decisions with respect to future Awards, if any, will be at the sole discretion of the Company;</w:t>
      </w:r>
    </w:p>
    <w:p>
      <w:pPr>
        <w:spacing w:after="0" w:line="220" w:lineRule="exact"/>
        <w:rPr>
          <w:rFonts w:ascii="Arial" w:cs="Arial" w:eastAsia="Arial" w:hAnsi="Arial"/>
          <w:sz w:val="18"/>
          <w:szCs w:val="18"/>
          <w:color w:val="auto"/>
        </w:rPr>
      </w:pPr>
    </w:p>
    <w:p>
      <w:pPr>
        <w:jc w:val="both"/>
        <w:ind w:left="-7" w:right="420" w:firstLine="884"/>
        <w:spacing w:after="0" w:line="259" w:lineRule="auto"/>
        <w:tabs>
          <w:tab w:leader="none" w:pos="171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4" w:lineRule="exact"/>
        <w:rPr>
          <w:rFonts w:ascii="Arial" w:cs="Arial" w:eastAsia="Arial" w:hAnsi="Arial"/>
          <w:sz w:val="18"/>
          <w:szCs w:val="18"/>
          <w:color w:val="auto"/>
        </w:rPr>
      </w:pPr>
    </w:p>
    <w:p>
      <w:pPr>
        <w:ind w:left="1713" w:hanging="836"/>
        <w:spacing w:after="0"/>
        <w:tabs>
          <w:tab w:leader="none" w:pos="171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Eligible Individual is voluntarily participating in the Plan;</w:t>
      </w:r>
    </w:p>
    <w:p>
      <w:pPr>
        <w:spacing w:after="0" w:line="220" w:lineRule="exact"/>
        <w:rPr>
          <w:rFonts w:ascii="Arial" w:cs="Arial" w:eastAsia="Arial" w:hAnsi="Arial"/>
          <w:sz w:val="18"/>
          <w:szCs w:val="18"/>
          <w:color w:val="auto"/>
        </w:rPr>
      </w:pPr>
    </w:p>
    <w:p>
      <w:pPr>
        <w:ind w:left="-7" w:right="360" w:firstLine="884"/>
        <w:spacing w:after="0" w:line="270" w:lineRule="auto"/>
        <w:tabs>
          <w:tab w:leader="none" w:pos="168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Award is an extraordinary item that does not constitute regular compensation of any kind for services of any kind rendered to the Company, Subsidiary, or Affiliate;</w:t>
      </w:r>
    </w:p>
    <w:p>
      <w:pPr>
        <w:spacing w:after="0" w:line="175" w:lineRule="exact"/>
        <w:rPr>
          <w:rFonts w:ascii="Arial" w:cs="Arial" w:eastAsia="Arial" w:hAnsi="Arial"/>
          <w:sz w:val="18"/>
          <w:szCs w:val="18"/>
          <w:color w:val="auto"/>
        </w:rPr>
      </w:pPr>
    </w:p>
    <w:p>
      <w:pPr>
        <w:ind w:left="-7" w:right="140" w:firstLine="884"/>
        <w:spacing w:after="0" w:line="306" w:lineRule="auto"/>
        <w:tabs>
          <w:tab w:leader="none" w:pos="171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50" w:lineRule="exact"/>
        <w:rPr>
          <w:rFonts w:ascii="Arial" w:cs="Arial" w:eastAsia="Arial" w:hAnsi="Arial"/>
          <w:sz w:val="16"/>
          <w:szCs w:val="16"/>
          <w:color w:val="auto"/>
        </w:rPr>
      </w:pPr>
    </w:p>
    <w:p>
      <w:pPr>
        <w:ind w:left="-7" w:right="700" w:firstLine="884"/>
        <w:spacing w:after="0" w:line="270" w:lineRule="auto"/>
        <w:tabs>
          <w:tab w:leader="none" w:pos="171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event that the Eligible Individual is not an employee of the Company, a Subsidiary or an Affiliate, the Award will not be interpreted to form an employment contract or relationship with the Company; and</w:t>
      </w:r>
    </w:p>
    <w:p>
      <w:pPr>
        <w:spacing w:after="0" w:line="175"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29043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93"/>
          </w:cols>
          <w:pgMar w:left="247" w:top="548" w:right="259" w:bottom="1440" w:gutter="0" w:footer="0" w:header="0"/>
        </w:sectPr>
      </w:pPr>
    </w:p>
    <w:bookmarkStart w:id="158" w:name="page159"/>
    <w:bookmarkEnd w:id="158"/>
    <w:p>
      <w:pPr>
        <w:ind w:right="160" w:firstLine="884"/>
        <w:spacing w:after="0" w:line="269" w:lineRule="auto"/>
        <w:tabs>
          <w:tab w:leader="none" w:pos="168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the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76" w:lineRule="exact"/>
        <w:rPr>
          <w:rFonts w:ascii="Arial" w:cs="Arial" w:eastAsia="Arial" w:hAnsi="Arial"/>
          <w:sz w:val="17"/>
          <w:szCs w:val="17"/>
          <w:color w:val="auto"/>
        </w:rPr>
      </w:pPr>
    </w:p>
    <w:p>
      <w:pPr>
        <w:ind w:left="880" w:hanging="873"/>
        <w:spacing w:after="0"/>
        <w:tabs>
          <w:tab w:leader="none" w:pos="8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p>
    <w:p>
      <w:pPr>
        <w:spacing w:after="0" w:line="224"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7"/>
          <w:szCs w:val="17"/>
          <w:color w:val="auto"/>
        </w:rPr>
        <w:t>The Company is not providing any tax, legal or financial advice, nor is the Company making any recommendations regarding the Eligible</w:t>
      </w:r>
    </w:p>
    <w:p>
      <w:pPr>
        <w:spacing w:after="0" w:line="3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8" w:lineRule="exact"/>
        <w:rPr>
          <w:sz w:val="20"/>
          <w:szCs w:val="20"/>
          <w:color w:val="auto"/>
        </w:rPr>
      </w:pPr>
    </w:p>
    <w:p>
      <w:pPr>
        <w:ind w:left="880" w:hanging="873"/>
        <w:spacing w:after="0"/>
        <w:tabs>
          <w:tab w:leader="none" w:pos="8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17" w:lineRule="exact"/>
        <w:rPr>
          <w:sz w:val="20"/>
          <w:szCs w:val="20"/>
          <w:color w:val="auto"/>
        </w:rPr>
      </w:pPr>
    </w:p>
    <w:p>
      <w:pPr>
        <w:jc w:val="both"/>
        <w:ind w:right="20" w:firstLine="878"/>
        <w:spacing w:after="0" w:line="259" w:lineRule="auto"/>
        <w:rPr>
          <w:sz w:val="20"/>
          <w:szCs w:val="20"/>
          <w:color w:val="auto"/>
        </w:rPr>
      </w:pPr>
      <w:r>
        <w:rPr>
          <w:rFonts w:ascii="Arial" w:cs="Arial" w:eastAsia="Arial" w:hAnsi="Arial"/>
          <w:sz w:val="18"/>
          <w:szCs w:val="18"/>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880" w:hanging="873"/>
        <w:spacing w:after="0"/>
        <w:tabs>
          <w:tab w:leader="none" w:pos="8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Agreement: Severability</w:t>
      </w:r>
    </w:p>
    <w:p>
      <w:pPr>
        <w:spacing w:after="0" w:line="117" w:lineRule="exact"/>
        <w:rPr>
          <w:sz w:val="20"/>
          <w:szCs w:val="20"/>
          <w:color w:val="auto"/>
        </w:rPr>
      </w:pPr>
    </w:p>
    <w:p>
      <w:pPr>
        <w:ind w:right="160" w:firstLine="878"/>
        <w:spacing w:after="0" w:line="259" w:lineRule="auto"/>
        <w:rPr>
          <w:sz w:val="20"/>
          <w:szCs w:val="20"/>
          <w:color w:val="auto"/>
        </w:rPr>
      </w:pPr>
      <w:r>
        <w:rPr>
          <w:rFonts w:ascii="Arial" w:cs="Arial" w:eastAsia="Arial" w:hAnsi="Arial"/>
          <w:sz w:val="18"/>
          <w:szCs w:val="18"/>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880" w:hanging="873"/>
        <w:spacing w:after="0"/>
        <w:tabs>
          <w:tab w:leader="none" w:pos="8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Laws Applicable to Construction: Consent to Jurisdiction</w:t>
      </w:r>
    </w:p>
    <w:p>
      <w:pPr>
        <w:spacing w:after="0" w:line="117" w:lineRule="exact"/>
        <w:rPr>
          <w:rFonts w:ascii="Arial" w:cs="Arial" w:eastAsia="Arial" w:hAnsi="Arial"/>
          <w:sz w:val="18"/>
          <w:szCs w:val="18"/>
          <w:b w:val="1"/>
          <w:bCs w:val="1"/>
          <w:color w:val="auto"/>
        </w:rPr>
      </w:pPr>
    </w:p>
    <w:p>
      <w:pPr>
        <w:ind w:right="220" w:firstLine="884"/>
        <w:spacing w:after="0" w:line="306" w:lineRule="auto"/>
        <w:tabs>
          <w:tab w:leader="none" w:pos="171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50" w:lineRule="exact"/>
        <w:rPr>
          <w:rFonts w:ascii="Arial" w:cs="Arial" w:eastAsia="Arial" w:hAnsi="Arial"/>
          <w:sz w:val="16"/>
          <w:szCs w:val="16"/>
          <w:color w:val="auto"/>
        </w:rPr>
      </w:pPr>
    </w:p>
    <w:p>
      <w:pPr>
        <w:ind w:firstLine="884"/>
        <w:spacing w:after="0" w:line="274" w:lineRule="auto"/>
        <w:tabs>
          <w:tab w:leader="none" w:pos="1726"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1" w:lineRule="exact"/>
        <w:rPr>
          <w:rFonts w:ascii="Arial" w:cs="Arial" w:eastAsia="Arial" w:hAnsi="Arial"/>
          <w:sz w:val="17"/>
          <w:szCs w:val="17"/>
          <w:color w:val="auto"/>
        </w:rPr>
      </w:pPr>
    </w:p>
    <w:p>
      <w:pPr>
        <w:ind w:left="880" w:hanging="873"/>
        <w:spacing w:after="0"/>
        <w:tabs>
          <w:tab w:leader="none" w:pos="8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and Interpretation</w:t>
      </w:r>
    </w:p>
    <w:p>
      <w:pPr>
        <w:spacing w:after="0" w:line="117" w:lineRule="exact"/>
        <w:rPr>
          <w:rFonts w:ascii="Arial" w:cs="Arial" w:eastAsia="Arial" w:hAnsi="Arial"/>
          <w:sz w:val="18"/>
          <w:szCs w:val="18"/>
          <w:b w:val="1"/>
          <w:bCs w:val="1"/>
          <w:color w:val="auto"/>
        </w:rPr>
      </w:pPr>
    </w:p>
    <w:p>
      <w:pPr>
        <w:ind w:right="160" w:firstLine="884"/>
        <w:spacing w:after="0" w:line="259" w:lineRule="auto"/>
        <w:tabs>
          <w:tab w:leader="none" w:pos="171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159" w:name="page160"/>
    <w:bookmarkEnd w:id="159"/>
    <w:p>
      <w:pPr>
        <w:ind w:left="-7" w:firstLine="884"/>
        <w:spacing w:after="0" w:line="289" w:lineRule="auto"/>
        <w:tabs>
          <w:tab w:leader="none" w:pos="1719"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61" w:lineRule="exact"/>
        <w:rPr>
          <w:rFonts w:ascii="Arial" w:cs="Arial" w:eastAsia="Arial" w:hAnsi="Arial"/>
          <w:sz w:val="16"/>
          <w:szCs w:val="16"/>
          <w:color w:val="auto"/>
        </w:rPr>
      </w:pPr>
    </w:p>
    <w:p>
      <w:pPr>
        <w:ind w:left="873" w:hanging="873"/>
        <w:spacing w:after="0"/>
        <w:tabs>
          <w:tab w:leader="none" w:pos="873"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p>
    <w:p>
      <w:pPr>
        <w:spacing w:after="0" w:line="117" w:lineRule="exact"/>
        <w:rPr>
          <w:rFonts w:ascii="Arial" w:cs="Arial" w:eastAsia="Arial" w:hAnsi="Arial"/>
          <w:sz w:val="18"/>
          <w:szCs w:val="18"/>
          <w:b w:val="1"/>
          <w:bCs w:val="1"/>
          <w:color w:val="auto"/>
        </w:rPr>
      </w:pPr>
    </w:p>
    <w:p>
      <w:pPr>
        <w:ind w:left="-7" w:right="80" w:firstLine="884"/>
        <w:spacing w:after="0" w:line="287" w:lineRule="auto"/>
        <w:tabs>
          <w:tab w:leader="none" w:pos="1709"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68" w:lineRule="exact"/>
        <w:rPr>
          <w:rFonts w:ascii="Arial" w:cs="Arial" w:eastAsia="Arial" w:hAnsi="Arial"/>
          <w:sz w:val="16"/>
          <w:szCs w:val="16"/>
          <w:color w:val="auto"/>
        </w:rPr>
      </w:pPr>
    </w:p>
    <w:p>
      <w:pPr>
        <w:ind w:left="-7" w:right="80" w:firstLine="884"/>
        <w:spacing w:after="0" w:line="268" w:lineRule="auto"/>
        <w:tabs>
          <w:tab w:leader="none" w:pos="1719"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0" w:lineRule="exact"/>
        <w:rPr>
          <w:rFonts w:ascii="Arial" w:cs="Arial" w:eastAsia="Arial" w:hAnsi="Arial"/>
          <w:sz w:val="17"/>
          <w:szCs w:val="17"/>
          <w:color w:val="auto"/>
        </w:rPr>
      </w:pPr>
    </w:p>
    <w:p>
      <w:pPr>
        <w:ind w:left="-7" w:right="160" w:firstLine="884"/>
        <w:spacing w:after="0" w:line="292" w:lineRule="auto"/>
        <w:tabs>
          <w:tab w:leader="none" w:pos="1709"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8" w:lineRule="exact"/>
        <w:rPr>
          <w:rFonts w:ascii="Arial" w:cs="Arial" w:eastAsia="Arial" w:hAnsi="Arial"/>
          <w:sz w:val="16"/>
          <w:szCs w:val="16"/>
          <w:color w:val="auto"/>
        </w:rPr>
      </w:pPr>
    </w:p>
    <w:p>
      <w:pPr>
        <w:ind w:left="873" w:hanging="873"/>
        <w:spacing w:after="0"/>
        <w:tabs>
          <w:tab w:leader="none" w:pos="873"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224" w:lineRule="exact"/>
        <w:rPr>
          <w:rFonts w:ascii="Arial" w:cs="Arial" w:eastAsia="Arial" w:hAnsi="Arial"/>
          <w:sz w:val="18"/>
          <w:szCs w:val="18"/>
          <w:b w:val="1"/>
          <w:bCs w:val="1"/>
          <w:color w:val="auto"/>
        </w:rPr>
      </w:pPr>
    </w:p>
    <w:p>
      <w:pPr>
        <w:jc w:val="both"/>
        <w:ind w:left="-7" w:firstLine="884"/>
        <w:spacing w:after="0" w:line="274" w:lineRule="auto"/>
        <w:tabs>
          <w:tab w:leader="none" w:pos="1709"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5"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29043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13"/>
          </w:cols>
          <w:pgMar w:left="247" w:top="552" w:right="239" w:bottom="1440" w:gutter="0" w:footer="0" w:header="0"/>
        </w:sectPr>
      </w:pPr>
    </w:p>
    <w:bookmarkStart w:id="160" w:name="page161"/>
    <w:bookmarkEnd w:id="160"/>
    <w:p>
      <w:pPr>
        <w:ind w:right="60" w:firstLine="884"/>
        <w:spacing w:after="0" w:line="269" w:lineRule="auto"/>
        <w:tabs>
          <w:tab w:leader="none" w:pos="172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This Award and payments made pursuant to this Agreement and the Plan are intended to qualify for an exemption from Section 409A of the Code. If the Company makes a good faith determination that any compensation provided under this Agreement is likely to be subject to the additional tax imposed by Section 409A,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76" w:lineRule="exact"/>
        <w:rPr>
          <w:rFonts w:ascii="Arial" w:cs="Arial" w:eastAsia="Arial" w:hAnsi="Arial"/>
          <w:sz w:val="17"/>
          <w:szCs w:val="17"/>
          <w:color w:val="auto"/>
        </w:rPr>
      </w:pPr>
    </w:p>
    <w:p>
      <w:pPr>
        <w:ind w:left="880" w:hanging="873"/>
        <w:spacing w:after="0"/>
        <w:tabs>
          <w:tab w:leader="none" w:pos="8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Language</w:t>
      </w:r>
    </w:p>
    <w:p>
      <w:pPr>
        <w:spacing w:after="0" w:line="224" w:lineRule="exact"/>
        <w:rPr>
          <w:rFonts w:ascii="Arial" w:cs="Arial" w:eastAsia="Arial" w:hAnsi="Arial"/>
          <w:sz w:val="18"/>
          <w:szCs w:val="18"/>
          <w:b w:val="1"/>
          <w:bCs w:val="1"/>
          <w:color w:val="auto"/>
        </w:rPr>
      </w:pPr>
    </w:p>
    <w:p>
      <w:pPr>
        <w:ind w:left="880"/>
        <w:spacing w:after="0"/>
        <w:rPr>
          <w:rFonts w:ascii="Arial" w:cs="Arial" w:eastAsia="Arial" w:hAnsi="Arial"/>
          <w:sz w:val="18"/>
          <w:szCs w:val="18"/>
          <w:b w:val="1"/>
          <w:bCs w:val="1"/>
          <w:color w:val="auto"/>
        </w:rPr>
      </w:pPr>
      <w:r>
        <w:rPr>
          <w:rFonts w:ascii="Arial" w:cs="Arial" w:eastAsia="Arial" w:hAnsi="Arial"/>
          <w:sz w:val="16"/>
          <w:szCs w:val="16"/>
          <w:color w:val="auto"/>
        </w:rPr>
        <w:t>The Eligible Individual has received this Agreement and any other related communications and consents to having received these documents solely</w:t>
      </w:r>
    </w:p>
    <w:p>
      <w:pPr>
        <w:spacing w:after="0" w:line="4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84" w:lineRule="exact"/>
        <w:rPr>
          <w:sz w:val="20"/>
          <w:szCs w:val="20"/>
          <w:color w:val="auto"/>
        </w:rPr>
      </w:pPr>
    </w:p>
    <w:p>
      <w:pPr>
        <w:ind w:left="880" w:hanging="873"/>
        <w:spacing w:after="0"/>
        <w:tabs>
          <w:tab w:leader="none" w:pos="8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p>
    <w:p>
      <w:pPr>
        <w:spacing w:after="0" w:line="224" w:lineRule="exact"/>
        <w:rPr>
          <w:sz w:val="20"/>
          <w:szCs w:val="20"/>
          <w:color w:val="auto"/>
        </w:rPr>
      </w:pPr>
    </w:p>
    <w:p>
      <w:pPr>
        <w:ind w:firstLine="878"/>
        <w:spacing w:after="0" w:line="274" w:lineRule="auto"/>
        <w:rPr>
          <w:sz w:val="20"/>
          <w:szCs w:val="20"/>
          <w:color w:val="auto"/>
        </w:rPr>
      </w:pPr>
      <w:r>
        <w:rPr>
          <w:rFonts w:ascii="Arial" w:cs="Arial" w:eastAsia="Arial" w:hAnsi="Arial"/>
          <w:sz w:val="17"/>
          <w:szCs w:val="17"/>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5" w:lineRule="exact"/>
        <w:rPr>
          <w:sz w:val="20"/>
          <w:szCs w:val="20"/>
          <w:color w:val="auto"/>
        </w:rPr>
      </w:pPr>
    </w:p>
    <w:p>
      <w:pPr>
        <w:ind w:right="220" w:firstLine="878"/>
        <w:spacing w:after="0" w:line="270" w:lineRule="auto"/>
        <w:rPr>
          <w:sz w:val="20"/>
          <w:szCs w:val="20"/>
          <w:color w:val="auto"/>
        </w:rPr>
      </w:pPr>
      <w:r>
        <w:rPr>
          <w:rFonts w:ascii="Arial" w:cs="Arial" w:eastAsia="Arial" w:hAnsi="Arial"/>
          <w:sz w:val="18"/>
          <w:szCs w:val="18"/>
          <w:color w:val="auto"/>
        </w:rPr>
        <w:t>By accepting this Agreement and participating in the Plan, the Eligible Individual agrees to be bound by the terms and conditions of the Plan and this Agreement, including the Grant Details.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WITNESS WHEREOF, the Company and the Eligible Individual have executed and delivered this Agreement as of the date first written above.</w:t>
      </w: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47"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Seth J. Kalvert</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-130175</wp:posOffset>
            </wp:positionV>
            <wp:extent cx="26028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8"/>
          <w:szCs w:val="18"/>
          <w:color w:val="auto"/>
        </w:rPr>
        <w:t>Senior Vice President,</w:t>
      </w:r>
    </w:p>
    <w:p>
      <w:pPr>
        <w:spacing w:after="0" w:line="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General Counsel and Secretary</w:t>
      </w:r>
    </w:p>
    <w:p>
      <w:pPr>
        <w:spacing w:after="0" w:line="23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Stephen Kaufer</w:t>
      </w:r>
    </w:p>
    <w:p>
      <w:pPr>
        <w:spacing w:after="0" w:line="2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-130175</wp:posOffset>
            </wp:positionV>
            <wp:extent cx="26028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2602865" cy="825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2420" w:type="dxa"/>
            <w:vAlign w:val="bottom"/>
            <w:tcBorders>
              <w:top w:val="single" w:sz="8" w:color="auto"/>
              <w:left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Performance</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Performance</w:t>
            </w:r>
          </w:p>
        </w:tc>
        <w:tc>
          <w:tcPr>
            <w:tcW w:w="22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Target RSUs</w:t>
            </w:r>
          </w:p>
        </w:tc>
        <w:tc>
          <w:tcPr>
            <w:tcW w:w="222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Maximum RSUs</w:t>
            </w:r>
          </w:p>
        </w:tc>
        <w:tc>
          <w:tcPr>
            <w:tcW w:w="0" w:type="dxa"/>
            <w:vAlign w:val="bottom"/>
          </w:tcPr>
          <w:p>
            <w:pPr>
              <w:spacing w:after="0"/>
              <w:rPr>
                <w:sz w:val="1"/>
                <w:szCs w:val="1"/>
                <w:color w:val="auto"/>
              </w:rPr>
            </w:pPr>
          </w:p>
        </w:tc>
      </w:tr>
      <w:tr>
        <w:trPr>
          <w:trHeight w:val="214"/>
        </w:trPr>
        <w:tc>
          <w:tcPr>
            <w:tcW w:w="2420" w:type="dxa"/>
            <w:vAlign w:val="bottom"/>
            <w:tcBorders>
              <w:left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Period</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Metric</w:t>
            </w: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2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And</w:t>
            </w:r>
          </w:p>
        </w:tc>
        <w:tc>
          <w:tcPr>
            <w:tcW w:w="23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Weighting</w:t>
            </w:r>
          </w:p>
        </w:tc>
        <w:tc>
          <w:tcPr>
            <w:tcW w:w="23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42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(1)(2)</w:t>
            </w:r>
          </w:p>
        </w:tc>
        <w:tc>
          <w:tcPr>
            <w:tcW w:w="232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20" w:type="dxa"/>
            <w:vAlign w:val="bottom"/>
            <w:tcBorders>
              <w:left w:val="single" w:sz="8" w:color="auto"/>
              <w:right w:val="single" w:sz="8" w:color="auto"/>
            </w:tcBorders>
          </w:tcPr>
          <w:p>
            <w:pPr>
              <w:ind w:left="60"/>
              <w:spacing w:after="0" w:line="206" w:lineRule="exact"/>
              <w:rPr>
                <w:sz w:val="20"/>
                <w:szCs w:val="20"/>
                <w:color w:val="auto"/>
              </w:rPr>
            </w:pPr>
            <w:r>
              <w:rPr>
                <w:rFonts w:ascii="Arial" w:cs="Arial" w:eastAsia="Arial" w:hAnsi="Arial"/>
                <w:sz w:val="18"/>
                <w:szCs w:val="18"/>
                <w:color w:val="auto"/>
              </w:rPr>
              <w:t>1/1/2018–</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(1)</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(2)</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53,250</w:t>
            </w:r>
          </w:p>
        </w:tc>
        <w:tc>
          <w:tcPr>
            <w:tcW w:w="2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66,563</w:t>
            </w:r>
          </w:p>
        </w:tc>
        <w:tc>
          <w:tcPr>
            <w:tcW w:w="0" w:type="dxa"/>
            <w:vAlign w:val="bottom"/>
          </w:tcPr>
          <w:p>
            <w:pPr>
              <w:spacing w:after="0"/>
              <w:rPr>
                <w:sz w:val="1"/>
                <w:szCs w:val="1"/>
                <w:color w:val="auto"/>
              </w:rPr>
            </w:pPr>
          </w:p>
        </w:tc>
      </w:tr>
      <w:tr>
        <w:trPr>
          <w:trHeight w:val="120"/>
        </w:trPr>
        <w:tc>
          <w:tcPr>
            <w:tcW w:w="24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12/31/2018</w:t>
            </w:r>
          </w:p>
        </w:tc>
        <w:tc>
          <w:tcPr>
            <w:tcW w:w="226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1/1/2019–</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(1)</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(2)</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53,250</w:t>
            </w:r>
          </w:p>
        </w:tc>
        <w:tc>
          <w:tcPr>
            <w:tcW w:w="2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66,563</w:t>
            </w:r>
          </w:p>
        </w:tc>
        <w:tc>
          <w:tcPr>
            <w:tcW w:w="0" w:type="dxa"/>
            <w:vAlign w:val="bottom"/>
          </w:tcPr>
          <w:p>
            <w:pPr>
              <w:spacing w:after="0"/>
              <w:rPr>
                <w:sz w:val="1"/>
                <w:szCs w:val="1"/>
                <w:color w:val="auto"/>
              </w:rPr>
            </w:pPr>
          </w:p>
        </w:tc>
      </w:tr>
      <w:tr>
        <w:trPr>
          <w:trHeight w:val="120"/>
        </w:trPr>
        <w:tc>
          <w:tcPr>
            <w:tcW w:w="24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12/31/2019</w:t>
            </w:r>
          </w:p>
        </w:tc>
        <w:tc>
          <w:tcPr>
            <w:tcW w:w="226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1/1/2020–</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(1)</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(2)</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53,250</w:t>
            </w:r>
          </w:p>
        </w:tc>
        <w:tc>
          <w:tcPr>
            <w:tcW w:w="2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66,562</w:t>
            </w:r>
          </w:p>
        </w:tc>
        <w:tc>
          <w:tcPr>
            <w:tcW w:w="0" w:type="dxa"/>
            <w:vAlign w:val="bottom"/>
          </w:tcPr>
          <w:p>
            <w:pPr>
              <w:spacing w:after="0"/>
              <w:rPr>
                <w:sz w:val="1"/>
                <w:szCs w:val="1"/>
                <w:color w:val="auto"/>
              </w:rPr>
            </w:pPr>
          </w:p>
        </w:tc>
      </w:tr>
      <w:tr>
        <w:trPr>
          <w:trHeight w:val="120"/>
        </w:trPr>
        <w:tc>
          <w:tcPr>
            <w:tcW w:w="24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12/31/2020</w:t>
            </w:r>
          </w:p>
        </w:tc>
        <w:tc>
          <w:tcPr>
            <w:tcW w:w="226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4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1/1/2021–</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(1)</w:t>
            </w:r>
          </w:p>
        </w:tc>
        <w:tc>
          <w:tcPr>
            <w:tcW w:w="2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(2)</w:t>
            </w:r>
          </w:p>
        </w:tc>
        <w:tc>
          <w:tcPr>
            <w:tcW w:w="22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53,250</w:t>
            </w:r>
          </w:p>
        </w:tc>
        <w:tc>
          <w:tcPr>
            <w:tcW w:w="2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66,562</w:t>
            </w:r>
          </w:p>
        </w:tc>
        <w:tc>
          <w:tcPr>
            <w:tcW w:w="0" w:type="dxa"/>
            <w:vAlign w:val="bottom"/>
          </w:tcPr>
          <w:p>
            <w:pPr>
              <w:spacing w:after="0"/>
              <w:rPr>
                <w:sz w:val="1"/>
                <w:szCs w:val="1"/>
                <w:color w:val="auto"/>
              </w:rPr>
            </w:pPr>
          </w:p>
        </w:tc>
      </w:tr>
      <w:tr>
        <w:trPr>
          <w:trHeight w:val="120"/>
        </w:trPr>
        <w:tc>
          <w:tcPr>
            <w:tcW w:w="242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12/31/2021</w:t>
            </w:r>
          </w:p>
        </w:tc>
        <w:tc>
          <w:tcPr>
            <w:tcW w:w="2260" w:type="dxa"/>
            <w:vAlign w:val="bottom"/>
            <w:tcBorders>
              <w:right w:val="single" w:sz="8" w:color="auto"/>
            </w:tcBorders>
            <w:vMerge w:val="continue"/>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vMerge w:val="continue"/>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213,000</w:t>
            </w: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266,250</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120" w:firstLine="884"/>
        <w:spacing w:after="0" w:line="334" w:lineRule="auto"/>
        <w:tabs>
          <w:tab w:leader="none" w:pos="172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Performance metrics and weightings will be tied to annual business plan and strategic objectives. As a result, performance metrics and weightings will be established by the Compensation Committee annually, no later than 90 days after commencement of each Performance Period.</w:t>
      </w:r>
    </w:p>
    <w:p>
      <w:pPr>
        <w:spacing w:after="0" w:line="128" w:lineRule="exact"/>
        <w:rPr>
          <w:rFonts w:ascii="Arial" w:cs="Arial" w:eastAsia="Arial" w:hAnsi="Arial"/>
          <w:sz w:val="16"/>
          <w:szCs w:val="16"/>
          <w:color w:val="auto"/>
        </w:rPr>
      </w:pPr>
    </w:p>
    <w:p>
      <w:pPr>
        <w:ind w:right="180" w:firstLine="884"/>
        <w:spacing w:after="0" w:line="270" w:lineRule="auto"/>
        <w:tabs>
          <w:tab w:leader="none" w:pos="17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Actual performance targets will be established by the Compensation Committee annually, no later than 90 days after commencement of each Performance Period.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EMPLOYMENT AGREEMENT</w:t>
      </w:r>
    </w:p>
    <w:p>
      <w:pPr>
        <w:spacing w:after="0" w:line="224" w:lineRule="exact"/>
        <w:rPr>
          <w:sz w:val="20"/>
          <w:szCs w:val="20"/>
          <w:color w:val="auto"/>
        </w:rPr>
      </w:pPr>
    </w:p>
    <w:p>
      <w:pPr>
        <w:ind w:right="320" w:firstLine="878"/>
        <w:spacing w:after="0" w:line="300" w:lineRule="auto"/>
        <w:rPr>
          <w:sz w:val="20"/>
          <w:szCs w:val="20"/>
          <w:color w:val="auto"/>
        </w:rPr>
      </w:pPr>
      <w:r>
        <w:rPr>
          <w:rFonts w:ascii="Arial" w:cs="Arial" w:eastAsia="Arial" w:hAnsi="Arial"/>
          <w:sz w:val="17"/>
          <w:szCs w:val="17"/>
          <w:color w:val="auto"/>
        </w:rPr>
        <w:t>THIS AMENDMENT TO EMPLOYMENT AGREEMENT (“Amendment”) is entered into by and between Ernst Teunissen (“Executive”) and TripAdvisor, LLC, a Delaware limited liability company (the “Company”), and is effective as of November 28, 2017 (the “Effective Date”).</w:t>
      </w:r>
    </w:p>
    <w:p>
      <w:pPr>
        <w:spacing w:after="0" w:line="152" w:lineRule="exact"/>
        <w:rPr>
          <w:sz w:val="20"/>
          <w:szCs w:val="20"/>
          <w:color w:val="auto"/>
        </w:rPr>
      </w:pPr>
    </w:p>
    <w:p>
      <w:pPr>
        <w:ind w:firstLine="878"/>
        <w:spacing w:after="0" w:line="270" w:lineRule="auto"/>
        <w:rPr>
          <w:sz w:val="20"/>
          <w:szCs w:val="20"/>
          <w:color w:val="auto"/>
        </w:rPr>
      </w:pPr>
      <w:r>
        <w:rPr>
          <w:rFonts w:ascii="Arial" w:cs="Arial" w:eastAsia="Arial" w:hAnsi="Arial"/>
          <w:sz w:val="18"/>
          <w:szCs w:val="18"/>
          <w:color w:val="auto"/>
        </w:rPr>
        <w:t>WHEREAS, the Company and the Executive previously entered into an Employment Agreement effective as of October 6, 2015 (the “Agreement”) to establish the terms and conditions of the Executive’s employment with the Company.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the Company and Executive desire to amend the Agreement as set forth below.</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NOW, THEREFORE, in consideration of the mutual agreements hereinafter set forth, Executive and the Company have agreed and do hereby agree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7" w:lineRule="exact"/>
        <w:rPr>
          <w:sz w:val="20"/>
          <w:szCs w:val="20"/>
          <w:color w:val="auto"/>
        </w:rPr>
      </w:pPr>
    </w:p>
    <w:p>
      <w:pPr>
        <w:ind w:left="1660" w:hanging="776"/>
        <w:spacing w:after="0"/>
        <w:tabs>
          <w:tab w:leader="none" w:pos="1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Agreement is hereby amended to extend the term of the Agreement and replacing Section 2A. of the Agreement in its entirety with</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w:t>
      </w:r>
    </w:p>
    <w:p>
      <w:pPr>
        <w:spacing w:after="0" w:line="207" w:lineRule="exact"/>
        <w:rPr>
          <w:sz w:val="20"/>
          <w:szCs w:val="20"/>
          <w:color w:val="auto"/>
        </w:rPr>
      </w:pPr>
    </w:p>
    <w:p>
      <w:pPr>
        <w:jc w:val="both"/>
        <w:ind w:right="500" w:firstLine="878"/>
        <w:spacing w:after="0" w:line="334" w:lineRule="auto"/>
        <w:rPr>
          <w:sz w:val="20"/>
          <w:szCs w:val="20"/>
          <w:color w:val="auto"/>
        </w:rPr>
      </w:pPr>
      <w:r>
        <w:rPr>
          <w:rFonts w:ascii="Arial" w:cs="Arial" w:eastAsia="Arial" w:hAnsi="Arial"/>
          <w:sz w:val="16"/>
          <w:szCs w:val="16"/>
          <w:color w:val="auto"/>
        </w:rPr>
        <w:t xml:space="preserve">“2A. </w:t>
      </w:r>
      <w:r>
        <w:rPr>
          <w:rFonts w:ascii="Arial" w:cs="Arial" w:eastAsia="Arial" w:hAnsi="Arial"/>
          <w:sz w:val="16"/>
          <w:szCs w:val="16"/>
          <w:u w:val="single" w:color="auto"/>
          <w:color w:val="auto"/>
        </w:rPr>
        <w:t>TERM OF AGREEMENT</w:t>
      </w:r>
      <w:r>
        <w:rPr>
          <w:rFonts w:ascii="Arial" w:cs="Arial" w:eastAsia="Arial" w:hAnsi="Arial"/>
          <w:sz w:val="16"/>
          <w:szCs w:val="16"/>
          <w:color w:val="auto"/>
        </w:rPr>
        <w:t>. The term (the “Term”) of this Agreement shall commence on the Effective Date and shall continue through March 31, 2021, unless sooner terminated in accordance with the provisions of Section 1 of the Standard Terms and Conditions attached hereto.”</w:t>
      </w:r>
    </w:p>
    <w:p>
      <w:pPr>
        <w:spacing w:after="0" w:line="129" w:lineRule="exact"/>
        <w:rPr>
          <w:sz w:val="20"/>
          <w:szCs w:val="20"/>
          <w:color w:val="auto"/>
        </w:rPr>
      </w:pPr>
    </w:p>
    <w:p>
      <w:pPr>
        <w:ind w:right="160" w:firstLine="884"/>
        <w:spacing w:after="0" w:line="270" w:lineRule="auto"/>
        <w:tabs>
          <w:tab w:leader="none" w:pos="16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Agreement is hereby amended by removing the existing subsection (i) in Section 1(d) of the Standard Terms and Conditions to the Employment Agreement and replacing it with the new (i) set forth below:</w:t>
      </w:r>
    </w:p>
    <w:p>
      <w:pPr>
        <w:spacing w:after="0" w:line="175" w:lineRule="exact"/>
        <w:rPr>
          <w:sz w:val="20"/>
          <w:szCs w:val="20"/>
          <w:color w:val="auto"/>
        </w:rPr>
      </w:pPr>
    </w:p>
    <w:p>
      <w:pPr>
        <w:ind w:left="1700" w:hanging="816"/>
        <w:spacing w:after="0"/>
        <w:tabs>
          <w:tab w:leader="none" w:pos="17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shall continue to pay Executive the Base Salary through the longer of (x) 12 months following such termination date, or</w:t>
      </w:r>
    </w:p>
    <w:p>
      <w:pPr>
        <w:spacing w:after="0" w:line="42" w:lineRule="exact"/>
        <w:rPr>
          <w:rFonts w:ascii="Arial" w:cs="Arial" w:eastAsia="Arial" w:hAnsi="Arial"/>
          <w:sz w:val="16"/>
          <w:szCs w:val="16"/>
          <w:color w:val="auto"/>
        </w:rPr>
      </w:pPr>
    </w:p>
    <w:p>
      <w:pPr>
        <w:ind w:left="880" w:firstLine="4"/>
        <w:spacing w:after="0" w:line="288" w:lineRule="auto"/>
        <w:tabs>
          <w:tab w:leader="none" w:pos="113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remaining Term of the Agreement up to a maximum of 18 months following such termination date (in either case, such period, the “Salary Continuation Period” and such payments, the “Cash Severance Payments” in either case), such amount to be payable in equal biweekly installments and the Company shall pay in cash to Executive (within 10 business days of each applicable monthly period) for each month between the date of termination and the end of the Salary Continuation Period an amount equal to the premiums charged by the Company to maintain COBRA benefits continuation coverage for Executive and Executive’s eligible dependents to the extent such coverage is then in place;</w:t>
      </w:r>
    </w:p>
    <w:p>
      <w:pPr>
        <w:spacing w:after="0" w:line="58" w:lineRule="exact"/>
        <w:rPr>
          <w:sz w:val="20"/>
          <w:szCs w:val="20"/>
          <w:color w:val="auto"/>
        </w:rPr>
      </w:pPr>
    </w:p>
    <w:p>
      <w:pPr>
        <w:ind w:right="20" w:firstLine="884"/>
        <w:spacing w:after="0" w:line="270" w:lineRule="auto"/>
        <w:tabs>
          <w:tab w:leader="none" w:pos="16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Agreement is hereby amended by removing the existing sentence below in Section 1(d) of the Standard Terms and Conditions to the Employment Agreement and replacing it with the new language also set forth below: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Existing Sentence:</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expiration of the Term shall not give rise to any payment to Executive or acceleration obligation under this Section 1(d).</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New Sentence:</w:t>
      </w:r>
    </w:p>
    <w:p>
      <w:pPr>
        <w:spacing w:after="0" w:line="113" w:lineRule="exact"/>
        <w:rPr>
          <w:sz w:val="20"/>
          <w:szCs w:val="20"/>
          <w:color w:val="auto"/>
        </w:rPr>
      </w:pPr>
    </w:p>
    <w:p>
      <w:pPr>
        <w:ind w:left="880" w:right="20"/>
        <w:spacing w:after="0" w:line="253" w:lineRule="auto"/>
        <w:rPr>
          <w:sz w:val="20"/>
          <w:szCs w:val="20"/>
          <w:color w:val="auto"/>
        </w:rPr>
      </w:pPr>
      <w:r>
        <w:rPr>
          <w:rFonts w:ascii="Arial" w:cs="Arial" w:eastAsia="Arial" w:hAnsi="Arial"/>
          <w:sz w:val="18"/>
          <w:szCs w:val="18"/>
          <w:color w:val="auto"/>
        </w:rPr>
        <w:t>The expiration of the Term shall be treated for all intents and purposes (including with respect to the Employment Agreement, the TripAdvisor, Inc. Executive Severance Plan and Summary Plan Description and the TripAdvisor, Inc. Amended and Restated 2011 Stock and Annual Incentive Plan, as each of the same may be amended from time to time) as a Termination of Employment without Cause or resignation for Good Reason not in connection with a Change in Control, and, in such event, the Executive shall be entitled to the benefits described in Section 1(d) of the Standard Terms and Conditions.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63" w:name="page164"/>
    <w:bookmarkEnd w:id="163"/>
    <w:p>
      <w:pPr>
        <w:ind w:right="40" w:firstLine="878"/>
        <w:spacing w:after="0" w:line="270" w:lineRule="auto"/>
        <w:rPr>
          <w:sz w:val="20"/>
          <w:szCs w:val="20"/>
          <w:color w:val="auto"/>
        </w:rPr>
      </w:pPr>
      <w:r>
        <w:rPr>
          <w:rFonts w:ascii="Arial" w:cs="Arial" w:eastAsia="Arial" w:hAnsi="Arial"/>
          <w:sz w:val="18"/>
          <w:szCs w:val="18"/>
          <w:color w:val="auto"/>
        </w:rPr>
        <w:t>IN WITNESS WHEREOF, the Company has caused this Amendment to be executed and delivered by its duly authorized officer and Executive has executed and delivered this Amendment.</w:t>
      </w:r>
    </w:p>
    <w:p>
      <w:pPr>
        <w:spacing w:after="0" w:line="17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TRIPADVISOR, LLC</w:t>
      </w:r>
    </w:p>
    <w:p>
      <w:pPr>
        <w:spacing w:after="0" w:line="220" w:lineRule="exact"/>
        <w:rPr>
          <w:sz w:val="20"/>
          <w:szCs w:val="20"/>
          <w:color w:val="auto"/>
        </w:rPr>
      </w:pPr>
    </w:p>
    <w:tbl>
      <w:tblPr>
        <w:tblLayout w:type="fixed"/>
        <w:tblInd w:w="6300" w:type="dxa"/>
        <w:tblCellMar>
          <w:top w:w="0" w:type="dxa"/>
          <w:left w:w="0" w:type="dxa"/>
          <w:bottom w:w="0" w:type="dxa"/>
          <w:right w:w="0" w:type="dxa"/>
        </w:tblCellMar>
      </w:tblPr>
      <w:tr>
        <w:trPr>
          <w:trHeight w:val="227"/>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J. Kalvert</w:t>
            </w:r>
          </w:p>
        </w:tc>
      </w:tr>
      <w:tr>
        <w:trPr>
          <w:trHeight w:val="208"/>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Seth J. Kalvert</w:t>
            </w:r>
          </w:p>
        </w:tc>
      </w:t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Manager and Secretary</w:t>
            </w:r>
          </w:p>
        </w:tc>
      </w:tr>
    </w:tbl>
    <w:p>
      <w:pPr>
        <w:spacing w:after="0" w:line="19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Ernst Teunissen</w:t>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-130175</wp:posOffset>
            </wp:positionV>
            <wp:extent cx="32550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325501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941070" cy="703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941070" cy="703580"/>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INSERTION ORDER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80" w:type="dxa"/>
            <w:vAlign w:val="bottom"/>
            <w:gridSpan w:val="5"/>
          </w:tcPr>
          <w:p>
            <w:pPr>
              <w:spacing w:after="0"/>
              <w:rPr>
                <w:sz w:val="20"/>
                <w:szCs w:val="20"/>
                <w:color w:val="auto"/>
              </w:rPr>
            </w:pPr>
            <w:r>
              <w:rPr>
                <w:rFonts w:ascii="Arial" w:cs="Arial" w:eastAsia="Arial" w:hAnsi="Arial"/>
                <w:sz w:val="18"/>
                <w:szCs w:val="18"/>
                <w:color w:val="auto"/>
              </w:rPr>
              <w:t>TripAdvisor LLC</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Customer Reference:</w:t>
            </w:r>
          </w:p>
        </w:tc>
        <w:tc>
          <w:tcPr>
            <w:tcW w:w="1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80" w:type="dxa"/>
            <w:vAlign w:val="bottom"/>
            <w:gridSpan w:val="5"/>
          </w:tcPr>
          <w:p>
            <w:pPr>
              <w:spacing w:after="0" w:line="188" w:lineRule="exact"/>
              <w:rPr>
                <w:sz w:val="20"/>
                <w:szCs w:val="20"/>
                <w:color w:val="auto"/>
              </w:rPr>
            </w:pPr>
            <w:r>
              <w:rPr>
                <w:rFonts w:ascii="Arial" w:cs="Arial" w:eastAsia="Arial" w:hAnsi="Arial"/>
                <w:sz w:val="18"/>
                <w:szCs w:val="18"/>
                <w:color w:val="auto"/>
              </w:rPr>
              <w:t>400 1st Avenue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80" w:type="dxa"/>
            <w:vAlign w:val="bottom"/>
            <w:gridSpan w:val="5"/>
          </w:tcPr>
          <w:p>
            <w:pPr>
              <w:spacing w:after="0" w:line="194" w:lineRule="exact"/>
              <w:rPr>
                <w:sz w:val="20"/>
                <w:szCs w:val="20"/>
                <w:color w:val="auto"/>
              </w:rPr>
            </w:pPr>
            <w:r>
              <w:rPr>
                <w:rFonts w:ascii="Arial" w:cs="Arial" w:eastAsia="Arial" w:hAnsi="Arial"/>
                <w:sz w:val="18"/>
                <w:szCs w:val="18"/>
                <w:color w:val="auto"/>
              </w:rPr>
              <w:t>Needham, MA 02494</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Insertion Order Number:</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680" w:type="dxa"/>
            <w:vAlign w:val="bottom"/>
            <w:gridSpan w:val="5"/>
            <w:vMerge w:val="restart"/>
          </w:tcPr>
          <w:p>
            <w:pPr>
              <w:spacing w:after="0"/>
              <w:rPr>
                <w:sz w:val="20"/>
                <w:szCs w:val="20"/>
                <w:color w:val="auto"/>
              </w:rPr>
            </w:pPr>
            <w:r>
              <w:rPr>
                <w:rFonts w:ascii="Arial" w:cs="Arial" w:eastAsia="Arial" w:hAnsi="Arial"/>
                <w:sz w:val="18"/>
                <w:szCs w:val="18"/>
                <w:color w:val="auto"/>
              </w:rPr>
              <w:t>Phone: 617-670-6300</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2"/>
          </w:tcPr>
          <w:p>
            <w:pPr>
              <w:ind w:left="1480"/>
              <w:spacing w:after="0" w:line="194" w:lineRule="exact"/>
              <w:rPr>
                <w:sz w:val="20"/>
                <w:szCs w:val="20"/>
                <w:color w:val="auto"/>
              </w:rPr>
            </w:pPr>
            <w:r>
              <w:rPr>
                <w:rFonts w:ascii="Arial" w:cs="Arial" w:eastAsia="Arial" w:hAnsi="Arial"/>
                <w:sz w:val="18"/>
                <w:szCs w:val="18"/>
                <w:b w:val="1"/>
                <w:bCs w:val="1"/>
                <w:color w:val="auto"/>
              </w:rPr>
              <w:t>Sales Manager:</w:t>
            </w:r>
          </w:p>
        </w:tc>
        <w:tc>
          <w:tcPr>
            <w:tcW w:w="0" w:type="dxa"/>
            <w:vAlign w:val="bottom"/>
          </w:tcPr>
          <w:p>
            <w:pPr>
              <w:spacing w:after="0"/>
              <w:rPr>
                <w:sz w:val="1"/>
                <w:szCs w:val="1"/>
                <w:color w:val="auto"/>
              </w:rPr>
            </w:pPr>
          </w:p>
        </w:tc>
      </w:tr>
      <w:tr>
        <w:trPr>
          <w:trHeight w:val="219"/>
        </w:trPr>
        <w:tc>
          <w:tcPr>
            <w:tcW w:w="268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Order Date:</w:t>
            </w:r>
          </w:p>
        </w:tc>
        <w:tc>
          <w:tcPr>
            <w:tcW w:w="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680" w:type="dxa"/>
            <w:vAlign w:val="bottom"/>
            <w:gridSpan w:val="5"/>
            <w:vMerge w:val="restart"/>
          </w:tcPr>
          <w:p>
            <w:pPr>
              <w:spacing w:after="0"/>
              <w:rPr>
                <w:sz w:val="20"/>
                <w:szCs w:val="20"/>
                <w:color w:val="auto"/>
              </w:rPr>
            </w:pPr>
            <w:r>
              <w:rPr>
                <w:rFonts w:ascii="Arial" w:cs="Arial" w:eastAsia="Arial" w:hAnsi="Arial"/>
                <w:sz w:val="18"/>
                <w:szCs w:val="18"/>
                <w:color w:val="auto"/>
              </w:rPr>
              <w:t>Sales Fax: 781-559-3255</w:t>
            </w: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6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66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68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680" w:type="dxa"/>
            <w:vAlign w:val="bottom"/>
            <w:gridSpan w:val="5"/>
          </w:tcPr>
          <w:p>
            <w:pPr>
              <w:spacing w:after="0"/>
              <w:rPr>
                <w:sz w:val="20"/>
                <w:szCs w:val="20"/>
                <w:color w:val="auto"/>
              </w:rPr>
            </w:pPr>
            <w:r>
              <w:rPr>
                <w:rFonts w:ascii="Arial" w:cs="Arial" w:eastAsia="Arial" w:hAnsi="Arial"/>
                <w:sz w:val="18"/>
                <w:szCs w:val="18"/>
                <w:b w:val="1"/>
                <w:bCs w:val="1"/>
                <w:color w:val="auto"/>
              </w:rPr>
              <w:t>SEND INVOICE TO:</w:t>
            </w:r>
          </w:p>
        </w:tc>
        <w:tc>
          <w:tcPr>
            <w:tcW w:w="180" w:type="dxa"/>
            <w:vAlign w:val="bottom"/>
          </w:tcPr>
          <w:p>
            <w:pPr>
              <w:spacing w:after="0"/>
              <w:rPr>
                <w:sz w:val="24"/>
                <w:szCs w:val="24"/>
                <w:color w:val="auto"/>
              </w:rPr>
            </w:pPr>
          </w:p>
        </w:tc>
        <w:tc>
          <w:tcPr>
            <w:tcW w:w="140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Client</w:t>
            </w:r>
          </w:p>
        </w:tc>
        <w:tc>
          <w:tcPr>
            <w:tcW w:w="1480" w:type="dxa"/>
            <w:vAlign w:val="bottom"/>
          </w:tcPr>
          <w:p>
            <w:pPr>
              <w:spacing w:after="0"/>
              <w:rPr>
                <w:sz w:val="24"/>
                <w:szCs w:val="24"/>
                <w:color w:val="auto"/>
              </w:rPr>
            </w:pPr>
          </w:p>
        </w:tc>
        <w:tc>
          <w:tcPr>
            <w:tcW w:w="5680" w:type="dxa"/>
            <w:vAlign w:val="bottom"/>
            <w:gridSpan w:val="4"/>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Agency</w:t>
            </w:r>
          </w:p>
        </w:tc>
        <w:tc>
          <w:tcPr>
            <w:tcW w:w="0" w:type="dxa"/>
            <w:vAlign w:val="bottom"/>
          </w:tcPr>
          <w:p>
            <w:pPr>
              <w:spacing w:after="0"/>
              <w:rPr>
                <w:sz w:val="1"/>
                <w:szCs w:val="1"/>
                <w:color w:val="auto"/>
              </w:rPr>
            </w:pPr>
          </w:p>
        </w:tc>
      </w:tr>
      <w:tr>
        <w:trPr>
          <w:trHeight w:val="195"/>
        </w:trPr>
        <w:tc>
          <w:tcPr>
            <w:tcW w:w="960" w:type="dxa"/>
            <w:vAlign w:val="bottom"/>
            <w:vMerge w:val="restart"/>
          </w:tcPr>
          <w:p>
            <w:pPr>
              <w:spacing w:after="0"/>
              <w:rPr>
                <w:sz w:val="16"/>
                <w:szCs w:val="16"/>
                <w:color w:val="auto"/>
              </w:rPr>
            </w:pPr>
          </w:p>
        </w:tc>
        <w:tc>
          <w:tcPr>
            <w:tcW w:w="160" w:type="dxa"/>
            <w:vAlign w:val="bottom"/>
            <w:vMerge w:val="restart"/>
          </w:tcPr>
          <w:p>
            <w:pPr>
              <w:spacing w:after="0"/>
              <w:rPr>
                <w:sz w:val="16"/>
                <w:szCs w:val="16"/>
                <w:color w:val="auto"/>
              </w:rPr>
            </w:pPr>
          </w:p>
        </w:tc>
        <w:tc>
          <w:tcPr>
            <w:tcW w:w="400" w:type="dxa"/>
            <w:vAlign w:val="bottom"/>
            <w:vMerge w:val="restart"/>
          </w:tcPr>
          <w:p>
            <w:pPr>
              <w:spacing w:after="0"/>
              <w:rPr>
                <w:sz w:val="16"/>
                <w:szCs w:val="16"/>
                <w:color w:val="auto"/>
              </w:rPr>
            </w:pPr>
          </w:p>
        </w:tc>
        <w:tc>
          <w:tcPr>
            <w:tcW w:w="180" w:type="dxa"/>
            <w:vAlign w:val="bottom"/>
            <w:vMerge w:val="restart"/>
          </w:tcPr>
          <w:p>
            <w:pPr>
              <w:spacing w:after="0"/>
              <w:rPr>
                <w:sz w:val="16"/>
                <w:szCs w:val="16"/>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w w:val="89"/>
              </w:rPr>
              <w:t>Company</w:t>
            </w:r>
            <w:r>
              <w:rPr>
                <w:rFonts w:ascii="Arial" w:cs="Arial" w:eastAsia="Arial" w:hAnsi="Arial"/>
                <w:sz w:val="18"/>
                <w:szCs w:val="18"/>
                <w:color w:val="auto"/>
                <w:w w:val="89"/>
              </w:rPr>
              <w:t>:</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6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rPr>
              <w:t>Agency</w:t>
            </w:r>
            <w:r>
              <w:rPr>
                <w:rFonts w:ascii="Arial" w:cs="Arial" w:eastAsia="Arial" w:hAnsi="Arial"/>
                <w:sz w:val="18"/>
                <w:szCs w:val="18"/>
                <w:color w:val="auto"/>
              </w:rPr>
              <w:t>:</w:t>
            </w:r>
          </w:p>
        </w:tc>
        <w:tc>
          <w:tcPr>
            <w:tcW w:w="180" w:type="dxa"/>
            <w:vAlign w:val="bottom"/>
            <w:vMerge w:val="restart"/>
          </w:tcPr>
          <w:p>
            <w:pPr>
              <w:spacing w:after="0"/>
              <w:rPr>
                <w:sz w:val="16"/>
                <w:szCs w:val="16"/>
                <w:color w:val="auto"/>
              </w:rPr>
            </w:pPr>
          </w:p>
        </w:tc>
        <w:tc>
          <w:tcPr>
            <w:tcW w:w="284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266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1"/>
              <w:spacing w:after="0" w:line="194" w:lineRule="exact"/>
              <w:rPr>
                <w:sz w:val="20"/>
                <w:szCs w:val="20"/>
                <w:color w:val="auto"/>
              </w:rPr>
            </w:pPr>
            <w:r>
              <w:rPr>
                <w:rFonts w:ascii="Arial" w:cs="Arial" w:eastAsia="Arial" w:hAnsi="Arial"/>
                <w:sz w:val="18"/>
                <w:szCs w:val="18"/>
                <w:color w:val="auto"/>
              </w:rPr>
              <w:t>Address:</w:t>
            </w:r>
          </w:p>
        </w:tc>
        <w:tc>
          <w:tcPr>
            <w:tcW w:w="18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660" w:type="dxa"/>
            <w:vAlign w:val="bottom"/>
          </w:tcPr>
          <w:p>
            <w:pPr>
              <w:jc w:val="right"/>
              <w:ind w:right="91"/>
              <w:spacing w:after="0" w:line="194" w:lineRule="exact"/>
              <w:rPr>
                <w:sz w:val="20"/>
                <w:szCs w:val="20"/>
                <w:color w:val="auto"/>
              </w:rPr>
            </w:pPr>
            <w:r>
              <w:rPr>
                <w:rFonts w:ascii="Arial" w:cs="Arial" w:eastAsia="Arial" w:hAnsi="Arial"/>
                <w:sz w:val="18"/>
                <w:szCs w:val="18"/>
                <w:color w:val="auto"/>
              </w:rPr>
              <w:t>Address:</w:t>
            </w:r>
          </w:p>
        </w:tc>
        <w:tc>
          <w:tcPr>
            <w:tcW w:w="180" w:type="dxa"/>
            <w:vAlign w:val="bottom"/>
            <w:tcBorders>
              <w:bottom w:val="single" w:sz="8" w:color="auto"/>
            </w:tcBorders>
          </w:tcPr>
          <w:p>
            <w:pPr>
              <w:spacing w:after="0"/>
              <w:rPr>
                <w:sz w:val="16"/>
                <w:szCs w:val="16"/>
                <w:color w:val="auto"/>
              </w:rPr>
            </w:pPr>
          </w:p>
        </w:tc>
        <w:tc>
          <w:tcPr>
            <w:tcW w:w="28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w w:val="88"/>
              </w:rPr>
              <w:t>City, State:</w:t>
            </w:r>
          </w:p>
        </w:tc>
        <w:tc>
          <w:tcPr>
            <w:tcW w:w="1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2660" w:type="dxa"/>
            <w:vAlign w:val="bottom"/>
          </w:tcPr>
          <w:p>
            <w:pPr>
              <w:jc w:val="right"/>
              <w:ind w:right="91"/>
              <w:spacing w:after="0"/>
              <w:rPr>
                <w:sz w:val="20"/>
                <w:szCs w:val="20"/>
                <w:color w:val="auto"/>
              </w:rPr>
            </w:pPr>
            <w:r>
              <w:rPr>
                <w:rFonts w:ascii="Arial" w:cs="Arial" w:eastAsia="Arial" w:hAnsi="Arial"/>
                <w:sz w:val="18"/>
                <w:szCs w:val="18"/>
                <w:color w:val="auto"/>
              </w:rPr>
              <w:t>City, State:</w:t>
            </w:r>
          </w:p>
        </w:tc>
        <w:tc>
          <w:tcPr>
            <w:tcW w:w="180" w:type="dxa"/>
            <w:vAlign w:val="bottom"/>
            <w:tcBorders>
              <w:bottom w:val="single" w:sz="8" w:color="auto"/>
            </w:tcBorders>
          </w:tcPr>
          <w:p>
            <w:pPr>
              <w:spacing w:after="0"/>
              <w:rPr>
                <w:sz w:val="24"/>
                <w:szCs w:val="24"/>
                <w:color w:val="auto"/>
              </w:rPr>
            </w:pPr>
          </w:p>
        </w:tc>
        <w:tc>
          <w:tcPr>
            <w:tcW w:w="28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1"/>
              <w:spacing w:after="0" w:line="194" w:lineRule="exact"/>
              <w:rPr>
                <w:sz w:val="20"/>
                <w:szCs w:val="20"/>
                <w:color w:val="auto"/>
              </w:rPr>
            </w:pPr>
            <w:r>
              <w:rPr>
                <w:rFonts w:ascii="Arial" w:cs="Arial" w:eastAsia="Arial" w:hAnsi="Arial"/>
                <w:sz w:val="18"/>
                <w:szCs w:val="18"/>
                <w:color w:val="auto"/>
              </w:rPr>
              <w:t>Country:</w:t>
            </w:r>
          </w:p>
        </w:tc>
        <w:tc>
          <w:tcPr>
            <w:tcW w:w="18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2660" w:type="dxa"/>
            <w:vAlign w:val="bottom"/>
          </w:tcPr>
          <w:p>
            <w:pPr>
              <w:jc w:val="right"/>
              <w:ind w:right="91"/>
              <w:spacing w:after="0" w:line="194" w:lineRule="exact"/>
              <w:rPr>
                <w:sz w:val="20"/>
                <w:szCs w:val="20"/>
                <w:color w:val="auto"/>
              </w:rPr>
            </w:pPr>
            <w:r>
              <w:rPr>
                <w:rFonts w:ascii="Arial" w:cs="Arial" w:eastAsia="Arial" w:hAnsi="Arial"/>
                <w:sz w:val="18"/>
                <w:szCs w:val="18"/>
                <w:color w:val="auto"/>
              </w:rPr>
              <w:t>Country:</w:t>
            </w:r>
          </w:p>
        </w:tc>
        <w:tc>
          <w:tcPr>
            <w:tcW w:w="180" w:type="dxa"/>
            <w:vAlign w:val="bottom"/>
            <w:tcBorders>
              <w:bottom w:val="single" w:sz="8" w:color="auto"/>
            </w:tcBorders>
          </w:tcPr>
          <w:p>
            <w:pPr>
              <w:spacing w:after="0"/>
              <w:rPr>
                <w:sz w:val="16"/>
                <w:szCs w:val="16"/>
                <w:color w:val="auto"/>
              </w:rPr>
            </w:pPr>
          </w:p>
        </w:tc>
        <w:tc>
          <w:tcPr>
            <w:tcW w:w="28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1"/>
              <w:spacing w:after="0" w:line="194" w:lineRule="exact"/>
              <w:rPr>
                <w:sz w:val="20"/>
                <w:szCs w:val="20"/>
                <w:color w:val="auto"/>
              </w:rPr>
            </w:pPr>
            <w:r>
              <w:rPr>
                <w:rFonts w:ascii="Arial" w:cs="Arial" w:eastAsia="Arial" w:hAnsi="Arial"/>
                <w:sz w:val="18"/>
                <w:szCs w:val="18"/>
                <w:color w:val="auto"/>
              </w:rPr>
              <w:t>Zip:</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5680" w:type="dxa"/>
            <w:vAlign w:val="bottom"/>
            <w:gridSpan w:val="4"/>
          </w:tcPr>
          <w:p>
            <w:pPr>
              <w:jc w:val="right"/>
              <w:ind w:right="3200"/>
              <w:spacing w:after="0" w:line="194" w:lineRule="exact"/>
              <w:rPr>
                <w:sz w:val="20"/>
                <w:szCs w:val="20"/>
                <w:color w:val="auto"/>
              </w:rPr>
            </w:pPr>
            <w:r>
              <w:rPr>
                <w:rFonts w:ascii="Arial" w:cs="Arial" w:eastAsia="Arial" w:hAnsi="Arial"/>
                <w:sz w:val="18"/>
                <w:szCs w:val="18"/>
                <w:color w:val="auto"/>
              </w:rPr>
              <w:t>Zip:</w:t>
            </w:r>
          </w:p>
        </w:tc>
        <w:tc>
          <w:tcPr>
            <w:tcW w:w="0" w:type="dxa"/>
            <w:vAlign w:val="bottom"/>
          </w:tcPr>
          <w:p>
            <w:pPr>
              <w:spacing w:after="0"/>
              <w:rPr>
                <w:sz w:val="1"/>
                <w:szCs w:val="1"/>
                <w:color w:val="auto"/>
              </w:rPr>
            </w:pPr>
          </w:p>
        </w:tc>
      </w:tr>
      <w:tr>
        <w:trPr>
          <w:trHeight w:val="127"/>
        </w:trPr>
        <w:tc>
          <w:tcPr>
            <w:tcW w:w="9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4"/>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jc w:val="right"/>
              <w:ind w:right="91"/>
              <w:spacing w:after="0"/>
              <w:rPr>
                <w:sz w:val="20"/>
                <w:szCs w:val="20"/>
                <w:color w:val="auto"/>
              </w:rPr>
            </w:pPr>
            <w:r>
              <w:rPr>
                <w:rFonts w:ascii="Arial" w:cs="Arial" w:eastAsia="Arial" w:hAnsi="Arial"/>
                <w:sz w:val="18"/>
                <w:szCs w:val="18"/>
                <w:color w:val="auto"/>
              </w:rPr>
              <w:t>Sales Contact:</w:t>
            </w:r>
          </w:p>
        </w:tc>
        <w:tc>
          <w:tcPr>
            <w:tcW w:w="1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60" w:type="dxa"/>
            <w:vAlign w:val="bottom"/>
          </w:tcPr>
          <w:p>
            <w:pPr>
              <w:jc w:val="right"/>
              <w:ind w:right="91"/>
              <w:spacing w:after="0"/>
              <w:rPr>
                <w:sz w:val="20"/>
                <w:szCs w:val="20"/>
                <w:color w:val="auto"/>
              </w:rPr>
            </w:pPr>
            <w:r>
              <w:rPr>
                <w:rFonts w:ascii="Arial" w:cs="Arial" w:eastAsia="Arial" w:hAnsi="Arial"/>
                <w:sz w:val="18"/>
                <w:szCs w:val="18"/>
                <w:color w:val="auto"/>
              </w:rPr>
              <w:t>Billing Contact:</w:t>
            </w:r>
          </w:p>
        </w:tc>
        <w:tc>
          <w:tcPr>
            <w:tcW w:w="180" w:type="dxa"/>
            <w:vAlign w:val="bottom"/>
            <w:tcBorders>
              <w:bottom w:val="single" w:sz="8" w:color="auto"/>
            </w:tcBorders>
          </w:tcPr>
          <w:p>
            <w:pPr>
              <w:spacing w:after="0"/>
              <w:rPr>
                <w:sz w:val="24"/>
                <w:szCs w:val="24"/>
                <w:color w:val="auto"/>
              </w:rPr>
            </w:pPr>
          </w:p>
        </w:tc>
        <w:tc>
          <w:tcPr>
            <w:tcW w:w="28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1"/>
              <w:spacing w:after="0" w:line="194" w:lineRule="exact"/>
              <w:rPr>
                <w:sz w:val="20"/>
                <w:szCs w:val="20"/>
                <w:color w:val="auto"/>
              </w:rPr>
            </w:pPr>
            <w:r>
              <w:rPr>
                <w:rFonts w:ascii="Arial" w:cs="Arial" w:eastAsia="Arial" w:hAnsi="Arial"/>
                <w:sz w:val="18"/>
                <w:szCs w:val="18"/>
                <w:color w:val="auto"/>
              </w:rPr>
              <w:t>Fax:</w:t>
            </w:r>
          </w:p>
        </w:tc>
        <w:tc>
          <w:tcPr>
            <w:tcW w:w="18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60" w:type="dxa"/>
            <w:vAlign w:val="bottom"/>
          </w:tcPr>
          <w:p>
            <w:pPr>
              <w:jc w:val="right"/>
              <w:ind w:right="91"/>
              <w:spacing w:after="0" w:line="194" w:lineRule="exact"/>
              <w:rPr>
                <w:sz w:val="20"/>
                <w:szCs w:val="20"/>
                <w:color w:val="auto"/>
              </w:rPr>
            </w:pPr>
            <w:r>
              <w:rPr>
                <w:rFonts w:ascii="Arial" w:cs="Arial" w:eastAsia="Arial" w:hAnsi="Arial"/>
                <w:sz w:val="18"/>
                <w:szCs w:val="18"/>
                <w:color w:val="auto"/>
              </w:rPr>
              <w:t>Fax:</w:t>
            </w:r>
          </w:p>
        </w:tc>
        <w:tc>
          <w:tcPr>
            <w:tcW w:w="180" w:type="dxa"/>
            <w:vAlign w:val="bottom"/>
            <w:tcBorders>
              <w:bottom w:val="single" w:sz="8" w:color="auto"/>
            </w:tcBorders>
          </w:tcPr>
          <w:p>
            <w:pPr>
              <w:spacing w:after="0"/>
              <w:rPr>
                <w:sz w:val="16"/>
                <w:szCs w:val="16"/>
                <w:color w:val="auto"/>
              </w:rPr>
            </w:pPr>
          </w:p>
        </w:tc>
        <w:tc>
          <w:tcPr>
            <w:tcW w:w="28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1"/>
              <w:spacing w:after="0" w:line="194" w:lineRule="exact"/>
              <w:rPr>
                <w:sz w:val="20"/>
                <w:szCs w:val="20"/>
                <w:color w:val="auto"/>
              </w:rPr>
            </w:pPr>
            <w:r>
              <w:rPr>
                <w:rFonts w:ascii="Arial" w:cs="Arial" w:eastAsia="Arial" w:hAnsi="Arial"/>
                <w:sz w:val="18"/>
                <w:szCs w:val="18"/>
                <w:color w:val="auto"/>
              </w:rPr>
              <w:t>Phone:</w:t>
            </w:r>
          </w:p>
        </w:tc>
        <w:tc>
          <w:tcPr>
            <w:tcW w:w="18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60" w:type="dxa"/>
            <w:vAlign w:val="bottom"/>
          </w:tcPr>
          <w:p>
            <w:pPr>
              <w:jc w:val="right"/>
              <w:ind w:right="91"/>
              <w:spacing w:after="0" w:line="194" w:lineRule="exact"/>
              <w:rPr>
                <w:sz w:val="20"/>
                <w:szCs w:val="20"/>
                <w:color w:val="auto"/>
              </w:rPr>
            </w:pPr>
            <w:r>
              <w:rPr>
                <w:rFonts w:ascii="Arial" w:cs="Arial" w:eastAsia="Arial" w:hAnsi="Arial"/>
                <w:sz w:val="18"/>
                <w:szCs w:val="18"/>
                <w:color w:val="auto"/>
              </w:rPr>
              <w:t>Phone:</w:t>
            </w:r>
          </w:p>
        </w:tc>
        <w:tc>
          <w:tcPr>
            <w:tcW w:w="180" w:type="dxa"/>
            <w:vAlign w:val="bottom"/>
            <w:tcBorders>
              <w:bottom w:val="single" w:sz="8" w:color="auto"/>
            </w:tcBorders>
          </w:tcPr>
          <w:p>
            <w:pPr>
              <w:spacing w:after="0"/>
              <w:rPr>
                <w:sz w:val="16"/>
                <w:szCs w:val="16"/>
                <w:color w:val="auto"/>
              </w:rPr>
            </w:pPr>
          </w:p>
        </w:tc>
        <w:tc>
          <w:tcPr>
            <w:tcW w:w="28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91"/>
              <w:spacing w:after="0" w:line="194" w:lineRule="exact"/>
              <w:rPr>
                <w:sz w:val="20"/>
                <w:szCs w:val="20"/>
                <w:color w:val="auto"/>
              </w:rPr>
            </w:pPr>
            <w:r>
              <w:rPr>
                <w:rFonts w:ascii="Arial" w:cs="Arial" w:eastAsia="Arial" w:hAnsi="Arial"/>
                <w:sz w:val="18"/>
                <w:szCs w:val="18"/>
                <w:color w:val="auto"/>
              </w:rPr>
              <w:t>Email:</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80" w:type="dxa"/>
            <w:vAlign w:val="bottom"/>
            <w:gridSpan w:val="4"/>
          </w:tcPr>
          <w:p>
            <w:pPr>
              <w:jc w:val="right"/>
              <w:ind w:right="3200"/>
              <w:spacing w:after="0" w:line="194" w:lineRule="exact"/>
              <w:rPr>
                <w:sz w:val="20"/>
                <w:szCs w:val="20"/>
                <w:color w:val="auto"/>
              </w:rPr>
            </w:pPr>
            <w:r>
              <w:rPr>
                <w:rFonts w:ascii="Arial" w:cs="Arial" w:eastAsia="Arial" w:hAnsi="Arial"/>
                <w:sz w:val="18"/>
                <w:szCs w:val="18"/>
                <w:color w:val="auto"/>
              </w:rPr>
              <w:t>Email:</w:t>
            </w:r>
          </w:p>
        </w:tc>
        <w:tc>
          <w:tcPr>
            <w:tcW w:w="0" w:type="dxa"/>
            <w:vAlign w:val="bottom"/>
          </w:tcPr>
          <w:p>
            <w:pPr>
              <w:spacing w:after="0"/>
              <w:rPr>
                <w:sz w:val="1"/>
                <w:szCs w:val="1"/>
                <w:color w:val="auto"/>
              </w:rPr>
            </w:pPr>
          </w:p>
        </w:tc>
      </w:tr>
      <w:tr>
        <w:trPr>
          <w:trHeight w:val="234"/>
        </w:trPr>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680" w:type="dxa"/>
            <w:vAlign w:val="bottom"/>
            <w:gridSpan w:val="5"/>
          </w:tcPr>
          <w:p>
            <w:pPr>
              <w:spacing w:after="0"/>
              <w:rPr>
                <w:sz w:val="20"/>
                <w:szCs w:val="20"/>
                <w:color w:val="auto"/>
              </w:rPr>
            </w:pPr>
            <w:r>
              <w:rPr>
                <w:rFonts w:ascii="Arial" w:cs="Arial" w:eastAsia="Arial" w:hAnsi="Arial"/>
                <w:sz w:val="18"/>
                <w:szCs w:val="18"/>
                <w:b w:val="1"/>
                <w:bCs w:val="1"/>
                <w:color w:val="auto"/>
              </w:rPr>
              <w:t>CAMPAIGN INFORMATION:</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680" w:type="dxa"/>
            <w:vAlign w:val="bottom"/>
            <w:gridSpan w:val="5"/>
          </w:tcPr>
          <w:p>
            <w:pPr>
              <w:spacing w:after="0" w:line="192" w:lineRule="exact"/>
              <w:rPr>
                <w:sz w:val="20"/>
                <w:szCs w:val="20"/>
                <w:color w:val="auto"/>
              </w:rPr>
            </w:pPr>
            <w:r>
              <w:rPr>
                <w:rFonts w:ascii="Arial" w:cs="Arial" w:eastAsia="Arial" w:hAnsi="Arial"/>
                <w:sz w:val="18"/>
                <w:szCs w:val="18"/>
                <w:b w:val="1"/>
                <w:bCs w:val="1"/>
                <w:color w:val="auto"/>
              </w:rPr>
              <w:t>Campaign Name: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1"/>
        </w:trPr>
        <w:tc>
          <w:tcPr>
            <w:tcW w:w="2680" w:type="dxa"/>
            <w:vAlign w:val="bottom"/>
            <w:gridSpan w:val="5"/>
          </w:tcPr>
          <w:p>
            <w:pPr>
              <w:spacing w:after="0"/>
              <w:rPr>
                <w:sz w:val="20"/>
                <w:szCs w:val="20"/>
                <w:color w:val="auto"/>
              </w:rPr>
            </w:pPr>
            <w:r>
              <w:rPr>
                <w:rFonts w:ascii="Arial" w:cs="Arial" w:eastAsia="Arial" w:hAnsi="Arial"/>
                <w:sz w:val="18"/>
                <w:szCs w:val="18"/>
                <w:color w:val="auto"/>
              </w:rPr>
              <w:t>Start Date:</w:t>
            </w:r>
          </w:p>
        </w:tc>
        <w:tc>
          <w:tcPr>
            <w:tcW w:w="180" w:type="dxa"/>
            <w:vAlign w:val="bottom"/>
          </w:tcPr>
          <w:p>
            <w:pPr>
              <w:spacing w:after="0"/>
              <w:rPr>
                <w:sz w:val="24"/>
                <w:szCs w:val="24"/>
                <w:color w:val="auto"/>
              </w:rPr>
            </w:pPr>
          </w:p>
        </w:tc>
        <w:tc>
          <w:tcPr>
            <w:tcW w:w="1400" w:type="dxa"/>
            <w:vAlign w:val="bottom"/>
          </w:tcPr>
          <w:p>
            <w:pPr>
              <w:ind w:left="440"/>
              <w:spacing w:after="0"/>
              <w:rPr>
                <w:sz w:val="20"/>
                <w:szCs w:val="20"/>
                <w:color w:val="auto"/>
              </w:rPr>
            </w:pPr>
            <w:r>
              <w:rPr>
                <w:rFonts w:ascii="Arial" w:cs="Arial" w:eastAsia="Arial" w:hAnsi="Arial"/>
                <w:sz w:val="18"/>
                <w:szCs w:val="18"/>
                <w:color w:val="auto"/>
              </w:rPr>
              <w:t>End Date:</w:t>
            </w:r>
          </w:p>
        </w:tc>
        <w:tc>
          <w:tcPr>
            <w:tcW w:w="7160" w:type="dxa"/>
            <w:vAlign w:val="bottom"/>
            <w:gridSpan w:val="5"/>
            <w:vMerge w:val="restart"/>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Run until budget is exhausted</w:t>
            </w: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1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160" w:type="dxa"/>
            <w:vAlign w:val="bottom"/>
            <w:gridSpan w:val="5"/>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Run until end date is reached</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Cancellation: This Insertion Order may be cancelled by either party with the following number of business days written notice: </w:t>
      </w:r>
      <w:r>
        <w:rPr>
          <w:rFonts w:ascii="Arial" w:cs="Arial" w:eastAsia="Arial" w:hAnsi="Arial"/>
          <w:sz w:val="18"/>
          <w:szCs w:val="18"/>
          <w:b w:val="1"/>
          <w:bCs w:val="1"/>
          <w:u w:val="single" w:color="auto"/>
          <w:color w:val="auto"/>
        </w:rPr>
        <w:t>twenty (20)</w:t>
      </w:r>
    </w:p>
    <w:p>
      <w:pPr>
        <w:spacing w:after="0" w:line="22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FF0000"/>
        </w:rPr>
        <w:t>Notes</w:t>
      </w:r>
      <w:r>
        <w:rPr>
          <w:rFonts w:ascii="Arial" w:cs="Arial" w:eastAsia="Arial" w:hAnsi="Arial"/>
          <w:sz w:val="18"/>
          <w:szCs w:val="18"/>
          <w:color w:val="FF0000"/>
        </w:rPr>
        <w:t>:</w:t>
      </w:r>
      <w:r>
        <w:rPr>
          <w:sz w:val="20"/>
          <w:szCs w:val="20"/>
          <w:color w:val="auto"/>
        </w:rPr>
        <w:tab/>
      </w:r>
      <w:r>
        <w:rPr>
          <w:rFonts w:ascii="Arial" w:cs="Arial" w:eastAsia="Arial" w:hAnsi="Arial"/>
          <w:sz w:val="16"/>
          <w:szCs w:val="16"/>
          <w:b w:val="1"/>
          <w:bCs w:val="1"/>
          <w:u w:val="single" w:color="auto"/>
          <w:color w:val="C00000"/>
        </w:rPr>
        <w:t>Links are subject to removal from the TripAdvisor site if payment is not received 10 (ten) calendar days after due date.</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C00000"/>
        </w:rPr>
        <w:t>The terms of this Insertion Order are subject to the TripAdvisor Internet Advertising Insertion Order Terms and Conditions (NA)</w:t>
      </w:r>
    </w:p>
    <w:p>
      <w:pPr>
        <w:spacing w:after="0" w:line="4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C00000"/>
        </w:rPr>
        <w:t>which is incorporated herein by reference and can also be found at:</w:t>
      </w:r>
    </w:p>
    <w:p>
      <w:pPr>
        <w:spacing w:after="0" w:line="7" w:lineRule="exact"/>
        <w:rPr>
          <w:sz w:val="20"/>
          <w:szCs w:val="20"/>
          <w:color w:val="auto"/>
        </w:rPr>
      </w:pPr>
    </w:p>
    <w:p>
      <w:pPr>
        <w:ind w:left="1200"/>
        <w:spacing w:after="0"/>
        <w:rPr>
          <w:sz w:val="20"/>
          <w:szCs w:val="20"/>
          <w:color w:val="auto"/>
        </w:rPr>
      </w:pPr>
      <w:r>
        <w:rPr>
          <w:rFonts w:ascii="Arial" w:cs="Arial" w:eastAsia="Arial" w:hAnsi="Arial"/>
          <w:sz w:val="16"/>
          <w:szCs w:val="16"/>
          <w:b w:val="1"/>
          <w:bCs w:val="1"/>
          <w:u w:val="single" w:color="auto"/>
          <w:color w:val="auto"/>
        </w:rPr>
        <w:t>http://www.tripadvisor.com/pages/ioterms042814.html</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C00000"/>
        </w:rPr>
        <w:t>The TripAdvisor Internet Advertising Insertion Order Terms and Conditions</w:t>
      </w:r>
    </w:p>
    <w:p>
      <w:pPr>
        <w:spacing w:after="0" w:line="30" w:lineRule="exact"/>
        <w:rPr>
          <w:sz w:val="20"/>
          <w:szCs w:val="20"/>
          <w:color w:val="auto"/>
        </w:rPr>
      </w:pPr>
    </w:p>
    <w:p>
      <w:pPr>
        <w:ind w:left="1200" w:right="400"/>
        <w:spacing w:after="0" w:line="255" w:lineRule="auto"/>
        <w:rPr>
          <w:sz w:val="20"/>
          <w:szCs w:val="20"/>
          <w:color w:val="auto"/>
        </w:rPr>
      </w:pPr>
      <w:r>
        <w:rPr>
          <w:rFonts w:ascii="Arial" w:cs="Arial" w:eastAsia="Arial" w:hAnsi="Arial"/>
          <w:sz w:val="18"/>
          <w:szCs w:val="18"/>
          <w:b w:val="1"/>
          <w:bCs w:val="1"/>
          <w:color w:val="C00000"/>
        </w:rPr>
        <w:t>will take precedence over the commercial terms herein, in case of any conflict, except for alternate (a) payment or (b) cancellation language.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LLC – April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14"/>
        </w:trPr>
        <w:tc>
          <w:tcPr>
            <w:tcW w:w="3900" w:type="dxa"/>
            <w:vAlign w:val="bottom"/>
            <w:gridSpan w:val="4"/>
          </w:tcPr>
          <w:p>
            <w:pPr>
              <w:spacing w:after="0"/>
              <w:rPr>
                <w:sz w:val="20"/>
                <w:szCs w:val="20"/>
                <w:color w:val="auto"/>
              </w:rPr>
            </w:pPr>
            <w:r>
              <w:rPr>
                <w:rFonts w:ascii="Arial" w:cs="Arial" w:eastAsia="Arial" w:hAnsi="Arial"/>
                <w:sz w:val="18"/>
                <w:szCs w:val="18"/>
                <w:b w:val="1"/>
                <w:bCs w:val="1"/>
                <w:color w:val="auto"/>
              </w:rPr>
              <w:t>BILLING INFORMATION:</w:t>
            </w: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192"/>
        </w:trPr>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jc w:val="right"/>
              <w:ind w:right="91"/>
              <w:spacing w:after="0" w:line="192" w:lineRule="exact"/>
              <w:rPr>
                <w:sz w:val="20"/>
                <w:szCs w:val="20"/>
                <w:color w:val="auto"/>
              </w:rPr>
            </w:pPr>
            <w:r>
              <w:rPr>
                <w:rFonts w:ascii="Arial" w:cs="Arial" w:eastAsia="Arial" w:hAnsi="Arial"/>
                <w:sz w:val="18"/>
                <w:szCs w:val="18"/>
                <w:b w:val="1"/>
                <w:bCs w:val="1"/>
                <w:color w:val="auto"/>
              </w:rPr>
              <w:t>CPC/CPM Budget</w:t>
            </w:r>
            <w:r>
              <w:rPr>
                <w:rFonts w:ascii="Arial" w:cs="Arial" w:eastAsia="Arial" w:hAnsi="Arial"/>
                <w:sz w:val="18"/>
                <w:szCs w:val="18"/>
                <w:color w:val="auto"/>
              </w:rPr>
              <w:t>:</w:t>
            </w:r>
          </w:p>
        </w:tc>
        <w:tc>
          <w:tcPr>
            <w:tcW w:w="180" w:type="dxa"/>
            <w:vAlign w:val="bottom"/>
            <w:tcBorders>
              <w:bottom w:val="single" w:sz="8" w:color="auto"/>
            </w:tcBorders>
          </w:tcPr>
          <w:p>
            <w:pPr>
              <w:spacing w:after="0"/>
              <w:rPr>
                <w:sz w:val="16"/>
                <w:szCs w:val="16"/>
                <w:color w:val="auto"/>
              </w:rPr>
            </w:pPr>
          </w:p>
        </w:tc>
        <w:tc>
          <w:tcPr>
            <w:tcW w:w="5440" w:type="dxa"/>
            <w:vAlign w:val="bottom"/>
            <w:gridSpan w:val="3"/>
          </w:tcPr>
          <w:p>
            <w:pPr>
              <w:ind w:left="3440"/>
              <w:spacing w:after="0" w:line="192" w:lineRule="exact"/>
              <w:rPr>
                <w:sz w:val="20"/>
                <w:szCs w:val="20"/>
                <w:color w:val="auto"/>
              </w:rPr>
            </w:pPr>
            <w:r>
              <w:rPr>
                <w:rFonts w:ascii="Arial" w:cs="Arial" w:eastAsia="Arial" w:hAnsi="Arial"/>
                <w:sz w:val="18"/>
                <w:szCs w:val="18"/>
                <w:color w:val="auto"/>
              </w:rPr>
              <w:t>Payment Terms:  Net 30</w:t>
            </w:r>
          </w:p>
        </w:tc>
      </w:tr>
      <w:tr>
        <w:trPr>
          <w:trHeight w:val="194"/>
        </w:trPr>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jc w:val="right"/>
              <w:ind w:right="91"/>
              <w:spacing w:after="0" w:line="194" w:lineRule="exact"/>
              <w:rPr>
                <w:sz w:val="20"/>
                <w:szCs w:val="20"/>
                <w:color w:val="auto"/>
              </w:rPr>
            </w:pPr>
            <w:r>
              <w:rPr>
                <w:rFonts w:ascii="Arial" w:cs="Arial" w:eastAsia="Arial" w:hAnsi="Arial"/>
                <w:sz w:val="18"/>
                <w:szCs w:val="18"/>
                <w:color w:val="auto"/>
              </w:rPr>
              <w:t>CPC/CPM:</w:t>
            </w:r>
          </w:p>
        </w:tc>
        <w:tc>
          <w:tcPr>
            <w:tcW w:w="180" w:type="dxa"/>
            <w:vAlign w:val="bottom"/>
          </w:tcPr>
          <w:p>
            <w:pPr>
              <w:spacing w:after="0"/>
              <w:rPr>
                <w:sz w:val="16"/>
                <w:szCs w:val="16"/>
                <w:color w:val="auto"/>
              </w:rPr>
            </w:pPr>
          </w:p>
        </w:tc>
        <w:tc>
          <w:tcPr>
            <w:tcW w:w="5440" w:type="dxa"/>
            <w:vAlign w:val="bottom"/>
            <w:gridSpan w:val="3"/>
          </w:tcPr>
          <w:p>
            <w:pPr>
              <w:ind w:left="3600"/>
              <w:spacing w:after="0" w:line="194" w:lineRule="exact"/>
              <w:rPr>
                <w:sz w:val="20"/>
                <w:szCs w:val="20"/>
                <w:color w:val="auto"/>
              </w:rPr>
            </w:pPr>
            <w:r>
              <w:rPr>
                <w:rFonts w:ascii="Arial" w:cs="Arial" w:eastAsia="Arial" w:hAnsi="Arial"/>
                <w:sz w:val="18"/>
                <w:szCs w:val="18"/>
                <w:color w:val="auto"/>
                <w:w w:val="97"/>
              </w:rPr>
              <w:t>Cookie Duration:   days</w:t>
            </w:r>
          </w:p>
        </w:tc>
      </w:tr>
      <w:tr>
        <w:trPr>
          <w:trHeight w:val="194"/>
        </w:trPr>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Pr>
          <w:p>
            <w:pPr>
              <w:jc w:val="right"/>
              <w:ind w:right="91"/>
              <w:spacing w:after="0" w:line="194" w:lineRule="exact"/>
              <w:rPr>
                <w:sz w:val="20"/>
                <w:szCs w:val="20"/>
                <w:color w:val="auto"/>
              </w:rPr>
            </w:pPr>
            <w:r>
              <w:rPr>
                <w:rFonts w:ascii="Arial" w:cs="Arial" w:eastAsia="Arial" w:hAnsi="Arial"/>
                <w:sz w:val="18"/>
                <w:szCs w:val="18"/>
                <w:color w:val="auto"/>
              </w:rPr>
              <w:t>Clicks</w:t>
            </w:r>
          </w:p>
        </w:tc>
        <w:tc>
          <w:tcPr>
            <w:tcW w:w="180" w:type="dxa"/>
            <w:vAlign w:val="bottom"/>
            <w:tcBorders>
              <w:top w:val="single" w:sz="8" w:color="auto"/>
              <w:bottom w:val="single" w:sz="8" w:color="auto"/>
            </w:tcBorders>
          </w:tcPr>
          <w:p>
            <w:pPr>
              <w:spacing w:after="0"/>
              <w:rPr>
                <w:sz w:val="16"/>
                <w:szCs w:val="16"/>
                <w:color w:val="auto"/>
              </w:rPr>
            </w:pPr>
          </w:p>
        </w:tc>
        <w:tc>
          <w:tcPr>
            <w:tcW w:w="4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446"/>
        </w:trPr>
        <w:tc>
          <w:tcPr>
            <w:tcW w:w="860" w:type="dxa"/>
            <w:vAlign w:val="bottom"/>
          </w:tcPr>
          <w:p>
            <w:pPr>
              <w:spacing w:after="0"/>
              <w:rPr>
                <w:sz w:val="20"/>
                <w:szCs w:val="20"/>
                <w:color w:val="auto"/>
              </w:rPr>
            </w:pPr>
            <w:r>
              <w:rPr>
                <w:rFonts w:ascii="Arial" w:cs="Arial" w:eastAsia="Arial" w:hAnsi="Arial"/>
                <w:sz w:val="18"/>
                <w:szCs w:val="18"/>
                <w:color w:val="auto"/>
              </w:rPr>
              <w:t>Currency:</w:t>
            </w:r>
          </w:p>
        </w:tc>
        <w:tc>
          <w:tcPr>
            <w:tcW w:w="3040" w:type="dxa"/>
            <w:vAlign w:val="bottom"/>
            <w:gridSpan w:val="3"/>
          </w:tcPr>
          <w:p>
            <w:pPr>
              <w:ind w:left="40"/>
              <w:spacing w:after="0"/>
              <w:rPr>
                <w:sz w:val="20"/>
                <w:szCs w:val="20"/>
                <w:color w:val="auto"/>
              </w:rPr>
            </w:pPr>
            <w:r>
              <w:rPr>
                <w:rFonts w:ascii="Arial" w:cs="Arial" w:eastAsia="Arial" w:hAnsi="Arial"/>
                <w:sz w:val="18"/>
                <w:szCs w:val="18"/>
                <w:color w:val="auto"/>
              </w:rPr>
              <w:t>USD  Exchange based on:</w:t>
            </w:r>
          </w:p>
        </w:tc>
        <w:tc>
          <w:tcPr>
            <w:tcW w:w="5620" w:type="dxa"/>
            <w:vAlign w:val="bottom"/>
            <w:gridSpan w:val="4"/>
          </w:tcPr>
          <w:p>
            <w:pPr>
              <w:ind w:left="180"/>
              <w:spacing w:after="0"/>
              <w:rPr>
                <w:sz w:val="20"/>
                <w:szCs w:val="20"/>
                <w:color w:val="auto"/>
              </w:rPr>
            </w:pPr>
            <w:r>
              <w:rPr>
                <w:rFonts w:ascii="Arial" w:cs="Arial" w:eastAsia="Arial" w:hAnsi="Arial"/>
                <w:sz w:val="18"/>
                <w:szCs w:val="18"/>
                <w:color w:val="auto"/>
              </w:rPr>
              <w:t>Conversion Day of Invoice</w:t>
            </w:r>
          </w:p>
        </w:tc>
      </w:tr>
      <w:tr>
        <w:trPr>
          <w:trHeight w:val="382"/>
        </w:trPr>
        <w:tc>
          <w:tcPr>
            <w:tcW w:w="390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Based on Third Party:</w:t>
            </w:r>
          </w:p>
        </w:tc>
        <w:tc>
          <w:tcPr>
            <w:tcW w:w="180" w:type="dxa"/>
            <w:vAlign w:val="bottom"/>
          </w:tcPr>
          <w:p>
            <w:pPr>
              <w:spacing w:after="0"/>
              <w:rPr>
                <w:sz w:val="24"/>
                <w:szCs w:val="24"/>
                <w:color w:val="auto"/>
              </w:rPr>
            </w:pPr>
          </w:p>
        </w:tc>
        <w:tc>
          <w:tcPr>
            <w:tcW w:w="5440" w:type="dxa"/>
            <w:vAlign w:val="bottom"/>
            <w:gridSpan w:val="3"/>
          </w:tcPr>
          <w:p>
            <w:pPr>
              <w:ind w:left="2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Based on TripAdvisor Data</w:t>
            </w:r>
          </w:p>
        </w:tc>
      </w:tr>
      <w:tr>
        <w:trPr>
          <w:trHeight w:val="214"/>
        </w:trPr>
        <w:tc>
          <w:tcPr>
            <w:tcW w:w="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gridSpan w:val="3"/>
          </w:tcPr>
          <w:p>
            <w:pPr>
              <w:ind w:left="120"/>
              <w:spacing w:after="0"/>
              <w:rPr>
                <w:sz w:val="20"/>
                <w:szCs w:val="20"/>
                <w:color w:val="auto"/>
              </w:rPr>
            </w:pPr>
            <w:r>
              <w:rPr>
                <w:rFonts w:ascii="Arial" w:cs="Arial" w:eastAsia="Arial" w:hAnsi="Arial"/>
                <w:sz w:val="18"/>
                <w:szCs w:val="18"/>
                <w:color w:val="auto"/>
              </w:rPr>
              <w:t>Dart</w:t>
            </w: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900" w:type="dxa"/>
            <w:vAlign w:val="bottom"/>
            <w:gridSpan w:val="4"/>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Atlas</w:t>
            </w: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gridSpan w:val="3"/>
          </w:tcPr>
          <w:p>
            <w:pPr>
              <w:ind w:left="120"/>
              <w:spacing w:after="0"/>
              <w:rPr>
                <w:sz w:val="20"/>
                <w:szCs w:val="20"/>
                <w:color w:val="auto"/>
              </w:rPr>
            </w:pPr>
            <w:r>
              <w:rPr>
                <w:rFonts w:ascii="Arial" w:cs="Arial" w:eastAsia="Arial" w:hAnsi="Arial"/>
                <w:sz w:val="18"/>
                <w:szCs w:val="18"/>
                <w:color w:val="auto"/>
              </w:rPr>
              <w:t>Mediaplex</w:t>
            </w:r>
          </w:p>
        </w:tc>
        <w:tc>
          <w:tcPr>
            <w:tcW w:w="1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360045</wp:posOffset>
            </wp:positionV>
            <wp:extent cx="7247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FF0000"/>
        </w:rPr>
        <w:t>Notes</w:t>
      </w:r>
      <w:r>
        <w:rPr>
          <w:rFonts w:ascii="Arial" w:cs="Arial" w:eastAsia="Arial" w:hAnsi="Arial"/>
          <w:sz w:val="18"/>
          <w:szCs w:val="18"/>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-8890</wp:posOffset>
            </wp:positionV>
            <wp:extent cx="1130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247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Placement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-11430</wp:posOffset>
            </wp:positionV>
            <wp:extent cx="1409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140970" cy="8255"/>
                    </a:xfrm>
                    <a:prstGeom prst="rect">
                      <a:avLst/>
                    </a:prstGeom>
                    <a:noFill/>
                  </pic:spPr>
                </pic:pic>
              </a:graphicData>
            </a:graphic>
          </wp:anchor>
        </w:drawing>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Placement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-11430</wp:posOffset>
            </wp:positionV>
            <wp:extent cx="1409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140970" cy="8255"/>
                    </a:xfrm>
                    <a:prstGeom prst="rect">
                      <a:avLst/>
                    </a:prstGeom>
                    <a:noFill/>
                  </pic:spPr>
                </pic:pic>
              </a:graphicData>
            </a:graphic>
          </wp:anchor>
        </w:drawing>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Placement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-11430</wp:posOffset>
            </wp:positionV>
            <wp:extent cx="1409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140970" cy="8255"/>
                    </a:xfrm>
                    <a:prstGeom prst="rect">
                      <a:avLst/>
                    </a:prstGeom>
                    <a:noFill/>
                  </pic:spPr>
                </pic:pic>
              </a:graphicData>
            </a:graphic>
          </wp:anchor>
        </w:drawing>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Placement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-11430</wp:posOffset>
            </wp:positionV>
            <wp:extent cx="1409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140970" cy="8255"/>
                    </a:xfrm>
                    <a:prstGeom prst="rect">
                      <a:avLst/>
                    </a:prstGeom>
                    <a:noFill/>
                  </pic:spPr>
                </pic:pic>
              </a:graphicData>
            </a:graphic>
          </wp:anchor>
        </w:drawing>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Placement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-11430</wp:posOffset>
            </wp:positionV>
            <wp:extent cx="1409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14097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Notes</w:t>
      </w:r>
      <w:r>
        <w:rPr>
          <w:rFonts w:ascii="Arial" w:cs="Arial" w:eastAsia="Arial" w:hAnsi="Arial"/>
          <w:sz w:val="18"/>
          <w:szCs w:val="18"/>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247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INVENTORY:</w:t>
            </w:r>
          </w:p>
        </w:tc>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82"/>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Property Pages</w:t>
            </w:r>
          </w:p>
        </w:tc>
        <w:tc>
          <w:tcPr>
            <w:tcW w:w="2400" w:type="dxa"/>
            <w:vAlign w:val="bottom"/>
          </w:tcPr>
          <w:p>
            <w:pPr>
              <w:ind w:left="216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100"/>
              <w:spacing w:after="0"/>
              <w:rPr>
                <w:sz w:val="20"/>
                <w:szCs w:val="20"/>
                <w:color w:val="auto"/>
              </w:rPr>
            </w:pPr>
            <w:r>
              <w:rPr>
                <w:rFonts w:ascii="Arial" w:cs="Arial" w:eastAsia="Arial" w:hAnsi="Arial"/>
                <w:sz w:val="18"/>
                <w:szCs w:val="18"/>
                <w:color w:val="auto"/>
                <w:w w:val="86"/>
              </w:rPr>
              <w:t>Destination Pages</w:t>
            </w:r>
          </w:p>
        </w:tc>
      </w:tr>
      <w:tr>
        <w:trPr>
          <w:trHeight w:val="214"/>
        </w:trPr>
        <w:tc>
          <w:tcPr>
            <w:tcW w:w="35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Air</w:t>
            </w:r>
          </w:p>
        </w:tc>
        <w:tc>
          <w:tcPr>
            <w:tcW w:w="2400" w:type="dxa"/>
            <w:vAlign w:val="bottom"/>
          </w:tcPr>
          <w:p>
            <w:pPr>
              <w:ind w:left="216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100"/>
              <w:spacing w:after="0"/>
              <w:rPr>
                <w:sz w:val="20"/>
                <w:szCs w:val="20"/>
                <w:color w:val="auto"/>
              </w:rPr>
            </w:pPr>
            <w:r>
              <w:rPr>
                <w:rFonts w:ascii="Arial" w:cs="Arial" w:eastAsia="Arial" w:hAnsi="Arial"/>
                <w:sz w:val="18"/>
                <w:szCs w:val="18"/>
                <w:color w:val="auto"/>
              </w:rPr>
              <w:t>Photos</w:t>
            </w:r>
          </w:p>
        </w:tc>
      </w:tr>
      <w:tr>
        <w:trPr>
          <w:trHeight w:val="256"/>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Maps</w:t>
            </w:r>
          </w:p>
        </w:tc>
        <w:tc>
          <w:tcPr>
            <w:tcW w:w="3780" w:type="dxa"/>
            <w:vAlign w:val="bottom"/>
            <w:gridSpan w:val="2"/>
          </w:tcPr>
          <w:p>
            <w:pPr>
              <w:ind w:left="2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Amenities</w:t>
            </w:r>
          </w:p>
        </w:tc>
      </w:tr>
    </w:tbl>
    <w:p>
      <w:pPr>
        <w:ind w:left="340" w:hanging="333"/>
        <w:spacing w:after="0"/>
        <w:tabs>
          <w:tab w:leader="none" w:pos="340" w:val="left"/>
        </w:tabs>
        <w:numPr>
          <w:ilvl w:val="0"/>
          <w:numId w:val="143"/>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LLC – April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669" w:right="1440"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FF0000"/>
        </w:rPr>
        <w:t>Notes</w:t>
      </w:r>
      <w:r>
        <w:rPr>
          <w:rFonts w:ascii="Arial" w:cs="Arial" w:eastAsia="Arial" w:hAnsi="Arial"/>
          <w:sz w:val="18"/>
          <w:szCs w:val="18"/>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247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Client/Agency Signature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994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13335</wp:posOffset>
            </wp:positionV>
            <wp:extent cx="24072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240728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13335</wp:posOffset>
            </wp:positionV>
            <wp:extent cx="24072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240728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13335</wp:posOffset>
            </wp:positionV>
            <wp:extent cx="24072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240728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TripAdvisor LLC Signature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8994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13335</wp:posOffset>
            </wp:positionV>
            <wp:extent cx="24072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240728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13335</wp:posOffset>
            </wp:positionV>
            <wp:extent cx="24072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240728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13335</wp:posOffset>
            </wp:positionV>
            <wp:extent cx="24072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2407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TripAdvisor LLC – April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29043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335"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u w:val="single" w:color="auto"/>
          <w:color w:val="auto"/>
        </w:rPr>
        <w:t>TRIPADVISOR MEDIA GROUP INTERNET ADVERTISING INSERTION ORDER TERMS AND CONDITIONS (NA)</w:t>
      </w:r>
    </w:p>
    <w:p>
      <w:pPr>
        <w:spacing w:after="0" w:line="220" w:lineRule="exact"/>
        <w:rPr>
          <w:sz w:val="20"/>
          <w:szCs w:val="20"/>
          <w:color w:val="auto"/>
        </w:rPr>
      </w:pPr>
    </w:p>
    <w:p>
      <w:pPr>
        <w:jc w:val="both"/>
        <w:ind w:firstLine="7"/>
        <w:spacing w:after="0" w:line="293" w:lineRule="auto"/>
        <w:tabs>
          <w:tab w:leader="none" w:pos="199"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Description of Service. </w:t>
      </w:r>
      <w:r>
        <w:rPr>
          <w:rFonts w:ascii="Arial" w:cs="Arial" w:eastAsia="Arial" w:hAnsi="Arial"/>
          <w:sz w:val="16"/>
          <w:szCs w:val="16"/>
          <w:color w:val="auto"/>
        </w:rPr>
        <w:t>Except as otherwise provided in Sections 2, 3 and 4 of these TripAdvisor Media Group Internet Advertising Insertion Order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(referred to as the ''Agreement'', ''IO'', or ''Terms &amp; Conditions''), TripAdvisor shall display the advertisement(s) beginning on the Start Date and ending on the sooner of (a) the End Date or (b) the end date that the overall sum of the total cost per click charges, impression levels, or flight duration commitments stipulated in the TripAdvisor Schedule Detail page of the Insertion Order reach the net amount of advertising purchased. TripAdvisor shall use good faith efforts to deliver the desired number of click-throughs or impressions within the time period stated, but shall not be liable at all for failing to do so.</w:t>
      </w:r>
    </w:p>
    <w:p>
      <w:pPr>
        <w:spacing w:after="0" w:line="158" w:lineRule="exact"/>
        <w:rPr>
          <w:rFonts w:ascii="Arial" w:cs="Arial" w:eastAsia="Arial" w:hAnsi="Arial"/>
          <w:sz w:val="16"/>
          <w:szCs w:val="16"/>
          <w:b w:val="1"/>
          <w:bCs w:val="1"/>
          <w:color w:val="auto"/>
        </w:rPr>
      </w:pPr>
    </w:p>
    <w:p>
      <w:pPr>
        <w:jc w:val="both"/>
        <w:ind w:firstLine="7"/>
        <w:spacing w:after="0" w:line="265" w:lineRule="auto"/>
        <w:tabs>
          <w:tab w:leader="none" w:pos="211"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Insertion Order Rules. </w:t>
      </w:r>
      <w:r>
        <w:rPr>
          <w:rFonts w:ascii="Arial" w:cs="Arial" w:eastAsia="Arial" w:hAnsi="Arial"/>
          <w:sz w:val="17"/>
          <w:szCs w:val="17"/>
          <w:color w:val="auto"/>
        </w:rPr>
        <w:t>All requests by Customer for advertising on TripAdvisor's, or its Affiliates' web sites and/or newsletters, are governed by these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For each advertising request, Customer shall complete and submit to TripAdvisor an Insertion Order (''IO''). Each IO shall be signed by Customer and TripAdvisor and numbered with an individual IO number. Upon mutual written consent and approval (which may occur via email), the Parties may make changes to the non-financial details of an advertising campaign previously set forth in an executed IO (e.g., changes to the placement description, creative unit, start/end dates and number of ad requests). No other conditions, provisions, or terms of any sort appearing in any writings or other communications made in connection with such IOs, including without limitation those contained on or accompanying checks or other forms of payment, will be binding on TripAdvisor, whether in conflict with or in addition to these Terms and Conditions. Any IO's which quote rates which vary from the rates offered by TripAdvisor will not be binding on TripAdvisor, and will be deemed requests for advertising at TripAdvisor then-current rates unless signed by both parties. IO's are binding on Customer and not subject to cancellation, except as provided below under Section 6. Customer will use TripAdvisor services in accordance with applicable law and in a manner which does not interfere with, disturb, or disrupt other network users, services, or equipment, as determined by TripAdvisor in its sole discretion. Each IO shall specify the types and amount of inventory to be delivered (e.g. impressions, clicks, or other desired actions as the ''Deliverables''), the price for such Deliverables, the maximum amount of money to be spent pursuant to the IO (if applicable), the start and end date of the campaign, if applicable.</w:t>
      </w:r>
    </w:p>
    <w:p>
      <w:pPr>
        <w:spacing w:after="0" w:line="184" w:lineRule="exact"/>
        <w:rPr>
          <w:rFonts w:ascii="Arial" w:cs="Arial" w:eastAsia="Arial" w:hAnsi="Arial"/>
          <w:sz w:val="17"/>
          <w:szCs w:val="17"/>
          <w:b w:val="1"/>
          <w:bCs w:val="1"/>
          <w:color w:val="auto"/>
        </w:rPr>
      </w:pPr>
    </w:p>
    <w:p>
      <w:pPr>
        <w:jc w:val="both"/>
        <w:ind w:firstLine="7"/>
        <w:spacing w:after="0" w:line="283" w:lineRule="auto"/>
        <w:tabs>
          <w:tab w:leader="none" w:pos="193"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Advertisements. </w:t>
      </w:r>
      <w:r>
        <w:rPr>
          <w:rFonts w:ascii="Arial" w:cs="Arial" w:eastAsia="Arial" w:hAnsi="Arial"/>
          <w:sz w:val="17"/>
          <w:szCs w:val="17"/>
          <w:color w:val="auto"/>
        </w:rPr>
        <w:t>TripAdvisor reserves the right, without liability, to reject, remove and/or cancel any ads which contain content or links which do not meet</w:t>
      </w:r>
      <w:r>
        <w:rPr>
          <w:rFonts w:ascii="Arial" w:cs="Arial" w:eastAsia="Arial" w:hAnsi="Arial"/>
          <w:sz w:val="17"/>
          <w:szCs w:val="17"/>
          <w:b w:val="1"/>
          <w:bCs w:val="1"/>
          <w:color w:val="auto"/>
        </w:rPr>
        <w:t xml:space="preserve"> </w:t>
      </w:r>
      <w:r>
        <w:rPr>
          <w:rFonts w:ascii="Arial" w:cs="Arial" w:eastAsia="Arial" w:hAnsi="Arial"/>
          <w:sz w:val="17"/>
          <w:szCs w:val="17"/>
          <w:color w:val="auto"/>
        </w:rPr>
        <w:t>TripAdvisor's advertising specifications, at TripAdvisor's sole discretion. TripAdvisor's sole liability under this Section shall be to refund the pro-rata portion of amounts paid for the unfulfilled advertising term, if any. TripAdvisor may redesign its site at its sole discretion at any time.</w:t>
      </w:r>
    </w:p>
    <w:p>
      <w:pPr>
        <w:spacing w:after="0" w:line="166" w:lineRule="exact"/>
        <w:rPr>
          <w:rFonts w:ascii="Arial" w:cs="Arial" w:eastAsia="Arial" w:hAnsi="Arial"/>
          <w:sz w:val="17"/>
          <w:szCs w:val="17"/>
          <w:b w:val="1"/>
          <w:bCs w:val="1"/>
          <w:color w:val="auto"/>
        </w:rPr>
      </w:pPr>
    </w:p>
    <w:p>
      <w:pPr>
        <w:jc w:val="both"/>
        <w:ind w:left="860" w:hanging="426"/>
        <w:spacing w:after="0" w:line="284" w:lineRule="auto"/>
        <w:tabs>
          <w:tab w:leader="none" w:pos="8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Customer hereby grants TripAdvisor the right to display its advertisement(s) on both the TripAdvisor Media Group branded Web sites, partner web sites, and emails that are related to the TripAdvisor Media Group, as defined at http://www.tripadvisor.com/pages/about_us.html. Failure by TripAdvisor to publish any requested advertisement does not constitute a breach of contract or otherwise entitle Customer to any legal remedy.</w:t>
      </w:r>
    </w:p>
    <w:p>
      <w:pPr>
        <w:ind w:left="860" w:hanging="426"/>
        <w:spacing w:after="0" w:line="247" w:lineRule="auto"/>
        <w:tabs>
          <w:tab w:leader="none" w:pos="8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Customer's failure to comply with all applicable requirements of the Advertising Specifications may delay or prevent delivery of the advertisements and shall give TripAdvisor the right to immediately terminate the applicable IO.</w:t>
      </w:r>
    </w:p>
    <w:p>
      <w:pPr>
        <w:spacing w:after="0" w:line="1" w:lineRule="exact"/>
        <w:rPr>
          <w:rFonts w:ascii="Arial" w:cs="Arial" w:eastAsia="Arial" w:hAnsi="Arial"/>
          <w:sz w:val="18"/>
          <w:szCs w:val="18"/>
          <w:color w:val="auto"/>
        </w:rPr>
      </w:pPr>
    </w:p>
    <w:p>
      <w:pPr>
        <w:jc w:val="both"/>
        <w:ind w:left="860" w:hanging="426"/>
        <w:spacing w:after="0" w:line="283" w:lineRule="auto"/>
        <w:tabs>
          <w:tab w:leader="none" w:pos="8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Customer shall be solely responsible for the content of its advertisements and any web site linked to from such advertisements and shall indemnify TripAdvisor for all loss, costs, and damages in connection with any claims of infringement of any third party rights. Customer represents, warrants and covenants to TripAdvisor that at all times, (a) it is fully authorized to publish the entire contents and subject matter of all requested advertisements (including, without limitation, all text, graphics, URLs, and Internet sites to which URLs are linked); (b) all such materials and Internet sites comply with all applicable laws and regulations and do not violate the rights (including, but not limited to, intellectual property rights) of any third party; (c) it has the full corporate rights, power and authority to enter into this IO and to perform the acts required of it hereunder, and its execution of this IO does not and will not violate any agreement to which it is a Party or by which it is otherwise bound, or any applicable law, rule or regulation; and (d) each such Internet site is controlled by Customer and operated by Customer or its independent contractors, is functional and accessible at all times, and is suitable in all respects to be linked to from the applicable site containing the advertisement.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LLC – April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68" w:name="page169"/>
    <w:bookmarkEnd w:id="168"/>
    <w:p>
      <w:pPr>
        <w:jc w:val="both"/>
        <w:ind w:left="860" w:hanging="426"/>
        <w:spacing w:after="0" w:line="266" w:lineRule="auto"/>
        <w:tabs>
          <w:tab w:leader="none" w:pos="86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It is the Customer's obligation to submit Advertising Material in accordance with TripAdvisor's then existing advertising criteria or specifications (including content limitations, technical specifications, privacy policies, user experience policies, policies regarding consistency with TripAdvisor's public image, community standards regarding obscenity or indecency (taking into consideration the portion(s) of the Site on which the Ads are to appear), other editorial or advertising policies, and material due dates) (collectively "Policies").</w:t>
      </w:r>
    </w:p>
    <w:p>
      <w:pPr>
        <w:ind w:left="860" w:hanging="426"/>
        <w:spacing w:after="0" w:line="317" w:lineRule="auto"/>
        <w:tabs>
          <w:tab w:leader="none" w:pos="8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Public Announcements. Customer hereby grants TripAdvisor permission to publicize the fact that it is a client of TripAdvisor in a press release. However, Customer shall not use, display or modify TripAdvisor’s trademarks in any manner without the prior written consent of TripAdvisor.</w:t>
      </w:r>
    </w:p>
    <w:p>
      <w:pPr>
        <w:spacing w:after="0" w:line="137" w:lineRule="exact"/>
        <w:rPr>
          <w:rFonts w:ascii="Arial" w:cs="Arial" w:eastAsia="Arial" w:hAnsi="Arial"/>
          <w:sz w:val="16"/>
          <w:szCs w:val="16"/>
          <w:color w:val="auto"/>
        </w:rPr>
      </w:pPr>
    </w:p>
    <w:p>
      <w:pPr>
        <w:jc w:val="both"/>
        <w:ind w:firstLine="7"/>
        <w:spacing w:after="0" w:line="265" w:lineRule="auto"/>
        <w:tabs>
          <w:tab w:leader="none" w:pos="213"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Privacy and Compliance. </w:t>
      </w:r>
      <w:r>
        <w:rPr>
          <w:rFonts w:ascii="Arial" w:cs="Arial" w:eastAsia="Arial" w:hAnsi="Arial"/>
          <w:sz w:val="17"/>
          <w:szCs w:val="17"/>
          <w:color w:val="auto"/>
        </w:rPr>
        <w:t>From the date that an advertisement begins to run, through the expiration or termination of the Agreement or applicable IO,</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shall have a privacy policy in place governing Customer's use of end users' personal information that meets or exceeds any applicable laws, rules and regulations governing the use of such information. Both parties shall ensure that any collection, use and disclosure of information obtained pursuant to the related IO comply with all applicable laws, regulations and privacy policies, including all of the requirements the CAN-SPAM Act. Furthermore, unless otherwise explicitly authorized by TripAdvisor, Customer will not: (a) use or disclose IO details, or any data collected pursuant to this Agreement, including but not limited to a user’s recorded view or click of an Ad, on a non-aggregated basis, for retargeting or any purpose other than performing under the IO, or internal reporting or internal analysis; or (b) use or disclose any personally identifiable information collected from individual users during delivery of an Ad pursuant to the IO in any manner other than in performing under the IO. Customer will require any Third Party or Affiliate used in performance of the IO on Customer's behalf to be bound by the confidentiality and non-use obligations at least as restrictive as those on Customer, unless otherwise set forth in the IO. Customer agrees not to send any unsolicited, commercial email or other online communication (e.g., "spam") through to TripAdvisor users and shall comply with all applicable TripAdvisor policies regarding bulk mail. For the purposes of any email or advertising placements, Customer designates TripAdvisor as the senders for compliance with the CAN-SPAM Act. This section shall survive the completion, expiration, termination or cancellation of this IO for a period of five (5) years.</w:t>
      </w:r>
    </w:p>
    <w:p>
      <w:pPr>
        <w:spacing w:after="0" w:line="184" w:lineRule="exact"/>
        <w:rPr>
          <w:rFonts w:ascii="Arial" w:cs="Arial" w:eastAsia="Arial" w:hAnsi="Arial"/>
          <w:sz w:val="17"/>
          <w:szCs w:val="17"/>
          <w:b w:val="1"/>
          <w:bCs w:val="1"/>
          <w:color w:val="auto"/>
        </w:rPr>
      </w:pPr>
    </w:p>
    <w:p>
      <w:pPr>
        <w:jc w:val="both"/>
        <w:ind w:firstLine="7"/>
        <w:spacing w:after="0" w:line="265" w:lineRule="auto"/>
        <w:tabs>
          <w:tab w:leader="none" w:pos="206"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Terms and Calculations. </w:t>
      </w:r>
      <w:r>
        <w:rPr>
          <w:rFonts w:ascii="Arial" w:cs="Arial" w:eastAsia="Arial" w:hAnsi="Arial"/>
          <w:sz w:val="17"/>
          <w:szCs w:val="17"/>
          <w:color w:val="auto"/>
        </w:rPr>
        <w:t>Customer shall be invoiced by TripAdvisor on a monthly basis upon completion of the calendar month in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was displayed. TripAdvisor's payment terms are net 30 days from the date of invoice. In the event of a failure of any individual 3rd party tracking system used for billing purposes, TripAdvisor will be the system of record using 7-day trailing data for the most recent valid period prior to determine ratios. For partners participating in revenue share agreements, partners are expected to provide monthly reconciliation data within 5 business days following month-end; failure to provide timely reconciliation data will result in TripAdvisor invoicing partner based off of Property Level Minimum (PLM) values for all revenue share clicks. In addition to any other rights, TripAdvisor may immediately remove Customer's advertisements in the event of non-payment by Customer within such time period. All sums payable by Customer to TripAdvisor under this Agreement are exclusive of any sales tax, indirect or similar taxes chargeable on any supply to which those sums relate. Customer may deduct from amounts payable to TripAdvisor under this Agreement any withholding income tax amounts as required by the local law to be deducted from such payments and remitted to the local tax authorities. Customer shall promptly provide to TripAdvisor any proof of such remittances to the local tax authorities, including receipts issued from the appropriate tax regulatory authority or any other relevant documentation evidencing payment of any amounts deducted pursuant to this clause. All unpaid advertising fees shall accrue interest at the rate of 1½% per month until paid, or the legal maximum, whichever is less. All billing calculations are based solely on the ad impression or quick count metrics as calculated by TripAdvisor (including, but not limited to CPM and CPC), not Customer or third party calculations, unless otherwise agreed to in writing in the TripAdvisor IO or Schedule Detail page.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LLC – April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69" w:name="page170"/>
    <w:bookmarkEnd w:id="169"/>
    <w:p>
      <w:pPr>
        <w:jc w:val="both"/>
        <w:ind w:firstLine="7"/>
        <w:spacing w:after="0" w:line="286" w:lineRule="auto"/>
        <w:tabs>
          <w:tab w:leader="none" w:pos="193"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and Termination. </w:t>
      </w:r>
      <w:r>
        <w:rPr>
          <w:rFonts w:ascii="Arial" w:cs="Arial" w:eastAsia="Arial" w:hAnsi="Arial"/>
          <w:sz w:val="16"/>
          <w:szCs w:val="16"/>
          <w:color w:val="auto"/>
        </w:rPr>
        <w:t>This Agreement is effective upon the signature of both parties of the terms and conditions stated herein by signing the attached IO.</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terminated by Customer only if a material breach of this Agreement remains uncured after the non-breaching party has given thirty (30) days prior written notice to the breaching party specifying the breach. However, either Party may cancel any specific IO at any time with at least twenty</w:t>
      </w:r>
    </w:p>
    <w:p>
      <w:pPr>
        <w:jc w:val="both"/>
        <w:spacing w:after="0" w:line="249" w:lineRule="auto"/>
        <w:rPr>
          <w:rFonts w:ascii="Arial" w:cs="Arial" w:eastAsia="Arial" w:hAnsi="Arial"/>
          <w:sz w:val="16"/>
          <w:szCs w:val="16"/>
          <w:b w:val="1"/>
          <w:bCs w:val="1"/>
          <w:color w:val="auto"/>
        </w:rPr>
      </w:pPr>
      <w:r>
        <w:rPr>
          <w:rFonts w:ascii="Arial" w:cs="Arial" w:eastAsia="Arial" w:hAnsi="Arial"/>
          <w:sz w:val="18"/>
          <w:szCs w:val="18"/>
          <w:color w:val="auto"/>
        </w:rPr>
        <w:t>(20) days' prior written notice to the other Party. So long as any IO remains in effect, these Terms and Conditions shall also remain in effect. If any IO is cancelled for any reason, Customer shall pay to TripAdvisor, within thirty (30) days after such cancellation, all amounts not yet paid for such delivered ad requests up to the effective date of cancellation. IF EITHER PARTY TERMINATES ANY IO, CUSTOMER'S SOLE REMEDY WILL BE A REFUND OF ANY PRE-PAID FEES IN EXCESS OF THE FEES OWED TO TRIPADVISOR UNDER THE IO. NEITHER TRIPADVISOR NOR ANY OF ITS AFFILIATES WILL HAVE ANY OTHER LIABILITY OF ANY NATURE TO CUSTOMER.</w:t>
      </w:r>
    </w:p>
    <w:p>
      <w:pPr>
        <w:spacing w:after="0" w:line="190" w:lineRule="exact"/>
        <w:rPr>
          <w:rFonts w:ascii="Arial" w:cs="Arial" w:eastAsia="Arial" w:hAnsi="Arial"/>
          <w:sz w:val="16"/>
          <w:szCs w:val="16"/>
          <w:b w:val="1"/>
          <w:bCs w:val="1"/>
          <w:color w:val="auto"/>
        </w:rPr>
      </w:pPr>
    </w:p>
    <w:p>
      <w:pPr>
        <w:ind w:left="200" w:hanging="193"/>
        <w:spacing w:after="0"/>
        <w:tabs>
          <w:tab w:leader="none" w:pos="2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Warranty &amp; Indemnity.</w:t>
      </w:r>
    </w:p>
    <w:p>
      <w:pPr>
        <w:spacing w:after="0" w:line="224" w:lineRule="exact"/>
        <w:rPr>
          <w:rFonts w:ascii="Arial" w:cs="Arial" w:eastAsia="Arial" w:hAnsi="Arial"/>
          <w:sz w:val="18"/>
          <w:szCs w:val="18"/>
          <w:b w:val="1"/>
          <w:bCs w:val="1"/>
          <w:color w:val="auto"/>
        </w:rPr>
      </w:pPr>
    </w:p>
    <w:p>
      <w:pPr>
        <w:jc w:val="both"/>
        <w:ind w:left="860" w:hanging="426"/>
        <w:spacing w:after="0" w:line="249" w:lineRule="auto"/>
        <w:tabs>
          <w:tab w:leader="none" w:pos="8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EXCEPT AS OTHERWISE STATED HEREIN, TRIPADVISOR MAKES NO WARRANTIES, EXPRESS OR IMPLIED, INCLUDING WITHOUT LIMITATION, ANY IMPLIED WARRANTIES OF MERCHANTABILITY OR FITNESS FOR A PARTICULAR PURPOSE, OR ANY WARRANTIES AS TO THE NUMBER OF VISITORS TO OR PAGES DISPLAYED ON THE TRIPADVISOR SITE OR THE FUNCTIONALITY, PERFORMANCE, OR RESPONSE TIMES OF THE TRIPADVISOR SITE. TRIPADVISOR DISCLAIMS AND SHALL NOT BE LIABLE FOR ANY OTHER LOSS, INJURY, COST OR DAMAGE SUFFERED BY CUSTOMER OR ANY THIRD PARTY AND SHALL IN NO EVENT BE LIABLE FOR CONSEQUENTIAL, SPECIAL OR INCIDENTAL DAMAGES, INCLUDING LOST PROFITS. THIS PROVISION SHALL SURVIVE ANY EXPIRATION OR TERMINATION OF THIS AGREEMENT. IN NO EVENT SHALL TRIPADVISOR OR ANY OF ITS AFFILIATES BE LIABLE TO CUSTOMER FOR AN AMOUNT IN EXCESS OF THE TOTAL DOLLAR AMOUNT ACTUALLY RECEIVED BY TRIPADVISOR FROM CUSTOMER FOR THE SPECIFIC AD AT ISSUE.</w:t>
      </w:r>
    </w:p>
    <w:p>
      <w:pPr>
        <w:spacing w:after="0" w:line="2" w:lineRule="exact"/>
        <w:rPr>
          <w:rFonts w:ascii="Arial" w:cs="Arial" w:eastAsia="Arial" w:hAnsi="Arial"/>
          <w:sz w:val="18"/>
          <w:szCs w:val="18"/>
          <w:color w:val="auto"/>
        </w:rPr>
      </w:pPr>
    </w:p>
    <w:p>
      <w:pPr>
        <w:jc w:val="both"/>
        <w:ind w:left="860" w:hanging="426"/>
        <w:spacing w:after="0" w:line="249" w:lineRule="auto"/>
        <w:tabs>
          <w:tab w:leader="none" w:pos="8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Customer agrees to defend, indemnify and hold harmless TripAdvisor and each of TripAdvisor's agents, customers, subcontractors and affiliates, and the officers, directors, and employees of any of the foregoing, from, against and in respect of any and all losses, costs, (including reasonable attorney's fees) expenses, damages, assessments, or judgments (collectively, ''Liabilities''), resulting from any claim against any such parties in connection with Customer's advertisement, except to the extent that such claims directly resulted from the gross negligence or willful misconduct of TripAdvisor.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LLC – April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170" w:name="page171"/>
    <w:bookmarkEnd w:id="170"/>
    <w:p>
      <w:pPr>
        <w:jc w:val="both"/>
        <w:ind w:firstLine="7"/>
        <w:spacing w:after="0" w:line="281" w:lineRule="auto"/>
        <w:tabs>
          <w:tab w:leader="none" w:pos="224"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Provisions. </w:t>
      </w:r>
      <w:r>
        <w:rPr>
          <w:rFonts w:ascii="Arial" w:cs="Arial" w:eastAsia="Arial" w:hAnsi="Arial"/>
          <w:sz w:val="16"/>
          <w:szCs w:val="16"/>
          <w:color w:val="auto"/>
        </w:rPr>
        <w:t>These terms and conditions are governed by the laws of the Commonwealth of Massachusetts, USA. Customer consents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jurisdiction and venue of courts of Boston, Massachusetts, for all disputes related to the subject matter hereof. No joint venture, partnership, employment, or agency relationship exists between Customer and TripAdvisor. TripAdvisor will not be deemed to have waived or modified any of these terms and conditions except in writing signed by its duly authorized representative. Customer may not assign its rights hereunder to any third party unless TripAdvisor expressly consents to such assignment in writing, not to be unreasonably withheld. Modifications to the originally submitted IO will not be binding unless signed by both parties. If any provision of these standard terms and conditions is found invalid or unenforceable pursuant to judicial decree or decision, the remaining provisions will remain valid and enforceable, and the unenforceable provisions will be deemed modified to the extent necessary to make them enforceable. These Terms and Conditions will be deemed to be controlling over all other writings or agreements of any kind between the parties covering the subject matter of the IO, except for alternate (a) payment or (b) cancellation language, as specifically provided in the business terms in the IO or Schedule Detail Page. All notices to TripAdvisor relating to any legal claims or matters must be made in writing to TripAdvisor, attn: General Counsel Counsel, 400 1st Avenue, Needham, MA 02494. If TripAdvisor and Customer have entered into a Non-Disclosure Agreement, TripAdvisor and Customer agree that the terms of such agreement will be deemed incorporated herein and further, that all terms and conditions of this Agreement will be deemed Confidential Information as defined therein. If TripAdvisor and Customer have not entered into a Non-Disclosure Agreement, then each Party expressly undertakes to retain in confidence and to require its agents and contractors to retain in confidence all information and know-how transmitted to such Party that the disclosing Party has identified as being proprietary and/or confidential or which, by the nature of the circumstances surrounding the disclosure, ought in good faith to be treated as proprietary and/or confidential. All terms and conditions of this Agreement will be considered confidential and will not be disclosed (except to both Party's attorneys and accountants on a need-to-know basis, or if required by applicable law) without the prior written consent of the other Party. Notwithstanding the foregoing, the recipient may disclose such confidential information if required by any judicial or governmental request, requirement or order; provided that the recipient will take reasonable steps to give the disclosing party sufficient prior notice in order to contest such request, requirement or order. The Parties acknowledge and agree that TripAdvisor may archive an electronic copy of the fully executed Agreement. Except as specifically provided herein, this Insertion Order and Terms &amp; Conditions constitute the entire understanding and Agreement between the parties and supersedes any and all prior understandings and/or Agreements between the parties with respect to the subject matter. No change, amendment or modification of any provision of this Agreement or waiver of any of its terms will be valid unless set forth in writing and mutually agreed to by the parties.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5900" w:type="dxa"/>
            <w:vAlign w:val="bottom"/>
            <w:gridSpan w:val="2"/>
          </w:tcPr>
          <w:p>
            <w:pPr>
              <w:ind w:left="840"/>
              <w:spacing w:after="0"/>
              <w:rPr>
                <w:sz w:val="20"/>
                <w:szCs w:val="20"/>
                <w:color w:val="auto"/>
              </w:rPr>
            </w:pPr>
            <w:r>
              <w:rPr>
                <w:rFonts w:ascii="Arial" w:cs="Arial" w:eastAsia="Arial" w:hAnsi="Arial"/>
                <w:sz w:val="18"/>
                <w:szCs w:val="18"/>
                <w:b w:val="1"/>
                <w:bCs w:val="1"/>
                <w:color w:val="auto"/>
              </w:rPr>
              <w:t>TripAdvisor LLC:</w:t>
            </w:r>
          </w:p>
        </w:tc>
      </w:tr>
      <w:tr>
        <w:trPr>
          <w:trHeight w:val="428"/>
        </w:trPr>
        <w:tc>
          <w:tcPr>
            <w:tcW w:w="1240" w:type="dxa"/>
            <w:vAlign w:val="bottom"/>
          </w:tcPr>
          <w:p>
            <w:pPr>
              <w:spacing w:after="0"/>
              <w:rPr>
                <w:sz w:val="20"/>
                <w:szCs w:val="20"/>
                <w:color w:val="auto"/>
              </w:rPr>
            </w:pPr>
            <w:r>
              <w:rPr>
                <w:rFonts w:ascii="Arial" w:cs="Arial" w:eastAsia="Arial" w:hAnsi="Arial"/>
                <w:sz w:val="18"/>
                <w:szCs w:val="18"/>
                <w:color w:val="auto"/>
              </w:rPr>
              <w:t>Company:</w:t>
            </w:r>
          </w:p>
        </w:tc>
        <w:tc>
          <w:tcPr>
            <w:tcW w:w="428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421"/>
        </w:trPr>
        <w:tc>
          <w:tcPr>
            <w:tcW w:w="124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4"/>
                <w:szCs w:val="24"/>
                <w:color w:val="auto"/>
              </w:rPr>
            </w:pPr>
          </w:p>
        </w:tc>
        <w:tc>
          <w:tcPr>
            <w:tcW w:w="1600" w:type="dxa"/>
            <w:vAlign w:val="bottom"/>
          </w:tcPr>
          <w:p>
            <w:pPr>
              <w:ind w:left="840"/>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4"/>
                <w:szCs w:val="24"/>
                <w:color w:val="auto"/>
              </w:rPr>
            </w:pPr>
          </w:p>
        </w:tc>
      </w:tr>
      <w:tr>
        <w:trPr>
          <w:trHeight w:val="428"/>
        </w:trPr>
        <w:tc>
          <w:tcPr>
            <w:tcW w:w="12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tcBorders>
          </w:tcPr>
          <w:p>
            <w:pPr>
              <w:spacing w:after="0"/>
              <w:rPr>
                <w:sz w:val="24"/>
                <w:szCs w:val="24"/>
                <w:color w:val="auto"/>
              </w:rPr>
            </w:pPr>
          </w:p>
        </w:tc>
        <w:tc>
          <w:tcPr>
            <w:tcW w:w="1600" w:type="dxa"/>
            <w:vAlign w:val="bottom"/>
          </w:tcPr>
          <w:p>
            <w:pPr>
              <w:ind w:left="840"/>
              <w:spacing w:after="0"/>
              <w:rPr>
                <w:sz w:val="20"/>
                <w:szCs w:val="20"/>
                <w:color w:val="auto"/>
              </w:rPr>
            </w:pPr>
            <w:r>
              <w:rPr>
                <w:rFonts w:ascii="Arial" w:cs="Arial" w:eastAsia="Arial" w:hAnsi="Arial"/>
                <w:sz w:val="18"/>
                <w:szCs w:val="18"/>
                <w:color w:val="auto"/>
              </w:rPr>
              <w:t>Date:</w:t>
            </w:r>
          </w:p>
        </w:tc>
        <w:tc>
          <w:tcPr>
            <w:tcW w:w="4300" w:type="dxa"/>
            <w:vAlign w:val="bottom"/>
            <w:tcBorders>
              <w:bottom w:val="single" w:sz="8" w:color="auto"/>
            </w:tcBorders>
          </w:tcPr>
          <w:p>
            <w:pPr>
              <w:spacing w:after="0"/>
              <w:rPr>
                <w:sz w:val="24"/>
                <w:szCs w:val="24"/>
                <w:color w:val="auto"/>
              </w:rPr>
            </w:pPr>
          </w:p>
        </w:tc>
      </w:tr>
      <w:tr>
        <w:trPr>
          <w:trHeight w:val="639"/>
        </w:trPr>
        <w:tc>
          <w:tcPr>
            <w:tcW w:w="5520" w:type="dxa"/>
            <w:vAlign w:val="bottom"/>
            <w:gridSpan w:val="2"/>
          </w:tcPr>
          <w:p>
            <w:pPr>
              <w:spacing w:after="0"/>
              <w:rPr>
                <w:sz w:val="20"/>
                <w:szCs w:val="20"/>
                <w:color w:val="auto"/>
              </w:rPr>
            </w:pPr>
            <w:r>
              <w:rPr>
                <w:rFonts w:ascii="Arial" w:cs="Arial" w:eastAsia="Arial" w:hAnsi="Arial"/>
                <w:sz w:val="18"/>
                <w:szCs w:val="18"/>
                <w:i w:val="1"/>
                <w:iCs w:val="1"/>
                <w:color w:val="auto"/>
              </w:rPr>
              <w:t>TripAdvisor LLC – April 28, 2014</w:t>
            </w:r>
          </w:p>
        </w:tc>
        <w:tc>
          <w:tcPr>
            <w:tcW w:w="1600" w:type="dxa"/>
            <w:vAlign w:val="bottom"/>
          </w:tcPr>
          <w:p>
            <w:pPr>
              <w:spacing w:after="0"/>
              <w:rPr>
                <w:sz w:val="24"/>
                <w:szCs w:val="24"/>
                <w:color w:val="auto"/>
              </w:rPr>
            </w:pPr>
          </w:p>
        </w:tc>
        <w:tc>
          <w:tcPr>
            <w:tcW w:w="4300" w:type="dxa"/>
            <w:vAlign w:val="bottom"/>
          </w:tcPr>
          <w:p>
            <w:pPr>
              <w:spacing w:after="0"/>
              <w:rPr>
                <w:sz w:val="24"/>
                <w:szCs w:val="24"/>
                <w:color w:val="auto"/>
              </w:rPr>
            </w:pPr>
          </w:p>
        </w:tc>
      </w:tr>
    </w:tbl>
    <w:p>
      <w:pPr>
        <w:sectPr>
          <w:pgSz w:w="11900" w:h="16838" w:orient="portrait"/>
          <w:cols w:equalWidth="0" w:num="1">
            <w:col w:w="11420"/>
          </w:cols>
          <w:pgMar w:left="240" w:top="548" w:right="23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780"/>
              <w:spacing w:after="0"/>
              <w:rPr>
                <w:sz w:val="20"/>
                <w:szCs w:val="20"/>
                <w:color w:val="auto"/>
              </w:rPr>
            </w:pPr>
            <w:r>
              <w:rPr>
                <w:rFonts w:ascii="Arial" w:cs="Arial" w:eastAsia="Arial" w:hAnsi="Arial"/>
                <w:sz w:val="18"/>
                <w:szCs w:val="18"/>
                <w:b w:val="1"/>
                <w:bCs w:val="1"/>
                <w:color w:val="auto"/>
                <w:w w:val="91"/>
              </w:rPr>
              <w:t>Exhibit 21.1</w:t>
            </w:r>
          </w:p>
        </w:tc>
      </w:tr>
      <w:tr>
        <w:trPr>
          <w:trHeight w:val="427"/>
        </w:trPr>
        <w:tc>
          <w:tcPr>
            <w:tcW w:w="20" w:type="dxa"/>
            <w:vAlign w:val="bottom"/>
          </w:tcPr>
          <w:p>
            <w:pPr>
              <w:spacing w:after="0"/>
              <w:rPr>
                <w:sz w:val="24"/>
                <w:szCs w:val="24"/>
                <w:color w:val="auto"/>
              </w:rPr>
            </w:pPr>
          </w:p>
        </w:tc>
        <w:tc>
          <w:tcPr>
            <w:tcW w:w="9700" w:type="dxa"/>
            <w:vAlign w:val="bottom"/>
            <w:gridSpan w:val="3"/>
          </w:tcPr>
          <w:p>
            <w:pPr>
              <w:ind w:left="4560"/>
              <w:spacing w:after="0"/>
              <w:rPr>
                <w:sz w:val="20"/>
                <w:szCs w:val="20"/>
                <w:color w:val="auto"/>
              </w:rPr>
            </w:pPr>
            <w:r>
              <w:rPr>
                <w:rFonts w:ascii="Arial" w:cs="Arial" w:eastAsia="Arial" w:hAnsi="Arial"/>
                <w:sz w:val="18"/>
                <w:szCs w:val="18"/>
                <w:b w:val="1"/>
                <w:bCs w:val="1"/>
                <w:color w:val="auto"/>
              </w:rPr>
              <w:t>Subsidiaries of the Registrant</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9720" w:type="dxa"/>
            <w:vAlign w:val="bottom"/>
            <w:gridSpan w:val="4"/>
          </w:tcPr>
          <w:p>
            <w:pPr>
              <w:spacing w:after="0"/>
              <w:rPr>
                <w:sz w:val="20"/>
                <w:szCs w:val="20"/>
                <w:color w:val="auto"/>
              </w:rPr>
            </w:pPr>
            <w:r>
              <w:rPr>
                <w:rFonts w:ascii="Arial" w:cs="Arial" w:eastAsia="Arial" w:hAnsi="Arial"/>
                <w:sz w:val="18"/>
                <w:szCs w:val="18"/>
                <w:b w:val="1"/>
                <w:bCs w:val="1"/>
                <w:color w:val="auto"/>
              </w:rPr>
              <w:t>DOMESTIC</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Jurisdiction of</w:t>
            </w:r>
          </w:p>
        </w:tc>
      </w:tr>
      <w:tr>
        <w:trPr>
          <w:trHeight w:val="231"/>
        </w:trPr>
        <w:tc>
          <w:tcPr>
            <w:tcW w:w="9720" w:type="dxa"/>
            <w:vAlign w:val="bottom"/>
            <w:gridSpan w:val="4"/>
          </w:tcPr>
          <w:p>
            <w:pPr>
              <w:spacing w:after="0"/>
              <w:rPr>
                <w:sz w:val="20"/>
                <w:szCs w:val="20"/>
                <w:color w:val="auto"/>
              </w:rPr>
            </w:pPr>
            <w:r>
              <w:rPr>
                <w:rFonts w:ascii="Arial" w:cs="Arial" w:eastAsia="Arial" w:hAnsi="Arial"/>
                <w:sz w:val="18"/>
                <w:szCs w:val="18"/>
                <w:b w:val="1"/>
                <w:bCs w:val="1"/>
                <w:color w:val="auto"/>
              </w:rPr>
              <w:t>Entity</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Formation</w:t>
            </w:r>
          </w:p>
        </w:tc>
      </w:tr>
      <w:tr>
        <w:trPr>
          <w:trHeight w:val="207"/>
        </w:trPr>
        <w:tc>
          <w:tcPr>
            <w:tcW w:w="20" w:type="dxa"/>
            <w:vAlign w:val="bottom"/>
          </w:tcPr>
          <w:p>
            <w:pPr>
              <w:spacing w:after="0"/>
              <w:rPr>
                <w:sz w:val="18"/>
                <w:szCs w:val="18"/>
                <w:color w:val="auto"/>
              </w:rPr>
            </w:pPr>
          </w:p>
        </w:tc>
        <w:tc>
          <w:tcPr>
            <w:tcW w:w="9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TripAdvisor Holdings, LLC</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w:t>
            </w: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TripAdvisor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Beeem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FlipKey,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640"/>
              <w:spacing w:after="0"/>
              <w:rPr>
                <w:sz w:val="20"/>
                <w:szCs w:val="20"/>
                <w:color w:val="auto"/>
              </w:rPr>
            </w:pPr>
            <w:r>
              <w:rPr>
                <w:rFonts w:ascii="Arial" w:cs="Arial" w:eastAsia="Arial" w:hAnsi="Arial"/>
                <w:sz w:val="18"/>
                <w:szCs w:val="18"/>
                <w:color w:val="auto"/>
              </w:rPr>
              <w:t>Vacation Home Rentals,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GateGuru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Global Motion Media,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Oyster Travel Corporation</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Smarter Travel Media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NV</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640"/>
              <w:spacing w:after="0"/>
              <w:rPr>
                <w:sz w:val="20"/>
                <w:szCs w:val="20"/>
                <w:color w:val="auto"/>
              </w:rPr>
            </w:pPr>
            <w:r>
              <w:rPr>
                <w:rFonts w:ascii="Arial" w:cs="Arial" w:eastAsia="Arial" w:hAnsi="Arial"/>
                <w:sz w:val="18"/>
                <w:szCs w:val="18"/>
                <w:color w:val="auto"/>
              </w:rPr>
              <w:t>Jetsetter,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Viator,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The Independent Traveler,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NJ</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APAC Holdings Corp.</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GP1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GP2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Finance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LP2 LLC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Securities Corporation</w:t>
            </w:r>
          </w:p>
        </w:tc>
        <w:tc>
          <w:tcPr>
            <w:tcW w:w="1720" w:type="dxa"/>
            <w:vAlign w:val="bottom"/>
            <w:gridSpan w:val="2"/>
          </w:tcPr>
          <w:p>
            <w:pPr>
              <w:spacing w:after="0"/>
              <w:rPr>
                <w:sz w:val="20"/>
                <w:szCs w:val="20"/>
                <w:color w:val="auto"/>
              </w:rPr>
            </w:pPr>
            <w:r>
              <w:rPr>
                <w:rFonts w:ascii="Arial" w:cs="Arial" w:eastAsia="Arial" w:hAnsi="Arial"/>
                <w:sz w:val="18"/>
                <w:szCs w:val="18"/>
                <w:color w:val="auto"/>
              </w:rPr>
              <w:t>MA</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Wanderfly,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ZeTrip,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CityMaps, Inc.</w:t>
            </w:r>
          </w:p>
        </w:tc>
        <w:tc>
          <w:tcPr>
            <w:tcW w:w="1720" w:type="dxa"/>
            <w:vAlign w:val="bottom"/>
            <w:gridSpan w:val="2"/>
          </w:tcPr>
          <w:p>
            <w:pPr>
              <w:spacing w:after="0"/>
              <w:rPr>
                <w:sz w:val="20"/>
                <w:szCs w:val="20"/>
                <w:color w:val="auto"/>
              </w:rPr>
            </w:pPr>
            <w:r>
              <w:rPr>
                <w:rFonts w:ascii="Arial" w:cs="Arial" w:eastAsia="Arial" w:hAnsi="Arial"/>
                <w:sz w:val="18"/>
                <w:szCs w:val="18"/>
                <w:color w:val="auto"/>
              </w:rPr>
              <w:t>DE</w:t>
            </w:r>
          </w:p>
        </w:tc>
      </w:tr>
      <w:tr>
        <w:trPr>
          <w:trHeight w:val="534"/>
        </w:trPr>
        <w:tc>
          <w:tcPr>
            <w:tcW w:w="9720" w:type="dxa"/>
            <w:vAlign w:val="bottom"/>
            <w:gridSpan w:val="4"/>
          </w:tcPr>
          <w:p>
            <w:pPr>
              <w:spacing w:after="0"/>
              <w:rPr>
                <w:sz w:val="20"/>
                <w:szCs w:val="20"/>
                <w:color w:val="auto"/>
              </w:rPr>
            </w:pPr>
            <w:r>
              <w:rPr>
                <w:rFonts w:ascii="Arial" w:cs="Arial" w:eastAsia="Arial" w:hAnsi="Arial"/>
                <w:sz w:val="18"/>
                <w:szCs w:val="18"/>
                <w:b w:val="1"/>
                <w:bCs w:val="1"/>
                <w:color w:val="auto"/>
              </w:rPr>
              <w:t>INTERNATIONAL</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Jurisdiction of</w:t>
            </w:r>
          </w:p>
        </w:tc>
      </w:tr>
      <w:tr>
        <w:trPr>
          <w:trHeight w:val="231"/>
        </w:trPr>
        <w:tc>
          <w:tcPr>
            <w:tcW w:w="9720" w:type="dxa"/>
            <w:vAlign w:val="bottom"/>
            <w:gridSpan w:val="4"/>
          </w:tcPr>
          <w:p>
            <w:pPr>
              <w:spacing w:after="0"/>
              <w:rPr>
                <w:sz w:val="20"/>
                <w:szCs w:val="20"/>
                <w:color w:val="auto"/>
              </w:rPr>
            </w:pPr>
            <w:r>
              <w:rPr>
                <w:rFonts w:ascii="Arial" w:cs="Arial" w:eastAsia="Arial" w:hAnsi="Arial"/>
                <w:sz w:val="18"/>
                <w:szCs w:val="18"/>
                <w:b w:val="1"/>
                <w:bCs w:val="1"/>
                <w:color w:val="auto"/>
              </w:rPr>
              <w:t>Entity</w:t>
            </w: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Formation</w:t>
            </w:r>
          </w:p>
        </w:tc>
      </w:tr>
      <w:tr>
        <w:trPr>
          <w:trHeight w:val="194"/>
        </w:trPr>
        <w:tc>
          <w:tcPr>
            <w:tcW w:w="20" w:type="dxa"/>
            <w:vAlign w:val="bottom"/>
          </w:tcPr>
          <w:p>
            <w:pPr>
              <w:spacing w:after="0"/>
              <w:rPr>
                <w:sz w:val="16"/>
                <w:szCs w:val="16"/>
                <w:color w:val="auto"/>
              </w:rPr>
            </w:pPr>
          </w:p>
        </w:tc>
        <w:tc>
          <w:tcPr>
            <w:tcW w:w="946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TripAdvisor UK1 LP</w:t>
            </w:r>
          </w:p>
        </w:tc>
        <w:tc>
          <w:tcPr>
            <w:tcW w:w="240" w:type="dxa"/>
            <w:vAlign w:val="bottom"/>
            <w:gridSpan w:val="2"/>
          </w:tcPr>
          <w:p>
            <w:pPr>
              <w:spacing w:after="0"/>
              <w:rPr>
                <w:sz w:val="16"/>
                <w:szCs w:val="16"/>
                <w:color w:val="auto"/>
              </w:rPr>
            </w:pPr>
          </w:p>
        </w:tc>
        <w:tc>
          <w:tcPr>
            <w:tcW w:w="17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6"/>
                <w:szCs w:val="16"/>
                <w:color w:val="auto"/>
              </w:rPr>
            </w:pPr>
          </w:p>
        </w:tc>
      </w:tr>
      <w:tr>
        <w:trPr>
          <w:trHeight w:val="214"/>
        </w:trPr>
        <w:tc>
          <w:tcPr>
            <w:tcW w:w="9720" w:type="dxa"/>
            <w:vAlign w:val="bottom"/>
            <w:gridSpan w:val="4"/>
          </w:tcPr>
          <w:p>
            <w:pPr>
              <w:spacing w:after="0"/>
              <w:rPr>
                <w:sz w:val="20"/>
                <w:szCs w:val="20"/>
                <w:color w:val="auto"/>
              </w:rPr>
            </w:pPr>
            <w:r>
              <w:rPr>
                <w:rFonts w:ascii="Arial" w:cs="Arial" w:eastAsia="Arial" w:hAnsi="Arial"/>
                <w:sz w:val="18"/>
                <w:szCs w:val="18"/>
                <w:color w:val="auto"/>
              </w:rPr>
              <w:t>TripAdvisor UK2 LP</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9720" w:type="dxa"/>
            <w:vAlign w:val="bottom"/>
            <w:gridSpan w:val="4"/>
          </w:tcPr>
          <w:p>
            <w:pPr>
              <w:spacing w:after="0"/>
              <w:rPr>
                <w:sz w:val="20"/>
                <w:szCs w:val="20"/>
                <w:color w:val="auto"/>
              </w:rPr>
            </w:pPr>
            <w:r>
              <w:rPr>
                <w:rFonts w:ascii="Arial" w:cs="Arial" w:eastAsia="Arial" w:hAnsi="Arial"/>
                <w:sz w:val="18"/>
                <w:szCs w:val="18"/>
                <w:color w:val="auto"/>
              </w:rPr>
              <w:t>Viator Systems Pty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4"/>
        </w:trPr>
        <w:tc>
          <w:tcPr>
            <w:tcW w:w="9720" w:type="dxa"/>
            <w:vAlign w:val="bottom"/>
            <w:gridSpan w:val="4"/>
          </w:tcPr>
          <w:p>
            <w:pPr>
              <w:spacing w:after="0"/>
              <w:rPr>
                <w:sz w:val="20"/>
                <w:szCs w:val="20"/>
                <w:color w:val="auto"/>
              </w:rPr>
            </w:pPr>
            <w:r>
              <w:rPr>
                <w:rFonts w:ascii="Arial" w:cs="Arial" w:eastAsia="Arial" w:hAnsi="Arial"/>
                <w:sz w:val="18"/>
                <w:szCs w:val="18"/>
                <w:color w:val="auto"/>
              </w:rPr>
              <w:t>Viator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9720" w:type="dxa"/>
            <w:vAlign w:val="bottom"/>
            <w:gridSpan w:val="4"/>
          </w:tcPr>
          <w:p>
            <w:pPr>
              <w:spacing w:after="0"/>
              <w:rPr>
                <w:sz w:val="20"/>
                <w:szCs w:val="20"/>
                <w:color w:val="auto"/>
              </w:rPr>
            </w:pPr>
            <w:r>
              <w:rPr>
                <w:rFonts w:ascii="Arial" w:cs="Arial" w:eastAsia="Arial" w:hAnsi="Arial"/>
                <w:sz w:val="18"/>
                <w:szCs w:val="18"/>
                <w:color w:val="auto"/>
              </w:rPr>
              <w:t>TripAdvisor Canada Corp.</w:t>
            </w:r>
          </w:p>
        </w:tc>
        <w:tc>
          <w:tcPr>
            <w:tcW w:w="172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4"/>
        </w:trPr>
        <w:tc>
          <w:tcPr>
            <w:tcW w:w="9720" w:type="dxa"/>
            <w:vAlign w:val="bottom"/>
            <w:gridSpan w:val="4"/>
          </w:tcPr>
          <w:p>
            <w:pPr>
              <w:spacing w:after="0"/>
              <w:rPr>
                <w:sz w:val="20"/>
                <w:szCs w:val="20"/>
                <w:color w:val="auto"/>
              </w:rPr>
            </w:pPr>
            <w:r>
              <w:rPr>
                <w:rFonts w:ascii="Arial" w:cs="Arial" w:eastAsia="Arial" w:hAnsi="Arial"/>
                <w:sz w:val="18"/>
                <w:szCs w:val="18"/>
                <w:color w:val="auto"/>
              </w:rPr>
              <w:t>TripAdvisor Travel India Private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4"/>
        </w:trPr>
        <w:tc>
          <w:tcPr>
            <w:tcW w:w="9720" w:type="dxa"/>
            <w:vAlign w:val="bottom"/>
            <w:gridSpan w:val="4"/>
          </w:tcPr>
          <w:p>
            <w:pPr>
              <w:spacing w:after="0"/>
              <w:rPr>
                <w:sz w:val="20"/>
                <w:szCs w:val="20"/>
                <w:color w:val="auto"/>
              </w:rPr>
            </w:pPr>
            <w:r>
              <w:rPr>
                <w:rFonts w:ascii="Arial" w:cs="Arial" w:eastAsia="Arial" w:hAnsi="Arial"/>
                <w:sz w:val="18"/>
                <w:szCs w:val="18"/>
                <w:color w:val="auto"/>
              </w:rPr>
              <w:t>TripAdvisor UK Holdco,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TripAdvisor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Holiday Lettings (Holdings)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640"/>
              <w:spacing w:after="0"/>
              <w:rPr>
                <w:sz w:val="20"/>
                <w:szCs w:val="20"/>
                <w:color w:val="auto"/>
              </w:rPr>
            </w:pPr>
            <w:r>
              <w:rPr>
                <w:rFonts w:ascii="Arial" w:cs="Arial" w:eastAsia="Arial" w:hAnsi="Arial"/>
                <w:sz w:val="18"/>
                <w:szCs w:val="18"/>
                <w:color w:val="auto"/>
              </w:rPr>
              <w:t>Holiday Lettings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780"/>
              <w:spacing w:after="0"/>
              <w:rPr>
                <w:sz w:val="20"/>
                <w:szCs w:val="20"/>
                <w:color w:val="auto"/>
              </w:rPr>
            </w:pPr>
            <w:r>
              <w:rPr>
                <w:rFonts w:ascii="Arial" w:cs="Arial" w:eastAsia="Arial" w:hAnsi="Arial"/>
                <w:sz w:val="18"/>
                <w:szCs w:val="18"/>
                <w:color w:val="auto"/>
              </w:rPr>
              <w:t>HouseTrip SA</w:t>
            </w:r>
          </w:p>
        </w:tc>
        <w:tc>
          <w:tcPr>
            <w:tcW w:w="172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780"/>
              <w:spacing w:after="0"/>
              <w:rPr>
                <w:sz w:val="20"/>
                <w:szCs w:val="20"/>
                <w:color w:val="auto"/>
              </w:rPr>
            </w:pPr>
            <w:r>
              <w:rPr>
                <w:rFonts w:ascii="Arial" w:cs="Arial" w:eastAsia="Arial" w:hAnsi="Arial"/>
                <w:sz w:val="18"/>
                <w:szCs w:val="18"/>
                <w:color w:val="auto"/>
              </w:rPr>
              <w:t>HouseTrip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780"/>
              <w:spacing w:after="0"/>
              <w:rPr>
                <w:sz w:val="20"/>
                <w:szCs w:val="20"/>
                <w:color w:val="auto"/>
              </w:rPr>
            </w:pPr>
            <w:r>
              <w:rPr>
                <w:rFonts w:ascii="Arial" w:cs="Arial" w:eastAsia="Arial" w:hAnsi="Arial"/>
                <w:sz w:val="18"/>
                <w:szCs w:val="18"/>
                <w:color w:val="auto"/>
              </w:rPr>
              <w:t>Tortoise Software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Australia Pty.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GmbH</w:t>
            </w:r>
          </w:p>
        </w:tc>
        <w:tc>
          <w:tcPr>
            <w:tcW w:w="172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France SAS</w:t>
            </w:r>
          </w:p>
        </w:tc>
        <w:tc>
          <w:tcPr>
            <w:tcW w:w="172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Italy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TripAdvisor Spain S.L.</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Guia de Apartamentos Niumba, S.L.</w:t>
            </w:r>
          </w:p>
        </w:tc>
        <w:tc>
          <w:tcPr>
            <w:tcW w:w="172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TripAdvisor Cayman Holdings II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Cayman</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TripAdvisor Argentina SRL</w:t>
            </w:r>
          </w:p>
        </w:tc>
        <w:tc>
          <w:tcPr>
            <w:tcW w:w="1720" w:type="dxa"/>
            <w:vAlign w:val="bottom"/>
            <w:gridSpan w:val="2"/>
          </w:tcPr>
          <w:p>
            <w:pPr>
              <w:spacing w:after="0"/>
              <w:rPr>
                <w:sz w:val="20"/>
                <w:szCs w:val="20"/>
                <w:color w:val="auto"/>
              </w:rPr>
            </w:pPr>
            <w:r>
              <w:rPr>
                <w:rFonts w:ascii="Arial" w:cs="Arial" w:eastAsia="Arial" w:hAnsi="Arial"/>
                <w:sz w:val="18"/>
                <w:szCs w:val="18"/>
                <w:color w:val="auto"/>
              </w:rPr>
              <w:t>Argentina</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TripAdvisor Consultoria En Publicidade de Viagens e Turismo Ltda.</w:t>
            </w:r>
          </w:p>
        </w:tc>
        <w:tc>
          <w:tcPr>
            <w:tcW w:w="172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TripAdvisor Ireland Ltd</w:t>
            </w:r>
          </w:p>
        </w:tc>
        <w:tc>
          <w:tcPr>
            <w:tcW w:w="172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Jetsetter UK Holdings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20" w:type="dxa"/>
            <w:vAlign w:val="bottom"/>
          </w:tcPr>
          <w:p>
            <w:pPr>
              <w:spacing w:after="0"/>
              <w:rPr>
                <w:sz w:val="18"/>
                <w:szCs w:val="18"/>
                <w:color w:val="auto"/>
              </w:rPr>
            </w:pPr>
          </w:p>
        </w:tc>
        <w:tc>
          <w:tcPr>
            <w:tcW w:w="9700" w:type="dxa"/>
            <w:vAlign w:val="bottom"/>
            <w:gridSpan w:val="3"/>
          </w:tcPr>
          <w:p>
            <w:pPr>
              <w:ind w:left="420"/>
              <w:spacing w:after="0"/>
              <w:rPr>
                <w:sz w:val="20"/>
                <w:szCs w:val="20"/>
                <w:color w:val="auto"/>
              </w:rPr>
            </w:pPr>
            <w:r>
              <w:rPr>
                <w:rFonts w:ascii="Arial" w:cs="Arial" w:eastAsia="Arial" w:hAnsi="Arial"/>
                <w:sz w:val="18"/>
                <w:szCs w:val="18"/>
                <w:color w:val="auto"/>
              </w:rPr>
              <w:t>Jetsetter UK Limited</w:t>
            </w:r>
          </w:p>
        </w:tc>
        <w:tc>
          <w:tcPr>
            <w:tcW w:w="172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27"/>
        </w:trPr>
        <w:tc>
          <w:tcPr>
            <w:tcW w:w="20" w:type="dxa"/>
            <w:vAlign w:val="bottom"/>
          </w:tcPr>
          <w:p>
            <w:pPr>
              <w:spacing w:after="0"/>
              <w:rPr>
                <w:sz w:val="19"/>
                <w:szCs w:val="19"/>
                <w:color w:val="auto"/>
              </w:rPr>
            </w:pPr>
          </w:p>
        </w:tc>
        <w:tc>
          <w:tcPr>
            <w:tcW w:w="9700" w:type="dxa"/>
            <w:vAlign w:val="bottom"/>
            <w:gridSpan w:val="3"/>
          </w:tcPr>
          <w:p>
            <w:pPr>
              <w:ind w:left="200"/>
              <w:spacing w:after="0"/>
              <w:rPr>
                <w:sz w:val="20"/>
                <w:szCs w:val="20"/>
                <w:color w:val="auto"/>
              </w:rPr>
            </w:pPr>
            <w:r>
              <w:rPr>
                <w:rFonts w:ascii="Arial" w:cs="Arial" w:eastAsia="Arial" w:hAnsi="Arial"/>
                <w:sz w:val="18"/>
                <w:szCs w:val="18"/>
                <w:color w:val="auto"/>
              </w:rPr>
              <w:t>TripAdvisor FZ-LLC</w:t>
            </w:r>
          </w:p>
        </w:tc>
        <w:tc>
          <w:tcPr>
            <w:tcW w:w="1720" w:type="dxa"/>
            <w:vAlign w:val="bottom"/>
            <w:gridSpan w:val="2"/>
          </w:tcPr>
          <w:p>
            <w:pPr>
              <w:spacing w:after="0"/>
              <w:rPr>
                <w:sz w:val="20"/>
                <w:szCs w:val="20"/>
                <w:color w:val="auto"/>
              </w:rPr>
            </w:pPr>
            <w:r>
              <w:rPr>
                <w:rFonts w:ascii="Arial" w:cs="Arial" w:eastAsia="Arial" w:hAnsi="Arial"/>
                <w:sz w:val="18"/>
                <w:szCs w:val="18"/>
                <w:color w:val="auto"/>
              </w:rPr>
              <w:t>Dubai</w:t>
            </w:r>
          </w:p>
        </w:tc>
      </w:tr>
      <w:tr>
        <w:trPr>
          <w:trHeight w:val="115"/>
        </w:trPr>
        <w:tc>
          <w:tcPr>
            <w:tcW w:w="20" w:type="dxa"/>
            <w:vAlign w:val="bottom"/>
          </w:tcPr>
          <w:p>
            <w:pPr>
              <w:spacing w:after="0"/>
              <w:rPr>
                <w:sz w:val="9"/>
                <w:szCs w:val="9"/>
                <w:color w:val="auto"/>
              </w:rPr>
            </w:pPr>
          </w:p>
        </w:tc>
        <w:tc>
          <w:tcPr>
            <w:tcW w:w="9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ind w:left="300"/>
              <w:spacing w:after="0"/>
              <w:rPr>
                <w:sz w:val="20"/>
                <w:szCs w:val="20"/>
                <w:color w:val="auto"/>
              </w:rPr>
            </w:pPr>
            <w:r>
              <w:rPr>
                <w:rFonts w:ascii="Arial" w:cs="Arial" w:eastAsia="Arial" w:hAnsi="Arial"/>
                <w:sz w:val="18"/>
                <w:szCs w:val="18"/>
                <w:b w:val="1"/>
                <w:bCs w:val="1"/>
                <w:color w:val="auto"/>
              </w:rPr>
              <w:t>Jurisdiction of</w:t>
            </w:r>
          </w:p>
        </w:tc>
      </w:tr>
      <w:tr>
        <w:trPr>
          <w:trHeight w:val="231"/>
        </w:trPr>
        <w:tc>
          <w:tcPr>
            <w:tcW w:w="972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1700" w:type="dxa"/>
            <w:vAlign w:val="bottom"/>
          </w:tcPr>
          <w:p>
            <w:pPr>
              <w:ind w:left="440"/>
              <w:spacing w:after="0"/>
              <w:rPr>
                <w:sz w:val="20"/>
                <w:szCs w:val="20"/>
                <w:color w:val="auto"/>
              </w:rPr>
            </w:pPr>
            <w:r>
              <w:rPr>
                <w:rFonts w:ascii="Arial" w:cs="Arial" w:eastAsia="Arial" w:hAnsi="Arial"/>
                <w:sz w:val="18"/>
                <w:szCs w:val="18"/>
                <w:b w:val="1"/>
                <w:bCs w:val="1"/>
                <w:color w:val="auto"/>
              </w:rPr>
              <w:t>Formation</w:t>
            </w:r>
          </w:p>
        </w:tc>
      </w:tr>
      <w:tr>
        <w:trPr>
          <w:trHeight w:val="194"/>
        </w:trPr>
        <w:tc>
          <w:tcPr>
            <w:tcW w:w="20" w:type="dxa"/>
            <w:vAlign w:val="bottom"/>
          </w:tcPr>
          <w:p>
            <w:pPr>
              <w:spacing w:after="0"/>
              <w:rPr>
                <w:sz w:val="16"/>
                <w:szCs w:val="16"/>
                <w:color w:val="auto"/>
              </w:rPr>
            </w:pPr>
          </w:p>
        </w:tc>
        <w:tc>
          <w:tcPr>
            <w:tcW w:w="9460" w:type="dxa"/>
            <w:vAlign w:val="bottom"/>
            <w:tcBorders>
              <w:top w:val="single" w:sz="8" w:color="auto"/>
            </w:tcBorders>
          </w:tcPr>
          <w:p>
            <w:pPr>
              <w:ind w:left="200"/>
              <w:spacing w:after="0" w:line="194" w:lineRule="exact"/>
              <w:rPr>
                <w:sz w:val="20"/>
                <w:szCs w:val="20"/>
                <w:color w:val="auto"/>
              </w:rPr>
            </w:pPr>
            <w:r>
              <w:rPr>
                <w:rFonts w:ascii="Arial" w:cs="Arial" w:eastAsia="Arial" w:hAnsi="Arial"/>
                <w:sz w:val="18"/>
                <w:szCs w:val="18"/>
                <w:color w:val="auto"/>
              </w:rPr>
              <w:t>TripAdvisor LF Holdings (France) SAS</w:t>
            </w:r>
          </w:p>
        </w:tc>
        <w:tc>
          <w:tcPr>
            <w:tcW w:w="240" w:type="dxa"/>
            <w:vAlign w:val="bottom"/>
          </w:tcPr>
          <w:p>
            <w:pPr>
              <w:spacing w:after="0"/>
              <w:rPr>
                <w:sz w:val="16"/>
                <w:szCs w:val="16"/>
                <w:color w:val="auto"/>
              </w:rPr>
            </w:pPr>
          </w:p>
        </w:tc>
        <w:tc>
          <w:tcPr>
            <w:tcW w:w="17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France</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TripAdvisor (Barbados) Srl</w:t>
            </w:r>
          </w:p>
        </w:tc>
        <w:tc>
          <w:tcPr>
            <w:tcW w:w="1700" w:type="dxa"/>
            <w:vAlign w:val="bottom"/>
          </w:tcPr>
          <w:p>
            <w:pPr>
              <w:spacing w:after="0"/>
              <w:rPr>
                <w:sz w:val="20"/>
                <w:szCs w:val="20"/>
                <w:color w:val="auto"/>
              </w:rPr>
            </w:pPr>
            <w:r>
              <w:rPr>
                <w:rFonts w:ascii="Arial" w:cs="Arial" w:eastAsia="Arial" w:hAnsi="Arial"/>
                <w:sz w:val="18"/>
                <w:szCs w:val="18"/>
                <w:color w:val="auto"/>
              </w:rPr>
              <w:t>Barbados</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TA LF Australia Pty Limited</w:t>
            </w:r>
          </w:p>
        </w:tc>
        <w:tc>
          <w:tcPr>
            <w:tcW w:w="1700" w:type="dxa"/>
            <w:vAlign w:val="bottom"/>
          </w:tcPr>
          <w:p>
            <w:pPr>
              <w:spacing w:after="0"/>
              <w:rPr>
                <w:sz w:val="20"/>
                <w:szCs w:val="20"/>
                <w:color w:val="auto"/>
              </w:rPr>
            </w:pPr>
            <w:r>
              <w:rPr>
                <w:rFonts w:ascii="Arial" w:cs="Arial" w:eastAsia="Arial" w:hAnsi="Arial"/>
                <w:sz w:val="18"/>
                <w:szCs w:val="18"/>
                <w:color w:val="auto"/>
              </w:rPr>
              <w:t>Australia</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420"/>
              <w:spacing w:after="0"/>
              <w:rPr>
                <w:sz w:val="20"/>
                <w:szCs w:val="20"/>
                <w:color w:val="auto"/>
              </w:rPr>
            </w:pPr>
            <w:r>
              <w:rPr>
                <w:rFonts w:ascii="Arial" w:cs="Arial" w:eastAsia="Arial" w:hAnsi="Arial"/>
                <w:sz w:val="18"/>
                <w:szCs w:val="18"/>
                <w:color w:val="auto"/>
              </w:rPr>
              <w:t>Dimmi Pty Ltd</w:t>
            </w:r>
          </w:p>
        </w:tc>
        <w:tc>
          <w:tcPr>
            <w:tcW w:w="1700" w:type="dxa"/>
            <w:vAlign w:val="bottom"/>
          </w:tcPr>
          <w:p>
            <w:pPr>
              <w:spacing w:after="0"/>
              <w:rPr>
                <w:sz w:val="20"/>
                <w:szCs w:val="20"/>
                <w:color w:val="auto"/>
              </w:rPr>
            </w:pPr>
            <w:r>
              <w:rPr>
                <w:rFonts w:ascii="Arial" w:cs="Arial" w:eastAsia="Arial" w:hAnsi="Arial"/>
                <w:sz w:val="18"/>
                <w:szCs w:val="18"/>
                <w:color w:val="auto"/>
              </w:rPr>
              <w:t>Australia</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BestTables Marketing e Servicos de Restauracao S.A.</w:t>
            </w:r>
          </w:p>
        </w:tc>
        <w:tc>
          <w:tcPr>
            <w:tcW w:w="1700" w:type="dxa"/>
            <w:vAlign w:val="bottom"/>
          </w:tcPr>
          <w:p>
            <w:pPr>
              <w:spacing w:after="0"/>
              <w:rPr>
                <w:sz w:val="20"/>
                <w:szCs w:val="20"/>
                <w:color w:val="auto"/>
              </w:rPr>
            </w:pPr>
            <w:r>
              <w:rPr>
                <w:rFonts w:ascii="Arial" w:cs="Arial" w:eastAsia="Arial" w:hAnsi="Arial"/>
                <w:sz w:val="18"/>
                <w:szCs w:val="18"/>
                <w:color w:val="auto"/>
              </w:rPr>
              <w:t>Portugal</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420"/>
              <w:spacing w:after="0"/>
              <w:rPr>
                <w:sz w:val="20"/>
                <w:szCs w:val="20"/>
                <w:color w:val="auto"/>
              </w:rPr>
            </w:pPr>
            <w:r>
              <w:rPr>
                <w:rFonts w:ascii="Arial" w:cs="Arial" w:eastAsia="Arial" w:hAnsi="Arial"/>
                <w:sz w:val="18"/>
                <w:szCs w:val="18"/>
                <w:color w:val="auto"/>
              </w:rPr>
              <w:t>Best Tables Brazil Internet Servicos de Informacao e Technologia Ltda.</w:t>
            </w:r>
          </w:p>
        </w:tc>
        <w:tc>
          <w:tcPr>
            <w:tcW w:w="1700" w:type="dxa"/>
            <w:vAlign w:val="bottom"/>
          </w:tcPr>
          <w:p>
            <w:pPr>
              <w:spacing w:after="0"/>
              <w:rPr>
                <w:sz w:val="20"/>
                <w:szCs w:val="20"/>
                <w:color w:val="auto"/>
              </w:rPr>
            </w:pPr>
            <w:r>
              <w:rPr>
                <w:rFonts w:ascii="Arial" w:cs="Arial" w:eastAsia="Arial" w:hAnsi="Arial"/>
                <w:sz w:val="18"/>
                <w:szCs w:val="18"/>
                <w:color w:val="auto"/>
              </w:rPr>
              <w:t>Brazil</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420"/>
              <w:spacing w:after="0"/>
              <w:rPr>
                <w:sz w:val="20"/>
                <w:szCs w:val="20"/>
                <w:color w:val="auto"/>
              </w:rPr>
            </w:pPr>
            <w:r>
              <w:rPr>
                <w:rFonts w:ascii="Arial" w:cs="Arial" w:eastAsia="Arial" w:hAnsi="Arial"/>
                <w:sz w:val="18"/>
                <w:szCs w:val="18"/>
                <w:color w:val="auto"/>
              </w:rPr>
              <w:t>Best Tables II Portugal, Unipessoal Lda.</w:t>
            </w:r>
          </w:p>
        </w:tc>
        <w:tc>
          <w:tcPr>
            <w:tcW w:w="1700" w:type="dxa"/>
            <w:vAlign w:val="bottom"/>
          </w:tcPr>
          <w:p>
            <w:pPr>
              <w:spacing w:after="0"/>
              <w:rPr>
                <w:sz w:val="20"/>
                <w:szCs w:val="20"/>
                <w:color w:val="auto"/>
              </w:rPr>
            </w:pPr>
            <w:r>
              <w:rPr>
                <w:rFonts w:ascii="Arial" w:cs="Arial" w:eastAsia="Arial" w:hAnsi="Arial"/>
                <w:sz w:val="18"/>
                <w:szCs w:val="18"/>
                <w:color w:val="auto"/>
              </w:rPr>
              <w:t>Portugal</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La Fourchette SAS</w:t>
            </w:r>
          </w:p>
        </w:tc>
        <w:tc>
          <w:tcPr>
            <w:tcW w:w="1700" w:type="dxa"/>
            <w:vAlign w:val="bottom"/>
          </w:tcPr>
          <w:p>
            <w:pPr>
              <w:spacing w:after="0"/>
              <w:rPr>
                <w:sz w:val="20"/>
                <w:szCs w:val="20"/>
                <w:color w:val="auto"/>
              </w:rPr>
            </w:pPr>
            <w:r>
              <w:rPr>
                <w:rFonts w:ascii="Arial" w:cs="Arial" w:eastAsia="Arial" w:hAnsi="Arial"/>
                <w:sz w:val="18"/>
                <w:szCs w:val="18"/>
                <w:color w:val="auto"/>
              </w:rPr>
              <w:t>France</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700"/>
              <w:spacing w:after="0"/>
              <w:rPr>
                <w:sz w:val="20"/>
                <w:szCs w:val="20"/>
                <w:color w:val="auto"/>
              </w:rPr>
            </w:pPr>
            <w:r>
              <w:rPr>
                <w:rFonts w:ascii="Arial" w:cs="Arial" w:eastAsia="Arial" w:hAnsi="Arial"/>
                <w:sz w:val="18"/>
                <w:szCs w:val="18"/>
                <w:color w:val="auto"/>
              </w:rPr>
              <w:t>La Fourchette Espana S.L.</w:t>
            </w:r>
          </w:p>
        </w:tc>
        <w:tc>
          <w:tcPr>
            <w:tcW w:w="1700" w:type="dxa"/>
            <w:vAlign w:val="bottom"/>
          </w:tcPr>
          <w:p>
            <w:pPr>
              <w:spacing w:after="0"/>
              <w:rPr>
                <w:sz w:val="20"/>
                <w:szCs w:val="20"/>
                <w:color w:val="auto"/>
              </w:rPr>
            </w:pPr>
            <w:r>
              <w:rPr>
                <w:rFonts w:ascii="Arial" w:cs="Arial" w:eastAsia="Arial" w:hAnsi="Arial"/>
                <w:sz w:val="18"/>
                <w:szCs w:val="18"/>
                <w:color w:val="auto"/>
              </w:rPr>
              <w:t>Spain</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700"/>
              <w:spacing w:after="0"/>
              <w:rPr>
                <w:sz w:val="20"/>
                <w:szCs w:val="20"/>
                <w:color w:val="auto"/>
              </w:rPr>
            </w:pPr>
            <w:r>
              <w:rPr>
                <w:rFonts w:ascii="Arial" w:cs="Arial" w:eastAsia="Arial" w:hAnsi="Arial"/>
                <w:sz w:val="18"/>
                <w:szCs w:val="18"/>
                <w:color w:val="auto"/>
              </w:rPr>
              <w:t>LaFourchette Swiss SA</w:t>
            </w:r>
          </w:p>
        </w:tc>
        <w:tc>
          <w:tcPr>
            <w:tcW w:w="1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700"/>
              <w:spacing w:after="0"/>
              <w:rPr>
                <w:sz w:val="20"/>
                <w:szCs w:val="20"/>
                <w:color w:val="auto"/>
              </w:rPr>
            </w:pPr>
            <w:r>
              <w:rPr>
                <w:rFonts w:ascii="Arial" w:cs="Arial" w:eastAsia="Arial" w:hAnsi="Arial"/>
                <w:sz w:val="18"/>
                <w:szCs w:val="18"/>
                <w:color w:val="auto"/>
              </w:rPr>
              <w:t>Sneat SAS</w:t>
            </w:r>
          </w:p>
        </w:tc>
        <w:tc>
          <w:tcPr>
            <w:tcW w:w="1700" w:type="dxa"/>
            <w:vAlign w:val="bottom"/>
          </w:tcPr>
          <w:p>
            <w:pPr>
              <w:spacing w:after="0"/>
              <w:rPr>
                <w:sz w:val="20"/>
                <w:szCs w:val="20"/>
                <w:color w:val="auto"/>
              </w:rPr>
            </w:pPr>
            <w:r>
              <w:rPr>
                <w:rFonts w:ascii="Arial" w:cs="Arial" w:eastAsia="Arial" w:hAnsi="Arial"/>
                <w:sz w:val="18"/>
                <w:szCs w:val="18"/>
                <w:color w:val="auto"/>
              </w:rPr>
              <w:t>France</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La Fourchette (Belgium) SA</w:t>
            </w:r>
          </w:p>
        </w:tc>
        <w:tc>
          <w:tcPr>
            <w:tcW w:w="1700" w:type="dxa"/>
            <w:vAlign w:val="bottom"/>
          </w:tcPr>
          <w:p>
            <w:pPr>
              <w:spacing w:after="0"/>
              <w:rPr>
                <w:sz w:val="20"/>
                <w:szCs w:val="20"/>
                <w:color w:val="auto"/>
              </w:rPr>
            </w:pPr>
            <w:r>
              <w:rPr>
                <w:rFonts w:ascii="Arial" w:cs="Arial" w:eastAsia="Arial" w:hAnsi="Arial"/>
                <w:sz w:val="18"/>
                <w:szCs w:val="18"/>
                <w:color w:val="auto"/>
              </w:rPr>
              <w:t>Belgium</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La Fourchette Elektronik Iletisim Tanitim Pazarlama Sanayi Ve Ticaret Anonim Sirketi</w:t>
            </w:r>
          </w:p>
        </w:tc>
        <w:tc>
          <w:tcPr>
            <w:tcW w:w="1700" w:type="dxa"/>
            <w:vAlign w:val="bottom"/>
          </w:tcPr>
          <w:p>
            <w:pPr>
              <w:spacing w:after="0"/>
              <w:rPr>
                <w:sz w:val="20"/>
                <w:szCs w:val="20"/>
                <w:color w:val="auto"/>
              </w:rPr>
            </w:pPr>
            <w:r>
              <w:rPr>
                <w:rFonts w:ascii="Arial" w:cs="Arial" w:eastAsia="Arial" w:hAnsi="Arial"/>
                <w:sz w:val="18"/>
                <w:szCs w:val="18"/>
                <w:color w:val="auto"/>
              </w:rPr>
              <w:t>Turkey</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La Fourchette Netherlands B.V.</w:t>
            </w:r>
          </w:p>
        </w:tc>
        <w:tc>
          <w:tcPr>
            <w:tcW w:w="17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660"/>
              <w:spacing w:after="0"/>
              <w:rPr>
                <w:sz w:val="20"/>
                <w:szCs w:val="20"/>
                <w:color w:val="auto"/>
              </w:rPr>
            </w:pPr>
            <w:r>
              <w:rPr>
                <w:rFonts w:ascii="Arial" w:cs="Arial" w:eastAsia="Arial" w:hAnsi="Arial"/>
                <w:sz w:val="18"/>
                <w:szCs w:val="18"/>
                <w:color w:val="auto"/>
              </w:rPr>
              <w:t>IENS Independent Index B.V.</w:t>
            </w:r>
          </w:p>
        </w:tc>
        <w:tc>
          <w:tcPr>
            <w:tcW w:w="17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640"/>
              <w:spacing w:after="0"/>
              <w:rPr>
                <w:sz w:val="20"/>
                <w:szCs w:val="20"/>
                <w:color w:val="auto"/>
              </w:rPr>
            </w:pPr>
            <w:r>
              <w:rPr>
                <w:rFonts w:ascii="Arial" w:cs="Arial" w:eastAsia="Arial" w:hAnsi="Arial"/>
                <w:sz w:val="18"/>
                <w:szCs w:val="18"/>
                <w:color w:val="auto"/>
              </w:rPr>
              <w:t>Couverts Reserveren B.V.</w:t>
            </w:r>
          </w:p>
        </w:tc>
        <w:tc>
          <w:tcPr>
            <w:tcW w:w="170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640"/>
              <w:spacing w:after="0"/>
              <w:rPr>
                <w:sz w:val="20"/>
                <w:szCs w:val="20"/>
                <w:color w:val="auto"/>
              </w:rPr>
            </w:pPr>
            <w:r>
              <w:rPr>
                <w:rFonts w:ascii="Arial" w:cs="Arial" w:eastAsia="Arial" w:hAnsi="Arial"/>
                <w:sz w:val="18"/>
                <w:szCs w:val="18"/>
                <w:color w:val="auto"/>
              </w:rPr>
              <w:t>LaFourchette Italy SRL</w:t>
            </w:r>
          </w:p>
        </w:tc>
        <w:tc>
          <w:tcPr>
            <w:tcW w:w="1700" w:type="dxa"/>
            <w:vAlign w:val="bottom"/>
          </w:tcPr>
          <w:p>
            <w:pPr>
              <w:spacing w:after="0"/>
              <w:rPr>
                <w:sz w:val="20"/>
                <w:szCs w:val="20"/>
                <w:color w:val="auto"/>
              </w:rPr>
            </w:pPr>
            <w:r>
              <w:rPr>
                <w:rFonts w:ascii="Arial" w:cs="Arial" w:eastAsia="Arial" w:hAnsi="Arial"/>
                <w:sz w:val="18"/>
                <w:szCs w:val="18"/>
                <w:color w:val="auto"/>
              </w:rPr>
              <w:t>Italy</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LaFourchette Sweden AB</w:t>
            </w:r>
          </w:p>
        </w:tc>
        <w:tc>
          <w:tcPr>
            <w:tcW w:w="1700" w:type="dxa"/>
            <w:vAlign w:val="bottom"/>
          </w:tcPr>
          <w:p>
            <w:pPr>
              <w:spacing w:after="0"/>
              <w:rPr>
                <w:sz w:val="20"/>
                <w:szCs w:val="20"/>
                <w:color w:val="auto"/>
              </w:rPr>
            </w:pPr>
            <w:r>
              <w:rPr>
                <w:rFonts w:ascii="Arial" w:cs="Arial" w:eastAsia="Arial" w:hAnsi="Arial"/>
                <w:sz w:val="18"/>
                <w:szCs w:val="18"/>
                <w:color w:val="auto"/>
              </w:rPr>
              <w:t>Sweden</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La Fourchette (UK) Ltd.</w:t>
            </w:r>
          </w:p>
        </w:tc>
        <w:tc>
          <w:tcPr>
            <w:tcW w:w="170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TripAdvisor K.K.</w:t>
            </w:r>
          </w:p>
        </w:tc>
        <w:tc>
          <w:tcPr>
            <w:tcW w:w="1700" w:type="dxa"/>
            <w:vAlign w:val="bottom"/>
          </w:tcPr>
          <w:p>
            <w:pPr>
              <w:spacing w:after="0"/>
              <w:rPr>
                <w:sz w:val="20"/>
                <w:szCs w:val="20"/>
                <w:color w:val="auto"/>
              </w:rPr>
            </w:pPr>
            <w:r>
              <w:rPr>
                <w:rFonts w:ascii="Arial" w:cs="Arial" w:eastAsia="Arial" w:hAnsi="Arial"/>
                <w:sz w:val="18"/>
                <w:szCs w:val="18"/>
                <w:color w:val="auto"/>
              </w:rPr>
              <w:t>Japan</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TripAdvisor Singapore Private Limited</w:t>
            </w:r>
          </w:p>
        </w:tc>
        <w:tc>
          <w:tcPr>
            <w:tcW w:w="1700" w:type="dxa"/>
            <w:vAlign w:val="bottom"/>
          </w:tcPr>
          <w:p>
            <w:pPr>
              <w:spacing w:after="0"/>
              <w:rPr>
                <w:sz w:val="20"/>
                <w:szCs w:val="20"/>
                <w:color w:val="auto"/>
              </w:rPr>
            </w:pPr>
            <w:r>
              <w:rPr>
                <w:rFonts w:ascii="Arial" w:cs="Arial" w:eastAsia="Arial" w:hAnsi="Arial"/>
                <w:sz w:val="18"/>
                <w:szCs w:val="18"/>
                <w:color w:val="auto"/>
              </w:rPr>
              <w:t>Singapore</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420"/>
              <w:spacing w:after="0"/>
              <w:rPr>
                <w:sz w:val="20"/>
                <w:szCs w:val="20"/>
                <w:color w:val="auto"/>
              </w:rPr>
            </w:pPr>
            <w:r>
              <w:rPr>
                <w:rFonts w:ascii="Arial" w:cs="Arial" w:eastAsia="Arial" w:hAnsi="Arial"/>
                <w:sz w:val="18"/>
                <w:szCs w:val="18"/>
                <w:color w:val="auto"/>
              </w:rPr>
              <w:t>TripAdvisor Korea Co., Ltd.</w:t>
            </w:r>
          </w:p>
        </w:tc>
        <w:tc>
          <w:tcPr>
            <w:tcW w:w="1700" w:type="dxa"/>
            <w:vAlign w:val="bottom"/>
          </w:tcPr>
          <w:p>
            <w:pPr>
              <w:spacing w:after="0"/>
              <w:rPr>
                <w:sz w:val="20"/>
                <w:szCs w:val="20"/>
                <w:color w:val="auto"/>
              </w:rPr>
            </w:pPr>
            <w:r>
              <w:rPr>
                <w:rFonts w:ascii="Arial" w:cs="Arial" w:eastAsia="Arial" w:hAnsi="Arial"/>
                <w:sz w:val="18"/>
                <w:szCs w:val="18"/>
                <w:color w:val="auto"/>
              </w:rPr>
              <w:t>Korea</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420"/>
              <w:spacing w:after="0"/>
              <w:rPr>
                <w:sz w:val="20"/>
                <w:szCs w:val="20"/>
                <w:color w:val="auto"/>
              </w:rPr>
            </w:pPr>
            <w:r>
              <w:rPr>
                <w:rFonts w:ascii="Arial" w:cs="Arial" w:eastAsia="Arial" w:hAnsi="Arial"/>
                <w:sz w:val="18"/>
                <w:szCs w:val="18"/>
                <w:color w:val="auto"/>
              </w:rPr>
              <w:t>TripAdvisor Hong Kong Limited</w:t>
            </w:r>
          </w:p>
        </w:tc>
        <w:tc>
          <w:tcPr>
            <w:tcW w:w="1700" w:type="dxa"/>
            <w:vAlign w:val="bottom"/>
          </w:tcPr>
          <w:p>
            <w:pPr>
              <w:spacing w:after="0"/>
              <w:rPr>
                <w:sz w:val="20"/>
                <w:szCs w:val="20"/>
                <w:color w:val="auto"/>
              </w:rPr>
            </w:pPr>
            <w:r>
              <w:rPr>
                <w:rFonts w:ascii="Arial" w:cs="Arial" w:eastAsia="Arial" w:hAnsi="Arial"/>
                <w:sz w:val="18"/>
                <w:szCs w:val="18"/>
                <w:color w:val="auto"/>
              </w:rPr>
              <w:t>Hong Kong</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420"/>
              <w:spacing w:after="0"/>
              <w:rPr>
                <w:sz w:val="20"/>
                <w:szCs w:val="20"/>
                <w:color w:val="auto"/>
              </w:rPr>
            </w:pPr>
            <w:r>
              <w:rPr>
                <w:rFonts w:ascii="Arial" w:cs="Arial" w:eastAsia="Arial" w:hAnsi="Arial"/>
                <w:sz w:val="18"/>
                <w:szCs w:val="18"/>
                <w:color w:val="auto"/>
              </w:rPr>
              <w:t>TripAdvisor China Cayman Holdings Limited</w:t>
            </w:r>
          </w:p>
        </w:tc>
        <w:tc>
          <w:tcPr>
            <w:tcW w:w="1700" w:type="dxa"/>
            <w:vAlign w:val="bottom"/>
          </w:tcPr>
          <w:p>
            <w:pPr>
              <w:spacing w:after="0"/>
              <w:rPr>
                <w:sz w:val="20"/>
                <w:szCs w:val="20"/>
                <w:color w:val="auto"/>
              </w:rPr>
            </w:pPr>
            <w:r>
              <w:rPr>
                <w:rFonts w:ascii="Arial" w:cs="Arial" w:eastAsia="Arial" w:hAnsi="Arial"/>
                <w:sz w:val="18"/>
                <w:szCs w:val="18"/>
                <w:color w:val="auto"/>
              </w:rPr>
              <w:t>Cayman</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640"/>
              <w:spacing w:after="0"/>
              <w:rPr>
                <w:sz w:val="20"/>
                <w:szCs w:val="20"/>
                <w:color w:val="auto"/>
              </w:rPr>
            </w:pPr>
            <w:r>
              <w:rPr>
                <w:rFonts w:ascii="Arial" w:cs="Arial" w:eastAsia="Arial" w:hAnsi="Arial"/>
                <w:sz w:val="18"/>
                <w:szCs w:val="18"/>
                <w:color w:val="auto"/>
              </w:rPr>
              <w:t>TripAdvisor Consulting Services (Beijing) Co. Ltd</w:t>
            </w:r>
          </w:p>
        </w:tc>
        <w:tc>
          <w:tcPr>
            <w:tcW w:w="1700" w:type="dxa"/>
            <w:vAlign w:val="bottom"/>
          </w:tcPr>
          <w:p>
            <w:pPr>
              <w:spacing w:after="0"/>
              <w:rPr>
                <w:sz w:val="20"/>
                <w:szCs w:val="20"/>
                <w:color w:val="auto"/>
              </w:rPr>
            </w:pPr>
            <w:r>
              <w:rPr>
                <w:rFonts w:ascii="Arial" w:cs="Arial" w:eastAsia="Arial" w:hAnsi="Arial"/>
                <w:sz w:val="18"/>
                <w:szCs w:val="18"/>
                <w:color w:val="auto"/>
              </w:rPr>
              <w:t>China</w:t>
            </w:r>
          </w:p>
        </w:tc>
      </w:tr>
      <w:tr>
        <w:trPr>
          <w:trHeight w:val="214"/>
        </w:trPr>
        <w:tc>
          <w:tcPr>
            <w:tcW w:w="20" w:type="dxa"/>
            <w:vAlign w:val="bottom"/>
          </w:tcPr>
          <w:p>
            <w:pPr>
              <w:spacing w:after="0"/>
              <w:rPr>
                <w:sz w:val="18"/>
                <w:szCs w:val="18"/>
                <w:color w:val="auto"/>
              </w:rPr>
            </w:pPr>
          </w:p>
        </w:tc>
        <w:tc>
          <w:tcPr>
            <w:tcW w:w="9700" w:type="dxa"/>
            <w:vAlign w:val="bottom"/>
            <w:gridSpan w:val="2"/>
          </w:tcPr>
          <w:p>
            <w:pPr>
              <w:ind w:left="860"/>
              <w:spacing w:after="0"/>
              <w:rPr>
                <w:sz w:val="20"/>
                <w:szCs w:val="20"/>
                <w:color w:val="auto"/>
              </w:rPr>
            </w:pPr>
            <w:r>
              <w:rPr>
                <w:rFonts w:ascii="Arial" w:cs="Arial" w:eastAsia="Arial" w:hAnsi="Arial"/>
                <w:sz w:val="18"/>
                <w:szCs w:val="18"/>
                <w:color w:val="auto"/>
              </w:rPr>
              <w:t>Tuqu Net Information Technology (Beijing) Co., Ltd. (beneficial ownership)</w:t>
            </w:r>
          </w:p>
        </w:tc>
        <w:tc>
          <w:tcPr>
            <w:tcW w:w="1700" w:type="dxa"/>
            <w:vAlign w:val="bottom"/>
          </w:tcPr>
          <w:p>
            <w:pPr>
              <w:spacing w:after="0"/>
              <w:rPr>
                <w:sz w:val="20"/>
                <w:szCs w:val="20"/>
                <w:color w:val="auto"/>
              </w:rPr>
            </w:pPr>
            <w:r>
              <w:rPr>
                <w:rFonts w:ascii="Arial" w:cs="Arial" w:eastAsia="Arial" w:hAnsi="Arial"/>
                <w:sz w:val="18"/>
                <w:szCs w:val="18"/>
                <w:color w:val="auto"/>
              </w:rPr>
              <w:t>China</w:t>
            </w:r>
          </w:p>
        </w:tc>
      </w:tr>
      <w:tr>
        <w:trPr>
          <w:trHeight w:val="227"/>
        </w:trPr>
        <w:tc>
          <w:tcPr>
            <w:tcW w:w="20" w:type="dxa"/>
            <w:vAlign w:val="bottom"/>
          </w:tcPr>
          <w:p>
            <w:pPr>
              <w:spacing w:after="0"/>
              <w:rPr>
                <w:sz w:val="19"/>
                <w:szCs w:val="19"/>
                <w:color w:val="auto"/>
              </w:rPr>
            </w:pPr>
          </w:p>
        </w:tc>
        <w:tc>
          <w:tcPr>
            <w:tcW w:w="9700" w:type="dxa"/>
            <w:vAlign w:val="bottom"/>
            <w:gridSpan w:val="2"/>
          </w:tcPr>
          <w:p>
            <w:pPr>
              <w:ind w:left="860"/>
              <w:spacing w:after="0"/>
              <w:rPr>
                <w:sz w:val="20"/>
                <w:szCs w:val="20"/>
                <w:color w:val="auto"/>
              </w:rPr>
            </w:pPr>
            <w:r>
              <w:rPr>
                <w:rFonts w:ascii="Arial" w:cs="Arial" w:eastAsia="Arial" w:hAnsi="Arial"/>
                <w:sz w:val="18"/>
                <w:szCs w:val="18"/>
                <w:color w:val="auto"/>
              </w:rPr>
              <w:t>Beijing Tuqu International Travel Service Co., Ltd. (beneficial ownership)</w:t>
            </w:r>
          </w:p>
        </w:tc>
        <w:tc>
          <w:tcPr>
            <w:tcW w:w="1700" w:type="dxa"/>
            <w:vAlign w:val="bottom"/>
          </w:tcPr>
          <w:p>
            <w:pPr>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20"/>
          </w:cols>
          <w:pgMar w:left="240" w:top="121"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07"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consent to the incorporation by reference in the registration statement (No. 333-178637, 333-190384 and 333-198726) on Form S-8 of TripAdvisor, Inc. of our reports dated February 21, 2018, with respect to the consolidated balance sheets of TripAdvisor, Inc. and subsidiaries as of December 31, 2017 and 2016, and the related consolidated statements of operations, comprehensive income, changes in stockholders’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TripAdvisor, Inc.</w:t>
      </w:r>
    </w:p>
    <w:p>
      <w:pPr>
        <w:spacing w:after="0" w:line="201"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2018</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Stephen Kaufer, Chief Executive Officer and President of TripAdvisor, Inc., certify that:</w:t>
      </w:r>
    </w:p>
    <w:p>
      <w:pPr>
        <w:spacing w:after="0" w:line="220" w:lineRule="exact"/>
        <w:rPr>
          <w:sz w:val="20"/>
          <w:szCs w:val="20"/>
          <w:color w:val="auto"/>
        </w:rPr>
      </w:pPr>
    </w:p>
    <w:p>
      <w:pPr>
        <w:ind w:left="600" w:hanging="593"/>
        <w:spacing w:after="0"/>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20" w:lineRule="exact"/>
        <w:rPr>
          <w:rFonts w:ascii="Arial" w:cs="Arial" w:eastAsia="Arial" w:hAnsi="Arial"/>
          <w:sz w:val="18"/>
          <w:szCs w:val="18"/>
          <w:color w:val="auto"/>
        </w:rPr>
      </w:pPr>
    </w:p>
    <w:p>
      <w:pPr>
        <w:jc w:val="both"/>
        <w:ind w:left="600" w:right="480" w:hanging="593"/>
        <w:spacing w:after="0" w:line="259" w:lineRule="auto"/>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600" w:right="440" w:hanging="593"/>
        <w:spacing w:after="0" w:line="300" w:lineRule="auto"/>
        <w:tabs>
          <w:tab w:leader="none" w:pos="6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ind w:left="600" w:right="60" w:hanging="593"/>
        <w:spacing w:after="0" w:line="259" w:lineRule="auto"/>
        <w:tabs>
          <w:tab w:leader="none" w:pos="6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ind w:left="1180" w:right="140" w:hanging="586"/>
        <w:spacing w:after="0" w:line="259" w:lineRule="auto"/>
        <w:tabs>
          <w:tab w:leader="none" w:pos="11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1180" w:right="460" w:hanging="586"/>
        <w:spacing w:after="0" w:line="259" w:lineRule="auto"/>
        <w:tabs>
          <w:tab w:leader="none" w:pos="11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jc w:val="both"/>
        <w:ind w:left="1180" w:right="620" w:hanging="586"/>
        <w:spacing w:after="0" w:line="416" w:lineRule="auto"/>
        <w:tabs>
          <w:tab w:leader="none" w:pos="1180" w:val="left"/>
        </w:tabs>
        <w:numPr>
          <w:ilvl w:val="1"/>
          <w:numId w:val="1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1180" w:right="140" w:hanging="586"/>
        <w:spacing w:after="0" w:line="259" w:lineRule="auto"/>
        <w:tabs>
          <w:tab w:leader="none" w:pos="11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600" w:right="180" w:hanging="593"/>
        <w:spacing w:after="0" w:line="334" w:lineRule="auto"/>
        <w:tabs>
          <w:tab w:leader="none" w:pos="6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180" w:right="40" w:hanging="586"/>
        <w:spacing w:after="0" w:line="300" w:lineRule="auto"/>
        <w:tabs>
          <w:tab w:leader="none" w:pos="118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180" w:hanging="586"/>
        <w:spacing w:after="0" w:line="270" w:lineRule="auto"/>
        <w:tabs>
          <w:tab w:leader="none" w:pos="11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40" w:type="dxa"/>
            <w:vAlign w:val="bottom"/>
          </w:tcPr>
          <w:p>
            <w:pPr>
              <w:spacing w:after="0"/>
              <w:rPr>
                <w:sz w:val="20"/>
                <w:szCs w:val="20"/>
                <w:color w:val="auto"/>
              </w:rPr>
            </w:pPr>
            <w:r>
              <w:rPr>
                <w:rFonts w:ascii="Arial" w:cs="Arial" w:eastAsia="Arial" w:hAnsi="Arial"/>
                <w:sz w:val="18"/>
                <w:szCs w:val="18"/>
                <w:color w:val="auto"/>
              </w:rPr>
              <w:t>Date: February 21, 2018</w:t>
            </w: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3"/>
        </w:trPr>
        <w:tc>
          <w:tcPr>
            <w:tcW w:w="5640" w:type="dxa"/>
            <w:vAlign w:val="bottom"/>
          </w:tcPr>
          <w:p>
            <w:pPr>
              <w:spacing w:after="0"/>
              <w:rPr>
                <w:sz w:val="16"/>
                <w:szCs w:val="16"/>
                <w:color w:val="auto"/>
              </w:rPr>
            </w:pPr>
          </w:p>
        </w:tc>
        <w:tc>
          <w:tcPr>
            <w:tcW w:w="5780" w:type="dxa"/>
            <w:vAlign w:val="bottom"/>
          </w:tcPr>
          <w:p>
            <w:pPr>
              <w:ind w:left="220"/>
              <w:spacing w:after="0" w:line="194" w:lineRule="exact"/>
              <w:rPr>
                <w:sz w:val="20"/>
                <w:szCs w:val="20"/>
                <w:color w:val="auto"/>
              </w:rPr>
            </w:pPr>
            <w:r>
              <w:rPr>
                <w:rFonts w:ascii="Arial" w:cs="Arial" w:eastAsia="Arial" w:hAnsi="Arial"/>
                <w:sz w:val="18"/>
                <w:szCs w:val="18"/>
                <w:color w:val="auto"/>
              </w:rPr>
              <w:t>Stephen Kaufer</w:t>
            </w:r>
          </w:p>
        </w:tc>
      </w:tr>
      <w:tr>
        <w:trPr>
          <w:trHeight w:val="227"/>
        </w:trPr>
        <w:tc>
          <w:tcPr>
            <w:tcW w:w="5640" w:type="dxa"/>
            <w:vAlign w:val="bottom"/>
          </w:tcPr>
          <w:p>
            <w:pPr>
              <w:spacing w:after="0"/>
              <w:rPr>
                <w:sz w:val="19"/>
                <w:szCs w:val="19"/>
                <w:color w:val="auto"/>
              </w:rPr>
            </w:pPr>
          </w:p>
        </w:tc>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420"/>
          </w:cols>
          <w:pgMar w:left="240" w:top="12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220" w:lineRule="exact"/>
        <w:rPr>
          <w:sz w:val="20"/>
          <w:szCs w:val="20"/>
          <w:color w:val="auto"/>
        </w:rPr>
      </w:pPr>
    </w:p>
    <w:p>
      <w:pPr>
        <w:ind w:left="600" w:hanging="593"/>
        <w:spacing w:after="0"/>
        <w:tabs>
          <w:tab w:leader="none" w:pos="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20" w:lineRule="exact"/>
        <w:rPr>
          <w:rFonts w:ascii="Arial" w:cs="Arial" w:eastAsia="Arial" w:hAnsi="Arial"/>
          <w:sz w:val="18"/>
          <w:szCs w:val="18"/>
          <w:color w:val="auto"/>
        </w:rPr>
      </w:pPr>
    </w:p>
    <w:p>
      <w:pPr>
        <w:jc w:val="both"/>
        <w:ind w:left="600" w:right="480" w:hanging="593"/>
        <w:spacing w:after="0" w:line="259" w:lineRule="auto"/>
        <w:tabs>
          <w:tab w:leader="none" w:pos="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600" w:right="440" w:hanging="593"/>
        <w:spacing w:after="0" w:line="300" w:lineRule="auto"/>
        <w:tabs>
          <w:tab w:leader="none" w:pos="6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ind w:left="600" w:right="60" w:hanging="593"/>
        <w:spacing w:after="0" w:line="259" w:lineRule="auto"/>
        <w:tabs>
          <w:tab w:leader="none" w:pos="6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ind w:left="1180" w:right="140" w:hanging="586"/>
        <w:spacing w:after="0" w:line="259" w:lineRule="auto"/>
        <w:tabs>
          <w:tab w:leader="none" w:pos="11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ind w:left="1180" w:right="460" w:hanging="586"/>
        <w:spacing w:after="0" w:line="259" w:lineRule="auto"/>
        <w:tabs>
          <w:tab w:leader="none" w:pos="11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jc w:val="both"/>
        <w:ind w:left="1180" w:right="620" w:hanging="586"/>
        <w:spacing w:after="0" w:line="416" w:lineRule="auto"/>
        <w:tabs>
          <w:tab w:leader="none" w:pos="1180" w:val="left"/>
        </w:tabs>
        <w:numPr>
          <w:ilvl w:val="1"/>
          <w:numId w:val="15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1180" w:right="140" w:hanging="586"/>
        <w:spacing w:after="0" w:line="259" w:lineRule="auto"/>
        <w:tabs>
          <w:tab w:leader="none" w:pos="11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600" w:right="180" w:hanging="593"/>
        <w:spacing w:after="0" w:line="334" w:lineRule="auto"/>
        <w:tabs>
          <w:tab w:leader="none" w:pos="6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180" w:right="40" w:hanging="586"/>
        <w:spacing w:after="0" w:line="300" w:lineRule="auto"/>
        <w:tabs>
          <w:tab w:leader="none" w:pos="118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180" w:hanging="586"/>
        <w:spacing w:after="0" w:line="270" w:lineRule="auto"/>
        <w:tabs>
          <w:tab w:leader="none" w:pos="11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40" w:type="dxa"/>
            <w:vAlign w:val="bottom"/>
          </w:tcPr>
          <w:p>
            <w:pPr>
              <w:spacing w:after="0"/>
              <w:rPr>
                <w:sz w:val="20"/>
                <w:szCs w:val="20"/>
                <w:color w:val="auto"/>
              </w:rPr>
            </w:pPr>
            <w:r>
              <w:rPr>
                <w:rFonts w:ascii="Arial" w:cs="Arial" w:eastAsia="Arial" w:hAnsi="Arial"/>
                <w:sz w:val="18"/>
                <w:szCs w:val="18"/>
                <w:color w:val="auto"/>
              </w:rPr>
              <w:t>Date: February 21, 2018</w:t>
            </w: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3"/>
        </w:trPr>
        <w:tc>
          <w:tcPr>
            <w:tcW w:w="5640" w:type="dxa"/>
            <w:vAlign w:val="bottom"/>
          </w:tcPr>
          <w:p>
            <w:pPr>
              <w:spacing w:after="0"/>
              <w:rPr>
                <w:sz w:val="16"/>
                <w:szCs w:val="16"/>
                <w:color w:val="auto"/>
              </w:rPr>
            </w:pPr>
          </w:p>
        </w:tc>
        <w:tc>
          <w:tcPr>
            <w:tcW w:w="5780" w:type="dxa"/>
            <w:vAlign w:val="bottom"/>
          </w:tcPr>
          <w:p>
            <w:pPr>
              <w:ind w:left="220"/>
              <w:spacing w:after="0" w:line="194" w:lineRule="exact"/>
              <w:rPr>
                <w:sz w:val="20"/>
                <w:szCs w:val="20"/>
                <w:color w:val="auto"/>
              </w:rPr>
            </w:pPr>
            <w:r>
              <w:rPr>
                <w:rFonts w:ascii="Arial" w:cs="Arial" w:eastAsia="Arial" w:hAnsi="Arial"/>
                <w:sz w:val="18"/>
                <w:szCs w:val="18"/>
                <w:color w:val="auto"/>
              </w:rPr>
              <w:t>Ernst Teunissen</w:t>
            </w:r>
          </w:p>
        </w:tc>
      </w:tr>
      <w:tr>
        <w:trPr>
          <w:trHeight w:val="227"/>
        </w:trPr>
        <w:tc>
          <w:tcPr>
            <w:tcW w:w="5640" w:type="dxa"/>
            <w:vAlign w:val="bottom"/>
          </w:tcPr>
          <w:p>
            <w:pPr>
              <w:spacing w:after="0"/>
              <w:rPr>
                <w:sz w:val="19"/>
                <w:szCs w:val="19"/>
                <w:color w:val="auto"/>
              </w:rPr>
            </w:pPr>
          </w:p>
        </w:tc>
        <w:tc>
          <w:tcPr>
            <w:tcW w:w="578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2017, as filed with the Securities and Exchange Commission on the date hereof (the “Report”), I, Stephen Kaufer, Chief Executive Officer and President of the Company, certify, pursuant to Section 906 of the Sarbanes-Oxley Act of 2002, 18 U.S.C. Section 1350, that:</w:t>
      </w:r>
    </w:p>
    <w:p>
      <w:pPr>
        <w:spacing w:after="0" w:line="184" w:lineRule="exact"/>
        <w:rPr>
          <w:sz w:val="20"/>
          <w:szCs w:val="20"/>
          <w:color w:val="auto"/>
        </w:rPr>
      </w:pPr>
    </w:p>
    <w:p>
      <w:pPr>
        <w:ind w:left="600" w:right="60" w:hanging="593"/>
        <w:spacing w:after="0" w:line="270" w:lineRule="auto"/>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5" w:lineRule="exact"/>
        <w:rPr>
          <w:rFonts w:ascii="Arial" w:cs="Arial" w:eastAsia="Arial" w:hAnsi="Arial"/>
          <w:sz w:val="18"/>
          <w:szCs w:val="18"/>
          <w:color w:val="auto"/>
        </w:rPr>
      </w:pPr>
    </w:p>
    <w:p>
      <w:pPr>
        <w:ind w:left="600" w:hanging="593"/>
        <w:spacing w:after="0"/>
        <w:tabs>
          <w:tab w:leader="none" w:pos="6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40" w:type="dxa"/>
            <w:vAlign w:val="bottom"/>
          </w:tcPr>
          <w:p>
            <w:pPr>
              <w:spacing w:after="0"/>
              <w:rPr>
                <w:sz w:val="20"/>
                <w:szCs w:val="20"/>
                <w:color w:val="auto"/>
              </w:rPr>
            </w:pPr>
            <w:r>
              <w:rPr>
                <w:rFonts w:ascii="Arial" w:cs="Arial" w:eastAsia="Arial" w:hAnsi="Arial"/>
                <w:sz w:val="18"/>
                <w:szCs w:val="18"/>
                <w:color w:val="auto"/>
              </w:rPr>
              <w:t>Date: February 21, 2018</w:t>
            </w: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3"/>
        </w:trPr>
        <w:tc>
          <w:tcPr>
            <w:tcW w:w="5840" w:type="dxa"/>
            <w:vAlign w:val="bottom"/>
          </w:tcPr>
          <w:p>
            <w:pPr>
              <w:spacing w:after="0"/>
              <w:rPr>
                <w:sz w:val="16"/>
                <w:szCs w:val="16"/>
                <w:color w:val="auto"/>
              </w:rPr>
            </w:pPr>
          </w:p>
        </w:tc>
        <w:tc>
          <w:tcPr>
            <w:tcW w:w="5580" w:type="dxa"/>
            <w:vAlign w:val="bottom"/>
          </w:tcPr>
          <w:p>
            <w:pPr>
              <w:spacing w:after="0" w:line="194" w:lineRule="exact"/>
              <w:rPr>
                <w:sz w:val="20"/>
                <w:szCs w:val="20"/>
                <w:color w:val="auto"/>
              </w:rPr>
            </w:pPr>
            <w:r>
              <w:rPr>
                <w:rFonts w:ascii="Arial" w:cs="Arial" w:eastAsia="Arial" w:hAnsi="Arial"/>
                <w:sz w:val="18"/>
                <w:szCs w:val="18"/>
                <w:color w:val="auto"/>
              </w:rPr>
              <w:t>Stephen Kaufer</w:t>
            </w:r>
          </w:p>
        </w:tc>
      </w:tr>
      <w:tr>
        <w:trPr>
          <w:trHeight w:val="227"/>
        </w:trPr>
        <w:tc>
          <w:tcPr>
            <w:tcW w:w="58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2017, as filed with the Securities and Exchange Commission on the date hereof (the “Report”), I, Ernst Teunissen, Chief Financial Officer of the Company, certify, pursuant to Section 906 of the Sarbanes-Oxley Act of 2002, 18 U.S.C. Section 1350, that:</w:t>
      </w:r>
    </w:p>
    <w:p>
      <w:pPr>
        <w:spacing w:after="0" w:line="184" w:lineRule="exact"/>
        <w:rPr>
          <w:sz w:val="20"/>
          <w:szCs w:val="20"/>
          <w:color w:val="auto"/>
        </w:rPr>
      </w:pPr>
    </w:p>
    <w:p>
      <w:pPr>
        <w:ind w:left="600" w:right="60" w:hanging="593"/>
        <w:spacing w:after="0" w:line="270" w:lineRule="auto"/>
        <w:tabs>
          <w:tab w:leader="none" w:pos="6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5" w:lineRule="exact"/>
        <w:rPr>
          <w:rFonts w:ascii="Arial" w:cs="Arial" w:eastAsia="Arial" w:hAnsi="Arial"/>
          <w:sz w:val="18"/>
          <w:szCs w:val="18"/>
          <w:color w:val="auto"/>
        </w:rPr>
      </w:pPr>
    </w:p>
    <w:p>
      <w:pPr>
        <w:ind w:left="600" w:hanging="593"/>
        <w:spacing w:after="0"/>
        <w:tabs>
          <w:tab w:leader="none" w:pos="6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00" w:type="dxa"/>
            <w:vAlign w:val="bottom"/>
          </w:tcPr>
          <w:p>
            <w:pPr>
              <w:spacing w:after="0"/>
              <w:rPr>
                <w:sz w:val="20"/>
                <w:szCs w:val="20"/>
                <w:color w:val="auto"/>
              </w:rPr>
            </w:pPr>
            <w:r>
              <w:rPr>
                <w:rFonts w:ascii="Arial" w:cs="Arial" w:eastAsia="Arial" w:hAnsi="Arial"/>
                <w:sz w:val="18"/>
                <w:szCs w:val="18"/>
                <w:color w:val="auto"/>
              </w:rPr>
              <w:t>Date: February 21, 2018</w:t>
            </w:r>
          </w:p>
        </w:tc>
        <w:tc>
          <w:tcPr>
            <w:tcW w:w="2040" w:type="dxa"/>
            <w:vAlign w:val="bottom"/>
          </w:tcPr>
          <w:p>
            <w:pPr>
              <w:spacing w:after="0"/>
              <w:rPr>
                <w:sz w:val="20"/>
                <w:szCs w:val="20"/>
                <w:color w:val="auto"/>
              </w:rPr>
            </w:pP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ERNST TEUNISSEN</w:t>
            </w:r>
          </w:p>
        </w:tc>
      </w:tr>
      <w:tr>
        <w:trPr>
          <w:trHeight w:val="194"/>
        </w:trPr>
        <w:tc>
          <w:tcPr>
            <w:tcW w:w="3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580" w:type="dxa"/>
            <w:vAlign w:val="bottom"/>
          </w:tcPr>
          <w:p>
            <w:pPr>
              <w:spacing w:after="0" w:line="194" w:lineRule="exact"/>
              <w:rPr>
                <w:sz w:val="20"/>
                <w:szCs w:val="20"/>
                <w:color w:val="auto"/>
              </w:rPr>
            </w:pPr>
            <w:r>
              <w:rPr>
                <w:rFonts w:ascii="Arial" w:cs="Arial" w:eastAsia="Arial" w:hAnsi="Arial"/>
                <w:sz w:val="18"/>
                <w:szCs w:val="18"/>
                <w:color w:val="auto"/>
              </w:rPr>
              <w:t>Ernst Teunissen</w:t>
            </w:r>
          </w:p>
        </w:tc>
      </w:tr>
      <w:tr>
        <w:trPr>
          <w:trHeight w:val="227"/>
        </w:trPr>
        <w:tc>
          <w:tcPr>
            <w:tcW w:w="3800" w:type="dxa"/>
            <w:vAlign w:val="bottom"/>
          </w:tcPr>
          <w:p>
            <w:pPr>
              <w:spacing w:after="0"/>
              <w:rPr>
                <w:sz w:val="19"/>
                <w:szCs w:val="19"/>
                <w:color w:val="auto"/>
              </w:rPr>
            </w:pPr>
          </w:p>
        </w:tc>
        <w:tc>
          <w:tcPr>
            <w:tcW w:w="7620" w:type="dxa"/>
            <w:vAlign w:val="bottom"/>
            <w:gridSpan w:val="2"/>
          </w:tcPr>
          <w:p>
            <w:pPr>
              <w:ind w:left="204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1)"/>
      <w:numFmt w:val="decimal"/>
      <w:start w:val="1"/>
    </w:lvl>
  </w:abstractNum>
  <w:abstractNum w:abstractNumId="17">
    <w:nsid w:val="6EB5BD4"/>
    <w:multiLevelType w:val="hybridMultilevel"/>
    <w:lvl w:ilvl="0">
      <w:lvlJc w:val="left"/>
      <w:lvlText w:val="(%1)"/>
      <w:numFmt w:val="decimal"/>
      <w:start w:val="4"/>
    </w:lvl>
  </w:abstractNum>
  <w:abstractNum w:abstractNumId="18">
    <w:nsid w:val="6F6DD9AC"/>
    <w:multiLevelType w:val="hybridMultilevel"/>
    <w:lvl w:ilvl="0">
      <w:lvlJc w:val="left"/>
      <w:lvlText w:val="(%1)"/>
      <w:numFmt w:val="decimal"/>
      <w:start w:val="1"/>
    </w:lvl>
  </w:abstractNum>
  <w:abstractNum w:abstractNumId="19">
    <w:nsid w:val="94211F2"/>
    <w:multiLevelType w:val="hybridMultilevel"/>
    <w:lvl w:ilvl="0">
      <w:lvlJc w:val="left"/>
      <w:lvlText w:val="(%1)"/>
      <w:numFmt w:val="decimal"/>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1)"/>
      <w:numFmt w:val="decimal"/>
      <w:start w:val="1"/>
    </w:lvl>
  </w:abstractNum>
  <w:abstractNum w:abstractNumId="22">
    <w:nsid w:val="4C04A8AF"/>
    <w:multiLevelType w:val="hybridMultilevel"/>
    <w:lvl w:ilvl="0">
      <w:lvlJc w:val="left"/>
      <w:lvlText w:val="(%1)"/>
      <w:numFmt w:val="decimal"/>
      <w:start w:val="1"/>
    </w:lvl>
    <w:lvl w:ilvl="1">
      <w:lvlJc w:val="left"/>
      <w:lvlText w:val="(%2)"/>
      <w:numFmt w:val="decimal"/>
      <w:start w:val="5"/>
    </w:lvl>
  </w:abstractNum>
  <w:abstractNum w:abstractNumId="23">
    <w:nsid w:val="1716703B"/>
    <w:multiLevelType w:val="hybridMultilevel"/>
    <w:lvl w:ilvl="0">
      <w:lvlJc w:val="left"/>
      <w:lvlText w:val="(%1)"/>
      <w:numFmt w:val="decimal"/>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1)"/>
      <w:numFmt w:val="decimal"/>
      <w:start w:val="1"/>
    </w:lvl>
  </w:abstractNum>
  <w:abstractNum w:abstractNumId="26">
    <w:nsid w:val="74DE0EE3"/>
    <w:multiLevelType w:val="hybridMultilevel"/>
    <w:lvl w:ilvl="0">
      <w:lvlJc w:val="left"/>
      <w:lvlText w:val="(%1)"/>
      <w:numFmt w:val="decimal"/>
      <w:start w:val="1"/>
    </w:lvl>
  </w:abstractNum>
  <w:abstractNum w:abstractNumId="27">
    <w:nsid w:val="68EBC550"/>
    <w:multiLevelType w:val="hybridMultilevel"/>
    <w:lvl w:ilvl="0">
      <w:lvlJc w:val="left"/>
      <w:lvlText w:val="(%1)"/>
      <w:numFmt w:val="decimal"/>
      <w:start w:val="1"/>
    </w:lvl>
  </w:abstractNum>
  <w:abstractNum w:abstractNumId="28">
    <w:nsid w:val="2DF6D648"/>
    <w:multiLevelType w:val="hybridMultilevel"/>
    <w:lvl w:ilvl="0">
      <w:lvlJc w:val="left"/>
      <w:lvlText w:val="(%1)"/>
      <w:numFmt w:val="decimal"/>
      <w:start w:val="1"/>
    </w:lvl>
  </w:abstractNum>
  <w:abstractNum w:abstractNumId="29">
    <w:nsid w:val="46B7D447"/>
    <w:multiLevelType w:val="hybridMultilevel"/>
    <w:lvl w:ilvl="0">
      <w:lvlJc w:val="left"/>
      <w:lvlText w:val="(%1)"/>
      <w:numFmt w:val="decimal"/>
      <w:start w:val="1"/>
    </w:lvl>
  </w:abstractNum>
  <w:abstractNum w:abstractNumId="30">
    <w:nsid w:val="4A2AC315"/>
    <w:multiLevelType w:val="hybridMultilevel"/>
    <w:lvl w:ilvl="0">
      <w:lvlJc w:val="left"/>
      <w:lvlText w:val="(%1)"/>
      <w:numFmt w:val="decimal"/>
      <w:start w:val="3"/>
    </w:lvl>
  </w:abstractNum>
  <w:abstractNum w:abstractNumId="31">
    <w:nsid w:val="39EE015C"/>
    <w:multiLevelType w:val="hybridMultilevel"/>
    <w:lvl w:ilvl="0">
      <w:lvlJc w:val="left"/>
      <w:lvlText w:val="(%1)"/>
      <w:numFmt w:val="decimal"/>
      <w:start w:val="1"/>
    </w:lvl>
  </w:abstractNum>
  <w:abstractNum w:abstractNumId="32">
    <w:nsid w:val="57FC4FBB"/>
    <w:multiLevelType w:val="hybridMultilevel"/>
    <w:lvl w:ilvl="0">
      <w:lvlJc w:val="left"/>
      <w:lvlText w:val="(%1)"/>
      <w:numFmt w:val="decimal"/>
      <w:start w:val="1"/>
    </w:lvl>
  </w:abstractNum>
  <w:abstractNum w:abstractNumId="33">
    <w:nsid w:val="CC1016F"/>
    <w:multiLevelType w:val="hybridMultilevel"/>
    <w:lvl w:ilvl="0">
      <w:lvlJc w:val="left"/>
      <w:lvlText w:val="(%1)"/>
      <w:numFmt w:val="decimal"/>
      <w:start w:val="1"/>
    </w:lvl>
  </w:abstractNum>
  <w:abstractNum w:abstractNumId="34">
    <w:nsid w:val="43F18422"/>
    <w:multiLevelType w:val="hybridMultilevel"/>
    <w:lvl w:ilvl="0">
      <w:lvlJc w:val="left"/>
      <w:lvlText w:val="(%1)"/>
      <w:numFmt w:val="decimal"/>
      <w:start w:val="1"/>
    </w:lvl>
  </w:abstractNum>
  <w:abstractNum w:abstractNumId="35">
    <w:nsid w:val="60EF0119"/>
    <w:multiLevelType w:val="hybridMultilevel"/>
    <w:lvl w:ilvl="0">
      <w:lvlJc w:val="left"/>
      <w:lvlText w:val="\emdash "/>
      <w:numFmt w:val="bullet"/>
      <w:start w:val="1"/>
    </w:lvl>
  </w:abstractNum>
  <w:abstractNum w:abstractNumId="36">
    <w:nsid w:val="26F324BA"/>
    <w:multiLevelType w:val="hybridMultilevel"/>
    <w:lvl w:ilvl="0">
      <w:lvlJc w:val="left"/>
      <w:lvlText w:val="(%1)"/>
      <w:numFmt w:val="decimal"/>
      <w:start w:val="1"/>
    </w:lvl>
  </w:abstractNum>
  <w:abstractNum w:abstractNumId="37">
    <w:nsid w:val="7F01579B"/>
    <w:multiLevelType w:val="hybridMultilevel"/>
    <w:lvl w:ilvl="0">
      <w:lvlJc w:val="left"/>
      <w:lvlText w:val="(%1)"/>
      <w:numFmt w:val="decimal"/>
      <w:start w:val="1"/>
    </w:lvl>
  </w:abstractNum>
  <w:abstractNum w:abstractNumId="38">
    <w:nsid w:val="49DA307D"/>
    <w:multiLevelType w:val="hybridMultilevel"/>
    <w:lvl w:ilvl="0">
      <w:lvlJc w:val="left"/>
      <w:lvlText w:val="(%1)"/>
      <w:numFmt w:val="decimal"/>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1)"/>
      <w:numFmt w:val="decimal"/>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1)"/>
      <w:numFmt w:val="decimal"/>
      <w:start w:val="1"/>
    </w:lvl>
  </w:abstractNum>
  <w:abstractNum w:abstractNumId="46">
    <w:nsid w:val="6FC75AF8"/>
    <w:multiLevelType w:val="hybridMultilevel"/>
    <w:lvl w:ilvl="0">
      <w:lvlJc w:val="left"/>
      <w:lvlText w:val="(%1)"/>
      <w:numFmt w:val="decimal"/>
      <w:start w:val="1"/>
    </w:lvl>
  </w:abstractNum>
  <w:abstractNum w:abstractNumId="47">
    <w:nsid w:val="6A5F7029"/>
    <w:multiLevelType w:val="hybridMultilevel"/>
    <w:lvl w:ilvl="0">
      <w:lvlJc w:val="left"/>
      <w:lvlText w:val="(%1)"/>
      <w:numFmt w:val="decimal"/>
      <w:start w:val="1"/>
    </w:lvl>
  </w:abstractNum>
  <w:abstractNum w:abstractNumId="48">
    <w:nsid w:val="7D5E18F8"/>
    <w:multiLevelType w:val="hybridMultilevel"/>
    <w:lvl w:ilvl="0">
      <w:lvlJc w:val="left"/>
      <w:lvlText w:val="-"/>
      <w:numFmt w:val="bullet"/>
      <w:start w:val="1"/>
    </w:lvl>
  </w:abstractNum>
  <w:abstractNum w:abstractNumId="49">
    <w:nsid w:val="5F3534A4"/>
    <w:multiLevelType w:val="hybridMultilevel"/>
    <w:lvl w:ilvl="0">
      <w:lvlJc w:val="left"/>
      <w:lvlText w:val="%1."/>
      <w:numFmt w:val="decimal"/>
      <w:start w:val="1"/>
    </w:lvl>
  </w:abstractNum>
  <w:abstractNum w:abstractNumId="50">
    <w:nsid w:val="73A1821B"/>
    <w:multiLevelType w:val="hybridMultilevel"/>
    <w:lvl w:ilvl="0">
      <w:lvlJc w:val="left"/>
      <w:lvlText w:val="%1"/>
      <w:numFmt w:val="decimal"/>
      <w:start w:val="101"/>
    </w:lvl>
  </w:abstractNum>
  <w:abstractNum w:abstractNumId="51">
    <w:nsid w:val="7DE67713"/>
    <w:multiLevelType w:val="hybridMultilevel"/>
    <w:lvl w:ilvl="0">
      <w:lvlJc w:val="left"/>
      <w:lvlText w:val="%1."/>
      <w:numFmt w:val="decimal"/>
      <w:start w:val="1"/>
    </w:lvl>
  </w:abstractNum>
  <w:abstractNum w:abstractNumId="52">
    <w:nsid w:val="555C55B5"/>
    <w:multiLevelType w:val="hybridMultilevel"/>
    <w:lvl w:ilvl="0">
      <w:lvlJc w:val="left"/>
      <w:lvlText w:val="%1."/>
      <w:numFmt w:val="decimal"/>
      <w:start w:val="2"/>
    </w:lvl>
  </w:abstractNum>
  <w:abstractNum w:abstractNumId="53">
    <w:nsid w:val="3FA62ACA"/>
    <w:multiLevelType w:val="hybridMultilevel"/>
    <w:lvl w:ilvl="0">
      <w:lvlJc w:val="left"/>
      <w:lvlText w:val="(%1)"/>
      <w:numFmt w:val="lowerLetter"/>
      <w:start w:val="9"/>
    </w:lvl>
  </w:abstractNum>
  <w:abstractNum w:abstractNumId="54">
    <w:nsid w:val="14FCE74E"/>
    <w:multiLevelType w:val="hybridMultilevel"/>
    <w:lvl w:ilvl="0">
      <w:lvlJc w:val="left"/>
      <w:lvlText w:val="(%1)"/>
      <w:numFmt w:val="lowerLetter"/>
      <w:start w:val="25"/>
    </w:lvl>
  </w:abstractNum>
  <w:abstractNum w:abstractNumId="55">
    <w:nsid w:val="6A3DD3E8"/>
    <w:multiLevelType w:val="hybridMultilevel"/>
    <w:lvl w:ilvl="0">
      <w:lvlJc w:val="left"/>
      <w:lvlText w:val="%1."/>
      <w:numFmt w:val="decimal"/>
      <w:start w:val="3"/>
    </w:lvl>
  </w:abstractNum>
  <w:abstractNum w:abstractNumId="56">
    <w:nsid w:val="71C91298"/>
    <w:multiLevelType w:val="hybridMultilevel"/>
    <w:lvl w:ilvl="0">
      <w:lvlJc w:val="left"/>
      <w:lvlText w:val="%1."/>
      <w:numFmt w:val="decimal"/>
      <w:start w:val="1"/>
    </w:lvl>
  </w:abstractNum>
  <w:abstractNum w:abstractNumId="57">
    <w:nsid w:val="9DAF632"/>
    <w:multiLevelType w:val="hybridMultilevel"/>
    <w:lvl w:ilvl="0">
      <w:lvlJc w:val="left"/>
      <w:lvlText w:val="%1."/>
      <w:numFmt w:val="decimal"/>
      <w:start w:val="2"/>
    </w:lvl>
  </w:abstractNum>
  <w:abstractNum w:abstractNumId="58">
    <w:nsid w:val="53299938"/>
    <w:multiLevelType w:val="hybridMultilevel"/>
    <w:lvl w:ilvl="0">
      <w:lvlJc w:val="left"/>
      <w:lvlText w:val="%1."/>
      <w:numFmt w:val="decimal"/>
      <w:start w:val="3"/>
    </w:lvl>
  </w:abstractNum>
  <w:abstractNum w:abstractNumId="59">
    <w:nsid w:val="1FBFE8E0"/>
    <w:multiLevelType w:val="hybridMultilevel"/>
    <w:lvl w:ilvl="0">
      <w:lvlJc w:val="left"/>
      <w:lvlText w:val="%1."/>
      <w:numFmt w:val="decimal"/>
      <w:start w:val="4"/>
    </w:lvl>
  </w:abstractNum>
  <w:abstractNum w:abstractNumId="60">
    <w:nsid w:val="5092CA79"/>
    <w:multiLevelType w:val="hybridMultilevel"/>
    <w:lvl w:ilvl="0">
      <w:lvlJc w:val="left"/>
      <w:lvlText w:val="%1."/>
      <w:numFmt w:val="lowerLetter"/>
      <w:start w:val="12"/>
    </w:lvl>
    <w:lvl w:ilvl="1">
      <w:lvlJc w:val="left"/>
      <w:lvlText w:val="(%2)"/>
      <w:numFmt w:val="lowerLetter"/>
      <w:start w:val="1"/>
    </w:lvl>
  </w:abstractNum>
  <w:abstractNum w:abstractNumId="61">
    <w:nsid w:val="1D545C4D"/>
    <w:multiLevelType w:val="hybridMultilevel"/>
    <w:lvl w:ilvl="0">
      <w:lvlJc w:val="left"/>
      <w:lvlText w:val="%1."/>
      <w:numFmt w:val="decimal"/>
      <w:start w:val="2"/>
    </w:lvl>
    <w:lvl w:ilvl="1">
      <w:lvlJc w:val="left"/>
      <w:lvlText w:val="(%2)"/>
      <w:numFmt w:val="lowerLetter"/>
      <w:start w:val="1"/>
    </w:lvl>
  </w:abstractNum>
  <w:abstractNum w:abstractNumId="62">
    <w:nsid w:val="59ADEA3D"/>
    <w:multiLevelType w:val="hybridMultilevel"/>
    <w:lvl w:ilvl="0">
      <w:lvlJc w:val="left"/>
      <w:lvlText w:val="%1."/>
      <w:numFmt w:val="decimal"/>
      <w:start w:val="4"/>
    </w:lvl>
    <w:lvl w:ilvl="1">
      <w:lvlJc w:val="left"/>
      <w:lvlText w:val="(%2)"/>
      <w:numFmt w:val="lowerLetter"/>
      <w:start w:val="1"/>
    </w:lvl>
  </w:abstractNum>
  <w:abstractNum w:abstractNumId="63">
    <w:nsid w:val="288F1A34"/>
    <w:multiLevelType w:val="hybridMultilevel"/>
    <w:lvl w:ilvl="0">
      <w:lvlJc w:val="left"/>
      <w:lvlText w:val="%1."/>
      <w:numFmt w:val="decimal"/>
      <w:start w:val="6"/>
    </w:lvl>
  </w:abstractNum>
  <w:abstractNum w:abstractNumId="64">
    <w:nsid w:val="2A155DBC"/>
    <w:multiLevelType w:val="hybridMultilevel"/>
    <w:lvl w:ilvl="0">
      <w:lvlJc w:val="left"/>
      <w:lvlText w:val="%1."/>
      <w:numFmt w:val="decimal"/>
      <w:start w:val="7"/>
    </w:lvl>
    <w:lvl w:ilvl="1">
      <w:lvlJc w:val="left"/>
      <w:lvlText w:val="(%2)"/>
      <w:numFmt w:val="lowerLetter"/>
      <w:start w:val="1"/>
    </w:lvl>
  </w:abstractNum>
  <w:abstractNum w:abstractNumId="65">
    <w:nsid w:val="1D9F6E5F"/>
    <w:multiLevelType w:val="hybridMultilevel"/>
    <w:lvl w:ilvl="0">
      <w:lvlJc w:val="left"/>
      <w:lvlText w:val="%1"/>
      <w:numFmt w:val="decimal"/>
      <w:start w:val="1"/>
    </w:lvl>
    <w:lvl w:ilvl="1">
      <w:lvlJc w:val="left"/>
      <w:lvlText w:val="(%2)"/>
      <w:numFmt w:val="lowerLetter"/>
      <w:start w:val="4"/>
    </w:lvl>
  </w:abstractNum>
  <w:abstractNum w:abstractNumId="66">
    <w:nsid w:val="97E1B4E"/>
    <w:multiLevelType w:val="hybridMultilevel"/>
    <w:lvl w:ilvl="0">
      <w:lvlJc w:val="left"/>
      <w:lvlText w:val="%1."/>
      <w:numFmt w:val="decimal"/>
      <w:start w:val="8"/>
    </w:lvl>
    <w:lvl w:ilvl="1">
      <w:lvlJc w:val="left"/>
      <w:lvlText w:val="(%2)"/>
      <w:numFmt w:val="lowerLetter"/>
      <w:start w:val="1"/>
    </w:lvl>
  </w:abstractNum>
  <w:abstractNum w:abstractNumId="67">
    <w:nsid w:val="51088277"/>
    <w:multiLevelType w:val="hybridMultilevel"/>
    <w:lvl w:ilvl="0">
      <w:lvlJc w:val="left"/>
      <w:lvlText w:val="%1."/>
      <w:numFmt w:val="decimal"/>
      <w:start w:val="9"/>
    </w:lvl>
    <w:lvl w:ilvl="1">
      <w:lvlJc w:val="left"/>
      <w:lvlText w:val="(%2)"/>
      <w:numFmt w:val="lowerLetter"/>
      <w:start w:val="1"/>
    </w:lvl>
  </w:abstractNum>
  <w:abstractNum w:abstractNumId="68">
    <w:nsid w:val="1CA0C5FA"/>
    <w:multiLevelType w:val="hybridMultilevel"/>
    <w:lvl w:ilvl="0">
      <w:lvlJc w:val="left"/>
      <w:lvlText w:val="%1"/>
      <w:numFmt w:val="decimal"/>
      <w:start w:val="1"/>
    </w:lvl>
    <w:lvl w:ilvl="1">
      <w:lvlJc w:val="left"/>
      <w:lvlText w:val="(%2)"/>
      <w:numFmt w:val="lowerRoman"/>
      <w:start w:val="1"/>
    </w:lvl>
  </w:abstractNum>
  <w:abstractNum w:abstractNumId="69">
    <w:nsid w:val="53584BCB"/>
    <w:multiLevelType w:val="hybridMultilevel"/>
    <w:lvl w:ilvl="0">
      <w:lvlJc w:val="left"/>
      <w:lvlText w:val="%1."/>
      <w:numFmt w:val="decimal"/>
      <w:start w:val="11"/>
    </w:lvl>
    <w:lvl w:ilvl="1">
      <w:lvlJc w:val="left"/>
      <w:lvlText w:val="%2"/>
      <w:numFmt w:val="lowerRoman"/>
      <w:start w:val="1"/>
    </w:lvl>
  </w:abstractNum>
  <w:abstractNum w:abstractNumId="70">
    <w:nsid w:val="415E286C"/>
    <w:multiLevelType w:val="hybridMultilevel"/>
    <w:lvl w:ilvl="0">
      <w:lvlJc w:val="left"/>
      <w:lvlText w:val="%1."/>
      <w:numFmt w:val="decimal"/>
      <w:start w:val="12"/>
    </w:lvl>
  </w:abstractNum>
  <w:abstractNum w:abstractNumId="71">
    <w:nsid w:val="7C58FD05"/>
    <w:multiLevelType w:val="hybridMultilevel"/>
    <w:lvl w:ilvl="0">
      <w:lvlJc w:val="left"/>
      <w:lvlText w:val="%1."/>
      <w:numFmt w:val="decimal"/>
      <w:start w:val="13"/>
    </w:lvl>
  </w:abstractNum>
  <w:abstractNum w:abstractNumId="72">
    <w:nsid w:val="23D86AAC"/>
    <w:multiLevelType w:val="hybridMultilevel"/>
    <w:lvl w:ilvl="0">
      <w:lvlJc w:val="left"/>
      <w:lvlText w:val="%1."/>
      <w:numFmt w:val="decimal"/>
      <w:start w:val="14"/>
    </w:lvl>
    <w:lvl w:ilvl="1">
      <w:lvlJc w:val="left"/>
      <w:lvlText w:val="(%2)"/>
      <w:numFmt w:val="lowerLetter"/>
      <w:start w:val="1"/>
    </w:lvl>
  </w:abstractNum>
  <w:abstractNum w:abstractNumId="73">
    <w:nsid w:val="45E6D486"/>
    <w:multiLevelType w:val="hybridMultilevel"/>
    <w:lvl w:ilvl="0">
      <w:lvlJc w:val="left"/>
      <w:lvlText w:val="%1."/>
      <w:numFmt w:val="decimal"/>
      <w:start w:val="16"/>
    </w:lvl>
    <w:lvl w:ilvl="1">
      <w:lvlJc w:val="left"/>
      <w:lvlText w:val="(%2)"/>
      <w:numFmt w:val="lowerLetter"/>
      <w:start w:val="1"/>
    </w:lvl>
  </w:abstractNum>
  <w:abstractNum w:abstractNumId="74">
    <w:nsid w:val="5C10FE21"/>
    <w:multiLevelType w:val="hybridMultilevel"/>
    <w:lvl w:ilvl="0">
      <w:lvlJc w:val="left"/>
      <w:lvlText w:val="%1."/>
      <w:numFmt w:val="decimal"/>
      <w:start w:val="18"/>
    </w:lvl>
  </w:abstractNum>
  <w:abstractNum w:abstractNumId="75">
    <w:nsid w:val="E7FFA2B"/>
    <w:multiLevelType w:val="hybridMultilevel"/>
    <w:lvl w:ilvl="0">
      <w:lvlJc w:val="left"/>
      <w:lvlText w:val="%1."/>
      <w:numFmt w:val="decimal"/>
      <w:start w:val="19"/>
    </w:lvl>
  </w:abstractNum>
  <w:abstractNum w:abstractNumId="76">
    <w:nsid w:val="3C5991AA"/>
    <w:multiLevelType w:val="hybridMultilevel"/>
    <w:lvl w:ilvl="0">
      <w:lvlJc w:val="left"/>
      <w:lvlText w:val="1"/>
      <w:numFmt w:val="bullet"/>
      <w:start w:val="1"/>
    </w:lvl>
    <w:lvl w:ilvl="1">
      <w:lvlJc w:val="left"/>
      <w:lvlText w:val="(%2)"/>
      <w:numFmt w:val="lowerLetter"/>
      <w:start w:val="1"/>
    </w:lvl>
  </w:abstractNum>
  <w:abstractNum w:abstractNumId="77">
    <w:nsid w:val="4BD8591A"/>
    <w:multiLevelType w:val="hybridMultilevel"/>
    <w:lvl w:ilvl="0">
      <w:lvlJc w:val="left"/>
      <w:lvlText w:val="%1."/>
      <w:numFmt w:val="decimal"/>
      <w:start w:val="2"/>
    </w:lvl>
    <w:lvl w:ilvl="1">
      <w:lvlJc w:val="left"/>
      <w:lvlText w:val="(%2)"/>
      <w:numFmt w:val="lowerLetter"/>
      <w:start w:val="1"/>
    </w:lvl>
  </w:abstractNum>
  <w:abstractNum w:abstractNumId="78">
    <w:nsid w:val="78DF6A55"/>
    <w:multiLevelType w:val="hybridMultilevel"/>
    <w:lvl w:ilvl="0">
      <w:lvlJc w:val="left"/>
      <w:lvlText w:val="%1."/>
      <w:numFmt w:val="decimal"/>
      <w:start w:val="3"/>
    </w:lvl>
  </w:abstractNum>
  <w:abstractNum w:abstractNumId="79">
    <w:nsid w:val="39B7AAA2"/>
    <w:multiLevelType w:val="hybridMultilevel"/>
    <w:lvl w:ilvl="0">
      <w:lvlJc w:val="left"/>
      <w:lvlText w:val="%1."/>
      <w:numFmt w:val="decimal"/>
      <w:start w:val="4"/>
    </w:lvl>
  </w:abstractNum>
  <w:abstractNum w:abstractNumId="80">
    <w:nsid w:val="2B0D8DBE"/>
    <w:multiLevelType w:val="hybridMultilevel"/>
    <w:lvl w:ilvl="0">
      <w:lvlJc w:val="left"/>
      <w:lvlText w:val="%1."/>
      <w:numFmt w:val="decimal"/>
      <w:start w:val="5"/>
    </w:lvl>
  </w:abstractNum>
  <w:abstractNum w:abstractNumId="81">
    <w:nsid w:val="6C80EC70"/>
    <w:multiLevelType w:val="hybridMultilevel"/>
    <w:lvl w:ilvl="0">
      <w:lvlJc w:val="left"/>
      <w:lvlText w:val="%1."/>
      <w:numFmt w:val="decimal"/>
      <w:start w:val="6"/>
    </w:lvl>
    <w:lvl w:ilvl="1">
      <w:lvlJc w:val="left"/>
      <w:lvlText w:val="(%2)"/>
      <w:numFmt w:val="lowerLetter"/>
      <w:start w:val="1"/>
    </w:lvl>
  </w:abstractNum>
  <w:abstractNum w:abstractNumId="82">
    <w:nsid w:val="379E21B5"/>
    <w:multiLevelType w:val="hybridMultilevel"/>
    <w:lvl w:ilvl="0">
      <w:lvlJc w:val="left"/>
      <w:lvlText w:val="%1"/>
      <w:numFmt w:val="decimal"/>
      <w:start w:val="1"/>
    </w:lvl>
    <w:lvl w:ilvl="1">
      <w:lvlJc w:val="left"/>
      <w:lvlText w:val="(%2)"/>
      <w:numFmt w:val="lowerLetter"/>
      <w:start w:val="4"/>
    </w:lvl>
  </w:abstractNum>
  <w:abstractNum w:abstractNumId="83">
    <w:nsid w:val="69E373"/>
    <w:multiLevelType w:val="hybridMultilevel"/>
    <w:lvl w:ilvl="0">
      <w:lvlJc w:val="left"/>
      <w:lvlText w:val="%1"/>
      <w:numFmt w:val="decimal"/>
      <w:start w:val="100"/>
    </w:lvl>
    <w:lvl w:ilvl="1">
      <w:lvlJc w:val="left"/>
      <w:lvlText w:val="(%2)"/>
      <w:numFmt w:val="lowerLetter"/>
      <w:start w:val="5"/>
    </w:lvl>
  </w:abstractNum>
  <w:abstractNum w:abstractNumId="84">
    <w:nsid w:val="2C27173B"/>
    <w:multiLevelType w:val="hybridMultilevel"/>
    <w:lvl w:ilvl="0">
      <w:lvlJc w:val="left"/>
      <w:lvlText w:val="%1."/>
      <w:numFmt w:val="decimal"/>
      <w:start w:val="7"/>
    </w:lvl>
    <w:lvl w:ilvl="1">
      <w:lvlJc w:val="left"/>
      <w:lvlText w:val="(%2)"/>
      <w:numFmt w:val="lowerLetter"/>
      <w:start w:val="1"/>
    </w:lvl>
  </w:abstractNum>
  <w:abstractNum w:abstractNumId="85">
    <w:nsid w:val="4C9B0904"/>
    <w:multiLevelType w:val="hybridMultilevel"/>
    <w:lvl w:ilvl="0">
      <w:lvlJc w:val="left"/>
      <w:lvlText w:val="%1"/>
      <w:numFmt w:val="decimal"/>
      <w:start w:val="1"/>
    </w:lvl>
    <w:lvl w:ilvl="1">
      <w:lvlJc w:val="left"/>
      <w:lvlText w:val="(%2)"/>
      <w:numFmt w:val="lowerLetter"/>
      <w:start w:val="4"/>
    </w:lvl>
  </w:abstractNum>
  <w:abstractNum w:abstractNumId="86">
    <w:nsid w:val="6AA7B75C"/>
    <w:multiLevelType w:val="hybridMultilevel"/>
    <w:lvl w:ilvl="0">
      <w:lvlJc w:val="left"/>
      <w:lvlText w:val="%1."/>
      <w:numFmt w:val="decimal"/>
      <w:start w:val="8"/>
    </w:lvl>
    <w:lvl w:ilvl="1">
      <w:lvlJc w:val="left"/>
      <w:lvlText w:val="(%2)"/>
      <w:numFmt w:val="lowerLetter"/>
      <w:start w:val="1"/>
    </w:lvl>
  </w:abstractNum>
  <w:abstractNum w:abstractNumId="87">
    <w:nsid w:val="1DF029D3"/>
    <w:multiLevelType w:val="hybridMultilevel"/>
    <w:lvl w:ilvl="0">
      <w:lvlJc w:val="left"/>
      <w:lvlText w:val="%1"/>
      <w:numFmt w:val="decimal"/>
      <w:start w:val="1"/>
    </w:lvl>
    <w:lvl w:ilvl="1">
      <w:lvlJc w:val="left"/>
      <w:lvlText w:val="(%2)"/>
      <w:numFmt w:val="lowerLetter"/>
      <w:start w:val="7"/>
    </w:lvl>
  </w:abstractNum>
  <w:abstractNum w:abstractNumId="88">
    <w:nsid w:val="5675FF36"/>
    <w:multiLevelType w:val="hybridMultilevel"/>
    <w:lvl w:ilvl="0">
      <w:lvlJc w:val="left"/>
      <w:lvlText w:val="%1."/>
      <w:numFmt w:val="decimal"/>
      <w:start w:val="10"/>
    </w:lvl>
    <w:lvl w:ilvl="1">
      <w:lvlJc w:val="left"/>
      <w:lvlText w:val="%2"/>
      <w:numFmt w:val="lowerLetter"/>
      <w:start w:val="1"/>
    </w:lvl>
  </w:abstractNum>
  <w:abstractNum w:abstractNumId="89">
    <w:nsid w:val="3DD15094"/>
    <w:multiLevelType w:val="hybridMultilevel"/>
    <w:lvl w:ilvl="0">
      <w:lvlJc w:val="left"/>
      <w:lvlText w:val="%1."/>
      <w:numFmt w:val="decimal"/>
      <w:start w:val="11"/>
    </w:lvl>
  </w:abstractNum>
  <w:abstractNum w:abstractNumId="90">
    <w:nsid w:val="3DB012B3"/>
    <w:multiLevelType w:val="hybridMultilevel"/>
    <w:lvl w:ilvl="0">
      <w:lvlJc w:val="left"/>
      <w:lvlText w:val="%1."/>
      <w:numFmt w:val="decimal"/>
      <w:start w:val="12"/>
    </w:lvl>
  </w:abstractNum>
  <w:abstractNum w:abstractNumId="91">
    <w:nsid w:val="2708C9AF"/>
    <w:multiLevelType w:val="hybridMultilevel"/>
    <w:lvl w:ilvl="0">
      <w:lvlJc w:val="left"/>
      <w:lvlText w:val="%1."/>
      <w:numFmt w:val="decimal"/>
      <w:start w:val="13"/>
    </w:lvl>
    <w:lvl w:ilvl="1">
      <w:lvlJc w:val="left"/>
      <w:lvlText w:val="(%2)"/>
      <w:numFmt w:val="lowerLetter"/>
      <w:start w:val="1"/>
    </w:lvl>
  </w:abstractNum>
  <w:abstractNum w:abstractNumId="92">
    <w:nsid w:val="5B25ACE2"/>
    <w:multiLevelType w:val="hybridMultilevel"/>
    <w:lvl w:ilvl="0">
      <w:lvlJc w:val="left"/>
      <w:lvlText w:val="%1."/>
      <w:numFmt w:val="decimal"/>
      <w:start w:val="14"/>
    </w:lvl>
    <w:lvl w:ilvl="1">
      <w:lvlJc w:val="left"/>
      <w:lvlText w:val="(%2)"/>
      <w:numFmt w:val="lowerLetter"/>
      <w:start w:val="1"/>
    </w:lvl>
  </w:abstractNum>
  <w:abstractNum w:abstractNumId="93">
    <w:nsid w:val="175DFCF0"/>
    <w:multiLevelType w:val="hybridMultilevel"/>
    <w:lvl w:ilvl="0">
      <w:lvlJc w:val="left"/>
      <w:lvlText w:val="%1."/>
      <w:numFmt w:val="decimal"/>
      <w:start w:val="16"/>
    </w:lvl>
    <w:lvl w:ilvl="1">
      <w:lvlJc w:val="left"/>
      <w:lvlText w:val="(%2)"/>
      <w:numFmt w:val="lowerLetter"/>
      <w:start w:val="1"/>
    </w:lvl>
  </w:abstractNum>
  <w:abstractNum w:abstractNumId="94">
    <w:nsid w:val="4F97E3E4"/>
    <w:multiLevelType w:val="hybridMultilevel"/>
    <w:lvl w:ilvl="0">
      <w:lvlJc w:val="left"/>
      <w:lvlText w:val="%1"/>
      <w:numFmt w:val="decimal"/>
      <w:start w:val="18"/>
    </w:lvl>
  </w:abstractNum>
  <w:abstractNum w:abstractNumId="95">
    <w:nsid w:val="53B0A9E"/>
    <w:multiLevelType w:val="hybridMultilevel"/>
    <w:lvl w:ilvl="0">
      <w:lvlJc w:val="left"/>
      <w:lvlText w:val="%1."/>
      <w:numFmt w:val="decimal"/>
      <w:start w:val="1"/>
    </w:lvl>
    <w:lvl w:ilvl="1">
      <w:lvlJc w:val="left"/>
      <w:lvlText w:val="(%2)"/>
      <w:numFmt w:val="lowerLetter"/>
      <w:start w:val="1"/>
    </w:lvl>
  </w:abstractNum>
  <w:abstractNum w:abstractNumId="96">
    <w:nsid w:val="34FD6B4F"/>
    <w:multiLevelType w:val="hybridMultilevel"/>
    <w:lvl w:ilvl="0">
      <w:lvlJc w:val="left"/>
      <w:lvlText w:val="%1."/>
      <w:numFmt w:val="decimal"/>
      <w:start w:val="2"/>
    </w:lvl>
    <w:lvl w:ilvl="1">
      <w:lvlJc w:val="left"/>
      <w:lvlText w:val="(%2)"/>
      <w:numFmt w:val="lowerLetter"/>
      <w:start w:val="1"/>
    </w:lvl>
  </w:abstractNum>
  <w:abstractNum w:abstractNumId="97">
    <w:nsid w:val="5915FF32"/>
    <w:multiLevelType w:val="hybridMultilevel"/>
    <w:lvl w:ilvl="0">
      <w:lvlJc w:val="left"/>
      <w:lvlText w:val="%1."/>
      <w:numFmt w:val="decimal"/>
      <w:start w:val="4"/>
    </w:lvl>
  </w:abstractNum>
  <w:abstractNum w:abstractNumId="98">
    <w:nsid w:val="56438D15"/>
    <w:multiLevelType w:val="hybridMultilevel"/>
    <w:lvl w:ilvl="0">
      <w:lvlJc w:val="left"/>
      <w:lvlText w:val="%1."/>
      <w:numFmt w:val="decimal"/>
      <w:start w:val="5"/>
    </w:lvl>
  </w:abstractNum>
  <w:abstractNum w:abstractNumId="99">
    <w:nsid w:val="519E3149"/>
    <w:multiLevelType w:val="hybridMultilevel"/>
    <w:lvl w:ilvl="0">
      <w:lvlJc w:val="left"/>
      <w:lvlText w:val="%1."/>
      <w:numFmt w:val="decimal"/>
      <w:start w:val="6"/>
    </w:lvl>
    <w:lvl w:ilvl="1">
      <w:lvlJc w:val="left"/>
      <w:lvlText w:val="(%2)"/>
      <w:numFmt w:val="lowerLetter"/>
      <w:start w:val="1"/>
    </w:lvl>
  </w:abstractNum>
  <w:abstractNum w:abstractNumId="100">
    <w:nsid w:val="2C6E4AF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1">
    <w:nsid w:val="17A1B58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2">
    <w:nsid w:val="4DF72E4E"/>
    <w:multiLevelType w:val="hybridMultilevel"/>
    <w:lvl w:ilvl="0">
      <w:lvlJc w:val="left"/>
      <w:lvlText w:val="%1"/>
      <w:numFmt w:val="decimal"/>
      <w:start w:val="1"/>
    </w:lvl>
    <w:lvl w:ilvl="1">
      <w:lvlJc w:val="left"/>
      <w:lvlText w:val="(%2)"/>
      <w:numFmt w:val="lowerLetter"/>
      <w:start w:val="2"/>
    </w:lvl>
  </w:abstractNum>
  <w:abstractNum w:abstractNumId="103">
    <w:nsid w:val="5046B5A9"/>
    <w:multiLevelType w:val="hybridMultilevel"/>
    <w:lvl w:ilvl="0">
      <w:lvlJc w:val="left"/>
      <w:lvlText w:val="%1."/>
      <w:numFmt w:val="decimal"/>
      <w:start w:val="8"/>
    </w:lvl>
    <w:lvl w:ilvl="1">
      <w:lvlJc w:val="left"/>
      <w:lvlText w:val="(%2)"/>
      <w:numFmt w:val="lowerLetter"/>
      <w:start w:val="1"/>
    </w:lvl>
  </w:abstractNum>
  <w:abstractNum w:abstractNumId="104">
    <w:nsid w:val="5D888A08"/>
    <w:multiLevelType w:val="hybridMultilevel"/>
    <w:lvl w:ilvl="0">
      <w:lvlJc w:val="left"/>
      <w:lvlText w:val="%1."/>
      <w:numFmt w:val="decimal"/>
      <w:start w:val="9"/>
    </w:lvl>
    <w:lvl w:ilvl="1">
      <w:lvlJc w:val="left"/>
      <w:lvlText w:val="(%2)"/>
      <w:numFmt w:val="lowerLetter"/>
      <w:start w:val="1"/>
    </w:lvl>
  </w:abstractNum>
  <w:abstractNum w:abstractNumId="105">
    <w:nsid w:val="2A082C70"/>
    <w:multiLevelType w:val="hybridMultilevel"/>
    <w:lvl w:ilvl="0">
      <w:lvlJc w:val="left"/>
      <w:lvlText w:val="%1"/>
      <w:numFmt w:val="decimal"/>
      <w:start w:val="1"/>
    </w:lvl>
    <w:lvl w:ilvl="1">
      <w:lvlJc w:val="left"/>
      <w:lvlText w:val="(%2)"/>
      <w:numFmt w:val="lowerRoman"/>
      <w:start w:val="1"/>
    </w:lvl>
  </w:abstractNum>
  <w:abstractNum w:abstractNumId="106">
    <w:nsid w:val="5EC6AFD4"/>
    <w:multiLevelType w:val="hybridMultilevel"/>
    <w:lvl w:ilvl="0">
      <w:lvlJc w:val="left"/>
      <w:lvlText w:val="%1."/>
      <w:numFmt w:val="decimal"/>
      <w:start w:val="11"/>
    </w:lvl>
    <w:lvl w:ilvl="1">
      <w:lvlJc w:val="left"/>
      <w:lvlText w:val="%2"/>
      <w:numFmt w:val="lowerRoman"/>
      <w:start w:val="1"/>
    </w:lvl>
  </w:abstractNum>
  <w:abstractNum w:abstractNumId="107">
    <w:nsid w:val="19E21BB2"/>
    <w:multiLevelType w:val="hybridMultilevel"/>
    <w:lvl w:ilvl="0">
      <w:lvlJc w:val="left"/>
      <w:lvlText w:val="%1."/>
      <w:numFmt w:val="decimal"/>
      <w:start w:val="12"/>
    </w:lvl>
  </w:abstractNum>
  <w:abstractNum w:abstractNumId="108">
    <w:nsid w:val="75E0858A"/>
    <w:multiLevelType w:val="hybridMultilevel"/>
    <w:lvl w:ilvl="0">
      <w:lvlJc w:val="left"/>
      <w:lvlText w:val="%1."/>
      <w:numFmt w:val="decimal"/>
      <w:start w:val="13"/>
    </w:lvl>
  </w:abstractNum>
  <w:abstractNum w:abstractNumId="109">
    <w:nsid w:val="57A61A29"/>
    <w:multiLevelType w:val="hybridMultilevel"/>
    <w:lvl w:ilvl="0">
      <w:lvlJc w:val="left"/>
      <w:lvlText w:val="%1."/>
      <w:numFmt w:val="decimal"/>
      <w:start w:val="14"/>
    </w:lvl>
    <w:lvl w:ilvl="1">
      <w:lvlJc w:val="left"/>
      <w:lvlText w:val="(%2)"/>
      <w:numFmt w:val="lowerLetter"/>
      <w:start w:val="1"/>
    </w:lvl>
  </w:abstractNum>
  <w:abstractNum w:abstractNumId="110">
    <w:nsid w:val="5399C654"/>
    <w:multiLevelType w:val="hybridMultilevel"/>
    <w:lvl w:ilvl="0">
      <w:lvlJc w:val="left"/>
      <w:lvlText w:val="%1"/>
      <w:numFmt w:val="decimal"/>
      <w:start w:val="1"/>
    </w:lvl>
    <w:lvl w:ilvl="1">
      <w:lvlJc w:val="left"/>
      <w:lvlText w:val="(%2)"/>
      <w:numFmt w:val="lowerLetter"/>
      <w:start w:val="2"/>
    </w:lvl>
  </w:abstractNum>
  <w:abstractNum w:abstractNumId="111">
    <w:nsid w:val="20EE1348"/>
    <w:multiLevelType w:val="hybridMultilevel"/>
    <w:lvl w:ilvl="0">
      <w:lvlJc w:val="left"/>
      <w:lvlText w:val="%1."/>
      <w:numFmt w:val="decimal"/>
      <w:start w:val="16"/>
    </w:lvl>
    <w:lvl w:ilvl="1">
      <w:lvlJc w:val="left"/>
      <w:lvlText w:val="(%2)"/>
      <w:numFmt w:val="lowerLetter"/>
      <w:start w:val="1"/>
    </w:lvl>
  </w:abstractNum>
  <w:abstractNum w:abstractNumId="112">
    <w:nsid w:val="4427069A"/>
    <w:multiLevelType w:val="hybridMultilevel"/>
    <w:lvl w:ilvl="0">
      <w:lvlJc w:val="left"/>
      <w:lvlText w:val="%1"/>
      <w:numFmt w:val="decimal"/>
      <w:start w:val="1"/>
    </w:lvl>
    <w:lvl w:ilvl="1">
      <w:lvlJc w:val="left"/>
      <w:lvlText w:val="(%2)"/>
      <w:numFmt w:val="lowerLetter"/>
      <w:start w:val="3"/>
    </w:lvl>
  </w:abstractNum>
  <w:abstractNum w:abstractNumId="113">
    <w:nsid w:val="B37E80A"/>
    <w:multiLevelType w:val="hybridMultilevel"/>
    <w:lvl w:ilvl="0">
      <w:lvlJc w:val="left"/>
      <w:lvlText w:val="%1."/>
      <w:numFmt w:val="decimal"/>
      <w:start w:val="18"/>
    </w:lvl>
    <w:lvl w:ilvl="1">
      <w:lvlJc w:val="left"/>
      <w:lvlText w:val="%2"/>
      <w:numFmt w:val="lowerLetter"/>
      <w:start w:val="1"/>
    </w:lvl>
  </w:abstractNum>
  <w:abstractNum w:abstractNumId="114">
    <w:nsid w:val="2157F6BC"/>
    <w:multiLevelType w:val="hybridMultilevel"/>
    <w:lvl w:ilvl="0">
      <w:lvlJc w:val="left"/>
      <w:lvlText w:val="%1."/>
      <w:numFmt w:val="decimal"/>
      <w:start w:val="19"/>
    </w:lvl>
  </w:abstractNum>
  <w:abstractNum w:abstractNumId="115">
    <w:nsid w:val="704E1DD5"/>
    <w:multiLevelType w:val="hybridMultilevel"/>
    <w:lvl w:ilvl="0">
      <w:lvlJc w:val="left"/>
      <w:lvlText w:val="-"/>
      <w:numFmt w:val="bullet"/>
      <w:start w:val="1"/>
    </w:lvl>
  </w:abstractNum>
  <w:abstractNum w:abstractNumId="116">
    <w:nsid w:val="57D2F10E"/>
    <w:multiLevelType w:val="hybridMultilevel"/>
    <w:lvl w:ilvl="0">
      <w:lvlJc w:val="left"/>
      <w:lvlText w:val="-"/>
      <w:numFmt w:val="bullet"/>
      <w:start w:val="1"/>
    </w:lvl>
  </w:abstractNum>
  <w:abstractNum w:abstractNumId="117">
    <w:nsid w:val="BFFAE18"/>
    <w:multiLevelType w:val="hybridMultilevel"/>
    <w:lvl w:ilvl="0">
      <w:lvlJc w:val="left"/>
      <w:lvlText w:val="%1."/>
      <w:numFmt w:val="decimal"/>
      <w:start w:val="1"/>
    </w:lvl>
    <w:lvl w:ilvl="1">
      <w:lvlJc w:val="left"/>
      <w:lvlText w:val="(%2)"/>
      <w:numFmt w:val="lowerLetter"/>
      <w:start w:val="1"/>
    </w:lvl>
  </w:abstractNum>
  <w:abstractNum w:abstractNumId="118">
    <w:nsid w:val="E3E47A8"/>
    <w:multiLevelType w:val="hybridMultilevel"/>
    <w:lvl w:ilvl="0">
      <w:lvlJc w:val="left"/>
      <w:lvlText w:val="%1."/>
      <w:numFmt w:val="decimal"/>
      <w:start w:val="2"/>
    </w:lvl>
    <w:lvl w:ilvl="1">
      <w:lvlJc w:val="left"/>
      <w:lvlText w:val="(%2)"/>
      <w:numFmt w:val="lowerLetter"/>
      <w:start w:val="1"/>
    </w:lvl>
  </w:abstractNum>
  <w:abstractNum w:abstractNumId="119">
    <w:nsid w:val="2E48F044"/>
    <w:multiLevelType w:val="hybridMultilevel"/>
    <w:lvl w:ilvl="0">
      <w:lvlJc w:val="left"/>
      <w:lvlText w:val="%1."/>
      <w:numFmt w:val="decimal"/>
      <w:start w:val="4"/>
    </w:lvl>
  </w:abstractNum>
  <w:abstractNum w:abstractNumId="120">
    <w:nsid w:val="49D0FEAC"/>
    <w:multiLevelType w:val="hybridMultilevel"/>
    <w:lvl w:ilvl="0">
      <w:lvlJc w:val="left"/>
      <w:lvlText w:val="%1."/>
      <w:numFmt w:val="decimal"/>
      <w:start w:val="5"/>
    </w:lvl>
  </w:abstractNum>
  <w:abstractNum w:abstractNumId="121">
    <w:nsid w:val="4BEE5A5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2">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23">
    <w:nsid w:val="24F6AB8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4">
    <w:nsid w:val="634C574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25">
    <w:nsid w:val="24E99DD7"/>
    <w:multiLevelType w:val="hybridMultilevel"/>
    <w:lvl w:ilvl="0">
      <w:lvlJc w:val="left"/>
      <w:lvlText w:val="%1."/>
      <w:numFmt w:val="decimal"/>
      <w:start w:val="9"/>
    </w:lvl>
    <w:lvl w:ilvl="1">
      <w:lvlJc w:val="left"/>
      <w:lvlText w:val="(%2)"/>
      <w:numFmt w:val="lowerLetter"/>
      <w:start w:val="1"/>
    </w:lvl>
  </w:abstractNum>
  <w:abstractNum w:abstractNumId="126">
    <w:nsid w:val="2A31B62D"/>
    <w:multiLevelType w:val="hybridMultilevel"/>
    <w:lvl w:ilvl="0">
      <w:lvlJc w:val="left"/>
      <w:lvlText w:val="%1"/>
      <w:numFmt w:val="decimal"/>
      <w:start w:val="1"/>
    </w:lvl>
    <w:lvl w:ilvl="1">
      <w:lvlJc w:val="left"/>
      <w:lvlText w:val="(%2)"/>
      <w:numFmt w:val="lowerRoman"/>
      <w:start w:val="1"/>
    </w:lvl>
  </w:abstractNum>
  <w:abstractNum w:abstractNumId="127">
    <w:nsid w:val="1849C29B"/>
    <w:multiLevelType w:val="hybridMultilevel"/>
    <w:lvl w:ilvl="0">
      <w:lvlJc w:val="left"/>
      <w:lvlText w:val="%1."/>
      <w:numFmt w:val="decimal"/>
      <w:start w:val="11"/>
    </w:lvl>
    <w:lvl w:ilvl="1">
      <w:lvlJc w:val="left"/>
      <w:lvlText w:val="%2"/>
      <w:numFmt w:val="lowerRoman"/>
      <w:start w:val="1"/>
    </w:lvl>
  </w:abstractNum>
  <w:abstractNum w:abstractNumId="128">
    <w:nsid w:val="7DFF9D09"/>
    <w:multiLevelType w:val="hybridMultilevel"/>
    <w:lvl w:ilvl="0">
      <w:lvlJc w:val="left"/>
      <w:lvlText w:val="%1."/>
      <w:numFmt w:val="decimal"/>
      <w:start w:val="12"/>
    </w:lvl>
  </w:abstractNum>
  <w:abstractNum w:abstractNumId="129">
    <w:nsid w:val="754342"/>
    <w:multiLevelType w:val="hybridMultilevel"/>
    <w:lvl w:ilvl="0">
      <w:lvlJc w:val="left"/>
      <w:lvlText w:val="%1."/>
      <w:numFmt w:val="decimal"/>
      <w:start w:val="13"/>
    </w:lvl>
  </w:abstractNum>
  <w:abstractNum w:abstractNumId="130">
    <w:nsid w:val="69E7F3E5"/>
    <w:multiLevelType w:val="hybridMultilevel"/>
    <w:lvl w:ilvl="0">
      <w:lvlJc w:val="left"/>
      <w:lvlText w:val="%1."/>
      <w:numFmt w:val="decimal"/>
      <w:start w:val="14"/>
    </w:lvl>
    <w:lvl w:ilvl="1">
      <w:lvlJc w:val="left"/>
      <w:lvlText w:val="(%2)"/>
      <w:numFmt w:val="lowerLetter"/>
      <w:start w:val="1"/>
    </w:lvl>
  </w:abstractNum>
  <w:abstractNum w:abstractNumId="131">
    <w:nsid w:val="2A6DE806"/>
    <w:multiLevelType w:val="hybridMultilevel"/>
    <w:lvl w:ilvl="0">
      <w:lvlJc w:val="left"/>
      <w:lvlText w:val="%1"/>
      <w:numFmt w:val="decimal"/>
      <w:start w:val="1"/>
    </w:lvl>
    <w:lvl w:ilvl="1">
      <w:lvlJc w:val="left"/>
      <w:lvlText w:val="(%2)"/>
      <w:numFmt w:val="lowerLetter"/>
      <w:start w:val="2"/>
    </w:lvl>
  </w:abstractNum>
  <w:abstractNum w:abstractNumId="132">
    <w:nsid w:val="1816F8C4"/>
    <w:multiLevelType w:val="hybridMultilevel"/>
    <w:lvl w:ilvl="0">
      <w:lvlJc w:val="left"/>
      <w:lvlText w:val="%1."/>
      <w:numFmt w:val="decimal"/>
      <w:start w:val="16"/>
    </w:lvl>
    <w:lvl w:ilvl="1">
      <w:lvlJc w:val="left"/>
      <w:lvlText w:val="(%2)"/>
      <w:numFmt w:val="lowerLetter"/>
      <w:start w:val="1"/>
    </w:lvl>
  </w:abstractNum>
  <w:abstractNum w:abstractNumId="133">
    <w:nsid w:val="37DF2233"/>
    <w:multiLevelType w:val="hybridMultilevel"/>
    <w:lvl w:ilvl="0">
      <w:lvlJc w:val="left"/>
      <w:lvlText w:val="%1"/>
      <w:numFmt w:val="decimal"/>
      <w:start w:val="1"/>
    </w:lvl>
    <w:lvl w:ilvl="1">
      <w:lvlJc w:val="left"/>
      <w:lvlText w:val="(%2)"/>
      <w:numFmt w:val="lowerLetter"/>
      <w:start w:val="2"/>
    </w:lvl>
  </w:abstractNum>
  <w:abstractNum w:abstractNumId="134">
    <w:nsid w:val="7AB49DAF"/>
    <w:multiLevelType w:val="hybridMultilevel"/>
    <w:lvl w:ilvl="0">
      <w:lvlJc w:val="left"/>
      <w:lvlText w:val="%1."/>
      <w:numFmt w:val="decimal"/>
      <w:start w:val="18"/>
    </w:lvl>
    <w:lvl w:ilvl="1">
      <w:lvlJc w:val="left"/>
      <w:lvlText w:val="%2"/>
      <w:numFmt w:val="lowerLetter"/>
      <w:start w:val="1"/>
    </w:lvl>
  </w:abstractNum>
  <w:abstractNum w:abstractNumId="135">
    <w:nsid w:val="759F82CD"/>
    <w:multiLevelType w:val="hybridMultilevel"/>
    <w:lvl w:ilvl="0">
      <w:lvlJc w:val="left"/>
      <w:lvlText w:val="%1."/>
      <w:numFmt w:val="decimal"/>
      <w:start w:val="19"/>
    </w:lvl>
  </w:abstractNum>
  <w:abstractNum w:abstractNumId="136">
    <w:nsid w:val="61E74EA3"/>
    <w:multiLevelType w:val="hybridMultilevel"/>
    <w:lvl w:ilvl="0">
      <w:lvlJc w:val="left"/>
      <w:lvlText w:val="(%1)"/>
      <w:numFmt w:val="decimal"/>
      <w:start w:val="1"/>
    </w:lvl>
  </w:abstractNum>
  <w:abstractNum w:abstractNumId="137">
    <w:nsid w:val="597B4D84"/>
    <w:multiLevelType w:val="hybridMultilevel"/>
    <w:lvl w:ilvl="0">
      <w:lvlJc w:val="left"/>
      <w:lvlText w:val="%1."/>
      <w:numFmt w:val="decimal"/>
      <w:start w:val="1"/>
    </w:lvl>
  </w:abstractNum>
  <w:abstractNum w:abstractNumId="138">
    <w:nsid w:val="F819E7F"/>
    <w:multiLevelType w:val="hybridMultilevel"/>
    <w:lvl w:ilvl="0">
      <w:lvlJc w:val="left"/>
      <w:lvlText w:val="%1."/>
      <w:numFmt w:val="decimal"/>
      <w:start w:val="2"/>
    </w:lvl>
  </w:abstractNum>
  <w:abstractNum w:abstractNumId="139">
    <w:nsid w:val="57C7D42D"/>
    <w:multiLevelType w:val="hybridMultilevel"/>
    <w:lvl w:ilvl="0">
      <w:lvlJc w:val="left"/>
      <w:lvlText w:val="(%1)"/>
      <w:numFmt w:val="lowerLetter"/>
      <w:start w:val="9"/>
    </w:lvl>
  </w:abstractNum>
  <w:abstractNum w:abstractNumId="140">
    <w:nsid w:val="312167AD"/>
    <w:multiLevelType w:val="hybridMultilevel"/>
    <w:lvl w:ilvl="0">
      <w:lvlJc w:val="left"/>
      <w:lvlText w:val="(%1)"/>
      <w:numFmt w:val="lowerLetter"/>
      <w:start w:val="25"/>
    </w:lvl>
  </w:abstractNum>
  <w:abstractNum w:abstractNumId="141">
    <w:nsid w:val="631B64D4"/>
    <w:multiLevelType w:val="hybridMultilevel"/>
    <w:lvl w:ilvl="0">
      <w:lvlJc w:val="left"/>
      <w:lvlText w:val="%1."/>
      <w:numFmt w:val="decimal"/>
      <w:start w:val="3"/>
    </w:lvl>
  </w:abstractNum>
  <w:abstractNum w:abstractNumId="142">
    <w:nsid w:val="78B5E776"/>
    <w:multiLevelType w:val="hybridMultilevel"/>
    <w:lvl w:ilvl="0">
      <w:lvlJc w:val="left"/>
      <w:lvlText w:val="☐"/>
      <w:numFmt w:val="bullet"/>
      <w:start w:val="1"/>
    </w:lvl>
  </w:abstractNum>
  <w:abstractNum w:abstractNumId="143">
    <w:nsid w:val="75486E47"/>
    <w:multiLevelType w:val="hybridMultilevel"/>
    <w:lvl w:ilvl="0">
      <w:lvlJc w:val="left"/>
      <w:lvlText w:val="%1)"/>
      <w:numFmt w:val="decimal"/>
      <w:start w:val="1"/>
    </w:lvl>
    <w:lvl w:ilvl="1">
      <w:lvlJc w:val="left"/>
      <w:lvlText w:val="%2)"/>
      <w:numFmt w:val="lowerLetter"/>
      <w:start w:val="1"/>
    </w:lvl>
  </w:abstractNum>
  <w:abstractNum w:abstractNumId="144">
    <w:nsid w:val="6E534CDE"/>
    <w:multiLevelType w:val="hybridMultilevel"/>
    <w:lvl w:ilvl="0">
      <w:lvlJc w:val="left"/>
      <w:lvlText w:val="%1"/>
      <w:numFmt w:val="decimal"/>
      <w:start w:val="1"/>
    </w:lvl>
    <w:lvl w:ilvl="1">
      <w:lvlJc w:val="left"/>
      <w:lvlText w:val="%2)"/>
      <w:numFmt w:val="lowerLetter"/>
      <w:start w:val="4"/>
    </w:lvl>
  </w:abstractNum>
  <w:abstractNum w:abstractNumId="145">
    <w:nsid w:val="1A0DDE32"/>
    <w:multiLevelType w:val="hybridMultilevel"/>
    <w:lvl w:ilvl="0">
      <w:lvlJc w:val="left"/>
      <w:lvlText w:val="%1)"/>
      <w:numFmt w:val="decimal"/>
      <w:start w:val="4"/>
    </w:lvl>
    <w:lvl w:ilvl="1">
      <w:lvlJc w:val="left"/>
      <w:lvlText w:val="%2"/>
      <w:numFmt w:val="lowerLetter"/>
      <w:start w:val="1"/>
    </w:lvl>
  </w:abstractNum>
  <w:abstractNum w:abstractNumId="146">
    <w:nsid w:val="65968C1C"/>
    <w:multiLevelType w:val="hybridMultilevel"/>
    <w:lvl w:ilvl="0">
      <w:lvlJc w:val="left"/>
      <w:lvlText w:val="%1)"/>
      <w:numFmt w:val="decimal"/>
      <w:start w:val="6"/>
    </w:lvl>
    <w:lvl w:ilvl="1">
      <w:lvlJc w:val="left"/>
      <w:lvlText w:val="%2)"/>
      <w:numFmt w:val="lowerLetter"/>
      <w:start w:val="1"/>
    </w:lvl>
  </w:abstractNum>
  <w:abstractNum w:abstractNumId="147">
    <w:nsid w:val="46263DEC"/>
    <w:multiLevelType w:val="hybridMultilevel"/>
    <w:lvl w:ilvl="0">
      <w:lvlJc w:val="left"/>
      <w:lvlText w:val="%1)"/>
      <w:numFmt w:val="decimal"/>
      <w:start w:val="8"/>
    </w:lvl>
  </w:abstractNum>
  <w:abstractNum w:abstractNumId="148">
    <w:nsid w:val="260D8C4A"/>
    <w:multiLevelType w:val="hybridMultilevel"/>
    <w:lvl w:ilvl="0">
      <w:lvlJc w:val="left"/>
      <w:lvlText w:val="%1."/>
      <w:numFmt w:val="decimal"/>
      <w:start w:val="1"/>
    </w:lvl>
    <w:lvl w:ilvl="1">
      <w:lvlJc w:val="left"/>
      <w:lvlText w:val="%2."/>
      <w:numFmt w:val="lowerLetter"/>
      <w:start w:val="1"/>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jpe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141" Type="http://schemas.openxmlformats.org/officeDocument/2006/relationships/hyperlink" Target="http://www.sec.gov/Archives/edgar/data/1526520/000119312511352247/d270719dex31.htm" TargetMode="External"/><Relationship Id="rId142" Type="http://schemas.openxmlformats.org/officeDocument/2006/relationships/hyperlink" Target="http://www.sec.gov/Archives/edgar/data/1526520/000119312511352247/d270719dex32.htm" TargetMode="External"/><Relationship Id="rId143" Type="http://schemas.openxmlformats.org/officeDocument/2006/relationships/hyperlink" Target="http://www.sec.gov/Archives/edgar/data/1526520/000119312513051925/d482592dex31.htm" TargetMode="External"/><Relationship Id="rId144" Type="http://schemas.openxmlformats.org/officeDocument/2006/relationships/hyperlink" Target="http://www.sec.gov/Archives/edgar/data/1324424/000119312511277905/d211678dex46.htm" TargetMode="External"/><Relationship Id="rId145" Type="http://schemas.openxmlformats.org/officeDocument/2006/relationships/hyperlink" Target="http://www.sec.gov/Archives/edgar/data/1526520/000119312511352247/d270719dex101.htm" TargetMode="External"/><Relationship Id="rId146" Type="http://schemas.openxmlformats.org/officeDocument/2006/relationships/hyperlink" Target="http://www.sec.gov/Archives/edgar/data/1526520/000119312511352247/d270719dex102.htm" TargetMode="External"/><Relationship Id="rId147" Type="http://schemas.openxmlformats.org/officeDocument/2006/relationships/hyperlink" Target="http://www.sec.gov/Archives/edgar/data/1526520/000156459016028323/trip-ex101_769.htm" TargetMode="External"/><Relationship Id="rId148" Type="http://schemas.openxmlformats.org/officeDocument/2006/relationships/hyperlink" Target="http://www.sec.gov/Archives/edgar/data/1526520/000119312511347224/d271461dex46.htm" TargetMode="External"/><Relationship Id="rId149" Type="http://schemas.openxmlformats.org/officeDocument/2006/relationships/hyperlink" Target="http://www.sec.gov/Archives/edgar/data/1526520/000119312513300521/d548543dex101.htm" TargetMode="External"/><Relationship Id="rId150" Type="http://schemas.openxmlformats.org/officeDocument/2006/relationships/hyperlink" Target="http://www.sec.gov/Archives/edgar/data/1526520/000119312513300521/d548543dex102.htm" TargetMode="External"/><Relationship Id="rId151" Type="http://schemas.openxmlformats.org/officeDocument/2006/relationships/hyperlink" Target="http://www.sec.gov/Archives/edgar/data/1526520/000119312516599160/d199565dex101.htm" TargetMode="External"/><Relationship Id="rId152" Type="http://schemas.openxmlformats.org/officeDocument/2006/relationships/hyperlink" Target="http://www.sec.gov/Archives/edgar/data/1526520/000156459014001822/trip-ex10_20140331242.htm" TargetMode="External"/><Relationship Id="rId153" Type="http://schemas.openxmlformats.org/officeDocument/2006/relationships/hyperlink" Target="http://www.sec.gov/Archives/edgar/data/1526520/000119312517198515/d411542dex101.htm" TargetMode="External"/><Relationship Id="rId154" Type="http://schemas.openxmlformats.org/officeDocument/2006/relationships/hyperlink" Target="http://www.sec.gov/Archives/edgar/data/1526520/000119312514340478/d756838dex991.htm" TargetMode="External"/><Relationship Id="rId155" Type="http://schemas.openxmlformats.org/officeDocument/2006/relationships/hyperlink" Target="http://www.sec.gov/Archives/edgar/data/1526520/000156459017009918/trip-ex101_967.htm" TargetMode="External"/><Relationship Id="rId158" Type="http://schemas.openxmlformats.org/officeDocument/2006/relationships/hyperlink" Target="http://www.sec.gov/Archives/edgar/data/1526520/000119312515241292/d947932dex101.htm" TargetMode="External"/><Relationship Id="rId159" Type="http://schemas.openxmlformats.org/officeDocument/2006/relationships/hyperlink" Target="http://www.sec.gov/Archives/edgar/data/1526520/000119312517170835/d393402dex101.htm" TargetMode="External"/><Relationship Id="rId160" Type="http://schemas.openxmlformats.org/officeDocument/2006/relationships/hyperlink" Target="http://www.sec.gov/Archives/edgar/data/1526520/000119312515340346/d10829dex101.htm" TargetMode="External"/><Relationship Id="rId161" Type="http://schemas.openxmlformats.org/officeDocument/2006/relationships/hyperlink" Target="http://www.sec.gov/Archives/edgar/data/1526520/000156459017016506/trip-ex104_6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2019-12-29T00:52:52Z</dcterms:created>
  <dcterms:modified xsi:type="dcterms:W3CDTF">2019-12-29T00:52:52Z</dcterms:modified>
</cp:coreProperties>
</file>