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TRIPADVISOR,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31" w:lineRule="exact"/>
        <w:rPr>
          <w:sz w:val="24"/>
          <w:szCs w:val="24"/>
          <w:color w:val="auto"/>
        </w:rPr>
      </w:pPr>
    </w:p>
    <w:p>
      <w:pPr>
        <w:sectPr>
          <w:pgSz w:w="11900" w:h="16838" w:orient="portrait"/>
          <w:cols w:equalWidth="0" w:num="2">
            <w:col w:w="7500" w:space="720"/>
            <w:col w:w="3180"/>
          </w:cols>
          <w:pgMar w:left="240" w:top="230" w:right="259" w:bottom="144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20"/>
          </w:cols>
          <w:pgMar w:left="240" w:top="230" w:right="259" w:bottom="1440" w:gutter="0" w:footer="0" w:header="0"/>
          <w:type w:val="continuous"/>
        </w:sectPr>
      </w:pPr>
    </w:p>
    <w:p>
      <w:pPr>
        <w:spacing w:after="0" w:line="1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141 Needham Street</w:t>
      </w:r>
    </w:p>
    <w:p>
      <w:pPr>
        <w:spacing w:after="0" w:line="27"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Newton, MA 02464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 (Zip Code)</w:t>
      </w:r>
    </w:p>
    <w:p>
      <w:pPr>
        <w:sectPr>
          <w:pgSz w:w="11900" w:h="16838" w:orient="portrait"/>
          <w:cols w:equalWidth="0" w:num="1">
            <w:col w:w="11400"/>
          </w:cols>
          <w:pgMar w:left="240" w:top="230" w:right="259" w:bottom="1440" w:gutter="0" w:footer="0" w:header="0"/>
          <w:type w:val="continuous"/>
        </w:sect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670-6300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00"/>
          </w:cols>
          <w:pgMar w:left="240" w:top="230" w:right="259" w:bottom="1440" w:gutter="0" w:footer="0" w:header="0"/>
          <w:type w:val="continuous"/>
        </w:sectPr>
      </w:pPr>
    </w:p>
    <w:bookmarkStart w:id="1" w:name="page2"/>
    <w:bookmarkEnd w:id="1"/>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64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gridSpan w:val="2"/>
          </w:tcPr>
          <w:p>
            <w:pPr>
              <w:ind w:left="14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640" w:type="dxa"/>
            <w:vAlign w:val="bottom"/>
            <w:gridSpan w:val="3"/>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gridSpan w:val="2"/>
          </w:tcPr>
          <w:p>
            <w:pPr>
              <w:ind w:left="14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1040" w:type="dxa"/>
            <w:vAlign w:val="bottom"/>
            <w:gridSpan w:val="6"/>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11040" w:type="dxa"/>
            <w:vAlign w:val="bottom"/>
            <w:gridSpan w:val="6"/>
          </w:tcPr>
          <w:p>
            <w:pPr>
              <w:spacing w:after="0"/>
              <w:rPr>
                <w:sz w:val="20"/>
                <w:szCs w:val="20"/>
                <w:color w:val="auto"/>
              </w:rPr>
            </w:pPr>
            <w:r>
              <w:rPr>
                <w:rFonts w:ascii="Arial" w:cs="Arial" w:eastAsia="Arial" w:hAnsi="Arial"/>
                <w:sz w:val="18"/>
                <w:szCs w:val="18"/>
                <w:color w:val="auto"/>
              </w:rPr>
              <w:t>Indicates the number of shares outstanding of each of the issuer’s classes of common stock as of the latest practicable date:</w:t>
            </w:r>
          </w:p>
        </w:tc>
        <w:tc>
          <w:tcPr>
            <w:tcW w:w="380" w:type="dxa"/>
            <w:vAlign w:val="bottom"/>
          </w:tcPr>
          <w:p>
            <w:pPr>
              <w:spacing w:after="0"/>
              <w:rPr>
                <w:sz w:val="24"/>
                <w:szCs w:val="24"/>
                <w:color w:val="auto"/>
              </w:rPr>
            </w:pPr>
          </w:p>
        </w:tc>
      </w:tr>
      <w:tr>
        <w:trPr>
          <w:trHeight w:val="392"/>
        </w:trPr>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00" w:type="dxa"/>
            <w:vAlign w:val="bottom"/>
            <w:gridSpan w:val="2"/>
          </w:tcPr>
          <w:p>
            <w:pPr>
              <w:jc w:val="center"/>
              <w:ind w:right="4270"/>
              <w:spacing w:after="0"/>
              <w:rPr>
                <w:sz w:val="20"/>
                <w:szCs w:val="20"/>
                <w:color w:val="auto"/>
              </w:rPr>
            </w:pPr>
            <w:r>
              <w:rPr>
                <w:rFonts w:ascii="Arial" w:cs="Arial" w:eastAsia="Arial" w:hAnsi="Arial"/>
                <w:sz w:val="14"/>
                <w:szCs w:val="14"/>
                <w:b w:val="1"/>
                <w:bCs w:val="1"/>
                <w:color w:val="auto"/>
                <w:w w:val="90"/>
              </w:rPr>
              <w:t>Class</w:t>
            </w:r>
          </w:p>
        </w:tc>
        <w:tc>
          <w:tcPr>
            <w:tcW w:w="362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2"/>
              </w:rPr>
              <w:t>Outstanding Shares at October 17, 2013</w:t>
            </w:r>
          </w:p>
        </w:tc>
        <w:tc>
          <w:tcPr>
            <w:tcW w:w="380" w:type="dxa"/>
            <w:vAlign w:val="bottom"/>
          </w:tcPr>
          <w:p>
            <w:pPr>
              <w:spacing w:after="0"/>
              <w:rPr>
                <w:sz w:val="24"/>
                <w:szCs w:val="24"/>
                <w:color w:val="auto"/>
              </w:rPr>
            </w:pPr>
          </w:p>
        </w:tc>
      </w:tr>
      <w:tr>
        <w:trPr>
          <w:trHeight w:val="195"/>
        </w:trPr>
        <w:tc>
          <w:tcPr>
            <w:tcW w:w="2720" w:type="dxa"/>
            <w:vAlign w:val="bottom"/>
            <w:gridSpan w:val="2"/>
          </w:tcPr>
          <w:p>
            <w:pPr>
              <w:ind w:left="1340"/>
              <w:spacing w:after="0" w:line="195" w:lineRule="exact"/>
              <w:rPr>
                <w:sz w:val="20"/>
                <w:szCs w:val="20"/>
                <w:color w:val="auto"/>
              </w:rPr>
            </w:pPr>
            <w:r>
              <w:rPr>
                <w:rFonts w:ascii="Arial" w:cs="Arial" w:eastAsia="Arial" w:hAnsi="Arial"/>
                <w:sz w:val="18"/>
                <w:szCs w:val="18"/>
                <w:color w:val="auto"/>
                <w:w w:val="95"/>
              </w:rPr>
              <w:t>Common Stock, $</w:t>
            </w:r>
          </w:p>
        </w:tc>
        <w:tc>
          <w:tcPr>
            <w:tcW w:w="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0"/>
              </w:rPr>
              <w:t>0.001</w:t>
            </w:r>
          </w:p>
        </w:tc>
        <w:tc>
          <w:tcPr>
            <w:tcW w:w="4360" w:type="dxa"/>
            <w:vAlign w:val="bottom"/>
          </w:tcPr>
          <w:p>
            <w:pPr>
              <w:ind w:left="20"/>
              <w:spacing w:after="0" w:line="195" w:lineRule="exact"/>
              <w:rPr>
                <w:sz w:val="20"/>
                <w:szCs w:val="20"/>
                <w:color w:val="auto"/>
              </w:rPr>
            </w:pPr>
            <w:r>
              <w:rPr>
                <w:rFonts w:ascii="Arial" w:cs="Arial" w:eastAsia="Arial" w:hAnsi="Arial"/>
                <w:sz w:val="18"/>
                <w:szCs w:val="18"/>
                <w:color w:val="auto"/>
              </w:rPr>
              <w:t>par value per share</w:t>
            </w:r>
          </w:p>
        </w:tc>
        <w:tc>
          <w:tcPr>
            <w:tcW w:w="2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129,262,489 shares</w:t>
            </w: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30"/>
        </w:trPr>
        <w:tc>
          <w:tcPr>
            <w:tcW w:w="7420" w:type="dxa"/>
            <w:vAlign w:val="bottom"/>
            <w:gridSpan w:val="4"/>
          </w:tcPr>
          <w:p>
            <w:pPr>
              <w:jc w:val="center"/>
              <w:ind w:right="1550"/>
              <w:spacing w:after="0"/>
              <w:rPr>
                <w:sz w:val="20"/>
                <w:szCs w:val="20"/>
                <w:color w:val="auto"/>
              </w:rPr>
            </w:pPr>
            <w:r>
              <w:rPr>
                <w:rFonts w:ascii="Arial" w:cs="Arial" w:eastAsia="Arial" w:hAnsi="Arial"/>
                <w:sz w:val="18"/>
                <w:szCs w:val="18"/>
                <w:color w:val="auto"/>
                <w:w w:val="89"/>
              </w:rPr>
              <w:t>Class B common stock, $0.001 par value per share</w:t>
            </w:r>
          </w:p>
        </w:tc>
        <w:tc>
          <w:tcPr>
            <w:tcW w:w="3620" w:type="dxa"/>
            <w:vAlign w:val="bottom"/>
            <w:gridSpan w:val="2"/>
          </w:tcPr>
          <w:p>
            <w:pPr>
              <w:jc w:val="center"/>
              <w:ind w:right="1160"/>
              <w:spacing w:after="0"/>
              <w:rPr>
                <w:sz w:val="20"/>
                <w:szCs w:val="20"/>
                <w:color w:val="auto"/>
              </w:rPr>
            </w:pPr>
            <w:r>
              <w:rPr>
                <w:rFonts w:ascii="Arial" w:cs="Arial" w:eastAsia="Arial" w:hAnsi="Arial"/>
                <w:sz w:val="18"/>
                <w:szCs w:val="18"/>
                <w:color w:val="auto"/>
                <w:w w:val="87"/>
              </w:rPr>
              <w:t>12,799,999 shares</w:t>
            </w:r>
          </w:p>
        </w:tc>
        <w:tc>
          <w:tcPr>
            <w:tcW w:w="380" w:type="dxa"/>
            <w:vAlign w:val="bottom"/>
          </w:tcPr>
          <w:p>
            <w:pPr>
              <w:spacing w:after="0"/>
              <w:rPr>
                <w:sz w:val="20"/>
                <w:szCs w:val="20"/>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 Ended September 30, 2013</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18"/>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1060" w:type="dxa"/>
            <w:vAlign w:val="bottom"/>
            <w:gridSpan w:val="18"/>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060" w:type="dxa"/>
            <w:vAlign w:val="bottom"/>
            <w:gridSpan w:val="18"/>
          </w:tcPr>
          <w:p>
            <w:pPr>
              <w:spacing w:after="0"/>
              <w:rPr>
                <w:sz w:val="20"/>
                <w:szCs w:val="20"/>
                <w:color w:val="auto"/>
              </w:rPr>
            </w:pPr>
            <w:r>
              <w:rPr>
                <w:rFonts w:ascii="Arial" w:cs="Arial" w:eastAsia="Arial" w:hAnsi="Arial"/>
                <w:sz w:val="18"/>
                <w:szCs w:val="18"/>
                <w:color w:val="auto"/>
              </w:rPr>
              <w:t>Item 1. Unaudited Consolidated Financial Statements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80" w:type="dxa"/>
            <w:vAlign w:val="bottom"/>
          </w:tcPr>
          <w:p>
            <w:pPr>
              <w:spacing w:after="0"/>
              <w:rPr>
                <w:sz w:val="24"/>
                <w:szCs w:val="24"/>
                <w:color w:val="auto"/>
              </w:rPr>
            </w:pPr>
          </w:p>
        </w:tc>
        <w:tc>
          <w:tcPr>
            <w:tcW w:w="106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 for the Three and Nine Months Ended September 30, 2013 and 2012</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5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Consolidated Statements of Comprehensive Income for the Three and Nine Months Ended September 30, 2013 and 2012</w:t>
              </w:r>
            </w:hyperlink>
          </w:p>
        </w:tc>
        <w:tc>
          <w:tcPr>
            <w:tcW w:w="1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8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Consolidated Balance Sheets at September 30, 2013 and December 31, 2012</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68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 of Changes in Stockholders’ Equity for the Nine Months Ended September 30, 2013</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660" w:type="dxa"/>
            <w:vAlign w:val="bottom"/>
            <w:tcBorders>
              <w:top w:val="single" w:sz="8" w:color="0000EE"/>
            </w:tcBorders>
            <w:gridSpan w:val="15"/>
          </w:tcPr>
          <w:p>
            <w:pPr>
              <w:spacing w:after="0" w:line="196"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Unaudited Consolidated Statements of Cash Flows for the Nine Months Ended September 30, 2013 and 2012</w:t>
              </w:r>
            </w:hyperlink>
          </w:p>
        </w:tc>
        <w:tc>
          <w:tcPr>
            <w:tcW w:w="202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8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282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40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Item 4.</w:t>
              </w:r>
            </w:hyperlink>
          </w:p>
        </w:tc>
        <w:tc>
          <w:tcPr>
            <w:tcW w:w="180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Controls and Procedures</w:t>
              </w:r>
            </w:hyperlink>
          </w:p>
        </w:tc>
        <w:tc>
          <w:tcPr>
            <w:tcW w:w="872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216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44">
              <w:r>
                <w:rPr>
                  <w:rFonts w:ascii="Arial" w:cs="Arial" w:eastAsia="Arial" w:hAnsi="Arial"/>
                  <w:sz w:val="18"/>
                  <w:szCs w:val="18"/>
                  <w:b w:val="1"/>
                  <w:bCs w:val="1"/>
                  <w:color w:val="0000EE"/>
                  <w:w w:val="97"/>
                </w:rPr>
                <w:t>Part II—Other Information</w:t>
              </w:r>
            </w:hyperlink>
          </w:p>
        </w:tc>
        <w:tc>
          <w:tcPr>
            <w:tcW w:w="8900" w:type="dxa"/>
            <w:vAlign w:val="bottom"/>
            <w:gridSpan w:val="11"/>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44">
              <w:r>
                <w:rPr>
                  <w:rFonts w:ascii="Arial" w:cs="Arial" w:eastAsia="Arial" w:hAnsi="Arial"/>
                  <w:sz w:val="18"/>
                  <w:szCs w:val="18"/>
                  <w:color w:val="0000EE"/>
                  <w:w w:val="94"/>
                </w:rPr>
                <w:t>Item 1.</w:t>
              </w:r>
            </w:hyperlink>
          </w:p>
        </w:tc>
        <w:tc>
          <w:tcPr>
            <w:tcW w:w="1360" w:type="dxa"/>
            <w:vAlign w:val="bottom"/>
            <w:tcBorders>
              <w:bottom w:val="single" w:sz="8" w:color="0000EE"/>
            </w:tcBorders>
            <w:gridSpan w:val="4"/>
          </w:tcPr>
          <w:p>
            <w:pPr>
              <w:ind w:left="20"/>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Legal Proceedings</w:t>
              </w:r>
            </w:hyperlink>
          </w:p>
        </w:tc>
        <w:tc>
          <w:tcPr>
            <w:tcW w:w="916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Item 1A. Risk Factors</w:t>
              </w:r>
            </w:hyperlink>
          </w:p>
        </w:tc>
        <w:tc>
          <w:tcPr>
            <w:tcW w:w="946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44">
              <w:r>
                <w:rPr>
                  <w:rFonts w:ascii="Arial" w:cs="Arial" w:eastAsia="Arial" w:hAnsi="Arial"/>
                  <w:sz w:val="18"/>
                  <w:szCs w:val="18"/>
                  <w:color w:val="0000EE"/>
                  <w:w w:val="94"/>
                </w:rPr>
                <w:t>Item 2.</w:t>
              </w:r>
            </w:hyperlink>
          </w:p>
        </w:tc>
        <w:tc>
          <w:tcPr>
            <w:tcW w:w="438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Unregistered Sales of Equity Securities and Use of Proceeds</w:t>
              </w:r>
            </w:hyperlink>
          </w:p>
        </w:tc>
        <w:tc>
          <w:tcPr>
            <w:tcW w:w="614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45">
              <w:r>
                <w:rPr>
                  <w:rFonts w:ascii="Arial" w:cs="Arial" w:eastAsia="Arial" w:hAnsi="Arial"/>
                  <w:sz w:val="18"/>
                  <w:szCs w:val="18"/>
                  <w:color w:val="0000EE"/>
                  <w:w w:val="94"/>
                </w:rPr>
                <w:t>Item 6.</w:t>
              </w:r>
            </w:hyperlink>
          </w:p>
        </w:tc>
        <w:tc>
          <w:tcPr>
            <w:tcW w:w="10520" w:type="dxa"/>
            <w:vAlign w:val="bottom"/>
            <w:gridSpan w:val="16"/>
          </w:tcPr>
          <w:p>
            <w:pPr>
              <w:ind w:left="20"/>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76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9"/>
              </w:rPr>
            </w:pPr>
            <w:hyperlink w:anchor="page46">
              <w:r>
                <w:rPr>
                  <w:rFonts w:ascii="Arial" w:cs="Arial" w:eastAsia="Arial" w:hAnsi="Arial"/>
                  <w:sz w:val="18"/>
                  <w:szCs w:val="18"/>
                  <w:b w:val="1"/>
                  <w:bCs w:val="1"/>
                  <w:color w:val="0000EE"/>
                  <w:w w:val="89"/>
                </w:rPr>
                <w:t>Signature</w:t>
              </w:r>
            </w:hyperlink>
          </w:p>
        </w:tc>
        <w:tc>
          <w:tcPr>
            <w:tcW w:w="400" w:type="dxa"/>
            <w:vAlign w:val="bottom"/>
            <w:tcBorders>
              <w:top w:val="single" w:sz="8" w:color="0000EE"/>
            </w:tcBorders>
          </w:tcPr>
          <w:p>
            <w:pPr>
              <w:spacing w:after="0"/>
              <w:rPr>
                <w:sz w:val="24"/>
                <w:szCs w:val="24"/>
                <w:color w:val="auto"/>
              </w:rPr>
            </w:pPr>
          </w:p>
        </w:tc>
        <w:tc>
          <w:tcPr>
            <w:tcW w:w="990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85"/>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40" w:type="dxa"/>
            <w:vAlign w:val="bottom"/>
            <w:gridSpan w:val="10"/>
          </w:tcPr>
          <w:p>
            <w:pPr>
              <w:ind w:left="51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1—FINANCIAL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198,969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155,835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560,992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429,370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Related-party revenue from Expedia</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56,167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56,875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171,000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164,203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255,136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212,710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731,992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593,573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Costs and expenses: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 (exclusive of amortization) (1)</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Selling and marketing (2)</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98,204</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67,647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260,069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199,279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 and content (2)</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34,398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General and administrative (2)</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24,556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20,056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72,541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7,634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171,442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120,461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465,877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344,269</w:t>
            </w:r>
          </w:p>
        </w:tc>
        <w:tc>
          <w:tcPr>
            <w:tcW w:w="0" w:type="dxa"/>
            <w:vAlign w:val="bottom"/>
          </w:tcPr>
          <w:p>
            <w:pPr>
              <w:spacing w:after="0"/>
              <w:rPr>
                <w:sz w:val="1"/>
                <w:szCs w:val="1"/>
                <w:color w:val="auto"/>
              </w:rPr>
            </w:pPr>
          </w:p>
        </w:tc>
      </w:tr>
      <w:tr>
        <w:trPr>
          <w:trHeight w:val="20"/>
        </w:trPr>
        <w:tc>
          <w:tcPr>
            <w:tcW w:w="67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7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83,694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92,249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266,115</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249,304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(10,619)</w:t>
            </w:r>
          </w:p>
        </w:tc>
        <w:tc>
          <w:tcPr>
            <w:tcW w:w="0" w:type="dxa"/>
            <w:vAlign w:val="bottom"/>
          </w:tcPr>
          <w:p>
            <w:pPr>
              <w:spacing w:after="0"/>
              <w:rPr>
                <w:sz w:val="1"/>
                <w:szCs w:val="1"/>
                <w:color w:val="auto"/>
              </w:rPr>
            </w:pPr>
          </w:p>
        </w:tc>
      </w:tr>
      <w:tr>
        <w:trPr>
          <w:trHeight w:val="20"/>
        </w:trPr>
        <w:tc>
          <w:tcPr>
            <w:tcW w:w="67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7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83,623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90,810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257,961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238,685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(27,741)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(31,275)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(72,792)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(77,814)</w:t>
            </w:r>
          </w:p>
        </w:tc>
        <w:tc>
          <w:tcPr>
            <w:tcW w:w="0" w:type="dxa"/>
            <w:vAlign w:val="bottom"/>
          </w:tcPr>
          <w:p>
            <w:pPr>
              <w:spacing w:after="0"/>
              <w:rPr>
                <w:sz w:val="1"/>
                <w:szCs w:val="1"/>
                <w:color w:val="auto"/>
              </w:rPr>
            </w:pPr>
          </w:p>
        </w:tc>
      </w:tr>
      <w:tr>
        <w:trPr>
          <w:trHeight w:val="20"/>
        </w:trPr>
        <w:tc>
          <w:tcPr>
            <w:tcW w:w="67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55,882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59,535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185,169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TripAdvisor, Inc.</w:t>
            </w: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7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55,882</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59,360</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185,169</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160,490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attributable to TripAdvisor, Inc.:</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Basic</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142,690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142,342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143,095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138,458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Diluted</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145,454</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143,657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145,258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140,517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(1)  Excludes amortization as follows: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Amortization of acquired technology included in amortization of intangibles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5,199</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3,414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14,397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(2)  Includes stock-based compensation as follows: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2,795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7,354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 and content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3,377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4,092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12,215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9,613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7"/>
              </w:rPr>
              <w:t>Three months ended</w:t>
            </w:r>
          </w:p>
        </w:tc>
        <w:tc>
          <w:tcPr>
            <w:tcW w:w="17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$55,882</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$59,535</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$185,169</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$160,871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3,168</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Available-for-sale investments: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net unrealized gain (loss)</w:t>
            </w:r>
          </w:p>
        </w:tc>
        <w:tc>
          <w:tcPr>
            <w:tcW w:w="1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557</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700"/>
              <w:spacing w:after="0"/>
              <w:rPr>
                <w:sz w:val="20"/>
                <w:szCs w:val="20"/>
                <w:color w:val="auto"/>
              </w:rPr>
            </w:pPr>
            <w:r>
              <w:rPr>
                <w:rFonts w:ascii="Arial" w:cs="Arial" w:eastAsia="Arial" w:hAnsi="Arial"/>
                <w:sz w:val="18"/>
                <w:szCs w:val="18"/>
                <w:color w:val="auto"/>
              </w:rPr>
              <w:t>Less: reclassification adjustment for gains (losses) included in net income</w:t>
            </w:r>
          </w:p>
        </w:tc>
        <w:tc>
          <w:tcPr>
            <w:tcW w:w="1820" w:type="dxa"/>
            <w:vAlign w:val="bottom"/>
            <w:gridSpan w:val="3"/>
          </w:tcPr>
          <w:p>
            <w:pPr>
              <w:jc w:val="right"/>
              <w:ind w:right="240"/>
              <w:spacing w:after="0"/>
              <w:rPr>
                <w:sz w:val="20"/>
                <w:szCs w:val="20"/>
                <w:color w:val="auto"/>
              </w:rPr>
            </w:pPr>
            <w:r>
              <w:rPr>
                <w:rFonts w:ascii="Arial" w:cs="Arial" w:eastAsia="Arial" w:hAnsi="Arial"/>
                <w:sz w:val="18"/>
                <w:szCs w:val="18"/>
                <w:color w:val="auto"/>
              </w:rPr>
              <w:t>(58)</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(net of tax effect of $340 and ($32))</w:t>
            </w:r>
          </w:p>
        </w:tc>
        <w:tc>
          <w:tcPr>
            <w:tcW w:w="1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499</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96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 net of tax</w:t>
            </w:r>
          </w:p>
        </w:tc>
        <w:tc>
          <w:tcPr>
            <w:tcW w:w="1820" w:type="dxa"/>
            <w:vAlign w:val="bottom"/>
            <w:gridSpan w:val="3"/>
          </w:tcPr>
          <w:p>
            <w:pPr>
              <w:jc w:val="right"/>
              <w:ind w:right="300"/>
              <w:spacing w:after="0"/>
              <w:rPr>
                <w:sz w:val="20"/>
                <w:szCs w:val="20"/>
                <w:color w:val="auto"/>
              </w:rPr>
            </w:pPr>
            <w:r>
              <w:rPr>
                <w:rFonts w:ascii="Arial" w:cs="Arial" w:eastAsia="Arial" w:hAnsi="Arial"/>
                <w:sz w:val="18"/>
                <w:szCs w:val="18"/>
                <w:color w:val="auto"/>
              </w:rPr>
              <w:t>3,667</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1,724</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59,549</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61,259</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184,730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9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(175)</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TripAdvisor, Inc.</w:t>
            </w:r>
          </w:p>
        </w:tc>
        <w:tc>
          <w:tcPr>
            <w:tcW w:w="1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59,549</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61,084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184,730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162,445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640" w:type="dxa"/>
            <w:vAlign w:val="bottom"/>
            <w:gridSpan w:val="6"/>
          </w:tcPr>
          <w:p>
            <w:pPr>
              <w:jc w:val="center"/>
              <w:ind w:left="16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960" w:type="dxa"/>
            <w:vAlign w:val="bottom"/>
            <w:gridSpan w:val="2"/>
          </w:tcPr>
          <w:p>
            <w:pPr>
              <w:jc w:val="right"/>
              <w:ind w:right="1110"/>
              <w:spacing w:after="0"/>
              <w:rPr>
                <w:sz w:val="20"/>
                <w:szCs w:val="20"/>
                <w:color w:val="auto"/>
              </w:rPr>
            </w:pPr>
            <w:r>
              <w:rPr>
                <w:rFonts w:ascii="Arial" w:cs="Arial" w:eastAsia="Arial" w:hAnsi="Arial"/>
                <w:sz w:val="18"/>
                <w:szCs w:val="18"/>
                <w:color w:val="auto"/>
              </w:rPr>
              <w:t>4</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276,358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Short-term marketable securities (note 4)</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155,997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118,970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Receivable—sale of marketable securities (note 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40,406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tcPr>
          <w:p>
            <w:pPr>
              <w:ind w:left="700"/>
              <w:spacing w:after="0" w:line="201" w:lineRule="exact"/>
              <w:rPr>
                <w:sz w:val="20"/>
                <w:szCs w:val="20"/>
                <w:color w:val="auto"/>
              </w:rPr>
            </w:pPr>
            <w:r>
              <w:rPr>
                <w:rFonts w:ascii="Arial" w:cs="Arial" w:eastAsia="Arial" w:hAnsi="Arial"/>
                <w:sz w:val="18"/>
                <w:szCs w:val="18"/>
                <w:color w:val="auto"/>
                <w:w w:val="97"/>
              </w:rPr>
              <w:t>Accounts receivable, net of allowance of $3,331 and $2,818 at September 30, 2013 and December 31, 2012,</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88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111,138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Receivable from Expedia, Inc., net (note 14)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Taxes receivable</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10,187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13,989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10,365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647,752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Long-term marketable securities (note 4)</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163,525</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long-term assets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Intangible assets, net (note 7)</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51,007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Goodwill (note 7)</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500,686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1,448,153</w:t>
            </w:r>
          </w:p>
        </w:tc>
        <w:tc>
          <w:tcPr>
            <w:tcW w:w="260" w:type="dxa"/>
            <w:vAlign w:val="bottom"/>
          </w:tcPr>
          <w:p>
            <w:pPr>
              <w:spacing w:after="0"/>
              <w:rPr>
                <w:sz w:val="24"/>
                <w:szCs w:val="24"/>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1,299,194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Deferred merchant payables (note 2)</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28,596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Credit facility borrowings (note 5)</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26,177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Borrowings, current (note 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Taxes payable</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10,798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 and other current liabilities (note 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95,168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63,236</w:t>
            </w:r>
          </w:p>
        </w:tc>
        <w:tc>
          <w:tcPr>
            <w:tcW w:w="0" w:type="dxa"/>
            <w:vAlign w:val="bottom"/>
          </w:tcPr>
          <w:p>
            <w:pPr>
              <w:spacing w:after="0"/>
              <w:rPr>
                <w:sz w:val="1"/>
                <w:szCs w:val="1"/>
                <w:color w:val="auto"/>
              </w:rPr>
            </w:pPr>
          </w:p>
        </w:tc>
      </w:tr>
      <w:tr>
        <w:trPr>
          <w:trHeight w:val="20"/>
        </w:trPr>
        <w:tc>
          <w:tcPr>
            <w:tcW w:w="91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1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256,811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195,640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42,275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Borrowings, net of current portion (note 5)</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619,347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Preferred stock $0.001 par value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1060"/>
              <w:spacing w:after="0"/>
              <w:rPr>
                <w:sz w:val="20"/>
                <w:szCs w:val="20"/>
                <w:color w:val="auto"/>
              </w:rPr>
            </w:pPr>
            <w:r>
              <w:rPr>
                <w:rFonts w:ascii="Arial" w:cs="Arial" w:eastAsia="Arial" w:hAnsi="Arial"/>
                <w:sz w:val="18"/>
                <w:szCs w:val="18"/>
                <w:color w:val="auto"/>
              </w:rPr>
              <w:t>Authorized shares: 100,000,000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Shares issued and outstanding: 0 and 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Common stock $0.001 par value</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Authorized shares: 1,600,000,000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1060"/>
              <w:spacing w:after="0"/>
              <w:rPr>
                <w:sz w:val="20"/>
                <w:szCs w:val="20"/>
                <w:color w:val="auto"/>
              </w:rPr>
            </w:pPr>
            <w:r>
              <w:rPr>
                <w:rFonts w:ascii="Arial" w:cs="Arial" w:eastAsia="Arial" w:hAnsi="Arial"/>
                <w:sz w:val="18"/>
                <w:szCs w:val="18"/>
                <w:color w:val="auto"/>
              </w:rPr>
              <w:t>Shares issued: 131,372,883 and 130,060,138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Shares outstanding: 129,289,174 and 130,060,138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Class B common stock $0.001 par value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Authorized shares 400,000,000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1060"/>
              <w:spacing w:after="0"/>
              <w:rPr>
                <w:sz w:val="20"/>
                <w:szCs w:val="20"/>
                <w:color w:val="auto"/>
              </w:rPr>
            </w:pPr>
            <w:r>
              <w:rPr>
                <w:rFonts w:ascii="Arial" w:cs="Arial" w:eastAsia="Arial" w:hAnsi="Arial"/>
                <w:sz w:val="18"/>
                <w:szCs w:val="18"/>
                <w:color w:val="auto"/>
              </w:rPr>
              <w:t>Shares issued and outstanding: 12,799,999 and 12,799,999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381,607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tcPr>
          <w:p>
            <w:pPr>
              <w:ind w:left="700"/>
              <w:spacing w:after="0" w:line="201" w:lineRule="exact"/>
              <w:rPr>
                <w:sz w:val="20"/>
                <w:szCs w:val="20"/>
                <w:color w:val="auto"/>
              </w:rPr>
            </w:pPr>
            <w:r>
              <w:rPr>
                <w:rFonts w:ascii="Arial" w:cs="Arial" w:eastAsia="Arial" w:hAnsi="Arial"/>
                <w:sz w:val="18"/>
                <w:szCs w:val="18"/>
                <w:color w:val="auto"/>
                <w:w w:val="97"/>
              </w:rPr>
              <w:t>Treasury stock—Common stock, at cost, 2,083,709 and 0 shares, at September 30, 2013 and December 31,</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880"/>
              <w:spacing w:after="0"/>
              <w:rPr>
                <w:sz w:val="20"/>
                <w:szCs w:val="20"/>
                <w:color w:val="auto"/>
              </w:rPr>
            </w:pPr>
            <w:r>
              <w:rPr>
                <w:rFonts w:ascii="Arial" w:cs="Arial" w:eastAsia="Arial" w:hAnsi="Arial"/>
                <w:sz w:val="18"/>
                <w:szCs w:val="18"/>
                <w:color w:val="auto"/>
              </w:rPr>
              <w:t>2012 respectively</w:t>
            </w:r>
          </w:p>
        </w:tc>
        <w:tc>
          <w:tcPr>
            <w:tcW w:w="1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(142,322)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828,806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1,448,153</w:t>
            </w:r>
          </w:p>
        </w:tc>
        <w:tc>
          <w:tcPr>
            <w:tcW w:w="260" w:type="dxa"/>
            <w:vAlign w:val="bottom"/>
          </w:tcPr>
          <w:p>
            <w:pPr>
              <w:spacing w:after="0"/>
              <w:rPr>
                <w:sz w:val="24"/>
                <w:szCs w:val="24"/>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1,299,194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611"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59" w:right="239" w:bottom="611"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left="461"/>
              <w:spacing w:after="0"/>
              <w:rPr>
                <w:sz w:val="20"/>
                <w:szCs w:val="20"/>
                <w:color w:val="auto"/>
              </w:rPr>
            </w:pPr>
            <w:r>
              <w:rPr>
                <w:rFonts w:ascii="Arial" w:cs="Arial" w:eastAsia="Arial" w:hAnsi="Arial"/>
                <w:sz w:val="14"/>
                <w:szCs w:val="14"/>
                <w:b w:val="1"/>
                <w:bCs w:val="1"/>
                <w:color w:val="auto"/>
                <w:w w:val="89"/>
              </w:rPr>
              <w:t>Class B</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other</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8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90"/>
              </w:rPr>
              <w:t>Common stock</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paid-in</w:t>
            </w:r>
          </w:p>
        </w:tc>
        <w:tc>
          <w:tcPr>
            <w:tcW w:w="800" w:type="dxa"/>
            <w:vAlign w:val="bottom"/>
            <w:gridSpan w:val="2"/>
            <w:vMerge w:val="continue"/>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84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Treasury stock</w:t>
            </w: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tcPr>
          <w:p>
            <w:pPr>
              <w:jc w:val="center"/>
              <w:ind w:left="161"/>
              <w:spacing w:after="0"/>
              <w:rPr>
                <w:sz w:val="20"/>
                <w:szCs w:val="20"/>
                <w:color w:val="auto"/>
              </w:rPr>
            </w:pPr>
            <w:r>
              <w:rPr>
                <w:rFonts w:ascii="Arial" w:cs="Arial" w:eastAsia="Arial" w:hAnsi="Arial"/>
                <w:sz w:val="14"/>
                <w:szCs w:val="14"/>
                <w:b w:val="1"/>
                <w:bCs w:val="1"/>
                <w:color w:val="auto"/>
                <w:w w:val="89"/>
              </w:rPr>
              <w:t>common stock</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earnings</w:t>
            </w: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(loss) income</w:t>
            </w:r>
          </w:p>
        </w:tc>
        <w:tc>
          <w:tcPr>
            <w:tcW w:w="1840" w:type="dxa"/>
            <w:vAlign w:val="bottom"/>
            <w:gridSpan w:val="5"/>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8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100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top w:val="single" w:sz="8" w:color="auto"/>
            </w:tcBorders>
            <w:gridSpan w:val="3"/>
          </w:tcPr>
          <w:p>
            <w:pPr>
              <w:jc w:val="right"/>
              <w:ind w:right="365"/>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2"/>
              </w:rPr>
              <w:t>Balance as of December 31, 2012</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130,060,138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130</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12,799,999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960" w:type="dxa"/>
            <w:vAlign w:val="bottom"/>
            <w:tcBorders>
              <w:top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531,256</w:t>
            </w:r>
          </w:p>
        </w:tc>
        <w:tc>
          <w:tcPr>
            <w:tcW w:w="8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196,438</w:t>
            </w:r>
          </w:p>
        </w:tc>
        <w:tc>
          <w:tcPr>
            <w:tcW w:w="200" w:type="dxa"/>
            <w:vAlign w:val="bottom"/>
            <w:tcBorders>
              <w:top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(869)</w:t>
            </w:r>
          </w:p>
        </w:tc>
        <w:tc>
          <w:tcPr>
            <w:tcW w:w="8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2"/>
              </w:rPr>
              <w:t>$ 726,968</w:t>
            </w:r>
          </w:p>
        </w:tc>
        <w:tc>
          <w:tcPr>
            <w:tcW w:w="0" w:type="dxa"/>
            <w:vAlign w:val="bottom"/>
          </w:tcPr>
          <w:p>
            <w:pPr>
              <w:spacing w:after="0"/>
              <w:rPr>
                <w:sz w:val="1"/>
                <w:szCs w:val="1"/>
                <w:color w:val="auto"/>
              </w:rPr>
            </w:pPr>
          </w:p>
        </w:tc>
      </w:tr>
      <w:tr>
        <w:trPr>
          <w:trHeight w:val="317"/>
        </w:trPr>
        <w:tc>
          <w:tcPr>
            <w:tcW w:w="2660" w:type="dxa"/>
            <w:vAlign w:val="bottom"/>
            <w:gridSpan w:val="2"/>
          </w:tcPr>
          <w:p>
            <w:pPr>
              <w:spacing w:after="0"/>
              <w:rPr>
                <w:sz w:val="20"/>
                <w:szCs w:val="20"/>
                <w:color w:val="auto"/>
              </w:rPr>
            </w:pPr>
            <w:r>
              <w:rPr>
                <w:rFonts w:ascii="Arial" w:cs="Arial" w:eastAsia="Arial" w:hAnsi="Arial"/>
                <w:sz w:val="18"/>
                <w:szCs w:val="18"/>
                <w:color w:val="auto"/>
              </w:rPr>
              <w:t>Net income attributable to</w:t>
            </w: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TripAdvisor, Inc.</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185,169</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185,169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9"/>
              </w:rPr>
              <w:t>Currency translation adjustments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Unrealized loss on marketable</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securities, net of tax and</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reclassification adjustments</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common stock related</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exercise of options and</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RSUs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1,312,745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24,422</w:t>
            </w: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(2,083,709)</w:t>
            </w: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(142,322)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(142,322)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Tax benefits on equity awards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8,813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w w:val="96"/>
              </w:rPr>
              <w:t>Minimum withholding taxes on net</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share settlements of equity</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awards</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(9,878)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0"/>
              </w:rPr>
              <w:t>Stock-based compensation expense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36,072</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36,072</w:t>
            </w:r>
          </w:p>
        </w:tc>
        <w:tc>
          <w:tcPr>
            <w:tcW w:w="0" w:type="dxa"/>
            <w:vAlign w:val="bottom"/>
          </w:tcPr>
          <w:p>
            <w:pPr>
              <w:spacing w:after="0"/>
              <w:rPr>
                <w:sz w:val="1"/>
                <w:szCs w:val="1"/>
                <w:color w:val="auto"/>
              </w:rPr>
            </w:pPr>
          </w:p>
        </w:tc>
      </w:tr>
      <w:tr>
        <w:trPr>
          <w:trHeight w:val="20"/>
        </w:trPr>
        <w:tc>
          <w:tcPr>
            <w:tcW w:w="266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w w:val="91"/>
              </w:rPr>
              <w:t>Balance as of September 30, 2013</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131,372,883</w:t>
            </w:r>
          </w:p>
        </w:tc>
        <w:tc>
          <w:tcPr>
            <w:tcW w:w="20" w:type="dxa"/>
            <w:vAlign w:val="bottom"/>
          </w:tcPr>
          <w:p>
            <w:pPr>
              <w:spacing w:after="0"/>
              <w:rPr>
                <w:sz w:val="24"/>
                <w:szCs w:val="24"/>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3"/>
              </w:rPr>
              <w:t>131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3"/>
              </w:rPr>
              <w:t>12,799,999</w:t>
            </w:r>
          </w:p>
        </w:tc>
        <w:tc>
          <w:tcPr>
            <w:tcW w:w="28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590,685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381,607</w:t>
            </w:r>
          </w:p>
        </w:tc>
        <w:tc>
          <w:tcPr>
            <w:tcW w:w="200" w:type="dxa"/>
            <w:vAlign w:val="bottom"/>
          </w:tcPr>
          <w:p>
            <w:pPr>
              <w:jc w:val="right"/>
              <w:ind w:right="21"/>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(1,308)</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 xml:space="preserve">(2,083,709) </w:t>
            </w:r>
            <w:r>
              <w:rPr>
                <w:rFonts w:ascii="Arial" w:cs="Arial" w:eastAsia="Arial" w:hAnsi="Arial"/>
                <w:sz w:val="18"/>
                <w:szCs w:val="18"/>
                <w:b w:val="1"/>
                <w:bCs w:val="1"/>
                <w:u w:val="single" w:color="auto"/>
                <w:color w:val="auto"/>
                <w:w w:val="97"/>
              </w:rPr>
              <w:t>$</w:t>
            </w:r>
          </w:p>
        </w:tc>
        <w:tc>
          <w:tcPr>
            <w:tcW w:w="16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3"/>
              </w:rPr>
              <w:t>(142,322) $ 828,806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Nine months ended</w:t>
      </w:r>
    </w:p>
    <w:p>
      <w:pPr>
        <w:jc w:val="center"/>
        <w:ind w:left="94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185,169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700"/>
              <w:spacing w:after="0"/>
              <w:rPr>
                <w:sz w:val="20"/>
                <w:szCs w:val="20"/>
                <w:color w:val="auto"/>
              </w:rPr>
            </w:pPr>
            <w:r>
              <w:rPr>
                <w:rFonts w:ascii="Arial" w:cs="Arial" w:eastAsia="Arial" w:hAnsi="Arial"/>
                <w:sz w:val="18"/>
                <w:szCs w:val="18"/>
                <w:color w:val="auto"/>
                <w:w w:val="94"/>
              </w:rPr>
              <w:t>Depreciation of property and equipment, including amortization of internal-use software and website development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20,834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70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700"/>
              <w:spacing w:after="0"/>
              <w:rPr>
                <w:sz w:val="20"/>
                <w:szCs w:val="20"/>
                <w:color w:val="auto"/>
              </w:rPr>
            </w:pPr>
            <w:r>
              <w:rPr>
                <w:rFonts w:ascii="Arial" w:cs="Arial" w:eastAsia="Arial" w:hAnsi="Arial"/>
                <w:sz w:val="18"/>
                <w:szCs w:val="18"/>
                <w:color w:val="auto"/>
              </w:rPr>
              <w:t>Amortization of discounts and premiums on marketable securities,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tax (benefit)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700"/>
              <w:spacing w:after="0"/>
              <w:rPr>
                <w:sz w:val="20"/>
                <w:szCs w:val="20"/>
                <w:color w:val="auto"/>
              </w:rPr>
            </w:pPr>
            <w:r>
              <w:rPr>
                <w:rFonts w:ascii="Arial" w:cs="Arial" w:eastAsia="Arial" w:hAnsi="Arial"/>
                <w:sz w:val="18"/>
                <w:szCs w:val="18"/>
                <w:color w:val="auto"/>
              </w:rPr>
              <w:t>Excess tax benefits from stock-based compensation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(8,807)</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(recovery) for doubtful accounts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700"/>
              <w:spacing w:after="0"/>
              <w:rPr>
                <w:sz w:val="20"/>
                <w:szCs w:val="20"/>
                <w:color w:val="auto"/>
              </w:rPr>
            </w:pPr>
            <w:r>
              <w:rPr>
                <w:rFonts w:ascii="Arial" w:cs="Arial" w:eastAsia="Arial" w:hAnsi="Arial"/>
                <w:sz w:val="18"/>
                <w:szCs w:val="18"/>
                <w:color w:val="auto"/>
              </w:rPr>
              <w:t>Foreign currency transaction (gains) losses,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1060"/>
              <w:spacing w:after="0"/>
              <w:rPr>
                <w:sz w:val="20"/>
                <w:szCs w:val="20"/>
                <w:color w:val="auto"/>
              </w:rPr>
            </w:pPr>
            <w:r>
              <w:rPr>
                <w:rFonts w:ascii="Arial" w:cs="Arial" w:eastAsia="Arial" w:hAnsi="Arial"/>
                <w:sz w:val="18"/>
                <w:szCs w:val="18"/>
                <w:color w:val="auto"/>
              </w:rPr>
              <w:t>Related parties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(9,898)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Taxes receivable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106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1060"/>
              <w:spacing w:after="0"/>
              <w:rPr>
                <w:sz w:val="20"/>
                <w:szCs w:val="20"/>
                <w:color w:val="auto"/>
              </w:rPr>
            </w:pPr>
            <w:r>
              <w:rPr>
                <w:rFonts w:ascii="Arial" w:cs="Arial" w:eastAsia="Arial" w:hAnsi="Arial"/>
                <w:sz w:val="18"/>
                <w:szCs w:val="18"/>
                <w:color w:val="auto"/>
              </w:rPr>
              <w:t>Deferred merchant payables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12,769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Taxes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106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22,492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278,323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167,929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700"/>
              <w:spacing w:after="0"/>
              <w:rPr>
                <w:sz w:val="20"/>
                <w:szCs w:val="20"/>
                <w:color w:val="auto"/>
              </w:rPr>
            </w:pPr>
            <w:r>
              <w:rPr>
                <w:rFonts w:ascii="Arial" w:cs="Arial" w:eastAsia="Arial" w:hAnsi="Arial"/>
                <w:sz w:val="18"/>
                <w:szCs w:val="18"/>
                <w:color w:val="auto"/>
              </w:rPr>
              <w:t>Acquisitions, net of cash acquired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(31,516)</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(39,318)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700"/>
              <w:spacing w:after="0"/>
              <w:rPr>
                <w:sz w:val="20"/>
                <w:szCs w:val="20"/>
                <w:color w:val="auto"/>
              </w:rPr>
            </w:pPr>
            <w:r>
              <w:rPr>
                <w:rFonts w:ascii="Arial" w:cs="Arial" w:eastAsia="Arial" w:hAnsi="Arial"/>
                <w:sz w:val="18"/>
                <w:szCs w:val="18"/>
                <w:color w:val="auto"/>
              </w:rPr>
              <w:t>Purchases of marketable securities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(375,368)</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Sales of marketable securities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123,647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700"/>
              <w:spacing w:after="0"/>
              <w:rPr>
                <w:sz w:val="20"/>
                <w:szCs w:val="20"/>
                <w:color w:val="auto"/>
              </w:rPr>
            </w:pPr>
            <w:r>
              <w:rPr>
                <w:rFonts w:ascii="Arial" w:cs="Arial" w:eastAsia="Arial" w:hAnsi="Arial"/>
                <w:sz w:val="18"/>
                <w:szCs w:val="18"/>
                <w:color w:val="auto"/>
              </w:rPr>
              <w:t>Maturities of marketable securities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105,739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Expedia, Inc. related to Spin-Off</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70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(216,466)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(137,565)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700"/>
              <w:spacing w:after="0"/>
              <w:rPr>
                <w:sz w:val="20"/>
                <w:szCs w:val="20"/>
                <w:color w:val="auto"/>
              </w:rPr>
            </w:pPr>
            <w:r>
              <w:rPr>
                <w:rFonts w:ascii="Arial" w:cs="Arial" w:eastAsia="Arial" w:hAnsi="Arial"/>
                <w:sz w:val="18"/>
                <w:szCs w:val="18"/>
                <w:color w:val="auto"/>
              </w:rPr>
              <w:t>Proceeds from credit facilities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Payments on credit facilities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(14,728)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700"/>
              <w:spacing w:after="0"/>
              <w:rPr>
                <w:sz w:val="20"/>
                <w:szCs w:val="20"/>
                <w:color w:val="auto"/>
              </w:rPr>
            </w:pPr>
            <w:r>
              <w:rPr>
                <w:rFonts w:ascii="Arial" w:cs="Arial" w:eastAsia="Arial" w:hAnsi="Arial"/>
                <w:sz w:val="18"/>
                <w:szCs w:val="18"/>
                <w:color w:val="auto"/>
              </w:rPr>
              <w:t>Principal payments on long-term debt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exercise of stock options and warrants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226,251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700"/>
              <w:spacing w:after="0"/>
              <w:rPr>
                <w:sz w:val="20"/>
                <w:szCs w:val="20"/>
                <w:color w:val="auto"/>
              </w:rPr>
            </w:pPr>
            <w:r>
              <w:rPr>
                <w:rFonts w:ascii="Arial" w:cs="Arial" w:eastAsia="Arial" w:hAnsi="Arial"/>
                <w:sz w:val="18"/>
                <w:szCs w:val="18"/>
                <w:color w:val="auto"/>
              </w:rPr>
              <w:t>Payment of minimum withholding taxes on net share settlements of equity awards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(9,878)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Excess tax benefits from stock-based compensation</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Net cash (used) provided by financing activities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(154,226)</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212,549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(91,157)</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364,840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367,515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183,532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276,358</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548,372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Supplemental disclosure of non-cash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40" w:type="dxa"/>
            <w:vAlign w:val="bottom"/>
          </w:tcPr>
          <w:p>
            <w:pPr>
              <w:ind w:left="700"/>
              <w:spacing w:after="0"/>
              <w:rPr>
                <w:sz w:val="20"/>
                <w:szCs w:val="20"/>
                <w:color w:val="auto"/>
              </w:rPr>
            </w:pPr>
            <w:r>
              <w:rPr>
                <w:rFonts w:ascii="Arial" w:cs="Arial" w:eastAsia="Arial" w:hAnsi="Arial"/>
                <w:sz w:val="18"/>
                <w:szCs w:val="18"/>
                <w:color w:val="auto"/>
              </w:rPr>
              <w:t>Marketable securities sold during the period but settled after period end</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40,406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unaudited consolidated financial statements.</w:t>
      </w:r>
    </w:p>
    <w:p>
      <w:pPr>
        <w:spacing w:after="0" w:line="170" w:lineRule="exact"/>
        <w:rPr>
          <w:sz w:val="20"/>
          <w:szCs w:val="20"/>
          <w:color w:val="auto"/>
        </w:rPr>
      </w:pPr>
    </w:p>
    <w:p>
      <w:pPr>
        <w:ind w:right="400" w:firstLine="456"/>
        <w:spacing w:after="0" w:line="272" w:lineRule="auto"/>
        <w:rPr>
          <w:sz w:val="20"/>
          <w:szCs w:val="20"/>
          <w:color w:val="auto"/>
        </w:rPr>
      </w:pPr>
      <w:r>
        <w:rPr>
          <w:rFonts w:ascii="Arial" w:cs="Arial" w:eastAsia="Arial" w:hAnsi="Arial"/>
          <w:sz w:val="17"/>
          <w:szCs w:val="17"/>
          <w:color w:val="auto"/>
        </w:rPr>
        <w:t>During 2011, Expedia, Inc., or Expedia, announced its plan to separate into two independent public companies in order to better achieve certain strategic objectives of its various businesses. We refer to this transaction as the “Spin-Off.” On December 20, 2011, following the close of trading on the NASDAQ Global Select Market (“NASDAQ”), the Spin-Off was completed, and TripAdvisor began trading as an independent public company on December 21, 2011. Expedia effected the Spin-Off by means of a reclassification of its capital stock that resulted in the holders of Expedia capital stock immediately prior to the time of effectiveness of the reclassification having the right to receive a proportionate amount of TripAdvisor capital stock. In connection with the Spin-Off, Expedia contributed or transferred all of the subsidiaries and assets relating to Expedia’s TripAdvisor Media Group to TripAdvisor and TripAdvisor assumed all of the liabilities relating to Expedia’s TripAdvisor Media Group.</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trades on the NASDAQ under the trading symbol “TRIP.”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TripAdvisor is an online travel company, empowering users to plan and have the perfect trip. TripAdvisor’s travel research platform aggregates reviews and opinions of members about destinations, accommodations (including hotels, bed and breakfasts, specialty lodging and vacation rentals), restaurants and activities throughout the world through our flagship TripAdvisor brand. TripAdvisor-branded websites include tripadvisor.com in the United States and localized versions of the website in 33 countries, including in China under the brand daodao.com. Beyond travel-related content, TripAdvisor websites also include links to the websites of our travel advertisers allowing travelers to directly book their travel arrangements. In addition to the flagship TripAdvisor brand, we manage and operate 20 other travel media brands: </w:t>
      </w:r>
      <w:r>
        <w:rPr>
          <w:rFonts w:ascii="Arial" w:cs="Arial" w:eastAsia="Arial" w:hAnsi="Arial"/>
          <w:sz w:val="17"/>
          <w:szCs w:val="17"/>
          <w:u w:val="single" w:color="auto"/>
          <w:color w:val="auto"/>
        </w:rPr>
        <w:t>www.airfarewatchdog.com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www.bookingbuddy.com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www.cruisecritic.com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www.everytrail.com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www.familyvacationcritic.com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www.flipkey.com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www.gateguru.com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www.holidaylettings.co.uk</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www.holidaywatchdog.com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www.independenttraveler.com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www.jetsetter.com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www.niumba.com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www.onetime.com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www.seatguru.com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www.smartertravel.com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www.tingo.com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www.travelpod.com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www.virtualtourist.com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www.whereivebeen.com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www.kuxun.cn</w:t>
      </w:r>
      <w:r>
        <w:rPr>
          <w:rFonts w:ascii="Arial" w:cs="Arial" w:eastAsia="Arial" w:hAnsi="Arial"/>
          <w:sz w:val="17"/>
          <w:szCs w:val="17"/>
          <w:color w:val="auto"/>
        </w:rPr>
        <w:t>, connected by the common goal of providing comprehensive travel planning resources across the travel sector. We derive substantially all of our revenue from advertising, primarily through click-based advertising and display-based advertising sales. In addition, we earn revenue through a combination of subscription-based offerings from our Business Listings and Vacation Rental products, transaction revenue from selling room nights on our transactional sites, and other revenue including licensing our content to third-parties. We have one reportable segment: TripAdvisor. The segment is determined based on how our chief operating decision maker manages our business, makes operating decisions and evaluates operating performance.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by us in accordance with generally accepted accounting principles, or GAAP, for interim financial reporting and the instructions to Form 10-Q and Rule 10-01 of Regulation S-X. Accordingly, certain information and footnote disclosures normally included in financial statements prepared under generally accepted accounting principles for complete periods have been condensed or omitted pursuant to such regulations. In the opinion of management, all adjustments considered necessary for a fair presentation of our financial position, results of operations and cash flows have been included. All such adjustments are of a normal recurring nature. These unaudited condensed consolidated financial statements should be read in conjunction with our audited consolidated financial statements for the year ended December 31, 2012 in our Annual Report on Form 10-K. The results for interim periods are not necessarily indicative of the results to be expected for the full year. The financial statements and related financial disclosures have been presented on a consolidated basis.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consolidated financial statements include the accounts of TripAdvisor, our wholly owned subsidiaries, and entities we control, or in which we have a variable interest and are the primary beneficiary of expected cash profits or losses. We record noncontrolling interest in our consolidated financial statements to recognize the minority ownership interest in our consolidated subsidiaries. Noncontrolling interest in the earnings and losses of consolidated subsidiaries represent the share of net income or loss allocated to members or partners in our consolidated entities. Significant intercompany transactions between the TripAdvisor consolidated entities and accounts have been eliminated.</w:t>
      </w:r>
    </w:p>
    <w:p>
      <w:pPr>
        <w:spacing w:after="0" w:line="18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Certain of our subsidiaries that operate in China have variable interests in affiliated entities in China in order to comply with Chinese laws and regulations, which restrict foreign investment in Internet content provision businesses. Although we do not own the capital stock of some of our Chinese affiliates, we consolidate their results as we are the primary beneficiary of the cash losses or profits of these variable interest affiliates and have the power to direct the activities of these affiliates. Although we currently operate at a loss in the Chinese market, our variable interest entities are not material for all periods presented.</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use estimates and assumptions in the preparation of our consolidated financial statements in accordance with GAAP. Our estimates and assumptions affect the reported amounts of assets and liabilities and disclosure of contingent assets and liabilities as of the date of our consolidated financial statements. These estimates and assumptions also affect the reported amount of net income or loss during any period. Our actual financial results could differ significantly from these estimates. The significant estimates underlying our consolidated financial statements include revenue recognition; recoverability of long-lived assets, valuation and impairment of marketable securities, intangible assets and goodwill; income taxes; useful lives of property and equipment; purchase accounting and stock-based compensation.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reclassified certain amounts related to our prior period results to conform to our current period presentation.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being the fourth quarter. However, adverse economic conditions or continued growth of our international operations with differing holiday peaks may influence the typical trend of our seasonality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Merchant Payables</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receive cash from travelers at the time of booking related to our transaction-based businesses and we record these amounts, net of commissions, on our consolidated balance sheets as deferred merchant payables. We pay the hotel or vacation rental owners after the travelers’ use and subsequent billing from the hotel or vacation rental owners. Therefore, we receive cash from the traveler prior to paying the hotel or vacation rental owners, and this operating cycle represents a working capital source of cash to us. As long as our transaction-based businesses grow, we expect that changes in working capital related to these transactions will positively impact operating cash flows. As of September 30, 2013, our deferred merchant payables balance was $28.6 million and for the nine months ended September 30, 2013, the related transactions generated positive operating cash flow of $12.8 million. A payable balance of $14.5 million was acquired with our business acquisitions during the nine months ended September 30, 2013. For additional information on our business acquisitions refer to “Note 6—</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below. The deferred merchant payables balance at December 31, 2012 was $1.3 million.</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There have been no material changes or other additions to our significant accounting policies since December 31, 2012. For additional information about our critical accounting policies and estimates, refer to “Note 2—</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included in our Annual Report on Form 10-K for the year ended December 31, 2012.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of Amounts Reclassified Out of Accumulated Other Comprehensive Income</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In February 2013, the Financial Accounting Standards Board, or FASB, issued new accounting guidance which adds new disclosure requirements for items reclassified out of accumulated other comprehensive income. The new guidance requires that companies present, either in a single note or parenthetically on the face of the financial statements, the effect of significant amounts reclassified based on its source and is effective for public companies in interim and annual reporting periods beginning after December 15, 2012. Accordingly, we have adopted these presentation requirements during the first quarter of 2013. The adoption of this new guidance did not have a material impact on our consolidated financial statements or related disclosures.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Presentation of an Unrecognized Tax Benefit When a Net Operating Loss Carryforward, a Similar Tax Loss, or a Tax Credit Carryforward Exists</w:t>
      </w:r>
    </w:p>
    <w:p>
      <w:pPr>
        <w:spacing w:after="0" w:line="129"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In July 2013, the FASB issued new accounting guidance on the presentation of unrecognized tax benefits. The new guidance requires an entity to present an unrecognized tax benefit, or a portion of an unrecognized tax benefit,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then the unrecognized tax benefit should be presented in the financial statements as a liability and should not be combined with deferred tax assets. This guidance is effective for fiscal years, and interim periods within those fiscal years, beginning after December 15, 2013, with early adoption permitted. Accordingly, we plan to adopt these presentation requirements during the first quarter of 2014. The adoption of this new guidance is not expected to have a material impact on our consolidated financial statements or related disclosures.</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 BASED AWARDS AND OTHER EQUITY INSTRUMENTS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Stock-based compensation expense relates primarily to expense for restricted stock units (“RSUs”) and stock options. Our outstanding RSUs and stock options generally vest over four years.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 the three and nine months ended September 30, 2013, we recognized total stock-based compensation expense of $11.7 million and $35.5 million, respectively. The total income tax benefit related to stock-based compensation expense was $4.4 million and $13.8 million for the three and nine months ended September 30, 2013, respectively. For the three and nine months ended September 30, 2012, we recognized total stock-based compensation expense of $8.5 million and $19.9 million, respectively. The total income tax benefit related to stock-based compensation expense was $3.2 million and $7.2 million for the three and nine months ended September 30, 2012,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Inc. 2011 Stock and Annual Incentive Plan, As Amended</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On December 20, 2011, our 2011 Stock and Annual Incentive Plan became effective. At our annual meeting of stockholders held on June 28, 2013 (the “Annual Meeting”), our stockholders approved an amendment to our 2011 Stock and Annual Incentive Plan to, among other things, increase the aggregate number of shares of common stock authorized for issuance thereunder by 15,000,000 shares. We refer to our 2011 Stock and Annual Incentive Plan, as amended by the amendment as the “2011 Incentive Plan.” A summary of the material terms of the 2011 Incentive Plan can be found in “Proposal 3: Approval of the 2011 Stock and Annual Incentive Plan, as amended” in our Proxy Statement for the Annual Meeting. The summary of the material terms of the 2011 Incentive Plan is qualified in its entirety by the full text of the 2011 Incentive Plan previously filed.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Stock Option Activity</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exercise price for all stock options granted by us to date has been equal to the market price of the underlying shares of common stock at the date of grant. In this regard, when making stock option awards, our practice is to determine the applicable grant date and to specify that the exercise price shall be the closing price of our common stock on the date of grant. Stock options granted during the first nine months of 2013 generally have a term of ten years from the date of grant and generally vest over a four-year service period.</w:t>
      </w:r>
    </w:p>
    <w:p>
      <w:pPr>
        <w:spacing w:after="0" w:line="18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During the nine months ended September 30, 2013, we granted 2,776,247 primarily service-based stock options under the 2011 Incentive Plan with a weighted average grant-date fair value per option of $28.11. We will amortize the fair value, net of estimated forfeitures, as stock-based compensation expense over the vesting term of generally four years on a straight-line basis, with the amount of compensation expense recognized at any date at least equaling the portion of the grant-date fair value of the award that is vested at that date. We use historical data to estimate pre-vesting option forfeitures and record share-based compensation expense only for those awards that are expected to vest. Changes in estimated forfeitures are recognized through a cumulative catch-up adjustment in the period of change which also impacts the amount of stock compensation expense to be recognized in future periods.</w:t>
      </w:r>
    </w:p>
    <w:p>
      <w:pPr>
        <w:spacing w:after="0" w:line="16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 summary of the status and activity for stock option awards relating to our common stock for the nine months ended September 30, 2013, is presented below:</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4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0"/>
              </w:rPr>
              <w:t>Options</w:t>
            </w:r>
          </w:p>
        </w:tc>
        <w:tc>
          <w:tcPr>
            <w:tcW w:w="11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Per</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0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Share</w:t>
            </w: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56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1, 2013</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31.41</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57.66</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Exercised (1)</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23.53</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Cancelled</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37.34</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September 30, 2013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39.69</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349,716</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20" w:type="dxa"/>
            <w:vAlign w:val="bottom"/>
            <w:gridSpan w:val="2"/>
          </w:tcPr>
          <w:p>
            <w:pPr>
              <w:spacing w:after="0"/>
              <w:rPr>
                <w:sz w:val="20"/>
                <w:szCs w:val="20"/>
                <w:color w:val="auto"/>
              </w:rPr>
            </w:pPr>
            <w:r>
              <w:rPr>
                <w:rFonts w:ascii="Arial" w:cs="Arial" w:eastAsia="Arial" w:hAnsi="Arial"/>
                <w:sz w:val="18"/>
                <w:szCs w:val="18"/>
                <w:color w:val="auto"/>
              </w:rPr>
              <w:t>Exercisable as of September 30, 2013</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29.83</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160,963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after September 30, 2013</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39.46</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97"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Inclusive of 168,795 options which were not converted into shares due to net share settlement in order to cover the aggregate exercise price and the minimum amount of required employee withholding taxes. Potential shares which had been convertible under stock options that were withheld under net share settlement remain in the authorized but unissued pool under the 2011 Incentive Plan and can be reissued by the Company. We began net-share settling the majority of our stock option exercises during the third quarter of 2013. Total payments for the employees’ tax obligations to the taxing authorities due to net share settlements are reflected as a financing activity within the consolidated statements of cash flows.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Aggregate intrinsic value represents the difference between the closing stock price of our common stock and the exercise price of outstanding, in-the-money options. Our closing stock price as reported on NASDAQ as of September 30, 2013 was $75.84.</w:t>
      </w:r>
    </w:p>
    <w:p>
      <w:pPr>
        <w:spacing w:after="0" w:line="170"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The estimated fair value of the options granted under the 2011 Incentive Plan was calculated using a Black-Scholes Merton option-pricing model (“Black-Scholes model”). The Black-Scholes model incorporates assumptions to value stock-based awards, which includes the risk-free rate of return, expected volatility, expected term and expected dividend yield.</w:t>
      </w:r>
    </w:p>
    <w:p>
      <w:pPr>
        <w:spacing w:after="0" w:line="18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Our risk-free interest rate is based on the rates currently available on zero-coupon U.S. Treasury issues, in effect at the time of the grant, whose remaining maturity period most closely approximates the stock option’s expected term assumption. We estimated the volatility of our common stock by using an average of our historical stock price volatility and of publicly traded companies that we consider peers based on daily price observations over a period equivalent to or approximate to the expected term of the stock option grants. The decision to use a weighted average volatility factor of a peer group was based upon the relatively short period of availability of data on our common stock. We estimated our expected term using the simplified method for all stock options as we do not have sufficient historical exercise data on our common stock. Our expected dividend yield is zero, as we have not paid any dividends on our common stock to date and do not expect to pay any cash dividends for the foreseeable future.</w:t>
      </w:r>
    </w:p>
    <w:p>
      <w:pPr>
        <w:spacing w:after="0" w:line="17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fair value of stock option grants under the 2011 Incentive Plan has been estimated at the date of grant using the Black–Scholes model with the following weighted average assumptions for the periods presented below:</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92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6980" w:type="dxa"/>
            <w:vAlign w:val="bottom"/>
          </w:tcPr>
          <w:p>
            <w:pPr>
              <w:spacing w:after="0"/>
              <w:rPr>
                <w:sz w:val="14"/>
                <w:szCs w:val="14"/>
                <w:color w:val="auto"/>
              </w:rPr>
            </w:pPr>
          </w:p>
        </w:tc>
        <w:tc>
          <w:tcPr>
            <w:tcW w:w="19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9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0.90%</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5.80</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6.25</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6.05</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6.22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49.62%</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54.78%</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50.81%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53.54%</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RSU Activity</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During the nine months ended September 30, 2013, we granted 1,083,082 primarily service-based RSUs under the 2011 Incentive Plan for which the fair value was measured based on the quoted price of our common stock at the date of grant. We will amortize the fair value, net of estimated forfeitures, as stock-based compensation expense over the vesting term of generally four years on a straight-line basis, with the amount of compensation expense recognized at any date at least equaling the portion of the grant-date fair value of the award that is vested at that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RSU activity on our common stock:</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Grant-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5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0"/>
              </w:rPr>
              <w:t>RSUs</w:t>
            </w:r>
          </w:p>
        </w:tc>
        <w:tc>
          <w:tcPr>
            <w:tcW w:w="9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Date Fair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9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Value Per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Share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as of January 1, 2013</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1,083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48.84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Vested and released (1)</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Cancelled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44.81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5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as of September 30, 2013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84,989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Inclusive of 127,199 RSUs withheld to satisfy employee minimum tax withholding requirements due to net share settlement. Potential shares which had been convertible under RSUs that were withheld under net share settlement remain in the authorized but unissued pool under the 2011 Incentive Plan and can be reissued by the Company. Total payments for the employees’ tax obligations to the taxing authorities due to net share settlements are reflected as a financing activity within the consolidated statements of cash flows.</w:t>
      </w:r>
    </w:p>
    <w:p>
      <w:pPr>
        <w:sectPr>
          <w:pgSz w:w="11900" w:h="16838" w:orient="portrait"/>
          <w:cols w:equalWidth="0" w:num="1">
            <w:col w:w="11420"/>
          </w:cols>
          <w:pgMar w:left="240" w:top="459" w:right="239" w:bottom="1440" w:gutter="0" w:footer="0" w:header="0"/>
        </w:sectPr>
      </w:pPr>
    </w:p>
    <w:bookmarkStart w:id="12" w:name="page13"/>
    <w:bookmarkEnd w:id="12"/>
    <w:p>
      <w:pPr>
        <w:ind w:firstLine="456"/>
        <w:spacing w:after="0" w:line="277" w:lineRule="auto"/>
        <w:rPr>
          <w:sz w:val="20"/>
          <w:szCs w:val="20"/>
          <w:color w:val="auto"/>
        </w:rPr>
      </w:pPr>
      <w:r>
        <w:rPr>
          <w:rFonts w:ascii="Arial" w:cs="Arial" w:eastAsia="Arial" w:hAnsi="Arial"/>
          <w:sz w:val="18"/>
          <w:szCs w:val="18"/>
          <w:color w:val="auto"/>
        </w:rPr>
        <w:t>A summary of the unrecognized compensation expense, net of estimated forfeitures, and the weighted average period remaining at September 30, 2013 related to our non-vested stock options and RSU awards is presented below (in thousands, except year information):</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jc w:val="right"/>
              <w:ind w:right="102"/>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4"/>
                <w:szCs w:val="14"/>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RSUs</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jc w:val="right"/>
              <w:ind w:right="42"/>
              <w:spacing w:after="0"/>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Unrecognized compensation expense (net of forfeitures)</w:t>
            </w:r>
          </w:p>
        </w:tc>
        <w:tc>
          <w:tcPr>
            <w:tcW w:w="28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$100,509</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$32,061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140" w:type="dxa"/>
            <w:vAlign w:val="bottom"/>
          </w:tcPr>
          <w:p>
            <w:pPr>
              <w:spacing w:after="0"/>
              <w:rPr>
                <w:sz w:val="24"/>
                <w:szCs w:val="24"/>
                <w:color w:val="auto"/>
              </w:rPr>
            </w:pPr>
          </w:p>
        </w:tc>
        <w:tc>
          <w:tcPr>
            <w:tcW w:w="2800" w:type="dxa"/>
            <w:vAlign w:val="bottom"/>
          </w:tcPr>
          <w:p>
            <w:pPr>
              <w:jc w:val="right"/>
              <w:ind w:right="2430"/>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All shares of common stock issued in respect of the exercise of options or other equity awards since Spin-Off have been issued from authorized, but unissued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as of September 30, 2013 and December 31, 2012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9"/>
          </w:tcPr>
          <w:p>
            <w:pPr>
              <w:jc w:val="right"/>
              <w:ind w:right="1020"/>
              <w:spacing w:after="0"/>
              <w:rPr>
                <w:sz w:val="20"/>
                <w:szCs w:val="20"/>
                <w:color w:val="auto"/>
              </w:rPr>
            </w:pPr>
            <w:r>
              <w:rPr>
                <w:rFonts w:ascii="Arial" w:cs="Arial" w:eastAsia="Arial" w:hAnsi="Arial"/>
                <w:sz w:val="14"/>
                <w:szCs w:val="14"/>
                <w:b w:val="1"/>
                <w:bCs w:val="1"/>
                <w:color w:val="auto"/>
                <w:w w:val="90"/>
              </w:rPr>
              <w:t>September 30, 2013</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8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8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0"/>
                <w:szCs w:val="10"/>
                <w:color w:val="auto"/>
              </w:rPr>
            </w:pPr>
          </w:p>
        </w:tc>
        <w:tc>
          <w:tcPr>
            <w:tcW w:w="88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w w:val="90"/>
              </w:rPr>
              <w:t>Unrealized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Cash and</w:t>
            </w:r>
          </w:p>
        </w:tc>
        <w:tc>
          <w:tcPr>
            <w:tcW w:w="60" w:type="dxa"/>
            <w:vAlign w:val="bottom"/>
          </w:tcPr>
          <w:p>
            <w:pPr>
              <w:spacing w:after="0"/>
              <w:rPr>
                <w:sz w:val="10"/>
                <w:szCs w:val="10"/>
                <w:color w:val="auto"/>
              </w:rPr>
            </w:pP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Short-Term</w:t>
            </w: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1"/>
              </w:rPr>
              <w:t>Long-Term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Cash</w:t>
            </w:r>
          </w:p>
        </w:tc>
        <w:tc>
          <w:tcPr>
            <w:tcW w:w="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Marketable</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7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Equivalents(1)</w:t>
            </w:r>
          </w:p>
        </w:tc>
        <w:tc>
          <w:tcPr>
            <w:tcW w:w="6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Securities</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Securities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(1)</w:t>
            </w:r>
          </w:p>
        </w:tc>
        <w:tc>
          <w:tcPr>
            <w:tcW w:w="1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$231,400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$231,400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231,400</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Level 1:</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44,958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44,958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Pr>
          <w:p>
            <w:pPr>
              <w:ind w:left="700"/>
              <w:spacing w:after="0"/>
              <w:rPr>
                <w:sz w:val="20"/>
                <w:szCs w:val="20"/>
                <w:color w:val="auto"/>
              </w:rPr>
            </w:pPr>
            <w:r>
              <w:rPr>
                <w:rFonts w:ascii="Arial" w:cs="Arial" w:eastAsia="Arial" w:hAnsi="Arial"/>
                <w:sz w:val="18"/>
                <w:szCs w:val="18"/>
                <w:color w:val="auto"/>
              </w:rPr>
              <w:t>Subtotal</w:t>
            </w:r>
          </w:p>
        </w:tc>
        <w:tc>
          <w:tcPr>
            <w:tcW w:w="126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44,958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44,958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44,958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U.S. agency securities</w:t>
            </w:r>
          </w:p>
        </w:tc>
        <w:tc>
          <w:tcPr>
            <w:tcW w:w="2040" w:type="dxa"/>
            <w:vAlign w:val="bottom"/>
            <w:gridSpan w:val="4"/>
          </w:tcPr>
          <w:p>
            <w:pPr>
              <w:jc w:val="right"/>
              <w:ind w:right="100"/>
              <w:spacing w:after="0"/>
              <w:rPr>
                <w:sz w:val="20"/>
                <w:szCs w:val="20"/>
                <w:color w:val="auto"/>
              </w:rPr>
            </w:pPr>
            <w:r>
              <w:rPr>
                <w:rFonts w:ascii="Arial" w:cs="Arial" w:eastAsia="Arial" w:hAnsi="Arial"/>
                <w:sz w:val="18"/>
                <w:szCs w:val="18"/>
                <w:color w:val="auto"/>
              </w:rPr>
              <w:t>38,522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38,507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16,026</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securities</w:t>
            </w:r>
          </w:p>
        </w:tc>
        <w:tc>
          <w:tcPr>
            <w:tcW w:w="2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15,298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15,299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15,299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Certificates of deposit</w:t>
            </w:r>
          </w:p>
        </w:tc>
        <w:tc>
          <w:tcPr>
            <w:tcW w:w="2040" w:type="dxa"/>
            <w:vAlign w:val="bottom"/>
            <w:gridSpan w:val="4"/>
          </w:tcPr>
          <w:p>
            <w:pPr>
              <w:jc w:val="right"/>
              <w:ind w:right="100"/>
              <w:spacing w:after="0"/>
              <w:rPr>
                <w:sz w:val="20"/>
                <w:szCs w:val="20"/>
                <w:color w:val="auto"/>
              </w:rPr>
            </w:pPr>
            <w:r>
              <w:rPr>
                <w:rFonts w:ascii="Arial" w:cs="Arial" w:eastAsia="Arial" w:hAnsi="Arial"/>
                <w:sz w:val="18"/>
                <w:szCs w:val="18"/>
                <w:color w:val="auto"/>
              </w:rPr>
              <w:t>19,200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19,222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16,221</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Corporate securities</w:t>
            </w:r>
          </w:p>
        </w:tc>
        <w:tc>
          <w:tcPr>
            <w:tcW w:w="2040" w:type="dxa"/>
            <w:vAlign w:val="bottom"/>
            <w:gridSpan w:val="4"/>
          </w:tcPr>
          <w:p>
            <w:pPr>
              <w:jc w:val="right"/>
              <w:ind w:right="100"/>
              <w:spacing w:after="0"/>
              <w:rPr>
                <w:sz w:val="20"/>
                <w:szCs w:val="20"/>
                <w:color w:val="auto"/>
              </w:rPr>
            </w:pPr>
            <w:r>
              <w:rPr>
                <w:rFonts w:ascii="Arial" w:cs="Arial" w:eastAsia="Arial" w:hAnsi="Arial"/>
                <w:sz w:val="18"/>
                <w:szCs w:val="18"/>
                <w:color w:val="auto"/>
              </w:rPr>
              <w:t>240,755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240,493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102,450</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138,043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1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5,001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Pr>
          <w:p>
            <w:pPr>
              <w:ind w:left="700"/>
              <w:spacing w:after="0"/>
              <w:rPr>
                <w:sz w:val="20"/>
                <w:szCs w:val="20"/>
                <w:color w:val="auto"/>
              </w:rPr>
            </w:pPr>
            <w:r>
              <w:rPr>
                <w:rFonts w:ascii="Arial" w:cs="Arial" w:eastAsia="Arial" w:hAnsi="Arial"/>
                <w:sz w:val="18"/>
                <w:szCs w:val="18"/>
                <w:color w:val="auto"/>
              </w:rPr>
              <w:t>Subtotal</w:t>
            </w:r>
          </w:p>
        </w:tc>
        <w:tc>
          <w:tcPr>
            <w:tcW w:w="126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319,775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24"/>
                <w:szCs w:val="24"/>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319,522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155,997</w:t>
            </w:r>
          </w:p>
        </w:tc>
        <w:tc>
          <w:tcPr>
            <w:tcW w:w="12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163,525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2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596,133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595,880</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276,358</w:t>
            </w:r>
          </w:p>
        </w:tc>
        <w:tc>
          <w:tcPr>
            <w:tcW w:w="1080" w:type="dxa"/>
            <w:vAlign w:val="bottom"/>
            <w:tcBorders>
              <w:right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94"/>
              </w:rPr>
              <w:t>$ 155,997</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$ 163,525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9"/>
          </w:tcPr>
          <w:p>
            <w:pPr>
              <w:jc w:val="right"/>
              <w:ind w:right="1000"/>
              <w:spacing w:after="0"/>
              <w:rPr>
                <w:sz w:val="20"/>
                <w:szCs w:val="20"/>
                <w:color w:val="auto"/>
              </w:rPr>
            </w:pPr>
            <w:r>
              <w:rPr>
                <w:rFonts w:ascii="Arial" w:cs="Arial" w:eastAsia="Arial" w:hAnsi="Arial"/>
                <w:sz w:val="14"/>
                <w:szCs w:val="14"/>
                <w:b w:val="1"/>
                <w:bCs w:val="1"/>
                <w:color w:val="auto"/>
                <w:w w:val="95"/>
              </w:rPr>
              <w:t>December 31, 2012</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0"/>
                <w:szCs w:val="10"/>
                <w:color w:val="auto"/>
              </w:rPr>
            </w:pPr>
          </w:p>
        </w:tc>
        <w:tc>
          <w:tcPr>
            <w:tcW w:w="74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Cash and</w:t>
            </w:r>
          </w:p>
        </w:tc>
        <w:tc>
          <w:tcPr>
            <w:tcW w:w="108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Short-Term</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Long-Term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Cash</w:t>
            </w:r>
          </w:p>
        </w:tc>
        <w:tc>
          <w:tcPr>
            <w:tcW w:w="10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Marketable</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Equivalents</w:t>
            </w:r>
          </w:p>
        </w:tc>
        <w:tc>
          <w:tcPr>
            <w:tcW w:w="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34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$141,460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$141,460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$ 141,460</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Level 1:</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340" w:type="dxa"/>
            <w:vAlign w:val="bottom"/>
            <w:gridSpan w:val="2"/>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215,052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215,052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215,052</w:t>
            </w:r>
          </w:p>
        </w:tc>
        <w:tc>
          <w:tcPr>
            <w:tcW w:w="280" w:type="dxa"/>
            <w:vAlign w:val="bottom"/>
            <w:tcBorders>
              <w:lef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Pr>
          <w:p>
            <w:pPr>
              <w:ind w:left="700"/>
              <w:spacing w:after="0"/>
              <w:rPr>
                <w:sz w:val="20"/>
                <w:szCs w:val="20"/>
                <w:color w:val="auto"/>
              </w:rPr>
            </w:pPr>
            <w:r>
              <w:rPr>
                <w:rFonts w:ascii="Arial" w:cs="Arial" w:eastAsia="Arial" w:hAnsi="Arial"/>
                <w:sz w:val="18"/>
                <w:szCs w:val="18"/>
                <w:color w:val="auto"/>
              </w:rPr>
              <w:t>Subtotal</w:t>
            </w:r>
          </w:p>
        </w:tc>
        <w:tc>
          <w:tcPr>
            <w:tcW w:w="2240" w:type="dxa"/>
            <w:vAlign w:val="bottom"/>
            <w:gridSpan w:val="5"/>
          </w:tcPr>
          <w:p>
            <w:pPr>
              <w:jc w:val="right"/>
              <w:ind w:right="200"/>
              <w:spacing w:after="0"/>
              <w:rPr>
                <w:sz w:val="20"/>
                <w:szCs w:val="20"/>
                <w:color w:val="auto"/>
              </w:rPr>
            </w:pPr>
            <w:r>
              <w:rPr>
                <w:rFonts w:ascii="Arial" w:cs="Arial" w:eastAsia="Arial" w:hAnsi="Arial"/>
                <w:sz w:val="18"/>
                <w:szCs w:val="18"/>
                <w:color w:val="auto"/>
              </w:rPr>
              <w:t>215,052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215,052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215,052</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U.S. agency securities</w:t>
            </w:r>
          </w:p>
        </w:tc>
        <w:tc>
          <w:tcPr>
            <w:tcW w:w="2240" w:type="dxa"/>
            <w:vAlign w:val="bottom"/>
            <w:gridSpan w:val="5"/>
          </w:tcPr>
          <w:p>
            <w:pPr>
              <w:jc w:val="right"/>
              <w:ind w:right="200"/>
              <w:spacing w:after="0"/>
              <w:rPr>
                <w:sz w:val="20"/>
                <w:szCs w:val="20"/>
                <w:color w:val="auto"/>
              </w:rPr>
            </w:pPr>
            <w:r>
              <w:rPr>
                <w:rFonts w:ascii="Arial" w:cs="Arial" w:eastAsia="Arial" w:hAnsi="Arial"/>
                <w:sz w:val="18"/>
                <w:szCs w:val="18"/>
                <w:color w:val="auto"/>
              </w:rPr>
              <w:t>13,634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980" w:type="dxa"/>
            <w:vAlign w:val="bottom"/>
            <w:gridSpan w:val="5"/>
          </w:tcPr>
          <w:p>
            <w:pPr>
              <w:jc w:val="right"/>
              <w:ind w:right="80"/>
              <w:spacing w:after="0"/>
              <w:rPr>
                <w:sz w:val="20"/>
                <w:szCs w:val="20"/>
                <w:color w:val="auto"/>
              </w:rPr>
            </w:pPr>
            <w:r>
              <w:rPr>
                <w:rFonts w:ascii="Arial" w:cs="Arial" w:eastAsia="Arial" w:hAnsi="Arial"/>
                <w:sz w:val="18"/>
                <w:szCs w:val="18"/>
                <w:color w:val="auto"/>
              </w:rPr>
              <w:t>13,635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2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48,710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9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48,703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2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38,704</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Corporate securities</w:t>
            </w:r>
          </w:p>
        </w:tc>
        <w:tc>
          <w:tcPr>
            <w:tcW w:w="2240" w:type="dxa"/>
            <w:vAlign w:val="bottom"/>
            <w:gridSpan w:val="5"/>
          </w:tcPr>
          <w:p>
            <w:pPr>
              <w:jc w:val="right"/>
              <w:ind w:right="200"/>
              <w:spacing w:after="0"/>
              <w:rPr>
                <w:sz w:val="20"/>
                <w:szCs w:val="20"/>
                <w:color w:val="auto"/>
              </w:rPr>
            </w:pPr>
            <w:r>
              <w:rPr>
                <w:rFonts w:ascii="Arial" w:cs="Arial" w:eastAsia="Arial" w:hAnsi="Arial"/>
                <w:sz w:val="18"/>
                <w:szCs w:val="18"/>
                <w:color w:val="auto"/>
              </w:rPr>
              <w:t>162,050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(180)</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161,882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67,630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93,248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134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Pr>
          <w:p>
            <w:pPr>
              <w:ind w:left="700"/>
              <w:spacing w:after="0"/>
              <w:rPr>
                <w:sz w:val="20"/>
                <w:szCs w:val="20"/>
                <w:color w:val="auto"/>
              </w:rPr>
            </w:pPr>
            <w:r>
              <w:rPr>
                <w:rFonts w:ascii="Arial" w:cs="Arial" w:eastAsia="Arial" w:hAnsi="Arial"/>
                <w:sz w:val="18"/>
                <w:szCs w:val="18"/>
                <w:color w:val="auto"/>
              </w:rPr>
              <w:t>Subtotal</w:t>
            </w:r>
          </w:p>
        </w:tc>
        <w:tc>
          <w:tcPr>
            <w:tcW w:w="1340" w:type="dxa"/>
            <w:vAlign w:val="bottom"/>
            <w:gridSpan w:val="2"/>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229,397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(207)</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229,221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11,003</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118,970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99,248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22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585,909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585,733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$ 367,515</w:t>
            </w:r>
          </w:p>
        </w:tc>
        <w:tc>
          <w:tcPr>
            <w:tcW w:w="28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$ 118,970</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99,248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cash does not include $40.4 million of marketable securities which were sold during the period, but had not yet settled on report date. This amount was recorded to Receivable—sale of marketable securities on our consolidated balance sheet at September 30, 2013. This cash was received on October 1, 2013.</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cash and cash equivalents consist of cash on hand in global financial institutions, money market funds and marketable securities with contractual maturity dates of 90 days or less at the date purchased. The remaining contractual maturity dates of our long-term marketable securities range from one to three years and our short-term marketable securities include contractual maturity dates that were greater than 90 days at the date purchased and have 12 months or less remaining at September 30, 2013.</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was derived from quoted prices in active markets for identical assets or liabilities. Investments in U.S. Treasury securities are considered “Level 2” valuations because we have access to quoted prices, but do not have visibility into the volume and frequency of trading for all investments. Fair values for our U.S. agency securities, commercial paper, corporate securities, certificates of deposit and municipal securities are considered “Level 2” valuations because they are obtained from pricing sources for identical or comparable instruments, rather than direct observations of quoted prices in active markets.</w:t>
      </w:r>
    </w:p>
    <w:p>
      <w:pPr>
        <w:spacing w:after="0" w:line="16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There were no material realized gains or losses related to sales of our marketable securities for the three and nine months ended September 30, 2013 and 2012.</w:t>
      </w:r>
    </w:p>
    <w:p>
      <w:pPr>
        <w:spacing w:after="0" w:line="170"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As of September 30, 2013, we have marketable securities with a total fair value of $165.1 million in a total gross unrealized loss position of $0.4 million. We consider the declines in market value of our marketable securities investment portfolio to be temporary in nature and do not consider any of our investments other-than-temporarily impaired. When evaluating an investment for other-than-temporary impairment, we review factors such as the length of time and extent to which fair value has been below its cost basis, the financial condition of the issuer and any changes thereto, and our intent to sell, or whether it is more likely than not we will be required to sell the investment before recovery of the investment’s cost basis. During the nine months ended September 30, 2013 and 2012, we did not recognize any impairment charges. We did not have any investments in marketable securities that were in a continuous unrealized loss position for 12 months or greater at September 30, 2013 or December 31, 2012.</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normal course of business, we are exposed to the impact of foreign currency fluctuations, which we attempt to mitigate through the use of derivative instruments. Accordingly, we have entered into forward contracts to reduce the effects of fluctuating foreign currency exchange rates on our cash flows denominated in foreign currencies. We do not use derivatives for trading or speculative purposes. In accordance with current accounting guidance on derivative instruments and hedging activities, we record all our derivative instruments as either an asset or liability measured at their fair value. Our derivative instruments are typically short-term in nature.</w:t>
      </w:r>
    </w:p>
    <w:p>
      <w:pPr>
        <w:spacing w:after="0" w:line="188"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Our current forward contracts are not designated as hedges. Consequently, any gain or loss resulting from the change in fair value is recognized in the current period earnings. These gains or losses are offset by the exposure related to receivables and payables with our foreign subsidiaries. We recorded a net loss of $1.2 million and $0.6 million for the three and nine month periods ended September 30, 2013, respectively, related to our forward contracts in our consolidated statement of operations in Other, net. We recorded a net loss of $0.3 million for the three and nine month periods ended September 30, 2012, respectively, related to our forward contracts in our consolidated statement of operations in Other, net. The net cash received or paid related to our derivative instruments are classified as operating in our consolidated statements of cash flows, which is based on the objective of the derivative instruments.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tables show the fair value and notional principal amounts of our outstanding or unsettled derivative instruments that are not designated as hedging instruments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Balance Sheet Caption</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gridSpan w:val="6"/>
          </w:tcPr>
          <w:p>
            <w:pPr>
              <w:ind w:left="80"/>
              <w:spacing w:after="0"/>
              <w:rPr>
                <w:sz w:val="20"/>
                <w:szCs w:val="20"/>
                <w:color w:val="auto"/>
              </w:rPr>
            </w:pPr>
            <w:r>
              <w:rPr>
                <w:rFonts w:ascii="Arial" w:cs="Arial" w:eastAsia="Arial" w:hAnsi="Arial"/>
                <w:sz w:val="14"/>
                <w:szCs w:val="14"/>
                <w:b w:val="1"/>
                <w:bCs w:val="1"/>
                <w:color w:val="auto"/>
              </w:rPr>
              <w:t>September 30, 2013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tcBorders>
              <w:top w:val="single" w:sz="8" w:color="auto"/>
            </w:tcBorders>
            <w:gridSpan w:val="6"/>
            <w:vMerge w:val="restart"/>
          </w:tcPr>
          <w:p>
            <w:pPr>
              <w:ind w:left="20"/>
              <w:spacing w:after="0"/>
              <w:rPr>
                <w:sz w:val="20"/>
                <w:szCs w:val="20"/>
                <w:color w:val="auto"/>
              </w:rPr>
            </w:pPr>
            <w:r>
              <w:rPr>
                <w:rFonts w:ascii="Arial" w:cs="Arial" w:eastAsia="Arial" w:hAnsi="Arial"/>
                <w:sz w:val="14"/>
                <w:szCs w:val="14"/>
                <w:b w:val="1"/>
                <w:bCs w:val="1"/>
                <w:color w:val="auto"/>
                <w:w w:val="98"/>
              </w:rPr>
              <w:t>Fair Value of Derivative(2)</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U.S. Dollar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Asset</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Liability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exchange-forward contracts (current)</w:t>
            </w:r>
          </w:p>
        </w:tc>
        <w:tc>
          <w:tcPr>
            <w:tcW w:w="3760" w:type="dxa"/>
            <w:vAlign w:val="bottom"/>
            <w:gridSpan w:val="3"/>
            <w:shd w:val="clear" w:color="auto" w:fill="CCEEFF"/>
          </w:tcPr>
          <w:p>
            <w:pPr>
              <w:jc w:val="center"/>
              <w:ind w:left="650"/>
              <w:spacing w:after="0"/>
              <w:rPr>
                <w:sz w:val="20"/>
                <w:szCs w:val="20"/>
                <w:color w:val="auto"/>
              </w:rPr>
            </w:pPr>
            <w:r>
              <w:rPr>
                <w:rFonts w:ascii="Arial" w:cs="Arial" w:eastAsia="Arial" w:hAnsi="Arial"/>
                <w:sz w:val="18"/>
                <w:szCs w:val="18"/>
                <w:color w:val="auto"/>
                <w:w w:val="92"/>
              </w:rPr>
              <w:t>Accrued and other current liabilities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Balance Sheet Caption</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gridSpan w:val="6"/>
          </w:tcPr>
          <w:p>
            <w:pPr>
              <w:ind w:left="100"/>
              <w:spacing w:after="0"/>
              <w:rPr>
                <w:sz w:val="20"/>
                <w:szCs w:val="20"/>
                <w:color w:val="auto"/>
              </w:rPr>
            </w:pPr>
            <w:r>
              <w:rPr>
                <w:rFonts w:ascii="Arial" w:cs="Arial" w:eastAsia="Arial" w:hAnsi="Arial"/>
                <w:sz w:val="14"/>
                <w:szCs w:val="14"/>
                <w:b w:val="1"/>
                <w:bCs w:val="1"/>
                <w:color w:val="auto"/>
              </w:rPr>
              <w:t>December 31, 2012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tcBorders>
              <w:top w:val="single" w:sz="8" w:color="auto"/>
            </w:tcBorders>
            <w:gridSpan w:val="6"/>
            <w:vMerge w:val="restart"/>
          </w:tcPr>
          <w:p>
            <w:pPr>
              <w:ind w:left="20"/>
              <w:spacing w:after="0"/>
              <w:rPr>
                <w:sz w:val="20"/>
                <w:szCs w:val="20"/>
                <w:color w:val="auto"/>
              </w:rPr>
            </w:pPr>
            <w:r>
              <w:rPr>
                <w:rFonts w:ascii="Arial" w:cs="Arial" w:eastAsia="Arial" w:hAnsi="Arial"/>
                <w:sz w:val="14"/>
                <w:szCs w:val="14"/>
                <w:b w:val="1"/>
                <w:bCs w:val="1"/>
                <w:color w:val="auto"/>
                <w:w w:val="98"/>
              </w:rPr>
              <w:t>Fair Value of Derivative(2)</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U.S. Dollar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Asset</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Liability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exchange-forward contracts (current)</w:t>
            </w:r>
          </w:p>
        </w:tc>
        <w:tc>
          <w:tcPr>
            <w:tcW w:w="3760" w:type="dxa"/>
            <w:vAlign w:val="bottom"/>
            <w:gridSpan w:val="3"/>
            <w:shd w:val="clear" w:color="auto" w:fill="CCEEFF"/>
          </w:tcPr>
          <w:p>
            <w:pPr>
              <w:jc w:val="center"/>
              <w:ind w:left="650"/>
              <w:spacing w:after="0"/>
              <w:rPr>
                <w:sz w:val="20"/>
                <w:szCs w:val="20"/>
                <w:color w:val="auto"/>
              </w:rPr>
            </w:pPr>
            <w:r>
              <w:rPr>
                <w:rFonts w:ascii="Arial" w:cs="Arial" w:eastAsia="Arial" w:hAnsi="Arial"/>
                <w:sz w:val="18"/>
                <w:szCs w:val="18"/>
                <w:color w:val="auto"/>
                <w:w w:val="92"/>
              </w:rPr>
              <w:t>Accrued and other current liabilities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Derivative contracts address foreign exchange fluctuations for the Euro versus the U.S. dollar.</w:t>
      </w:r>
    </w:p>
    <w:p>
      <w:pPr>
        <w:spacing w:after="0" w:line="23"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our derivatives are measured using Level 2 fair value inputs, as we use a pricing model that takes into account the contract terms as well as current foreign currency exchange rates in active markets.</w:t>
      </w:r>
    </w:p>
    <w:p>
      <w:pPr>
        <w:spacing w:after="0" w:line="29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Counterparties to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Other financial instruments not measured at fair value on a recurring basis include trade receivables, related party receivables, trade payables, deferred merchant payables, short-term debt, accrued and other current liabilities and long-term debt. With the exception of long-term debt, the carrying amount approximates fair value because of the short maturity of these instruments as reported on our consolidated balance sheets as of September 30, 2013 and December 31, 2012. The carrying value of the long-term borrowings outstanding on our Credit Agreement bears interest at a variable rate and therefore is also considered to approximate fair value.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have any Level 3 assets or liabilities for the periods ended September 30, 2013 and December 31, 2012.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Due 2016 and Revolving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20, 2011, we entered into a credit agreement, dated as of December 20, 2011, by and among TripAdvisor, TripAdvisor Holdings, LLC, and TripAdvisor LLC, the lenders party thereto, JPMorgan Chase Bank, N.A., as administrative agent, and J.P. Morgan Europe Limited, as London agent (this credit agreement, together with all exhibits, schedules, annexes, certificates, assignments and related documents contemplated thereby, is referred to herein as the “Credit Agreement”), which provides $600 million of borrowing including:</w:t>
      </w:r>
    </w:p>
    <w:p>
      <w:pPr>
        <w:spacing w:after="0" w:line="9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Term Loan Facility, or Term Loan, in an aggregate principal amount of $400 million with a term of five years due December 2016; and</w:t>
      </w:r>
    </w:p>
    <w:p>
      <w:pPr>
        <w:spacing w:after="0" w:line="142"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Revolving Credit Facility in an aggregate principal amount of $200 million available in U.S. dollars, Euros and British pound sterling with a term of five years expiring December 2016.</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150 basis points, or the Eurocurrency Spread, or the alternate base rate (“ABR”) plus 50 basis points, and undrawn amounts are currently subject to a commitment fee of 22.5 basis points.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September 30, 2013, we are using a one-month interest period Eurocurrency spread, which is approximately 1.7% per annum. Interest is currently payable on a monthly basis while we are borrowing under the one-month interest rate period. The current interest rates are based on current assumptions, leverage and LIBOR rates and do not take into account that rates will reset periodically.</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Term Loan principal is currently repayable in quarterly installments on the last day of each calendar quarter equal to 2.5% of the original principal amount with the balance due on the final maturity date. Principal payments aggregating $30 million were made during the nine months ended September 30, 2013.</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Revolving Credit Facility includes $40 million of borrowing capacity available for letters of credit and $40 million for borrowings on same-day notice. As of September 30, 2013, there are no outstanding borrowings under our Revolving Credit Facility. During the three and nine months ended September 30, 2013, we recorded total interest and commitment fees on our Credit Agreement of $1.8 million and $5.9 million, respectively, to interest expense, on our consolidated statement of operations. During the three and nine months ended September 30, 2012, we recorded total interest and commitment fees on our Credit Agreement of $2.1 million and $6.5 million, respectively, to interest expense on our consolidated statements of operations. All unpaid interest and commitment fee amounts as of September 30, 2013 and December 31, 2012 were not material.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outstanding borrowings under the Credit Agreement consist of the following (in thousands):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280" w:type="dxa"/>
            <w:vAlign w:val="bottom"/>
            <w:gridSpan w:val="4"/>
          </w:tcPr>
          <w:p>
            <w:pPr>
              <w:ind w:left="2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Short-Term Debt:</w:t>
            </w:r>
          </w:p>
        </w:tc>
        <w:tc>
          <w:tcPr>
            <w:tcW w:w="2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Revolving Credit Facility</w:t>
            </w:r>
          </w:p>
        </w:tc>
        <w:tc>
          <w:tcPr>
            <w:tcW w:w="2480" w:type="dxa"/>
            <w:vAlign w:val="bottom"/>
            <w:gridSpan w:val="2"/>
          </w:tcPr>
          <w:p>
            <w:pPr>
              <w:ind w:left="2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 Loan</w:t>
            </w:r>
          </w:p>
        </w:tc>
        <w:tc>
          <w:tcPr>
            <w:tcW w:w="2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480" w:type="dxa"/>
            <w:vAlign w:val="bottom"/>
            <w:gridSpan w:val="2"/>
          </w:tcPr>
          <w:p>
            <w:pPr>
              <w:spacing w:after="0"/>
              <w:rPr>
                <w:sz w:val="20"/>
                <w:szCs w:val="20"/>
                <w:color w:val="auto"/>
              </w:rPr>
            </w:pPr>
            <w:r>
              <w:rPr>
                <w:rFonts w:ascii="Arial" w:cs="Arial" w:eastAsia="Arial" w:hAnsi="Arial"/>
                <w:sz w:val="18"/>
                <w:szCs w:val="18"/>
                <w:color w:val="auto"/>
              </w:rPr>
              <w:t>Total Short-Term Borrowings</w:t>
            </w:r>
          </w:p>
        </w:tc>
        <w:tc>
          <w:tcPr>
            <w:tcW w:w="2480" w:type="dxa"/>
            <w:vAlign w:val="bottom"/>
            <w:gridSpan w:val="2"/>
          </w:tcPr>
          <w:p>
            <w:pPr>
              <w:ind w:left="2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Term Loan</w:t>
            </w:r>
          </w:p>
        </w:tc>
        <w:tc>
          <w:tcPr>
            <w:tcW w:w="2480" w:type="dxa"/>
            <w:vAlign w:val="bottom"/>
            <w:gridSpan w:val="2"/>
          </w:tcPr>
          <w:p>
            <w:pPr>
              <w:ind w:left="2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4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Borrowings</w:t>
            </w:r>
          </w:p>
        </w:tc>
        <w:tc>
          <w:tcPr>
            <w:tcW w:w="248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future minimum principal payment obligations due under the Credit Agreement related to our Term Loan is as follows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(in thousands):</w:t>
      </w:r>
    </w:p>
    <w:p>
      <w:pPr>
        <w:spacing w:after="0" w:line="21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2013 (remaining three months)</w:t>
            </w:r>
          </w:p>
        </w:tc>
        <w:tc>
          <w:tcPr>
            <w:tcW w:w="2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2014</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2015</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2016</w:t>
            </w:r>
          </w:p>
        </w:tc>
        <w:tc>
          <w:tcPr>
            <w:tcW w:w="2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7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may voluntarily repay any outstanding borrowing under the Credit Agreement at any time without premium or penalty, other than customary breakage costs with respect to eurocurrency loans.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440" w:firstLine="456"/>
        <w:spacing w:after="0" w:line="312" w:lineRule="auto"/>
        <w:rPr>
          <w:sz w:val="20"/>
          <w:szCs w:val="20"/>
          <w:color w:val="auto"/>
        </w:rPr>
      </w:pPr>
      <w:r>
        <w:rPr>
          <w:rFonts w:ascii="Arial" w:cs="Arial" w:eastAsia="Arial" w:hAnsi="Arial"/>
          <w:sz w:val="16"/>
          <w:szCs w:val="16"/>
          <w:color w:val="auto"/>
        </w:rPr>
        <w:t>All obligations under the Credit Agreement are unconditionally guaranteed by us and each of our existing and subsequently acquired or organized direct or indirect wholly-owned domestic and foreign restricted subsidiaries, subject to certain exceptions for subsidiaries that are controlled foreign corporations, foreign subsidiaries in jurisdictions where applicable law would otherwise be violated, and non-material subsidiaries.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Credit Agreement also requires us to maintain a maximum leverage ratio and a minimum cash interest coverage ratio, and contains certain customary affirmative covenants and events of default, including a change of control. If an event of default occurs, the lenders under the Credit Agreement will be entitled to take various actions, including the acceleration of all amounts due under Credit Agreement and all actions permitted to be taken by a secured creditor.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we believe we are in compliance with all of our debt covenants.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addition to our borrowings under the Credit Agreement, we maintain our Chinese Credit Facilities. As of September 30, 2013 and December 31, 2012, we had short-term borrowings outstanding of $26.2 million and $32.1 million, respectively.</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Certain of our Chinese subsidiaries entered into a RMB 138,600,000 (approximately $22 million), one-year revolving credit facility with Bank of America (the “Chinese Credit Facility—BOA”) that is currently subject to review on a periodic basis with no-specific expiration period. During the third quarter of 2012, this credit line was increased to RMB 189,000,000 (approximately $30 million). During the nine months ended September 30, 2013, we made a payment inclusive of interest of RMB 68,283,570 (approximately $10.9 million). We currently have $11.9 million of outstanding borrowings from the Chinese Credit Facility—BOA as of September 30, 2013. Our Chinese Credit Facility—BOA currently bears interest at a rate based on 100% of the People’s Bank of China’s base rate and was 5.6% as of September 30, 2013.</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during April 2012, certain of our Chinese subsidiaries entered into a RMB 125,000,000 (approximately $20 million) one-year revolving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with J.P. Morgan Chase Bank (“Chinese Credit Facility-JPM”). This credit facility was renewed for an additional year in April 2013. During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nine months ended September 30, 2013, we made a payment inclusive of interest of RMB 24,281,546 (approximately $3.9 million). We currently have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$14.3 million of outstanding borrowings from the Chinese Credit Facility—JPM as of September 30, 2013. Our Chinese Credit Facility—JPM currently bears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at a rate based on 100% of the People’s Bank of China’s base rate and was 5.6% as of September 30, 2013.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During the nine months ended September 30, 2013, we completed five acquisitions for total cash consideration paid of $31.5 million, net of cash acquired. The total cash consideration is subject to adjustment based on the finalization of working capital adjustments and amounts retained with payment subject to certain indemnification obligations by the respective sellers for our benefit in future periods. We acquired TinyPost, the developer of a product that enables users to write over photos and turn them into stories, Jetsetter, a members-only private sale site for hotel bookings; CruiseWise, a cruise research and planning site; Niumba, a Spain-based vacation rental site; and GateGuru, a mobile app with flight and airport information around the world, all of which complement our existing brands in those areas of the travel ecosystem. The total purchase price of these acquisitions, all of which were accounted for as purchases of businesses under the acquisition method, have been allocated to the tangible and identifiable intangible assets acquired and the net liabilities assumed based on their respective fair values on the acquisition date. The purchase price allocation of our 2013 acquisitions are preliminary and subject to revision as more information becomes available, but in any case will not be revised beyond 12 months after the acquisition date and any change to the fair value of net liabilities acquired will lead to a corresponding change to the purchase price allocable to goodwill. Acquisition-related costs were expensed as incurred and were not significant.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presents the summary purchase price allocation initially recorded for all 2013 acquisitions on our consolidated balance sheets at the respective acquisition dates (in thousands):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liabilities (1)</w:t>
            </w:r>
          </w:p>
        </w:tc>
        <w:tc>
          <w:tcPr>
            <w:tcW w:w="19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$(14,195)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Goodwill (2)</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34,137</w:t>
            </w:r>
          </w:p>
        </w:tc>
        <w:tc>
          <w:tcPr>
            <w:tcW w:w="12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(3)</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16,944</w:t>
            </w:r>
          </w:p>
        </w:tc>
        <w:tc>
          <w:tcPr>
            <w:tcW w:w="12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720" w:type="dxa"/>
            <w:vAlign w:val="bottom"/>
            <w:gridSpan w:val="3"/>
          </w:tcPr>
          <w:p>
            <w:pPr>
              <w:jc w:val="right"/>
              <w:ind w:right="60"/>
              <w:spacing w:after="0"/>
              <w:rPr>
                <w:sz w:val="20"/>
                <w:szCs w:val="20"/>
                <w:color w:val="auto"/>
              </w:rPr>
            </w:pPr>
            <w:r>
              <w:rPr>
                <w:rFonts w:ascii="Arial" w:cs="Arial" w:eastAsia="Arial" w:hAnsi="Arial"/>
                <w:sz w:val="18"/>
                <w:szCs w:val="18"/>
                <w:color w:val="auto"/>
              </w:rPr>
              <w:t>(1,352)</w:t>
            </w:r>
          </w:p>
        </w:tc>
      </w:tr>
      <w:tr>
        <w:trPr>
          <w:trHeight w:val="115"/>
        </w:trPr>
        <w:tc>
          <w:tcPr>
            <w:tcW w:w="50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purchase price consideration (4)</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$ 35,534</w:t>
            </w:r>
          </w:p>
        </w:tc>
        <w:tc>
          <w:tcPr>
            <w:tcW w:w="120" w:type="dxa"/>
            <w:vAlign w:val="bottom"/>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cash acquired of $2.9 million.</w:t>
      </w:r>
    </w:p>
    <w:p>
      <w:pPr>
        <w:spacing w:after="0" w:line="23"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goodwill represents the excess value over both tangible and intangible assets acquired. The goodwill in these transactions is primarily attributable to expected operational synergies, the assembled workforces, and the future development initiatives of the assembled workforces. Goodwill in the amount of $17.4 million is expected to be deductible for tax purposes.</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Identifiable definite-lived intangible assets were comprised of developed technology of $1.6 million, trade names of $7.0 million, customer relationships of $7.9 million, and non-compete agreements of $0.4 million. The overall weighted-average life of the identifiable definite-lived intangible assets acquired in the purchase of the companies was 8.3 years, which will be amortized on a straight-line basis over their estimated useful lives from acquisition date.</w:t>
      </w:r>
    </w:p>
    <w:p>
      <w:pPr>
        <w:spacing w:after="0" w:line="1" w:lineRule="exact"/>
        <w:rPr>
          <w:rFonts w:ascii="Arial" w:cs="Arial" w:eastAsia="Arial" w:hAnsi="Arial"/>
          <w:sz w:val="18"/>
          <w:szCs w:val="18"/>
          <w:color w:val="auto"/>
        </w:rPr>
      </w:pPr>
    </w:p>
    <w:p>
      <w:pPr>
        <w:ind w:left="460" w:right="74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adjustment based on (i) final working capital adjustment calculations, and (ii) indemnification obligations of the acquired company stockholders.</w:t>
      </w:r>
    </w:p>
    <w:p>
      <w:pPr>
        <w:spacing w:after="0" w:line="184" w:lineRule="exact"/>
        <w:rPr>
          <w:sz w:val="20"/>
          <w:szCs w:val="20"/>
          <w:color w:val="auto"/>
        </w:rPr>
      </w:pPr>
    </w:p>
    <w:p>
      <w:pPr>
        <w:jc w:val="both"/>
        <w:ind w:right="320" w:firstLine="456"/>
        <w:spacing w:after="0" w:line="312" w:lineRule="auto"/>
        <w:rPr>
          <w:sz w:val="20"/>
          <w:szCs w:val="20"/>
          <w:color w:val="auto"/>
        </w:rPr>
      </w:pPr>
      <w:r>
        <w:rPr>
          <w:rFonts w:ascii="Arial" w:cs="Arial" w:eastAsia="Arial" w:hAnsi="Arial"/>
          <w:sz w:val="16"/>
          <w:szCs w:val="16"/>
          <w:color w:val="auto"/>
        </w:rPr>
        <w:t>Our consolidated financial statements include the operating results of all acquired businesses from the date of each acquisition. Pro forma results of operations for all 2013 acquisitions have not been presented in our consolidated financial statements as the financial impact to our consolidated financial statements both individually and in aggregate, are not material. There were no acquisitions completed during the nine months ended September 30, 2012.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goodwill for the nine months ended September 30, 2013 consists of the following (in thousands):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9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$471,684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Additions (1)</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34,137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allocation adjustments (2)</w:t>
            </w:r>
          </w:p>
        </w:tc>
        <w:tc>
          <w:tcPr>
            <w:tcW w:w="2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Foreign exchange translation adjustments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9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2013</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500,686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additions to goodwill relate to our business acquisitions. See “Note 6—</w:t>
      </w:r>
      <w:r>
        <w:rPr>
          <w:rFonts w:ascii="Arial" w:cs="Arial" w:eastAsia="Arial" w:hAnsi="Arial"/>
          <w:sz w:val="18"/>
          <w:szCs w:val="18"/>
          <w:i w:val="1"/>
          <w:iCs w:val="1"/>
          <w:color w:val="auto"/>
        </w:rPr>
        <w:t>Acquisitions</w:t>
      </w:r>
      <w:r>
        <w:rPr>
          <w:rFonts w:ascii="Arial" w:cs="Arial" w:eastAsia="Arial" w:hAnsi="Arial"/>
          <w:sz w:val="18"/>
          <w:szCs w:val="18"/>
          <w:color w:val="auto"/>
        </w:rPr>
        <w:t>,” above for further information.</w:t>
      </w:r>
    </w:p>
    <w:p>
      <w:pPr>
        <w:spacing w:after="0" w:line="23"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 price allocation adjustments related to our 2012 and 2013 acquisitions, primarily related to tax related adjustments for acquired net operating loss carryforwards or NOL’s.</w:t>
      </w:r>
    </w:p>
    <w:p>
      <w:pPr>
        <w:spacing w:after="0" w:line="184"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Intangible assets, which were acquired in business combinations and recorded at fair value on the date of purchase, consist of the following (in thousands):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640" w:type="dxa"/>
            <w:vAlign w:val="bottom"/>
            <w:gridSpan w:val="4"/>
          </w:tcPr>
          <w:p>
            <w:pPr>
              <w:ind w:left="236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70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definite lives</w:t>
            </w:r>
          </w:p>
        </w:tc>
        <w:tc>
          <w:tcPr>
            <w:tcW w:w="254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33,707</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(13,000)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(13,492)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with definite lives, net</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20,707</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2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30,300</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51,007</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360" w:type="dxa"/>
            <w:vAlign w:val="bottom"/>
            <w:vMerge w:val="restart"/>
          </w:tcPr>
          <w:p>
            <w:pPr>
              <w:jc w:val="right"/>
              <w:ind w:right="1574"/>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components of our intangible assets with definite lives: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6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7"/>
              </w:rPr>
              <w:t>September 30, 2013</w:t>
            </w: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5"/>
              </w:rPr>
              <w:t>December 31, 2012</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6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Remaining Life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years)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$17,232</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(6,824)</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5"/>
              </w:rPr>
              <w:t>$10,408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$14,431</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(9,029)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Subscriber relationships</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600" w:type="dxa"/>
            <w:vAlign w:val="bottom"/>
          </w:tcPr>
          <w:p>
            <w:pPr>
              <w:jc w:val="right"/>
              <w:spacing w:after="0"/>
              <w:rPr>
                <w:sz w:val="20"/>
                <w:szCs w:val="20"/>
                <w:color w:val="auto"/>
              </w:rPr>
            </w:pPr>
            <w:r>
              <w:rPr>
                <w:rFonts w:ascii="Arial" w:cs="Arial" w:eastAsia="Arial" w:hAnsi="Arial"/>
                <w:sz w:val="18"/>
                <w:szCs w:val="18"/>
                <w:color w:val="auto"/>
              </w:rPr>
              <w:t>13,682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(5,124)</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8,558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5,617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(3,511)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(1,052)</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1,741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20" w:type="dxa"/>
            <w:vAlign w:val="bottom"/>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33,707</w:t>
            </w:r>
          </w:p>
        </w:tc>
        <w:tc>
          <w:tcPr>
            <w:tcW w:w="2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(13,000)</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20,707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21,382</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(13,492)</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7,890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Intangible assets with definite lives are amortized on a straight-line basis. The estimated amortization expense for intangible assets with definite lives for the remainder of 2013, the annual expense for the next five years, and the expense thereafter, assuming no subsequent impairment of the underlying assets, is expected to be as follows (in thousands):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2013 (remaining three months)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2019 and thereafter</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18"/>
                <w:szCs w:val="18"/>
                <w:color w:val="auto"/>
              </w:rPr>
            </w:pPr>
          </w:p>
        </w:tc>
      </w:tr>
      <w:tr>
        <w:trPr>
          <w:trHeight w:val="331"/>
        </w:trPr>
        <w:tc>
          <w:tcPr>
            <w:tcW w:w="706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20,707</w:t>
            </w:r>
          </w:p>
        </w:tc>
        <w:tc>
          <w:tcPr>
            <w:tcW w:w="100" w:type="dxa"/>
            <w:vAlign w:val="bottom"/>
          </w:tcPr>
          <w:p>
            <w:pPr>
              <w:spacing w:after="0"/>
              <w:rPr>
                <w:sz w:val="24"/>
                <w:szCs w:val="24"/>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EXPENSES AND OTHER 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920" w:type="dxa"/>
            <w:vAlign w:val="bottom"/>
            <w:gridSpan w:val="3"/>
          </w:tcPr>
          <w:p>
            <w:pPr>
              <w:ind w:left="2040"/>
              <w:spacing w:after="0"/>
              <w:rPr>
                <w:sz w:val="20"/>
                <w:szCs w:val="20"/>
                <w:color w:val="auto"/>
              </w:rPr>
            </w:pPr>
            <w:r>
              <w:rPr>
                <w:rFonts w:ascii="Arial" w:cs="Arial" w:eastAsia="Arial" w:hAnsi="Arial"/>
                <w:sz w:val="14"/>
                <w:szCs w:val="14"/>
                <w:b w:val="1"/>
                <w:bCs w:val="1"/>
                <w:color w:val="auto"/>
                <w:w w:val="89"/>
              </w:rPr>
              <w:t>September 30,</w:t>
            </w:r>
          </w:p>
        </w:tc>
        <w:tc>
          <w:tcPr>
            <w:tcW w:w="1640" w:type="dxa"/>
            <w:vAlign w:val="bottom"/>
            <w:gridSpan w:val="4"/>
          </w:tcPr>
          <w:p>
            <w:pPr>
              <w:ind w:lef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ind w:left="58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Accrued salary, bonus, and related benefits</w:t>
            </w:r>
          </w:p>
        </w:tc>
        <w:tc>
          <w:tcPr>
            <w:tcW w:w="222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32,449</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26,225</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Accrued charitable foundation payments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Accrued treasury share purchases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4,756</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25,588</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120" w:type="dxa"/>
            <w:vAlign w:val="bottom"/>
          </w:tcPr>
          <w:p>
            <w:pPr>
              <w:ind w:left="360"/>
              <w:spacing w:after="0"/>
              <w:rPr>
                <w:sz w:val="20"/>
                <w:szCs w:val="20"/>
                <w:color w:val="auto"/>
              </w:rPr>
            </w:pPr>
            <w:r>
              <w:rPr>
                <w:rFonts w:ascii="Arial" w:cs="Arial" w:eastAsia="Arial" w:hAnsi="Arial"/>
                <w:sz w:val="18"/>
                <w:szCs w:val="18"/>
                <w:color w:val="auto"/>
                <w:w w:val="92"/>
              </w:rPr>
              <w:t>Total accrued expenses and other current liabilities</w:t>
            </w:r>
          </w:p>
        </w:tc>
        <w:tc>
          <w:tcPr>
            <w:tcW w:w="222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95,168</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63,236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40" w:type="dxa"/>
            <w:vAlign w:val="bottom"/>
            <w:vMerge w:val="restart"/>
          </w:tcPr>
          <w:p>
            <w:pPr>
              <w:jc w:val="right"/>
              <w:ind w:right="1654"/>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Lease Commitments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June 20, 2013, TripAdvisor LLC (“TA LLC”), our indirect, wholly owned subsidiary, entered into a lease (the “Lease”), with Normandy Gap-V Needham Building 3, LLC, as landlord (the “Landlord”). Pursuant to the Lease, the Landlord will build an approximately 280,000 square foot rental building in Needham, Massachusetts (the “Premises”), and thereafter lease the Premises to TA LLC as TripAdvisor’s new corporate headquarters for an initial term of 15 years and 7 months. If the Landlord fails to deliver the Premises according to the schedule, subject to certain conditions, TA LLC may be entitled to additional free rent, or in extreme cases, a right to terminate the Lease. Under the Lease, TA LLC is required to pay an initial base rent of $33.00 per square foot per year, increasing to $34.50 per square foot by the final year of the initial term, as well as all real estate taxes and other building operating costs.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future minimum lease payments are $143.5 million and are currently scheduled to be paid, beginning in November 2015, as follows: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 million for 2015, $9.3 million for 2016, $9.3 million for 2017, and $123.9 million for 2018 and thereafter. The Lease has escalating rental payments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periods of free rent and therefore the effects of variable rent payments will be expensed on a straight-line basis over the life of the Lease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GAAP. All real estate taxes and other building operating costs paid during the term of the Lease will be expensed as incurred. TA LLC is also obligated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deliver a letter of credit to the Landlord in the amount of $0.8 million as security deposit, which amount is subject to increase under certain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certain conditions, TA LLC has certain rights under the Lease, including rights of first offer to lease additional space or to purchase the Premises if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Landlord elects to sell. TA LLC also has an option to extend the term of the Lease for two consecutive terms of five years each.</w:t>
      </w:r>
    </w:p>
    <w:p>
      <w:pPr>
        <w:spacing w:after="0" w:line="21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 connection with the Lease, on June 20, 2013, TripAdvisor entered into a Guaranty (the “Guaranty”), pursuant to which TripAdvisor provides full payment and performance guaranty for all of TA LLC’s obligations under the Lease.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table presents our estimated future minimum rental payments under all operating leases with non-cancelable lease terms having initial terms in excess of one year as of September 30, 2013 (in thousands):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r>
      <w:tr>
        <w:trPr>
          <w:trHeight w:val="171"/>
        </w:trPr>
        <w:tc>
          <w:tcPr>
            <w:tcW w:w="4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Payments</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2013 (remaining three months)</w:t>
            </w:r>
          </w:p>
        </w:tc>
        <w:tc>
          <w:tcPr>
            <w:tcW w:w="2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2014</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10,221</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2016</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12,951</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13,358</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2018 and thereafter</w:t>
            </w:r>
          </w:p>
        </w:tc>
        <w:tc>
          <w:tcPr>
            <w:tcW w:w="2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149,643</w:t>
            </w:r>
          </w:p>
        </w:tc>
        <w:tc>
          <w:tcPr>
            <w:tcW w:w="100" w:type="dxa"/>
            <w:vAlign w:val="bottom"/>
          </w:tcPr>
          <w:p>
            <w:pPr>
              <w:spacing w:after="0"/>
              <w:rPr>
                <w:sz w:val="18"/>
                <w:szCs w:val="18"/>
                <w:color w:val="auto"/>
              </w:rPr>
            </w:pPr>
          </w:p>
        </w:tc>
      </w:tr>
      <w:tr>
        <w:trPr>
          <w:trHeight w:val="115"/>
        </w:trPr>
        <w:tc>
          <w:tcPr>
            <w:tcW w:w="46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(1)</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197,731</w:t>
            </w:r>
          </w:p>
        </w:tc>
        <w:tc>
          <w:tcPr>
            <w:tcW w:w="100" w:type="dxa"/>
            <w:vAlign w:val="bottom"/>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60" w:hanging="452"/>
        <w:spacing w:after="0" w:line="34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Excludes spending on anticipated leasehold improvements on our Needham, Massachusetts lease, including design, development, construction costs, the purchase and installation of equipment, and receipt of related Landlord incentives which we estimate will begin in October 2014.</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There have been no other material changes outside the normal course of business to our contractual obligations and commercial commitments since December 31, 2012. (Refer to “Note 12—</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Notes to our Consolidated Financial Statements in Item 8 of our Annual Report on Form 10-K for the year ended December 31, 2012.)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the ordinary course of business, we and our subsidiaries are parties to legal proceedings and claims involving alleged infringement of third-party intellectual property rights, defamation, and other claims. Rules of the U.S. Securities and Exchange Commission require the description of material pending legal proceedings, other than ordinary, routine litigation incident to the registrant’s business, and advise that proceedings ordinarily need not be described if they primarily involve claims for damages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Each interim period is considered an integral part of the annual period and, accordingly, we measure our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effective tax rate for the three and nine months ended September 30, 2013 was 33.2% and 28.2%, respectively. Our effective tax rate for the three and nine months ended September 30, 2012 was 34.4% and 32.6%, respectively. For the three and nine months ended September 30, 2013, the effective tax rate is less than the federal statutory rate primarily due to earnings in jurisdictions outside the United States, where our effective tax rate is lower, which was partially offset by state income taxes, non-deductible stock compensation and accruals on uncertain tax positions. The decrease in the effective tax rate for 2013 compared to the 2012 rate was primarily due to an increase in earnings in jurisdictions outside the United States as well as an internal restructuring that occurred during the fourth quarter of 2012. This restructuring was undertaken within our non-US operations to align our global structure for more efficient treasury management and global cash deployment. Additionally, the rate for the three months ended September 30, 2013 includes a release of an accrual for uncertain tax benefits in the amount of $1.8 million as a result of receiving a Private Letter Ruling from a taxing authority.</w:t>
      </w:r>
    </w:p>
    <w:p>
      <w:pPr>
        <w:spacing w:after="0" w:line="166"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Our policy is to recognize accrued interest and penalties related to unrecognized tax benefits and income tax liabilities as part of our income tax expense. As of September 30, 2013, accrued interest is $0.9 million, net of federal benefit, and no penalties have been accrued.</w:t>
      </w:r>
    </w:p>
    <w:p>
      <w:pPr>
        <w:spacing w:after="0" w:line="14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 all periods prior to and through the Spin-Off date, we were a member of the Expedia consolidated tax group. Accordingly, Expedia filed a consolidated federal income tax return and certain state income tax returns with us for that period. Expedia has paid the entire income tax liability associated with these filings. As such, our income tax liability for this period was transferred to Expedia upon Spin-Off and was not included in income taxes payable as of December 31, 2011. Additionally, due to continuing ownership and business relationships after the Spin-Off, we will file as part of a unitary combined group with Expedia for certain state tax returns for the 2012 tax period.</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of September 30, 2013, the Company’s tax years for 2009 through 2012 are subject to examination by the tax authorities in the United States, various states, and foreign jurisdictions. By virtue of previously filed consolidated income tax returns filed with Expedia, we are routinely under audit. We are currently under an IRS audit for the 2009 and 2010 tax years, and have various ongoing state income tax audits. As of September 30, 2013, no material assessments have resulted from these audits. These audits include questioning the timing and the amount of income and deductions and the allocation of income among various tax jurisdictions. Annual tax provisions include amounts considered sufficient to pay assessments that may result from the examination of prior year returns. We are no longer subject to tax examinations by tax authorities for years prior to 2007.</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Class B Common Stock</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on most matters. Holders of TripAdvisor common stock, acting as a single class, are entitled to elect a number of directors equal to 25% percent of the total number of directors, rounded up to the next whole number, which was three directors as of September 30, 2013.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 There were 131,372,883 and 129,289,174 shares of common stock issued and outstanding, respectively, at September 30, 2013 and 12,799,999 shares of Class B common stock issued and outstanding at September 30,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 addition to common stock, we are authorized to issue up to 100 million preferred shares, with $ 0.001 par value per share, with terms determined by our Board of Directors, without further action by our stockholders. At September 30, 2013, no preferred shares had been issued.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Accumulated other comprehensive loss is primarily comprised of accumulated foreign currency translation adjustments, as follows (in thousands):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3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4"/>
          </w:tcPr>
          <w:p>
            <w:pPr>
              <w:jc w:val="center"/>
              <w:ind w:left="19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securities, net of tax (1)</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1"/>
              </w:rPr>
              <w:t>(104)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Cumulative foreign currency translation adjustments (2)</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(1,157)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w w:val="90"/>
              </w:rPr>
              <w:t>(765)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loss</w:t>
            </w:r>
          </w:p>
        </w:tc>
        <w:tc>
          <w:tcPr>
            <w:tcW w:w="12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(1,308)</w:t>
            </w:r>
          </w:p>
        </w:tc>
        <w:tc>
          <w:tcPr>
            <w:tcW w:w="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of unrealized tax benefits of $0.1 million and $0.1 million at September 30, 2013 and December 31, 2012, respectively.</w:t>
      </w:r>
    </w:p>
    <w:p>
      <w:pPr>
        <w:spacing w:after="0" w:line="23" w:lineRule="exact"/>
        <w:rPr>
          <w:rFonts w:ascii="Arial" w:cs="Arial" w:eastAsia="Arial" w:hAnsi="Arial"/>
          <w:sz w:val="18"/>
          <w:szCs w:val="18"/>
          <w:color w:val="auto"/>
        </w:rPr>
      </w:pPr>
    </w:p>
    <w:p>
      <w:pPr>
        <w:ind w:left="460" w:right="58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foreign subsidiary earnings are considered indefinitely reinvested; therefore; deferred taxes are not provided on foreign currency translation adjustments.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On February 15, 2013, our Board of Directors authorized the repurchase of $250 million of our shares of common stock under a share repurchase program. We intend to use available cash and future cash from operations to fund repurchases under the share repurchase program. The repurchase program has no expiration date but may be suspended or terminated by the Board of Directors at any time.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5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During the nine month period ended September 30, 2013, we repurchased 2,083,709 shares of outstanding common stock under the share repurchase program at an aggregate cost of $142.3 million, of which $4.8 million remains payable at September 30, 2013. As of September 30, 2013, from the authorized share repurchase program granted by the Board of Directors we have remaining $107.7 million to repurchase shares of our common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period January 1, 2013 through September 30, 2013, our Board of Directors did not declare any dividends on our outstanding common stock and do not expect to pay any cash dividends for the foreseeable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have one reportable segment: TripAdvisor. We determined our segment based on how our chief operating decision maker manages our business, makes operating decisions and evaluates operating performance. Our primary operating metric for evaluating segment performance is Adjusted EBITDA. We define Adjusted EBITDA as net income (loss) plus: (1) provision for income taxes; (2) other (income) expense, net; (3) depreciation of property and equipment, including internal use software and website development; (4) amortization of intangible assets; (5) stock-based compensation; and (6) non-recurring expenses. Such amounts are detailed in our segment reconciliation below. In addition, please see our discussion of Adjusted EBITDA in Part I, Item 2, “Management’s Discussion and Analysis of Financial Condition and Results of Operations” below.</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is a reconciliation of Adjusted EBITDA to net income, the most directly comparable financial measure calculated and presented in accordance with GAAP, for the periods presented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104,422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107,059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$326,601</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$288,169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Depreciation (1)</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(7,634)</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(5,037)</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(20,834)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(1,310)</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(4,182)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(11,651)</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(8,463)</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(35,470)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(1,439)</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(8,154)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(27,741)</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(31,275)</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(72,792)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(77,814)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3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55,882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59,535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185,169</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160,871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5340" w:hanging="5612"/>
        <w:spacing w:after="0" w:line="536" w:lineRule="auto"/>
        <w:tabs>
          <w:tab w:leader="none" w:pos="45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amortization of internal use software and website development costs. 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Earnings Per Share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compute basic earnings per share by dividing net income attributable to TripAdvisor by the weighted average number of common shares outstanding during the period. For the three and nine months ended September 30, 2013 and 2012, we computed the weighted average number of common shares outstanding during the period using the total of common stock and Class B common stock outstanding as of December 31, 2012 and 2011, respectively, plus the weighted average of any additional shares issued and outstanding less the weighted average of any treasury shares repurchased, during the three and nine months ended September 30, 2013 and 2012,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Earnings Per Share</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compute diluted earnings per share by dividing net income attributable to TripAdvisor by the sum of the weighted average number of common and common equivalent shares outstanding during the period. For the three and nine months ended September 30, 2013 and 2012, we computed the weighted average number of common and common equivalent shares outstanding during the period using the sum of (i) the number of shares of common stock and Class B common stock used in the basic earnings per share calculation as indicated above, (ii) if dilutive, the incremental weighted average common stock that we would issue upon the assumed exercise of common equivalent shares related to stock options and stock warrants and the vesting of restricted stock units using the treasury stock method during the three and nine months ended September 30, 2013 and 2012, respectively, and (iii) if dilutive, performance based awards based on the number of shares that would be issuable as of the end of the reporting period assuming the end of the reporting period was also the end of the contingency period.</w:t>
      </w:r>
    </w:p>
    <w:p>
      <w:pPr>
        <w:spacing w:after="0" w:line="19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 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193"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earnings per share (in thousands, except for per share information):</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56"/>
        </w:trPr>
        <w:tc>
          <w:tcPr>
            <w:tcW w:w="47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Numerator:</w:t>
            </w: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
        </w:trPr>
        <w:tc>
          <w:tcPr>
            <w:tcW w:w="9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740" w:type="dxa"/>
            <w:vAlign w:val="bottom"/>
            <w:gridSpan w:val="3"/>
          </w:tcPr>
          <w:p>
            <w:pPr>
              <w:ind w:left="360"/>
              <w:spacing w:after="0"/>
              <w:rPr>
                <w:sz w:val="20"/>
                <w:szCs w:val="20"/>
                <w:color w:val="auto"/>
              </w:rPr>
            </w:pPr>
            <w:r>
              <w:rPr>
                <w:rFonts w:ascii="Arial" w:cs="Arial" w:eastAsia="Arial" w:hAnsi="Arial"/>
                <w:sz w:val="18"/>
                <w:szCs w:val="18"/>
                <w:color w:val="auto"/>
              </w:rPr>
              <w:t>Net income attributable to TripAdvisor</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55,882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59,360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185,169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160,490</w:t>
            </w:r>
          </w:p>
        </w:tc>
      </w:tr>
      <w:tr>
        <w:trPr>
          <w:trHeight w:val="176"/>
        </w:trPr>
        <w:tc>
          <w:tcPr>
            <w:tcW w:w="47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Denominator:</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9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740" w:type="dxa"/>
            <w:vAlign w:val="bottom"/>
            <w:gridSpan w:val="3"/>
          </w:tcPr>
          <w:p>
            <w:pPr>
              <w:ind w:left="360"/>
              <w:spacing w:after="0"/>
              <w:rPr>
                <w:sz w:val="20"/>
                <w:szCs w:val="20"/>
                <w:color w:val="auto"/>
              </w:rPr>
            </w:pPr>
            <w:r>
              <w:rPr>
                <w:rFonts w:ascii="Arial" w:cs="Arial" w:eastAsia="Arial" w:hAnsi="Arial"/>
                <w:sz w:val="18"/>
                <w:szCs w:val="18"/>
                <w:color w:val="auto"/>
              </w:rPr>
              <w:t>Weighted average shares used to compute Basic EPS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142,690</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142,342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143,095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138,458</w:t>
            </w:r>
          </w:p>
        </w:tc>
      </w:tr>
      <w:tr>
        <w:trPr>
          <w:trHeight w:val="216"/>
        </w:trPr>
        <w:tc>
          <w:tcPr>
            <w:tcW w:w="47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Weighted average effect of dilutive securities: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3"/>
          </w:tcPr>
          <w:p>
            <w:pPr>
              <w:ind w:left="720"/>
              <w:spacing w:after="0"/>
              <w:rPr>
                <w:sz w:val="20"/>
                <w:szCs w:val="20"/>
                <w:color w:val="auto"/>
              </w:rPr>
            </w:pPr>
            <w:r>
              <w:rPr>
                <w:rFonts w:ascii="Arial" w:cs="Arial" w:eastAsia="Arial" w:hAnsi="Arial"/>
                <w:sz w:val="18"/>
                <w:szCs w:val="18"/>
                <w:color w:val="auto"/>
              </w:rPr>
              <w:t>Stock options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1,925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1,249</w:t>
            </w:r>
          </w:p>
        </w:tc>
      </w:tr>
      <w:tr>
        <w:trPr>
          <w:trHeight w:val="216"/>
        </w:trPr>
        <w:tc>
          <w:tcPr>
            <w:tcW w:w="47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RSUs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16"/>
        </w:trPr>
        <w:tc>
          <w:tcPr>
            <w:tcW w:w="4740" w:type="dxa"/>
            <w:vAlign w:val="bottom"/>
            <w:gridSpan w:val="3"/>
          </w:tcPr>
          <w:p>
            <w:pPr>
              <w:ind w:left="720"/>
              <w:spacing w:after="0"/>
              <w:rPr>
                <w:sz w:val="20"/>
                <w:szCs w:val="20"/>
                <w:color w:val="auto"/>
              </w:rPr>
            </w:pPr>
            <w:r>
              <w:rPr>
                <w:rFonts w:ascii="Arial" w:cs="Arial" w:eastAsia="Arial" w:hAnsi="Arial"/>
                <w:sz w:val="18"/>
                <w:szCs w:val="18"/>
                <w:color w:val="auto"/>
              </w:rPr>
              <w:t>Stock warrants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r>
      <w:tr>
        <w:trPr>
          <w:trHeight w:val="115"/>
        </w:trPr>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47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7"/>
              </w:rPr>
              <w:t>Weighted average shares used to compute Diluted EPS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145,454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143,657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145,258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140,517</w:t>
            </w: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4740" w:type="dxa"/>
            <w:vAlign w:val="bottom"/>
            <w:gridSpan w:val="3"/>
          </w:tcPr>
          <w:p>
            <w:pPr>
              <w:spacing w:after="0"/>
              <w:rPr>
                <w:sz w:val="20"/>
                <w:szCs w:val="20"/>
                <w:color w:val="auto"/>
              </w:rPr>
            </w:pPr>
            <w:r>
              <w:rPr>
                <w:rFonts w:ascii="Arial" w:cs="Arial" w:eastAsia="Arial" w:hAnsi="Arial"/>
                <w:sz w:val="18"/>
                <w:szCs w:val="18"/>
                <w:color w:val="auto"/>
              </w:rPr>
              <w:t>Basic EPS</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0.39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0.42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EPS</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365"/>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500" w:type="dxa"/>
            <w:vAlign w:val="bottom"/>
          </w:tcPr>
          <w:p>
            <w:pPr>
              <w:jc w:val="right"/>
              <w:ind w:right="8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potential common shares related to stock options and RSUs were excluded from the calculation of diluted net income per share because their effect would have been anti-dilutive for the periods presented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9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9"/>
              </w:rPr>
              <w:t>Three Months Ended</w:t>
            </w:r>
          </w:p>
        </w:tc>
        <w:tc>
          <w:tcPr>
            <w:tcW w:w="14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9"/>
              </w:rPr>
              <w:t>Nine Months Ended</w:t>
            </w:r>
          </w:p>
        </w:tc>
      </w:tr>
      <w:tr>
        <w:trPr>
          <w:trHeight w:val="171"/>
        </w:trPr>
        <w:tc>
          <w:tcPr>
            <w:tcW w:w="7120" w:type="dxa"/>
            <w:vAlign w:val="bottom"/>
          </w:tcPr>
          <w:p>
            <w:pPr>
              <w:spacing w:after="0"/>
              <w:rPr>
                <w:sz w:val="14"/>
                <w:szCs w:val="14"/>
                <w:color w:val="auto"/>
              </w:rPr>
            </w:pPr>
          </w:p>
        </w:tc>
        <w:tc>
          <w:tcPr>
            <w:tcW w:w="19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1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2013(1)</w:t>
            </w:r>
          </w:p>
        </w:tc>
        <w:tc>
          <w:tcPr>
            <w:tcW w:w="4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2012(2)</w:t>
            </w:r>
          </w:p>
        </w:tc>
        <w:tc>
          <w:tcPr>
            <w:tcW w:w="4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2013(1)</w:t>
            </w:r>
          </w:p>
        </w:tc>
        <w:tc>
          <w:tcPr>
            <w:tcW w:w="3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2012(2)</w:t>
            </w:r>
          </w:p>
        </w:tc>
        <w:tc>
          <w:tcPr>
            <w:tcW w:w="6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RSUs</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47</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115"/>
        </w:trPr>
        <w:tc>
          <w:tcPr>
            <w:tcW w:w="7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1,407</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4,921</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3,604</w:t>
            </w:r>
          </w:p>
        </w:tc>
      </w:tr>
      <w:tr>
        <w:trPr>
          <w:trHeight w:val="20"/>
        </w:trPr>
        <w:tc>
          <w:tcPr>
            <w:tcW w:w="7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hanging="452"/>
        <w:spacing w:after="0" w:line="271"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These totals do not include 155,000 performance based options and 44,000 performance based RSUs representing the right to acquire 199,000 shares of common stock for which all targets required to trigger vesting have not been achieved as of September 30, 2013; therefore, such awards were excluded from the calculation of weighted average shares used to compute diluted earnings per share for those reporting periods.</w:t>
      </w:r>
    </w:p>
    <w:p>
      <w:pPr>
        <w:ind w:left="460" w:right="60" w:hanging="452"/>
        <w:spacing w:after="0" w:line="277"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These totals do not include performance based options and RSUs representing the right to acquire 110,000 shares and 400,000 shares of common stock for which all targets required to trigger vesting had not been achieved as of September 30, 2012; therefore, such awards were excluded from the calculation of weighted average shares used to compute diluted earnings per share for those reporting periods.</w:t>
      </w:r>
    </w:p>
    <w:p>
      <w:pPr>
        <w:spacing w:after="0" w:line="173"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Expedia</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Subsequent to the Spin-Off, we remained a related party with Expedia due to common ownership of our shares and shares of Expedia by Liberty Interactive Corporation.</w:t>
      </w:r>
    </w:p>
    <w:p>
      <w:pPr>
        <w:spacing w:after="0" w:line="17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Related-party revenue from Expedia was $56.2 million and $171.0 million for the three and nine months ended September 30, 2013, respectively, and was $56.9 million and $164.2 million for the three and nine months ended September 30, 2012, respectively, which primarily consists of click-based advertising and other advertising services provided to Expedia and its subsidiaries and is recorded at contract value, which we believe is a reasonable reflection of the value of the services provided. Related-party revenue represented 22.0% and 23.4% of our total revenue for the three and nine months ended September 30, 2013, respectively, and 26.7% and 27.7% of our total revenue for the three and nine months ended September 30, 2012, respectively. Other related-party operating expenses which were included within selling and marketing expense were $1.8 million and $4.9 million for the three and nine months ended September 30, 2013, respectively, and were $1.7 million and $5.2 million for the three and nine months ended September 30, 2012, respectively, which primarily consisted of marketing expense for exit windows. The net related party receivable balances with Expedia reflected in our consolidated balance sheets as of September 30, 2013 and December 31, 2012 were $33.9 million and $24.0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Interactive Corporation</w:t>
      </w:r>
    </w:p>
    <w:p>
      <w:pPr>
        <w:spacing w:after="0" w:line="11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As of September 30, 2013, Liberty Interactive Corporation, or Liberty, beneficially owned 18,159,752 shares of our common stock and 12,799,999 shares of our Class B common stock, which shares constitute 14.0% of the outstanding shares of common stock and 100% of the outstanding shares of Class B Common Stock. Assuming the conversion of all of the Liberty’s shares of Class B common stock into common stock, Liberty would beneficially own</w:t>
      </w:r>
    </w:p>
    <w:p>
      <w:pPr>
        <w:ind w:right="40"/>
        <w:spacing w:after="0" w:line="255" w:lineRule="auto"/>
        <w:rPr>
          <w:sz w:val="20"/>
          <w:szCs w:val="20"/>
          <w:color w:val="auto"/>
        </w:rPr>
      </w:pPr>
      <w:r>
        <w:rPr>
          <w:rFonts w:ascii="Arial" w:cs="Arial" w:eastAsia="Arial" w:hAnsi="Arial"/>
          <w:sz w:val="18"/>
          <w:szCs w:val="18"/>
          <w:color w:val="auto"/>
        </w:rPr>
        <w:t>21.8% of the outstanding common stock (calculated in accordance with Rule 13d-3). Because each share of Class B common stock generally is entitled to ten votes per share and each share of common stock is entitled to one vote per share, Liberty may be deemed to beneficially own equity securities representing approximately 56.8% of our voting power as of September 30, 2013.</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related party transactions with Liberty during the nine months ended September 30, 2013 and 2012,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2012, Part I, Item 1A, “Risk Factors,” as well as those discussed elsewhere in this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U.S. Securities and Exchange Commission (“SEC”) that attempt to advise interested parties of the risks and factors that may affect our business, prospects and results of operations.</w:t>
      </w:r>
    </w:p>
    <w:p>
      <w:pPr>
        <w:spacing w:after="0" w:line="185"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information included in this management’s discussion and analysis of financial condition and results of operations should be read in conjunction with our consolidated financial statements and the notes included in this Quarterly Report on Form 10-Q, and the audited consolidated financial statements and notes and Management’s Discussion and Analysis of Financial Condition and Results of Operations contained in our Annual Report on Form 10-K for the year ended December 31, 2012.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We are the world’s largest online travel company, empowering users to plan and have the perfect trip. Our travel research platform aggregates reviews and opinions from our community about destinations, accommodations (including hotels, resorts, motels, B&amp;Bs, specialty lodging and vacation rentals), restaurants and activities throughout the world through our flagship TripAdvisor brand. Our branded websites include tripadvisor.com in the United States and localized versions of the website in 33 other countries, including China under the brand daodao.com. Our TripAdvisor branded websites globally averaged more than 260 million monthly unique visitors for the quarter ended September 30, 2013, according to Google Analytics. We feature over 125 million reviews and opinions and we have built a base of approximately 57 million marketable members. Marketable members are members that have registered on our site and given us permission to email them. While we believe growth in marketable members increases user engagement and traffic to our site, we do not consider it to be a key driver of our overall revenue. Beyond travel-related content, our websites also include links to the websites of our customers, including travel advertisers, allowing travelers to directly book their travel arrangements. In addition to the flagship TripAdvisor brand, we now manage and operate 20 other travel media brands: </w:t>
      </w:r>
      <w:r>
        <w:rPr>
          <w:rFonts w:ascii="Arial" w:cs="Arial" w:eastAsia="Arial" w:hAnsi="Arial"/>
          <w:sz w:val="16"/>
          <w:szCs w:val="16"/>
          <w:u w:val="single" w:color="auto"/>
          <w:color w:val="auto"/>
        </w:rPr>
        <w:t>www.airfarewatchdog.com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www.bookingbuddy.com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www.cruisecritic.com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www.everytrail.com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www.familyvacationcritic.com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www.flipkey.com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www.gateguru.com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www.holidaylettings.co.uk</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www.holidaywatchdog.com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www.independenttraveler.com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www.jetsetter.com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www.niumba.com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www.onetime.com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www.seatguru.com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www.smartertravel.com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www.tingo.com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www.travelpod.com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www.virtualtourist.com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www.whereivebeen.com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www.kuxun.cn</w:t>
      </w:r>
      <w:r>
        <w:rPr>
          <w:rFonts w:ascii="Arial" w:cs="Arial" w:eastAsia="Arial" w:hAnsi="Arial"/>
          <w:sz w:val="16"/>
          <w:szCs w:val="16"/>
          <w:color w:val="auto"/>
        </w:rPr>
        <w:t>, connected by the common goal of providing comprehensive travel planning resources across the travel sector.</w:t>
      </w:r>
    </w:p>
    <w:p>
      <w:pPr>
        <w:spacing w:after="0" w:line="17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additional information about our portfolio of brands, see “Other Travel Brands and Websites” in Part I, Item 1, “Business,” in our Annual Report on Form 10-K for the year ended December 31, 2012.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derive substantially all of our revenue from the sale of advertising, primarily through click-based advertising and, to a lesser extent, display-based advertising. The remainder of our revenue is generated through a combination of subscription-based offerings, selling room nights on our transactional sites, and other revenue including content licensing. For the nine months ended September 30, 2013, we earned $552 million in revenue from click-based advertising, $86 million in revenue from display-based advertising and $94 million in revenue from subscription-based offerings, transaction revenue and other revenue.</w:t>
      </w:r>
    </w:p>
    <w:p>
      <w:pPr>
        <w:spacing w:after="0" w:line="94" w:lineRule="exact"/>
        <w:rPr>
          <w:sz w:val="20"/>
          <w:szCs w:val="20"/>
          <w:color w:val="auto"/>
        </w:rPr>
      </w:pPr>
    </w:p>
    <w:p>
      <w:pPr>
        <w:ind w:left="900" w:hanging="325"/>
        <w:spacing w:after="0" w:line="25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Click-Based Advertising Revenue</w:t>
      </w:r>
      <w:r>
        <w:rPr>
          <w:rFonts w:ascii="Arial" w:cs="Arial" w:eastAsia="Arial" w:hAnsi="Arial"/>
          <w:sz w:val="18"/>
          <w:szCs w:val="18"/>
          <w:color w:val="auto"/>
        </w:rPr>
        <w:t>. Our largest source of revenue is click-based advertising, which includes links to our partners’ booking sites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contextually-relevant branded and unbranded textlinks. Our click-based advertising partners are predominantly online travel agencies and direct suppliers in the hotel, airline and cruise product categories. Click-based advertising is generally priced on a cost-per-click, or CPC, basis, with payments from advertisers based on the number of users who click on each type of link. Most of our click-based advertising contracts can be terminated by the advertisers at will or on short notice.</w:t>
      </w:r>
    </w:p>
    <w:p>
      <w:pPr>
        <w:spacing w:after="0" w:line="93" w:lineRule="exact"/>
        <w:rPr>
          <w:rFonts w:ascii="Arial" w:cs="Arial" w:eastAsia="Arial" w:hAnsi="Arial"/>
          <w:sz w:val="18"/>
          <w:szCs w:val="18"/>
          <w:color w:val="auto"/>
        </w:rPr>
      </w:pPr>
    </w:p>
    <w:p>
      <w:pPr>
        <w:ind w:left="900" w:right="20" w:hanging="325"/>
        <w:spacing w:after="0" w:line="293"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Display-Based Advertising Revenue</w:t>
      </w:r>
      <w:r>
        <w:rPr>
          <w:rFonts w:ascii="Arial" w:cs="Arial" w:eastAsia="Arial" w:hAnsi="Arial"/>
          <w:sz w:val="16"/>
          <w:szCs w:val="16"/>
          <w:color w:val="auto"/>
        </w:rPr>
        <w:t>. We earn revenue from a variety of display-based advertising placements on our websites through which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partners can promote their brands in a contextually-relevant manner. While our display-based advertising clients are predominately direct suppliers in the hotel, airline and cruise categories and online travel agencies, we also accept display advertising from marketing organizations, casinos, resorts and attractions, as well as advertisers from non-travel categories. We generally sell our display-based advertising on a cost per thousand impressions, or CPM, basis. Our display-based advertising products also include a number of custom-built products including the sponsorship of certain site features and functionality, as well as certain customized co-branded features.</w:t>
      </w:r>
    </w:p>
    <w:p>
      <w:pPr>
        <w:spacing w:after="0" w:line="70" w:lineRule="exact"/>
        <w:rPr>
          <w:rFonts w:ascii="Arial" w:cs="Arial" w:eastAsia="Arial" w:hAnsi="Arial"/>
          <w:sz w:val="16"/>
          <w:szCs w:val="16"/>
          <w:color w:val="auto"/>
        </w:rPr>
      </w:pPr>
    </w:p>
    <w:p>
      <w:pPr>
        <w:ind w:left="900" w:right="140" w:hanging="325"/>
        <w:spacing w:after="0" w:line="25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Subscription-Based, Transaction and Other Revenue</w:t>
      </w:r>
      <w:r>
        <w:rPr>
          <w:rFonts w:ascii="Arial" w:cs="Arial" w:eastAsia="Arial" w:hAnsi="Arial"/>
          <w:sz w:val="18"/>
          <w:szCs w:val="18"/>
          <w:color w:val="auto"/>
        </w:rPr>
        <w:t>. We offer advertising via a subscription model that is sold for a flat fee per time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Managed by our TripAdvisor for Business division, this advertising product, Business Listings, is currently offered to hotels, B&amp;Bs and other specialty lodging properties and allows subscribers to list a website URL, email address and phone number on TripAdvisor-branded websites as well as to post special offers for travelers. Our Vacation Rentals product allows individual vacation property owners and property managers to pay a subscription fee or to use a new free-to-list option to list properties on our U.K.-based Holiday Lettings, U.S.-based FlipKey and our recently-acquired Spain-based Niumba websites, as well as on select TripAdvisor-branded websites. Other sources of revenue include selling room nights on our transactional sites, including our recently-acquired Jetsetter business and Tingo, as well as content licensing arrangements with third-party sites.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Our financial results are currently principally dependent on our ability to drive our click-based advertising revenue. We continue to invest in areas of potential click-based revenue growth, including our social, mobile and global initiatives, while also focusing on growing both our subscription-based products, such as Vacation Rentals and Business Listings, and our transaction-based businesses. We have leveraged our position as the largest online travel company to become an important partner for online advertisers—including hotels, online travel agencies and other travel-related service providers—by providing our customers with access to our large audience of highly-qualified, highly-engaged users. The key drivers of our click-based and display-based advertising revenue are described below, as well as a summary of our key growth areas and the current trends impacting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Drivers of Click-Based Advertising Revenue</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the three and nine months ended September 30, 2013, 74% and 75%, respectively, of our total revenue came from our core CPC-based lead generation product. For the three and nine months ended September 30, 2012, 79% and 78%, respectively, of our total revenue came from our CPC-based lead generation product. The key drivers of our click-based advertising revenue include the growth in monthly unique hotel shoppers and revenue per hotel shopper.</w:t>
      </w:r>
    </w:p>
    <w:p>
      <w:pPr>
        <w:spacing w:after="0" w:line="92" w:lineRule="exact"/>
        <w:rPr>
          <w:sz w:val="20"/>
          <w:szCs w:val="20"/>
          <w:color w:val="auto"/>
        </w:rPr>
      </w:pPr>
    </w:p>
    <w:p>
      <w:pPr>
        <w:ind w:left="440" w:right="100" w:hanging="324"/>
        <w:spacing w:after="0" w:line="255"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Hotel shoppers: </w:t>
      </w:r>
      <w:r>
        <w:rPr>
          <w:rFonts w:ascii="Arial" w:cs="Arial" w:eastAsia="Arial" w:hAnsi="Arial"/>
          <w:sz w:val="18"/>
          <w:szCs w:val="18"/>
          <w:color w:val="auto"/>
        </w:rPr>
        <w:t>Total traffic growth, or growth in monthly visits from unique visitors, is reflective of our overall brand growth. We track and analyze</w:t>
      </w:r>
      <w:r>
        <w:rPr>
          <w:rFonts w:ascii="Arial" w:cs="Arial" w:eastAsia="Arial" w:hAnsi="Arial"/>
          <w:sz w:val="18"/>
          <w:szCs w:val="18"/>
          <w:i w:val="1"/>
          <w:iCs w:val="1"/>
          <w:color w:val="auto"/>
        </w:rPr>
        <w:t xml:space="preserve"> </w:t>
      </w:r>
      <w:r>
        <w:rPr>
          <w:rFonts w:ascii="Arial" w:cs="Arial" w:eastAsia="Arial" w:hAnsi="Arial"/>
          <w:sz w:val="18"/>
          <w:szCs w:val="18"/>
          <w:color w:val="auto"/>
        </w:rPr>
        <w:t>sub-segments of traffic and their correlation to revenue generation and utilize hotel shoppers as an indicator of revenue growth. We use the term “hotel shoppers” to refer to users who view a listing of hotels in a city or visitors who view a specific hotel page. Hotel shoppers tend to be seasonal and also tend to vary based on general economic conditions. Our number of hotel shoppers increased 37% and 40% for the three and nine month periods ended September 30, 2013, respectively, and increased 29% and 31% for the three and nine months ended September 30, 2012, respectively, according to our log files.</w:t>
      </w:r>
    </w:p>
    <w:p>
      <w:pPr>
        <w:spacing w:after="0" w:line="98" w:lineRule="exact"/>
        <w:rPr>
          <w:rFonts w:ascii="Arial" w:cs="Arial" w:eastAsia="Arial" w:hAnsi="Arial"/>
          <w:sz w:val="18"/>
          <w:szCs w:val="18"/>
          <w:color w:val="auto"/>
        </w:rPr>
      </w:pPr>
    </w:p>
    <w:p>
      <w:pPr>
        <w:ind w:left="440" w:right="20" w:hanging="324"/>
        <w:spacing w:after="0" w:line="271"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Revenue per hotel shopper: </w:t>
      </w:r>
      <w:r>
        <w:rPr>
          <w:rFonts w:ascii="Arial" w:cs="Arial" w:eastAsia="Arial" w:hAnsi="Arial"/>
          <w:sz w:val="17"/>
          <w:szCs w:val="17"/>
          <w:color w:val="auto"/>
        </w:rPr>
        <w:t>Revenue per hotel shopper is a metric we use to analyze how effectively we are able to monetize hotel shoppers based on a</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of user conversion and pricing. User conversion is a measure of how many hotel shoppers ultimately click on a CPC link that generates revenue for us. User conversion on our site is primarily driven by three factors: merchandising, commerce coverage and choice. We define merchandising as the number and location of ads that are available on a page; we define commerce coverage as whether we have a client who can take an online booking for a particular property; and we define choice as the number of clients available for any given property, allowing the user to shop for the best price. Pricing is the effective CPC that online travel agencies and hoteliers are willing to pay us for a hotel shopper lead. Revenue per hotel shopper decreased 19% and 15% for the three and nine months ended September 30, 2013, respectively, and decreased 9% for both the three and nine month periods ended September 30, 2012.</w:t>
      </w:r>
    </w:p>
    <w:p>
      <w:pPr>
        <w:sectPr>
          <w:pgSz w:w="11900" w:h="16838" w:orient="portrait"/>
          <w:cols w:equalWidth="0" w:num="1">
            <w:col w:w="11400"/>
          </w:cols>
          <w:pgMar w:left="240" w:top="459" w:right="259" w:bottom="1440" w:gutter="0" w:footer="0" w:header="0"/>
        </w:sectPr>
      </w:pP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459" w:right="2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summary, our CPC revenue depends on the number of hotel shoppers that are interested in a property, whether there is a commerce link available for that hotel shopper to click on for that property, whether there are several commerce choices available for that property so the hotel shopper can shop around and what our customers are willing to pay us for the lead.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Drivers of Display-Based Advertising Revenue</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For both the three and nine months ended September 30, 2013, 12% of our total revenue came from our display-based advertising product. The key drivers of our display-based advertising revenue include the growth in number of impressions, or the number of times an ad is displayed on our site, and the cost per thousand impressions, or CPM (or pricing). Our number of impressions increased 36% and 27% for the three and nine months ended September 30, 2013, respectively, and decreased 2% and increased 7% for the three and nine months ended September 30, 2012, respectively, while pricing decreased 4% and 6% for the three and nine months ended September 30, 2013, respectively, and increased 9% and 3% for the three and nine months ended September 30, 2012, respectively.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Growth Areas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continue to invest in areas of potential growth, including our social, mobile and global initiatives as well as our subscription-based products, such as Vacation Rentals and Business Listings.</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Social</w:t>
      </w:r>
      <w:r>
        <w:rPr>
          <w:rFonts w:ascii="Arial" w:cs="Arial" w:eastAsia="Arial" w:hAnsi="Arial"/>
          <w:sz w:val="17"/>
          <w:szCs w:val="17"/>
          <w:color w:val="auto"/>
        </w:rPr>
        <w:t>. Our Wisdom of Friends initiative is a core component of our strategic growth plan; 76% of respondents to a recent Nielsen study cited</w:t>
      </w:r>
      <w:r>
        <w:rPr>
          <w:rFonts w:ascii="Arial" w:cs="Arial" w:eastAsia="Arial" w:hAnsi="Arial"/>
          <w:sz w:val="17"/>
          <w:szCs w:val="17"/>
          <w:i w:val="1"/>
          <w:iCs w:val="1"/>
          <w:color w:val="auto"/>
        </w:rPr>
        <w:t xml:space="preserve"> </w:t>
      </w:r>
      <w:r>
        <w:rPr>
          <w:rFonts w:ascii="Arial" w:cs="Arial" w:eastAsia="Arial" w:hAnsi="Arial"/>
          <w:sz w:val="17"/>
          <w:szCs w:val="17"/>
          <w:color w:val="auto"/>
        </w:rPr>
        <w:t>“recommendations from people I know” as the information source that they trust most. We believe that having a strong social presence improves engagement on our sites and improves the sites’ “stickiness” amongst the users. As a result, we continue to deepen our integration with Facebook. As of September 30, 2013, and according to AppData, an independent application tracking traffic service, TripAdvisor has averaged more than 39 million monthly Facebook users via its TripAdvisor Facebook application id. We offer these Facebook users a more personalized and social travel planning experience that enables travelers to engage with their own Facebook friends’ reviews and opinions when planning their perfect trip on TripAdvisor.</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Mobile</w:t>
      </w:r>
      <w:r>
        <w:rPr>
          <w:rFonts w:ascii="Arial" w:cs="Arial" w:eastAsia="Arial" w:hAnsi="Arial"/>
          <w:sz w:val="18"/>
          <w:szCs w:val="18"/>
          <w:color w:val="auto"/>
        </w:rPr>
        <w:t>. Mobile is an investment area that is geared towards creating a more complete user experience by reinforcing the TripAdvisor brand when users</w:t>
      </w:r>
      <w:r>
        <w:rPr>
          <w:rFonts w:ascii="Arial" w:cs="Arial" w:eastAsia="Arial" w:hAnsi="Arial"/>
          <w:sz w:val="18"/>
          <w:szCs w:val="18"/>
          <w:i w:val="1"/>
          <w:iCs w:val="1"/>
          <w:color w:val="auto"/>
        </w:rPr>
        <w:t xml:space="preserve"> </w:t>
      </w:r>
      <w:r>
        <w:rPr>
          <w:rFonts w:ascii="Arial" w:cs="Arial" w:eastAsia="Arial" w:hAnsi="Arial"/>
          <w:sz w:val="18"/>
          <w:szCs w:val="18"/>
          <w:color w:val="auto"/>
        </w:rPr>
        <w:t>are in-market. In the quarter ended September 30, 2013, we saw strong mobile user uptake, as aggregate downloads of our TripAdvisor, City Guides, SeatGuru, Jetsetter and GateGuru mobile apps reached 69 million downloads and average unique monthly visitors via smartphone and tablet devices grew 177% year-over-year from 39.2 million to 108.4 million, according to company logs. We believe that travelers will increasingly use mobile devices, including smartphones and tablets, to conduct travel research and planning.</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Vacation Rentals</w:t>
      </w:r>
      <w:r>
        <w:rPr>
          <w:rFonts w:ascii="Arial" w:cs="Arial" w:eastAsia="Arial" w:hAnsi="Arial"/>
          <w:sz w:val="17"/>
          <w:szCs w:val="17"/>
          <w:color w:val="auto"/>
        </w:rPr>
        <w:t>. Our Vacation Rentals product addresses a highly-fragmented $85 billion per-year vacation rental industry, according to a 2010 Radius</w:t>
      </w:r>
      <w:r>
        <w:rPr>
          <w:rFonts w:ascii="Arial" w:cs="Arial" w:eastAsia="Arial" w:hAnsi="Arial"/>
          <w:sz w:val="17"/>
          <w:szCs w:val="17"/>
          <w:i w:val="1"/>
          <w:iCs w:val="1"/>
          <w:color w:val="auto"/>
        </w:rPr>
        <w:t xml:space="preserve"> </w:t>
      </w:r>
      <w:r>
        <w:rPr>
          <w:rFonts w:ascii="Arial" w:cs="Arial" w:eastAsia="Arial" w:hAnsi="Arial"/>
          <w:sz w:val="17"/>
          <w:szCs w:val="17"/>
          <w:color w:val="auto"/>
        </w:rPr>
        <w:t>Global Market study. As of December 31, 2012, we had amassed over 300,000 properties, up more than 50% during the year, across our TripAdvisor Vacation Rentals, U.S.-based FlipKey, and U.K.-based Holiday Lettings, as well as through partnership agreements with other vacation rental businesses. We offer individual property owners and property managers the ability to list using a subscription-based fee structure or a free-to-list, commission-based option and we believe our highly-engaged and motivated user community creates a competitive advantage for us in this market.</w:t>
      </w:r>
    </w:p>
    <w:p>
      <w:pPr>
        <w:spacing w:after="0" w:line="173"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i w:val="1"/>
          <w:iCs w:val="1"/>
          <w:color w:val="auto"/>
        </w:rPr>
        <w:t>Business Listings</w:t>
      </w:r>
      <w:r>
        <w:rPr>
          <w:rFonts w:ascii="Arial" w:cs="Arial" w:eastAsia="Arial" w:hAnsi="Arial"/>
          <w:sz w:val="17"/>
          <w:szCs w:val="17"/>
          <w:color w:val="auto"/>
        </w:rPr>
        <w:t>. Our Business Listings product enables hotel and accommodation owners to list pertinent property information on TripAdvisor,</w:t>
      </w:r>
      <w:r>
        <w:rPr>
          <w:rFonts w:ascii="Arial" w:cs="Arial" w:eastAsia="Arial" w:hAnsi="Arial"/>
          <w:sz w:val="17"/>
          <w:szCs w:val="17"/>
          <w:i w:val="1"/>
          <w:iCs w:val="1"/>
          <w:color w:val="auto"/>
        </w:rPr>
        <w:t xml:space="preserve"> </w:t>
      </w:r>
      <w:r>
        <w:rPr>
          <w:rFonts w:ascii="Arial" w:cs="Arial" w:eastAsia="Arial" w:hAnsi="Arial"/>
          <w:sz w:val="17"/>
          <w:szCs w:val="17"/>
          <w:color w:val="auto"/>
        </w:rPr>
        <w:t>bringing them closer to potential customers and thereby increasing direct bookings. In the year ended December 31, 2012, we grew our Business Listings customer base over 40% to 50,000 subscribers, representing just over 7% of our current hotel and accommodation listings on TripAdvisor branded sites. We continue to expand our sales force and introduce new product features and functionality to grow our subscriber base.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Trends Affecting Our Business</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i w:val="1"/>
          <w:iCs w:val="1"/>
          <w:color w:val="auto"/>
        </w:rPr>
        <w:t xml:space="preserve">Increasing Competition. </w:t>
      </w:r>
      <w:r>
        <w:rPr>
          <w:rFonts w:ascii="Arial" w:cs="Arial" w:eastAsia="Arial" w:hAnsi="Arial"/>
          <w:sz w:val="17"/>
          <w:szCs w:val="17"/>
          <w:color w:val="auto"/>
        </w:rPr>
        <w:t>The travel review industry and, more generally, the business of collecting and aggregating travel-related resources and</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continues to be increasingly competitive. In recent years, an increasing number of companies, such as search companies Google Inc. and Baidu.com, Inc. and several large online travel agencies, have begun to collect and aggregate travel information and resources. We plan to continue to invest in order to remain the leading source of travel reviews as well as continue to enhance our content and user experience.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 xml:space="preserve">Increasing Use of Internet and Social Media to Access Travel Information. </w:t>
      </w:r>
      <w:r>
        <w:rPr>
          <w:rFonts w:ascii="Arial" w:cs="Arial" w:eastAsia="Arial" w:hAnsi="Arial"/>
          <w:sz w:val="17"/>
          <w:szCs w:val="17"/>
          <w:color w:val="auto"/>
        </w:rPr>
        <w:t>Commerce, information and advertising continue to migrate to the Internet</w:t>
      </w:r>
      <w:r>
        <w:rPr>
          <w:rFonts w:ascii="Arial" w:cs="Arial" w:eastAsia="Arial" w:hAnsi="Arial"/>
          <w:sz w:val="17"/>
          <w:szCs w:val="17"/>
          <w:i w:val="1"/>
          <w:iCs w:val="1"/>
          <w:color w:val="auto"/>
        </w:rPr>
        <w:t xml:space="preserve"> </w:t>
      </w:r>
      <w:r>
        <w:rPr>
          <w:rFonts w:ascii="Arial" w:cs="Arial" w:eastAsia="Arial" w:hAnsi="Arial"/>
          <w:sz w:val="17"/>
          <w:szCs w:val="17"/>
          <w:color w:val="auto"/>
        </w:rPr>
        <w:t>and away from traditional media outlets. We believe that this trend will create strategic growth opportunities, allowing us to attract new consumers and develop unique and effective advertising solutions. Consumers are increasingly using online social media, such as Facebook, as a means to communicate and exchange information, including travel information and opinions. We have made significant efforts related to social networking in order to leverage the expanding use of this channel and enhance traffic diversification and user engagement. We are also continually adapting our user experience in response to a changing Internet environment and usage trends. For example, in 2012 we invested in building and introducing to users hotel metasearch functionality for our smartphone platforms and in early June 2013 completed the process of implementing hotel metasearch functionality on our desktop and tablet platforms. Refer to our metasearch discussion below in “Our Strategy” in this “Management’s Discussion and Analysis of Financial Condition and Results of Operations” section for additional information on our hotel metasearch transition.</w:t>
      </w:r>
    </w:p>
    <w:p>
      <w:pPr>
        <w:spacing w:after="0" w:line="18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Increasing Mobile Usage. </w:t>
      </w:r>
      <w:r>
        <w:rPr>
          <w:rFonts w:ascii="Arial" w:cs="Arial" w:eastAsia="Arial" w:hAnsi="Arial"/>
          <w:sz w:val="16"/>
          <w:szCs w:val="16"/>
          <w:color w:val="auto"/>
        </w:rPr>
        <w:t>Users are increasingly using smartphone and tablet computing devices to access the Internet. To address these growing user</w:t>
      </w:r>
      <w:r>
        <w:rPr>
          <w:rFonts w:ascii="Arial" w:cs="Arial" w:eastAsia="Arial" w:hAnsi="Arial"/>
          <w:sz w:val="16"/>
          <w:szCs w:val="16"/>
          <w:i w:val="1"/>
          <w:iCs w:val="1"/>
          <w:color w:val="auto"/>
        </w:rPr>
        <w:t xml:space="preserve"> </w:t>
      </w:r>
      <w:r>
        <w:rPr>
          <w:rFonts w:ascii="Arial" w:cs="Arial" w:eastAsia="Arial" w:hAnsi="Arial"/>
          <w:sz w:val="16"/>
          <w:szCs w:val="16"/>
          <w:color w:val="auto"/>
        </w:rPr>
        <w:t>demands, we continue to extend our platform to develop smartphone and tablet applications to deliver travel information and resources. Although the substantial majority of our smartphone users also access and engage with our websites on personal computers and tablets where we display advertising, our users could decide to access our products primarily through smartphone devices. We have just begun to display graphic advertising on smartphones, however, our smartphone monetization strategies are still developing, as smartphone monetization was less than 20% of desktop monetization of hotel shoppers during the nine months ended September 30, 2013 while tablets monetize more closely to desktops. Mobile growth and development remains a key company priority and we will continue to invest and innovate in this growing platform to help us maintain and grow our user base and engagement over the long term.</w:t>
      </w:r>
    </w:p>
    <w:p>
      <w:pPr>
        <w:spacing w:after="0" w:line="16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i w:val="1"/>
          <w:iCs w:val="1"/>
          <w:color w:val="auto"/>
        </w:rPr>
        <w:t xml:space="preserve">Click-Based Advertising Revenue. </w:t>
      </w:r>
      <w:r>
        <w:rPr>
          <w:rFonts w:ascii="Arial" w:cs="Arial" w:eastAsia="Arial" w:hAnsi="Arial"/>
          <w:sz w:val="17"/>
          <w:szCs w:val="17"/>
          <w:color w:val="auto"/>
        </w:rPr>
        <w:t>In recent years, the majority of our revenue growth resulted from higher click-based advertising revenue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traffic on our websites and an increase in the volume of clicks on our advertisers’ placements. Although click-based advertising revenue growth has generally been driven by traffic volume, we remain focused on the various factors that could impact revenue growth, including, but not limited to, the growth in hotel shoppers, CPC pricing fluctuations, the overall economy, the ability of advertisers to monetize our traffic, the quality and mix of traffic to our websites, and the quality and mix of traffic from our advertising placements to advertisers, as well as advertisers’ evolving approach to transaction attribution models and return on investment targets. We monitor and regularly respond to changes in these factors in order to strategically improve our user experience, customer satisfaction and monetization in this dynamic environment. For example, in order to improve user experience, we introduced metasearch functionality to our hotel shoppers as discussed below in “—Our Strategy.”</w:t>
      </w:r>
    </w:p>
    <w:p>
      <w:pPr>
        <w:spacing w:after="0" w:line="17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Global Economic Conditions. </w:t>
      </w:r>
      <w:r>
        <w:rPr>
          <w:rFonts w:ascii="Arial" w:cs="Arial" w:eastAsia="Arial" w:hAnsi="Arial"/>
          <w:sz w:val="18"/>
          <w:szCs w:val="18"/>
          <w:color w:val="auto"/>
        </w:rPr>
        <w:t>In late 2008 and throughout 2009, weak global economic conditions created uncertainty for travelers and suppliers, and</w:t>
      </w:r>
      <w:r>
        <w:rPr>
          <w:rFonts w:ascii="Arial" w:cs="Arial" w:eastAsia="Arial" w:hAnsi="Arial"/>
          <w:sz w:val="18"/>
          <w:szCs w:val="18"/>
          <w:i w:val="1"/>
          <w:iCs w:val="1"/>
          <w:color w:val="auto"/>
        </w:rPr>
        <w:t xml:space="preserve"> </w:t>
      </w:r>
      <w:r>
        <w:rPr>
          <w:rFonts w:ascii="Arial" w:cs="Arial" w:eastAsia="Arial" w:hAnsi="Arial"/>
          <w:sz w:val="18"/>
          <w:szCs w:val="18"/>
          <w:color w:val="auto"/>
        </w:rPr>
        <w:t>put pressure on discretionary spending on travel and advertising. Since 2010, the travel industry has been gradually improving. However, global economic conditions remain uncertain, and in particular, we anticipate travel expenditures in Europe to continue to be adversely effected by the economic issues overseas.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expanding our global reach, we leverage significant investments in technology, operations, brand-building, and advertiser and other partner relationships. For example, we are able to aggregate a large base of consumer reviews, in a variety of languages, across our global core platform. We expect to continue leveraging this investment when launching additional points of sale in new countries, introducing new product features and adding new business model offerings.</w:t>
      </w:r>
    </w:p>
    <w:p>
      <w:pPr>
        <w:spacing w:after="0" w:line="92" w:lineRule="exact"/>
        <w:rPr>
          <w:sz w:val="20"/>
          <w:szCs w:val="20"/>
          <w:color w:val="auto"/>
        </w:rPr>
      </w:pPr>
    </w:p>
    <w:p>
      <w:pPr>
        <w:ind w:left="900" w:right="120" w:hanging="325"/>
        <w:spacing w:after="0" w:line="25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Investment in Technology</w:t>
      </w:r>
      <w:r>
        <w:rPr>
          <w:rFonts w:ascii="Arial" w:cs="Arial" w:eastAsia="Arial" w:hAnsi="Arial"/>
          <w:sz w:val="18"/>
          <w:szCs w:val="18"/>
          <w:color w:val="auto"/>
        </w:rPr>
        <w:t>. We believe that our ability to continue to innovate by providing additional functionality to our main Internet sites,</w:t>
      </w:r>
      <w:r>
        <w:rPr>
          <w:rFonts w:ascii="Arial" w:cs="Arial" w:eastAsia="Arial" w:hAnsi="Arial"/>
          <w:sz w:val="18"/>
          <w:szCs w:val="18"/>
          <w:i w:val="1"/>
          <w:iCs w:val="1"/>
          <w:color w:val="auto"/>
        </w:rPr>
        <w:t xml:space="preserve"> </w:t>
      </w:r>
      <w:r>
        <w:rPr>
          <w:rFonts w:ascii="Arial" w:cs="Arial" w:eastAsia="Arial" w:hAnsi="Arial"/>
          <w:sz w:val="18"/>
          <w:szCs w:val="18"/>
          <w:color w:val="auto"/>
        </w:rPr>
        <w:t>while at the same time continuing to extend that functionality to additional platforms such as smartphones and tablets, will enable us to continue providing an industry-leading user experience. We have a strong culture of speed-to-market with our innovations. By innovating and releasing updates quickly, we believe that we can continue to grow our site visitors and over 125 million reviews and opinions, increase revenue and effectively compete with our competitors.</w:t>
      </w:r>
    </w:p>
    <w:p>
      <w:pPr>
        <w:spacing w:after="0" w:line="93" w:lineRule="exact"/>
        <w:rPr>
          <w:rFonts w:ascii="Arial" w:cs="Arial" w:eastAsia="Arial" w:hAnsi="Arial"/>
          <w:sz w:val="18"/>
          <w:szCs w:val="18"/>
          <w:color w:val="auto"/>
        </w:rPr>
      </w:pPr>
    </w:p>
    <w:p>
      <w:pPr>
        <w:ind w:left="900" w:right="140" w:hanging="325"/>
        <w:spacing w:after="0" w:line="276"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Social Platform</w:t>
      </w:r>
      <w:r>
        <w:rPr>
          <w:rFonts w:ascii="Arial" w:cs="Arial" w:eastAsia="Arial" w:hAnsi="Arial"/>
          <w:sz w:val="17"/>
          <w:szCs w:val="17"/>
          <w:color w:val="auto"/>
        </w:rPr>
        <w:t>. We intend to continue to expand our social integration and member acquisition efforts with social media, including Facebook,</w:t>
      </w:r>
      <w:r>
        <w:rPr>
          <w:rFonts w:ascii="Arial" w:cs="Arial" w:eastAsia="Arial" w:hAnsi="Arial"/>
          <w:sz w:val="17"/>
          <w:szCs w:val="17"/>
          <w:i w:val="1"/>
          <w:iCs w:val="1"/>
          <w:color w:val="auto"/>
        </w:rPr>
        <w:t xml:space="preserve"> </w:t>
      </w:r>
      <w:r>
        <w:rPr>
          <w:rFonts w:ascii="Arial" w:cs="Arial" w:eastAsia="Arial" w:hAnsi="Arial"/>
          <w:sz w:val="17"/>
          <w:szCs w:val="17"/>
          <w:color w:val="auto"/>
        </w:rPr>
        <w:t>Twitter and other social sharing platforms. We believe that this integration will enable us to continue to grow and maintain engagement with our user base and increase our content. For example, when searching for a hotel on TripAdvisor, users can see which hotels their Facebook friends and friends-of-friends have visited and reviewed. Users can share their reviews and ratings with their friends and publish their activity to their timelines. Users can also update their travel map and rate new experiences on Facebook.</w:t>
      </w:r>
    </w:p>
    <w:p>
      <w:pPr>
        <w:spacing w:after="0" w:line="77" w:lineRule="exact"/>
        <w:rPr>
          <w:rFonts w:ascii="Arial" w:cs="Arial" w:eastAsia="Arial" w:hAnsi="Arial"/>
          <w:sz w:val="17"/>
          <w:szCs w:val="17"/>
          <w:color w:val="auto"/>
        </w:rPr>
      </w:pPr>
    </w:p>
    <w:p>
      <w:pPr>
        <w:ind w:left="900" w:right="80" w:hanging="325"/>
        <w:spacing w:after="0" w:line="270"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Metasearch</w:t>
      </w:r>
      <w:r>
        <w:rPr>
          <w:rFonts w:ascii="Arial" w:cs="Arial" w:eastAsia="Arial" w:hAnsi="Arial"/>
          <w:sz w:val="17"/>
          <w:szCs w:val="17"/>
          <w:color w:val="auto"/>
        </w:rPr>
        <w:t>. A metasearch display is an interface that shows hotel or flight availability and pricing information from multiple sources,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requiring the user to visit another website. We have offered a flight metasearch product since 2009, expanding internationally to 19 points of sale in 2012 and increasing to 29 points of sale as of September 30, 2013. In 2012, we invested in building hotel metasearch functionality for our smartphone platforms and introducing it to 100% of our global smartphone traffic. In early June 2013, we completed the process of fully implementing hotel metasearch functionality onto our desktop and tablet platforms. We believe metasearch functionality provides a better user experience while delivering more valuable leads to advertising partners, however at a lower volume per session. Click-based advertising customers are receiving higher converting leads and therefore are paying higher per-unit prices, which we expect will offset the decreased lead volume. We expect to continue to invest in evolving our metasearch functionality on our site, because we believe that providing hotel and flight pricing and availability deliver a better user experience.</w:t>
      </w:r>
    </w:p>
    <w:p>
      <w:pPr>
        <w:spacing w:after="0" w:line="87" w:lineRule="exact"/>
        <w:rPr>
          <w:rFonts w:ascii="Arial" w:cs="Arial" w:eastAsia="Arial" w:hAnsi="Arial"/>
          <w:sz w:val="17"/>
          <w:szCs w:val="17"/>
          <w:color w:val="auto"/>
        </w:rPr>
      </w:pPr>
    </w:p>
    <w:p>
      <w:pPr>
        <w:ind w:left="900" w:right="20" w:hanging="325"/>
        <w:spacing w:after="0" w:line="25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Investment in Search Engine Marketing</w:t>
      </w:r>
      <w:r>
        <w:rPr>
          <w:rFonts w:ascii="Arial" w:cs="Arial" w:eastAsia="Arial" w:hAnsi="Arial"/>
          <w:sz w:val="18"/>
          <w:szCs w:val="18"/>
          <w:color w:val="auto"/>
        </w:rPr>
        <w:t>. One of the ways that we look to penetrate new markets is to leverage our expertise in search engine</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or SEM. SEM is a form of Internet marketing that involves the promotion of websites by increasing their visibility in search engine results pages through the use of paid placement, contextual advertising, and paid inclusion. In certain markets we may bid on keywords to break even or at a loss in order to drive traffic, build our brand, gain more users to our product, collect content and scale more quickly. We think SEM is an important channel because it delivers a significant number of brand impressions and can be a cost-effective method to get people to try our sites.</w:t>
      </w:r>
    </w:p>
    <w:p>
      <w:pPr>
        <w:spacing w:after="0" w:line="98"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Enhance International Offerings</w:t>
      </w:r>
      <w:r>
        <w:rPr>
          <w:rFonts w:ascii="Arial" w:cs="Arial" w:eastAsia="Arial" w:hAnsi="Arial"/>
          <w:sz w:val="18"/>
          <w:szCs w:val="18"/>
          <w:color w:val="auto"/>
        </w:rPr>
        <w:t>. We are focused on strengthening our broad global footprint. We are continuing to improve localization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grow our user base in Europe, Asia and South America, especially in emerging markets, such as Brazil, Russia and China. These and the other newer sites in Asia-Pacific represent a longer-term opportunity for us. We believe that China represents a large international opportunity for our business. We currently have two lead product offerings in the Chinese market—DaoDao and Kuxun—both headquartered in Beijing. We continue to invest heavily and operate at a loss in the Chinese market.</w:t>
      </w:r>
    </w:p>
    <w:p>
      <w:pPr>
        <w:spacing w:after="0" w:line="93"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We have a history of successfully acquiring and integrating companies that expand our footprint either geographically or in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sectors that are complementary to our flagship properties. We intend to continue to seek acquisition targets.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have one reportable segment. The segment is determined based on how our chief operating decision maker manages our business, makes operating decisions and evaluates operating performance.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right="860" w:firstLine="456"/>
        <w:spacing w:after="0" w:line="342" w:lineRule="auto"/>
        <w:rPr>
          <w:sz w:val="20"/>
          <w:szCs w:val="20"/>
          <w:color w:val="auto"/>
        </w:rPr>
      </w:pPr>
      <w:r>
        <w:rPr>
          <w:rFonts w:ascii="Arial" w:cs="Arial" w:eastAsia="Arial" w:hAnsi="Arial"/>
          <w:sz w:val="16"/>
          <w:szCs w:val="16"/>
          <w:color w:val="auto"/>
        </w:rPr>
        <w:t>As of September 30, 2013, we had 1,939 employees. Of these employees, 1,118 were based in the United States. None of our employees are represented by a labor union or are subject to a collective bargaining agreement. We believe that relations with our employees are good.</w:t>
      </w:r>
    </w:p>
    <w:p>
      <w:pPr>
        <w:sectPr>
          <w:pgSz w:w="11900" w:h="16838" w:orient="portrait"/>
          <w:cols w:equalWidth="0" w:num="1">
            <w:col w:w="11420"/>
          </w:cols>
          <w:pgMar w:left="240" w:top="45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historically being the fourth quarter. However, adverse economic conditions or continued growth of our international operations with differing holiday peaks may influence the typical trend of our seasonality in the future.</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240" w:top="125" w:right="6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where applicable and other assumptions that it believes are reasonable under the circumstances. Actual results may differ from estimates under different assumptions or conditions.</w:t>
      </w:r>
    </w:p>
    <w:p>
      <w:pPr>
        <w:spacing w:after="0" w:line="18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76" w:lineRule="exact"/>
        <w:rPr>
          <w:sz w:val="20"/>
          <w:szCs w:val="20"/>
          <w:color w:val="auto"/>
        </w:rPr>
      </w:pPr>
    </w:p>
    <w:p>
      <w:pPr>
        <w:ind w:left="900" w:right="32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2012. Refer to “Note 2—</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for additions to our critical accounting policies for the nine months ended September 30, 2013.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For a discussion of new accounting pronouncements, see “Note 2—</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in the notes to the consolidated financial statements in this Quarterly Report on Form 10-Q. We are an “issuer” (as defined in Section 2(a) of the Sarbanes-Oxley Act of 2002), and, as such, are required to comply with all new and revised accounting standards applicable to public companies.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7"/>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 Change</w:t>
            </w:r>
          </w:p>
        </w:tc>
        <w:tc>
          <w:tcPr>
            <w:tcW w:w="2320" w:type="dxa"/>
            <w:vAlign w:val="bottom"/>
            <w:gridSpan w:val="7"/>
          </w:tcPr>
          <w:p>
            <w:pPr>
              <w:ind w:left="20"/>
              <w:spacing w:after="0"/>
              <w:rPr>
                <w:sz w:val="20"/>
                <w:szCs w:val="20"/>
                <w:color w:val="auto"/>
              </w:rPr>
            </w:pPr>
            <w:r>
              <w:rPr>
                <w:rFonts w:ascii="Arial" w:cs="Arial" w:eastAsia="Arial" w:hAnsi="Arial"/>
                <w:sz w:val="14"/>
                <w:szCs w:val="14"/>
                <w:b w:val="1"/>
                <w:bCs w:val="1"/>
                <w:color w:val="auto"/>
                <w:w w:val="99"/>
              </w:rPr>
              <w:t>Nine months ended September 30,</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198,969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155,835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560,992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429,370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Related-party revenue from Expedia</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56,167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56,875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171,000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164,203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255,136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212,710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731,992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593,573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 (exclusive of amortization) (1)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8,536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Selling and marketing (2)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98,204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67,647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260,069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199,279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 and content (2)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23,535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95,116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62,950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General and administrative (2)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24,556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20,056</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72,541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54,562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5,037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14,033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1,310</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4,182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4,909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171,442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120,461</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465,877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344,269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83,694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92,249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266,115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249,304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260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1,367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(2,476)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(10,619)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83,623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90,810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257,961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238,685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(31,275)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(77,814)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55,882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59,535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185,169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160,871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TripAdvisor, Inc.</w:t>
            </w: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55,882</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59,360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185,169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160,490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attributable to TripAdvisor, Inc.</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0.39</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0.42</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0.38</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142,690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142,342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143,095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138,458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145,454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143,657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145,258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140,517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Adjusted EBITDA (3)</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104,422</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107,059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326,601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288,169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(1)  Excludes amortization as follows: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ind w:left="700"/>
              <w:spacing w:after="0" w:line="201" w:lineRule="exact"/>
              <w:rPr>
                <w:sz w:val="20"/>
                <w:szCs w:val="20"/>
                <w:color w:val="auto"/>
              </w:rPr>
            </w:pPr>
            <w:r>
              <w:rPr>
                <w:rFonts w:ascii="Arial" w:cs="Arial" w:eastAsia="Arial" w:hAnsi="Arial"/>
                <w:sz w:val="18"/>
                <w:szCs w:val="18"/>
                <w:color w:val="auto"/>
              </w:rPr>
              <w:t>Amortization of acquired technology included in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880"/>
              <w:spacing w:after="0"/>
              <w:rPr>
                <w:sz w:val="20"/>
                <w:szCs w:val="20"/>
                <w:color w:val="auto"/>
              </w:rPr>
            </w:pPr>
            <w:r>
              <w:rPr>
                <w:rFonts w:ascii="Arial" w:cs="Arial" w:eastAsia="Arial" w:hAnsi="Arial"/>
                <w:sz w:val="18"/>
                <w:szCs w:val="18"/>
                <w:color w:val="auto"/>
              </w:rPr>
              <w:t>amortization of intangibles</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245</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183</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656</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547</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4"/>
              </w:rPr>
              <w:t>Amortization of website development costs included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 depreciation</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3,231</w:t>
            </w: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13,741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8,923</w:t>
            </w: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5,199</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3,414</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14,397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9,470</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  Includes stock-based compensation as follows: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700"/>
              <w:spacing w:after="0"/>
              <w:rPr>
                <w:sz w:val="20"/>
                <w:szCs w:val="20"/>
                <w:color w:val="auto"/>
              </w:rPr>
            </w:pPr>
            <w:r>
              <w:rPr>
                <w:rFonts w:ascii="Arial" w:cs="Arial" w:eastAsia="Arial" w:hAnsi="Arial"/>
                <w:sz w:val="18"/>
                <w:szCs w:val="18"/>
                <w:color w:val="auto"/>
              </w:rPr>
              <w:t>Selling and marketing</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2,795</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1,184</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7,354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3,185</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Technology and content</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3,187</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15,901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7,125</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700"/>
              <w:spacing w:after="0"/>
              <w:rPr>
                <w:sz w:val="20"/>
                <w:szCs w:val="20"/>
                <w:color w:val="auto"/>
              </w:rPr>
            </w:pPr>
            <w:r>
              <w:rPr>
                <w:rFonts w:ascii="Arial" w:cs="Arial" w:eastAsia="Arial" w:hAnsi="Arial"/>
                <w:sz w:val="18"/>
                <w:szCs w:val="18"/>
                <w:color w:val="auto"/>
              </w:rPr>
              <w:t>General and administrative</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3,377</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4,092</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12,215</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9,613</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58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“Adjusted EBITDA” below for more information and for a reconciliation of Adjusted EBITDA to net income, the most directly comparable financial measure calculated and presented in accordance with GAAP.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in this Quarterly Report on Form 10-Q, a non-GAAP financial measure. We have provided reconciliations below of Adjusted EBITDA to net income, the most directly comparable 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define Adjusted EBITDA as net income (loss) plus: (1) provision for income taxes; (2) other (income) expense, net; (3) depreciation of property and equipment, including internal use software and website development; (4) amortization of intangible assets; (5) stock-based compensation; and (6) non-recurring expenses.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Adjusted EBITDA eliminates items that are either not part of our core operations, such as non-recurring expenses, or those costs that do not require a cash outlay, such as stock-based compensation. Adjusted EBITDA also excludes depreciation and amortization expense, which is based on our estimates of the useful life of tangible and intangible assets. These estimates could vary from actual performance of the asset, are based on historical costs and other factors and may not be indicative of current or future capital expenditures. We believe that by excluding certain items, such as stock-based compensation and non-recurring expenses, Adjusted EBITDA corresponds more closely to the cash that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83"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Some of these limitations are:</w:t>
      </w:r>
    </w:p>
    <w:p>
      <w:pPr>
        <w:spacing w:after="0" w:line="7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w:t>
      </w:r>
    </w:p>
    <w:p>
      <w:pPr>
        <w:spacing w:after="0" w:line="130" w:lineRule="exact"/>
        <w:rPr>
          <w:rFonts w:ascii="Arial" w:cs="Arial" w:eastAsia="Arial" w:hAnsi="Arial"/>
          <w:sz w:val="18"/>
          <w:szCs w:val="18"/>
          <w:color w:val="auto"/>
        </w:rPr>
      </w:pPr>
    </w:p>
    <w:p>
      <w:pPr>
        <w:ind w:left="900" w:right="40" w:hanging="325"/>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and our other GAAP results.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is a reconciliation of Adjusted EBITDA to net income, the most directly comparable financial measure calculated and presented in accordance with GAAP, for the periods presented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8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104,422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107,059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$326,601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$288,169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Depreciation (1)</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(7,634)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(5,037)</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(20,834)</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(14,033)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(1,310)</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(4,182)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(11,651)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(8,463)</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(35,470)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(19,923)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(1,439)</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(8,154)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(27,741)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(31,275)</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(72,792)</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(77,814)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4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55,882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59,535</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185,169</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160,871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5320" w:hanging="5612"/>
        <w:spacing w:after="0" w:line="536" w:lineRule="auto"/>
        <w:tabs>
          <w:tab w:leader="none" w:pos="45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amortization of internal use software and website development costs. 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We derive substantially all of our revenue through the sale of advertising, primarily through click-based advertising and, to a lesser extent, display-based advertising. In addition, we earn revenue through a combination of subscription-based offerings related to our Business Listings and Vacation Rentals products, transaction revenue from selling room nights on our transactional sites, and other revenue including content licensing.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7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0"/>
              </w:rPr>
              <w:t>Nine months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left="78"/>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14"/>
                <w:szCs w:val="14"/>
                <w:color w:val="auto"/>
              </w:rPr>
            </w:pPr>
          </w:p>
        </w:tc>
        <w:tc>
          <w:tcPr>
            <w:tcW w:w="1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2013</w:t>
            </w:r>
          </w:p>
        </w:tc>
        <w:tc>
          <w:tcPr>
            <w:tcW w:w="3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9"/>
              </w:rPr>
              <w:t>2013</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2012</w:t>
            </w:r>
          </w:p>
        </w:tc>
        <w:tc>
          <w:tcPr>
            <w:tcW w:w="3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center"/>
              <w:ind w:left="98"/>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2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4"/>
          </w:tcPr>
          <w:p>
            <w:pPr>
              <w:jc w:val="center"/>
              <w:ind w:right="14"/>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Click-based advertising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168</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Display-based advertising</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72</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Subscription, transaction and other</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31"/>
        </w:trPr>
        <w:tc>
          <w:tcPr>
            <w:tcW w:w="606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255</w:t>
            </w:r>
          </w:p>
        </w:tc>
        <w:tc>
          <w:tcPr>
            <w:tcW w:w="340" w:type="dxa"/>
            <w:vAlign w:val="bottom"/>
          </w:tcPr>
          <w:p>
            <w:pPr>
              <w:spacing w:after="0"/>
              <w:rPr>
                <w:sz w:val="24"/>
                <w:szCs w:val="24"/>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213</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732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594</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Revenue increased $42 million and $138 million during the three and nine months ended September 30, 2013, respectively, when compared to the same periods in 2012, primarily due to an increase in click-based advertising revenue of $21 million and $88 million, respectively. The primary driver of the increase in click-based advertising revenue was an increase in hotel shoppers of 37% and 40% for the three and nine months September 30, 2013, respectively, partially offset by lower revenue per hotel shopper of 19% and 15% for the three and nine months ended September 30, 2013, respectively, primarily due to a combination of lower user conversion related to our transition to hotel metasearch, growth in hotel shoppers on smartphones, which have a lower monetization rate than desktops and tablets, and growth in emerging international markets that are currently monetizing at lower levels than our mature markets. We expect the lower user conversion trend to continue due to our recent transition to hotel metasearch, which we anticipate will negatively impact revenue growth over the balance of the year. Display-based advertising increased by $7 million and $14 million during the three and nine months ended September 30, 2013, respectively, primarily as a result of a 36% and 27% increase in the number of impressions during the three and nine months ended September 30, 2013, respectively, when compared to the same periods in 2012, partially offset by a decrease in pricing by 4% and 6% for the three and nine months ended September 30, 2013, respectively. Subscription, transaction and other revenue increased by $14 million and $36 million during the three and nine month periods ended September 30, 2013, respectively, primarily due to growth in Business Listings.</w:t>
      </w:r>
    </w:p>
    <w:p>
      <w:pPr>
        <w:spacing w:after="0" w:line="16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presents our revenue by geographic region, which reflects how we measure our business internally. Revenue by geography is based on the location of our websites: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7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0"/>
              </w:rPr>
              <w:t>Nine months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14"/>
                <w:szCs w:val="14"/>
                <w:color w:val="auto"/>
              </w:rPr>
            </w:pPr>
          </w:p>
        </w:tc>
        <w:tc>
          <w:tcPr>
            <w:tcW w:w="1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2013</w:t>
            </w:r>
          </w:p>
        </w:tc>
        <w:tc>
          <w:tcPr>
            <w:tcW w:w="3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2013</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2012</w:t>
            </w:r>
          </w:p>
        </w:tc>
        <w:tc>
          <w:tcPr>
            <w:tcW w:w="3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center"/>
              <w:ind w:left="97"/>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2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4"/>
          </w:tcPr>
          <w:p>
            <w:pPr>
              <w:jc w:val="center"/>
              <w:ind w:right="13"/>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North America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112</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EMEA (2)</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192</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APAC (3)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LATAM (4)</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15"/>
        </w:trPr>
        <w:tc>
          <w:tcPr>
            <w:tcW w:w="6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213</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United States and Canada*</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Europe, Middle East and Africa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Asia-Pacific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Included in international revenue for discussion purposes.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International revenue increased $27 million and $79 million during the three and nine months ended September 30, 2013, respectively, compared to the same periods in 2012. International revenue represented 53% and 51% of total revenue during the three and nine months ended September 30, 2013, and represented 50% and 49% of total revenue during the three and nine months ended September 30, 2012, respectively. The increase in international revenue, in absolute dollars and as a percentage of total revenue, is primarily due to additional investment in international expansion and growth in international hotel shoppers.</w:t>
      </w:r>
    </w:p>
    <w:p>
      <w:pPr>
        <w:spacing w:after="0" w:line="18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addition to the product and geographic revenue discussion above, related-party revenue from Expedia, which consists primarily of click-based advertising,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Nine months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4"/>
                <w:szCs w:val="14"/>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Borders>
              <w:top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4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4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revenue from Expedia</w:t>
            </w:r>
          </w:p>
        </w:tc>
        <w:tc>
          <w:tcPr>
            <w:tcW w:w="2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   56</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   57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$ 171</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  164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 of revenue</w:t>
            </w:r>
          </w:p>
        </w:tc>
        <w:tc>
          <w:tcPr>
            <w:tcW w:w="2380" w:type="dxa"/>
            <w:vAlign w:val="bottom"/>
            <w:gridSpan w:val="2"/>
          </w:tcPr>
          <w:p>
            <w:pPr>
              <w:jc w:val="right"/>
              <w:ind w:right="68"/>
              <w:spacing w:after="0"/>
              <w:rPr>
                <w:sz w:val="20"/>
                <w:szCs w:val="20"/>
                <w:color w:val="auto"/>
              </w:rPr>
            </w:pPr>
            <w:r>
              <w:rPr>
                <w:rFonts w:ascii="Arial" w:cs="Arial" w:eastAsia="Arial" w:hAnsi="Arial"/>
                <w:sz w:val="18"/>
                <w:szCs w:val="18"/>
                <w:color w:val="auto"/>
              </w:rPr>
              <w:t>22.0%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26.7%</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8"/>
                <w:szCs w:val="18"/>
                <w:color w:val="auto"/>
              </w:rPr>
              <w:t>23.4%</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27.7%</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Related-party revenue from Expedia decreased $1 million and increased $7 million during the three and nine month periods ended September 30, 2013, respectively, when compared to the same periods in 2012. Related-party revenue from Expedia increased $7 million during the nine months ended September 30, 2013 when compared to the same period in 2012, primarily due to lower click volume sent to Expedia, primarily related to our transition to hotel metasearch which was more than offset by higher CPC pricing paid by Expedia during this time period. For information on our relationship with Expedia, including recent material transactions, refer to “Note 14</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xml:space="preserve"> in the notes to our consolidated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Cost of revenue consists of expenses that are closely correlated or directly related to revenue generation, including ad serving fees, flight search fees, credit card fees and data center costs.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Nine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September 30,</w:t>
            </w: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4"/>
              </w:rPr>
              <w:t>% Change</w:t>
            </w:r>
          </w:p>
        </w:tc>
        <w:tc>
          <w:tcPr>
            <w:tcW w:w="18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0" w:type="dxa"/>
            <w:vAlign w:val="bottom"/>
            <w:tcBorders>
              <w:top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40" w:type="dxa"/>
            <w:vAlign w:val="bottom"/>
            <w:tcBorders>
              <w:top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0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   5</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3</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74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w w:val="99"/>
              </w:rPr>
              <w:t>$  13</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 of revenue</w:t>
            </w:r>
          </w:p>
        </w:tc>
        <w:tc>
          <w:tcPr>
            <w:tcW w:w="3060" w:type="dxa"/>
            <w:vAlign w:val="bottom"/>
            <w:gridSpan w:val="2"/>
          </w:tcPr>
          <w:p>
            <w:pPr>
              <w:jc w:val="right"/>
              <w:ind w:right="128"/>
              <w:spacing w:after="0"/>
              <w:rPr>
                <w:sz w:val="20"/>
                <w:szCs w:val="20"/>
                <w:color w:val="auto"/>
              </w:rPr>
            </w:pPr>
            <w:r>
              <w:rPr>
                <w:rFonts w:ascii="Arial" w:cs="Arial" w:eastAsia="Arial" w:hAnsi="Arial"/>
                <w:sz w:val="18"/>
                <w:szCs w:val="18"/>
                <w:color w:val="auto"/>
              </w:rPr>
              <w:t>2.0%</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ind w:right="102"/>
              <w:spacing w:after="0"/>
              <w:rPr>
                <w:sz w:val="20"/>
                <w:szCs w:val="20"/>
                <w:color w:val="auto"/>
              </w:rPr>
            </w:pPr>
            <w:r>
              <w:rPr>
                <w:rFonts w:ascii="Arial" w:cs="Arial" w:eastAsia="Arial" w:hAnsi="Arial"/>
                <w:sz w:val="18"/>
                <w:szCs w:val="18"/>
                <w:color w:val="auto"/>
              </w:rPr>
              <w:t>1.8%</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Cost of revenue increased $2 million and $4 million during the three and nine month periods ended September 30, 2013, respectively, when compared to the same periods in 2012, primarily due to increased data center costs, driven by higher site traffic and merchant credit card fees.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Sales and marketing expenses primarily consist of direct costs, including search engine marketing, or SEM, other traffic acquisition costs, syndication costs and affiliate program commissions, brand advertising and public relations. In addition, our indirect sales and marketing expense consists of personnel and overhead expenses, including salaries, commissions, benefits, stock-based compensation expense and bonuses for sales, sales support, customer support and marketing employees.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0"/>
              </w:rPr>
              <w:t>Nine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1"/>
              </w:rPr>
              <w:t>% Change</w:t>
            </w:r>
          </w:p>
        </w:tc>
        <w:tc>
          <w:tcPr>
            <w:tcW w:w="18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80" w:type="dxa"/>
            <w:vAlign w:val="bottom"/>
            <w:tcBorders>
              <w:top w:val="single" w:sz="8" w:color="auto"/>
            </w:tcBorders>
            <w:gridSpan w:val="2"/>
          </w:tcPr>
          <w:p>
            <w:pPr>
              <w:jc w:val="right"/>
              <w:ind w:right="18"/>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2012</w:t>
            </w:r>
          </w:p>
        </w:tc>
        <w:tc>
          <w:tcPr>
            <w:tcW w:w="4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2012</w:t>
            </w:r>
          </w:p>
        </w:tc>
        <w:tc>
          <w:tcPr>
            <w:tcW w:w="4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$ 170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Personnel and overhead</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5"/>
        </w:trPr>
        <w:tc>
          <w:tcPr>
            <w:tcW w:w="3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selling and marketing</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$ 260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tcPr>
          <w:p>
            <w:pPr>
              <w:spacing w:after="0"/>
              <w:rPr>
                <w:sz w:val="20"/>
                <w:szCs w:val="20"/>
                <w:color w:val="auto"/>
              </w:rPr>
            </w:pPr>
            <w:r>
              <w:rPr>
                <w:rFonts w:ascii="Arial" w:cs="Arial" w:eastAsia="Arial" w:hAnsi="Arial"/>
                <w:sz w:val="18"/>
                <w:szCs w:val="18"/>
                <w:color w:val="auto"/>
              </w:rPr>
              <w:t>% of revenue</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38.5%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31.8%</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33.6%</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98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Direct selling and marketing costs increased $21 million and $36 million during the three and nine month periods ended September 30, 2013, respectively, when compared to the same periods in 2012, primarily due to increased SEM costs, other traffic acquisition costs, and brand advertising costs, partially offset by a decrease in spending in social media costs. Personnel and overhead costs increased $9 million and $25 million during the three and nine month periods ended September 30, 2013, respectively, when compared to the same periods in 2012, primarily due to an increase in headcount to support business growth, including international expansion, and employees joining us through recent business acquisitions.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Technology and content expenses consist of personnel and overhead expenses, including salaries and benefits, stock-based compensation expense and bonuses for salaried employees and contractors engaged in the design, development, testing and maintenance of our websites. Other costs include licensing and maintenance expense.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2"/>
              </w:rPr>
              <w:t>Nine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89"/>
              </w:rPr>
              <w:t>September 30,</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3"/>
              </w:rPr>
              <w:t>2013</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2012</w:t>
            </w:r>
          </w:p>
        </w:tc>
        <w:tc>
          <w:tcPr>
            <w:tcW w:w="4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4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5"/>
          </w:tcPr>
          <w:p>
            <w:pPr>
              <w:jc w:val="center"/>
              <w:ind w:right="14"/>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4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Personnel and overhead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15"/>
        </w:trPr>
        <w:tc>
          <w:tcPr>
            <w:tcW w:w="5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technology and content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720" w:type="dxa"/>
            <w:vAlign w:val="bottom"/>
          </w:tcPr>
          <w:p>
            <w:pPr>
              <w:spacing w:after="0"/>
              <w:rPr>
                <w:sz w:val="20"/>
                <w:szCs w:val="20"/>
                <w:color w:val="auto"/>
              </w:rPr>
            </w:pPr>
            <w:r>
              <w:rPr>
                <w:rFonts w:ascii="Arial" w:cs="Arial" w:eastAsia="Arial" w:hAnsi="Arial"/>
                <w:sz w:val="18"/>
                <w:szCs w:val="18"/>
                <w:color w:val="auto"/>
              </w:rPr>
              <w:t>% of revenue</w:t>
            </w: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11.1%</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13.0%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Technology and content costs increased $10 million and $32 million during the three and nine months ended September 30, 2013, respectively, when compared to the same periods in 2012, primarily due to increased personnel costs from increased headcount to support business growth, including international expansion, enhanced site features, extending our products onto smartphone and tablet platforms, and development of our new hotel metasearch product, as well as an increase in stock based compensation and additional personnel costs related to employees joining us through recent business acquisitions.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General and administrative expense consists primarily of personnel and related overhead costs, including executive leadership, finance, legal and human resource functions and stock-based compensation as well as professional service fees and other fees including audit, legal, tax and accounting, and other costs including bad debt expense and our charitable foundation costs.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2"/>
              </w:rPr>
              <w:t>Nine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left="78"/>
              <w:spacing w:after="0"/>
              <w:rPr>
                <w:sz w:val="20"/>
                <w:szCs w:val="20"/>
                <w:color w:val="auto"/>
              </w:rPr>
            </w:pPr>
            <w:r>
              <w:rPr>
                <w:rFonts w:ascii="Arial" w:cs="Arial" w:eastAsia="Arial" w:hAnsi="Arial"/>
                <w:sz w:val="14"/>
                <w:szCs w:val="14"/>
                <w:b w:val="1"/>
                <w:bCs w:val="1"/>
                <w:color w:val="auto"/>
                <w:w w:val="89"/>
              </w:rPr>
              <w:t>September 30,</w:t>
            </w:r>
          </w:p>
        </w:tc>
        <w:tc>
          <w:tcPr>
            <w:tcW w:w="2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left="58"/>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66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jc w:val="center"/>
              <w:ind w:left="78"/>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2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jc w:val="center"/>
              <w:ind w:left="58"/>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2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Personnel and overhead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Professional service fees and other</w:t>
            </w:r>
          </w:p>
        </w:tc>
        <w:tc>
          <w:tcPr>
            <w:tcW w:w="1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19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5"/>
        </w:trPr>
        <w:tc>
          <w:tcPr>
            <w:tcW w:w="5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general and administrative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720" w:type="dxa"/>
            <w:vAlign w:val="bottom"/>
          </w:tcPr>
          <w:p>
            <w:pPr>
              <w:spacing w:after="0"/>
              <w:rPr>
                <w:sz w:val="20"/>
                <w:szCs w:val="20"/>
                <w:color w:val="auto"/>
              </w:rPr>
            </w:pPr>
            <w:r>
              <w:rPr>
                <w:rFonts w:ascii="Arial" w:cs="Arial" w:eastAsia="Arial" w:hAnsi="Arial"/>
                <w:sz w:val="18"/>
                <w:szCs w:val="18"/>
                <w:color w:val="auto"/>
              </w:rPr>
              <w:t>% of revenue</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9.4%</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9.2%</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 and administrative costs increased $5 million and $18 million during the three and nine months ended September 30, 2013, respectively, when compared to the same periods in 2012, primarily due to increased personnel costs related to an increase in stock-based compensation, as well as increased headcount to support business growth and additional professional service fees in order to support our operations as a standalone public company and an increase in our bad debt provision.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9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Nine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9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September 30,</w:t>
            </w: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4"/>
              </w:rPr>
              <w:t>% Change</w:t>
            </w:r>
          </w:p>
        </w:tc>
        <w:tc>
          <w:tcPr>
            <w:tcW w:w="18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0" w:type="dxa"/>
            <w:vAlign w:val="bottom"/>
            <w:tcBorders>
              <w:top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40" w:type="dxa"/>
            <w:vAlign w:val="bottom"/>
            <w:tcBorders>
              <w:top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1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   8</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5</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74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w w:val="99"/>
              </w:rPr>
              <w:t>$  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 of revenue</w:t>
            </w:r>
          </w:p>
        </w:tc>
        <w:tc>
          <w:tcPr>
            <w:tcW w:w="3160" w:type="dxa"/>
            <w:vAlign w:val="bottom"/>
            <w:gridSpan w:val="2"/>
          </w:tcPr>
          <w:p>
            <w:pPr>
              <w:jc w:val="right"/>
              <w:ind w:right="128"/>
              <w:spacing w:after="0"/>
              <w:rPr>
                <w:sz w:val="20"/>
                <w:szCs w:val="20"/>
                <w:color w:val="auto"/>
              </w:rPr>
            </w:pPr>
            <w:r>
              <w:rPr>
                <w:rFonts w:ascii="Arial" w:cs="Arial" w:eastAsia="Arial" w:hAnsi="Arial"/>
                <w:sz w:val="18"/>
                <w:szCs w:val="18"/>
                <w:color w:val="auto"/>
              </w:rPr>
              <w:t>3.0%</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ind w:right="102"/>
              <w:spacing w:after="0"/>
              <w:rPr>
                <w:sz w:val="20"/>
                <w:szCs w:val="20"/>
                <w:color w:val="auto"/>
              </w:rPr>
            </w:pPr>
            <w:r>
              <w:rPr>
                <w:rFonts w:ascii="Arial" w:cs="Arial" w:eastAsia="Arial" w:hAnsi="Arial"/>
                <w:sz w:val="18"/>
                <w:szCs w:val="18"/>
                <w:color w:val="auto"/>
              </w:rPr>
              <w:t>2.8%</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Depreciation increased $3 million and $7 million during the three and nine months ended September 30, 2013, respectively, when compared to the same periods in 2012, primarily due to increased amortization related to website development costs.</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38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1"/>
              </w:rPr>
              <w:t>Three months ended</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Nine months ended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38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 Change</w:t>
            </w:r>
          </w:p>
        </w:tc>
        <w:tc>
          <w:tcPr>
            <w:tcW w:w="140" w:type="dxa"/>
            <w:vAlign w:val="bottom"/>
          </w:tcPr>
          <w:p>
            <w:pPr>
              <w:spacing w:after="0"/>
              <w:rPr>
                <w:sz w:val="14"/>
                <w:szCs w:val="14"/>
                <w:color w:val="auto"/>
              </w:rPr>
            </w:pPr>
          </w:p>
        </w:tc>
        <w:tc>
          <w:tcPr>
            <w:tcW w:w="18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800" w:type="dxa"/>
            <w:vAlign w:val="bottom"/>
            <w:tcBorders>
              <w:top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380" w:type="dxa"/>
            <w:vAlign w:val="bottom"/>
            <w:tcBorders>
              <w:top w:val="single" w:sz="8" w:color="auto"/>
            </w:tcBorders>
            <w:gridSpan w:val="2"/>
          </w:tcPr>
          <w:p>
            <w:pPr>
              <w:jc w:val="center"/>
              <w:ind w:left="22"/>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0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   1</w:t>
            </w:r>
          </w:p>
        </w:tc>
        <w:tc>
          <w:tcPr>
            <w:tcW w:w="5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w w:val="71"/>
              </w:rPr>
              <w:t>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9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4</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 of revenue</w:t>
            </w:r>
          </w:p>
        </w:tc>
        <w:tc>
          <w:tcPr>
            <w:tcW w:w="800" w:type="dxa"/>
            <w:vAlign w:val="bottom"/>
          </w:tcPr>
          <w:p>
            <w:pPr>
              <w:jc w:val="right"/>
              <w:ind w:right="122"/>
              <w:spacing w:after="0"/>
              <w:rPr>
                <w:sz w:val="20"/>
                <w:szCs w:val="20"/>
                <w:color w:val="auto"/>
              </w:rPr>
            </w:pPr>
            <w:r>
              <w:rPr>
                <w:rFonts w:ascii="Arial" w:cs="Arial" w:eastAsia="Arial" w:hAnsi="Arial"/>
                <w:sz w:val="18"/>
                <w:szCs w:val="18"/>
                <w:color w:val="auto"/>
              </w:rPr>
              <w:t>0.6%</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0.6%</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8"/>
                <w:szCs w:val="18"/>
                <w:color w:val="auto"/>
              </w:rPr>
              <w:t>0.6%</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0.8%</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change in intangible asset amortization is not material for the periods presented. Refer to “Note 7—</w:t>
      </w:r>
      <w:r>
        <w:rPr>
          <w:rFonts w:ascii="Arial" w:cs="Arial" w:eastAsia="Arial" w:hAnsi="Arial"/>
          <w:sz w:val="18"/>
          <w:szCs w:val="18"/>
          <w:i w:val="1"/>
          <w:iCs w:val="1"/>
          <w:color w:val="auto"/>
        </w:rPr>
        <w:t>Goodwill and Intangible Assets, Net</w:t>
      </w:r>
      <w:r>
        <w:rPr>
          <w:rFonts w:ascii="Arial" w:cs="Arial" w:eastAsia="Arial" w:hAnsi="Arial"/>
          <w:sz w:val="18"/>
          <w:szCs w:val="18"/>
          <w:color w:val="auto"/>
        </w:rPr>
        <w:t>” for estimated remaining intangible amortization for the year ending December 31,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primarily consists of interest earned and amortization of discounts and premiums on our marketable securities.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Nine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September 30,</w:t>
            </w: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4"/>
              </w:rPr>
              <w:t>% Change</w:t>
            </w:r>
          </w:p>
        </w:tc>
        <w:tc>
          <w:tcPr>
            <w:tcW w:w="18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tcBorders>
              <w:top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40" w:type="dxa"/>
            <w:vAlign w:val="bottom"/>
            <w:tcBorders>
              <w:top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   0</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0</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525%</w:t>
            </w:r>
          </w:p>
        </w:tc>
        <w:tc>
          <w:tcPr>
            <w:tcW w:w="74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   1</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 of revenue</w:t>
            </w:r>
          </w:p>
        </w:tc>
        <w:tc>
          <w:tcPr>
            <w:tcW w:w="3080" w:type="dxa"/>
            <w:vAlign w:val="bottom"/>
            <w:gridSpan w:val="2"/>
          </w:tcPr>
          <w:p>
            <w:pPr>
              <w:jc w:val="right"/>
              <w:ind w:right="128"/>
              <w:spacing w:after="0"/>
              <w:rPr>
                <w:sz w:val="20"/>
                <w:szCs w:val="20"/>
                <w:color w:val="auto"/>
              </w:rPr>
            </w:pPr>
            <w:r>
              <w:rPr>
                <w:rFonts w:ascii="Arial" w:cs="Arial" w:eastAsia="Arial" w:hAnsi="Arial"/>
                <w:sz w:val="18"/>
                <w:szCs w:val="18"/>
                <w:color w:val="auto"/>
              </w:rPr>
              <w:t>0.2%</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ind w:right="102"/>
              <w:spacing w:after="0"/>
              <w:rPr>
                <w:sz w:val="20"/>
                <w:szCs w:val="20"/>
                <w:color w:val="auto"/>
              </w:rPr>
            </w:pPr>
            <w:r>
              <w:rPr>
                <w:rFonts w:ascii="Arial" w:cs="Arial" w:eastAsia="Arial" w:hAnsi="Arial"/>
                <w:sz w:val="18"/>
                <w:szCs w:val="18"/>
                <w:color w:val="auto"/>
              </w:rPr>
              <w:t>0.2%</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increase in interest income is primarily due to the fact that we began investing in marketable securities during the fourth quarter of 2012. Refer to “Note 4—</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 on our current portfolio as of September 30,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Credit Agreement and Chinese Credit Facilities.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Nine months ended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4"/>
                <w:szCs w:val="14"/>
                <w:color w:val="auto"/>
              </w:rPr>
            </w:pPr>
          </w:p>
        </w:tc>
        <w:tc>
          <w:tcPr>
            <w:tcW w:w="18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80" w:type="dxa"/>
            <w:vAlign w:val="bottom"/>
            <w:tcBorders>
              <w:top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360" w:type="dxa"/>
            <w:vAlign w:val="bottom"/>
            <w:tcBorders>
              <w:top w:val="single" w:sz="8" w:color="auto"/>
            </w:tcBorders>
            <w:gridSpan w:val="2"/>
          </w:tcPr>
          <w:p>
            <w:pPr>
              <w:jc w:val="center"/>
              <w:ind w:left="8"/>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1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3</w:t>
            </w:r>
          </w:p>
        </w:tc>
        <w:tc>
          <w:tcPr>
            <w:tcW w:w="5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79"/>
              </w:rPr>
              <w:t>3</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8</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 of revenue</w:t>
            </w:r>
          </w:p>
        </w:tc>
        <w:tc>
          <w:tcPr>
            <w:tcW w:w="3020" w:type="dxa"/>
            <w:vAlign w:val="bottom"/>
            <w:gridSpan w:val="2"/>
          </w:tcPr>
          <w:p>
            <w:pPr>
              <w:jc w:val="right"/>
              <w:ind w:right="128"/>
              <w:spacing w:after="0"/>
              <w:rPr>
                <w:sz w:val="20"/>
                <w:szCs w:val="20"/>
                <w:color w:val="auto"/>
              </w:rPr>
            </w:pPr>
            <w:r>
              <w:rPr>
                <w:rFonts w:ascii="Arial" w:cs="Arial" w:eastAsia="Arial" w:hAnsi="Arial"/>
                <w:sz w:val="18"/>
                <w:szCs w:val="18"/>
                <w:color w:val="auto"/>
              </w:rPr>
              <w:t>1.0%</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8"/>
                <w:szCs w:val="18"/>
                <w:color w:val="auto"/>
              </w:rPr>
              <w:t>1.1%</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decrease in interest expense is primarily due to the slightly lower outstanding borrowings and interest rates for the three and nine month periods ended September 30, 2013 over the same periods during 2012. Refer to “Note 5—</w:t>
      </w:r>
      <w:r>
        <w:rPr>
          <w:rFonts w:ascii="Arial" w:cs="Arial" w:eastAsia="Arial" w:hAnsi="Arial"/>
          <w:sz w:val="18"/>
          <w:szCs w:val="18"/>
          <w:i w:val="1"/>
          <w:iCs w:val="1"/>
          <w:color w:val="auto"/>
        </w:rPr>
        <w:t>Debt</w:t>
      </w:r>
      <w:r>
        <w:rPr>
          <w:rFonts w:ascii="Arial" w:cs="Arial" w:eastAsia="Arial" w:hAnsi="Arial"/>
          <w:sz w:val="18"/>
          <w:szCs w:val="18"/>
          <w:color w:val="auto"/>
        </w:rPr>
        <w:t>” for additional information on our outstanding borrowings at September 30, 2013.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net is primarily comprised of net foreign exchange gains and losses for the periods presented.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Nine months ended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4"/>
              </w:rPr>
              <w:t>% Change</w:t>
            </w:r>
          </w:p>
        </w:tc>
        <w:tc>
          <w:tcPr>
            <w:tcW w:w="18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0" w:type="dxa"/>
            <w:vAlign w:val="bottom"/>
            <w:tcBorders>
              <w:top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40" w:type="dxa"/>
            <w:vAlign w:val="bottom"/>
            <w:tcBorders>
              <w:top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  28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31</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74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  73</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Effective tax rate</w:t>
            </w:r>
          </w:p>
        </w:tc>
        <w:tc>
          <w:tcPr>
            <w:tcW w:w="2640" w:type="dxa"/>
            <w:vAlign w:val="bottom"/>
            <w:gridSpan w:val="2"/>
          </w:tcPr>
          <w:p>
            <w:pPr>
              <w:jc w:val="right"/>
              <w:ind w:right="108"/>
              <w:spacing w:after="0"/>
              <w:rPr>
                <w:sz w:val="20"/>
                <w:szCs w:val="20"/>
                <w:color w:val="auto"/>
              </w:rPr>
            </w:pPr>
            <w:r>
              <w:rPr>
                <w:rFonts w:ascii="Arial" w:cs="Arial" w:eastAsia="Arial" w:hAnsi="Arial"/>
                <w:sz w:val="18"/>
                <w:szCs w:val="18"/>
                <w:color w:val="auto"/>
              </w:rPr>
              <w:t>33.2%</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34.4%</w:t>
            </w: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ind w:right="82"/>
              <w:spacing w:after="0"/>
              <w:rPr>
                <w:sz w:val="20"/>
                <w:szCs w:val="20"/>
                <w:color w:val="auto"/>
              </w:rPr>
            </w:pPr>
            <w:r>
              <w:rPr>
                <w:rFonts w:ascii="Arial" w:cs="Arial" w:eastAsia="Arial" w:hAnsi="Arial"/>
                <w:sz w:val="18"/>
                <w:szCs w:val="18"/>
                <w:color w:val="auto"/>
              </w:rPr>
              <w:t>28.2%</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32.6%</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the three and nine months ended September 30, 2013, our effective tax rate is less than the federal statutory tax rate primarily due to earnings in jurisdictions outside the United States, where our effective tax rate is lower, which was partially offset by state income taxes, non-deductible stock compensation and accruals on uncertain tax positions. The change in the effective tax rate for 2013 compared to the 2012 rate was primarily due to an increase in earnings in jurisdictions outside the United States as well as the internal restructuring that was implemented in the last quarter of 2012. Additionally, the rate for the quarter includes a release of an accrual for uncertain tax benefits in the amount of $1.8 million as a result of receiving a Private Letter Ruling from a taxing authority.</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For information on our relationships with Expedia and Liberty Interactive Corporation, including recent material transactions, refer to “Note 14—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in the notes to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Refer to “Note 3—</w:t>
      </w:r>
      <w:r>
        <w:rPr>
          <w:rFonts w:ascii="Arial" w:cs="Arial" w:eastAsia="Arial" w:hAnsi="Arial"/>
          <w:sz w:val="18"/>
          <w:szCs w:val="18"/>
          <w:i w:val="1"/>
          <w:iCs w:val="1"/>
          <w:color w:val="auto"/>
        </w:rPr>
        <w:t>Stock Based Awards and Other Equity Instruments</w:t>
      </w:r>
      <w:r>
        <w:rPr>
          <w:rFonts w:ascii="Arial" w:cs="Arial" w:eastAsia="Arial" w:hAnsi="Arial"/>
          <w:sz w:val="18"/>
          <w:szCs w:val="18"/>
          <w:color w:val="auto"/>
        </w:rPr>
        <w:t>” for further information on current year equity award activity, including the issuance of 2,776,247 primarily service based stock options with a weighted average grant-date fair value per option of $28.11 and 1,083,082 RSUs with a weighted average grant-date fair value of $48.84 during the nine months ended September 30, 2013.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Position, Liquidity and Capital Resources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principal sources of liquidity are cash flows generated from operations. At September 30, 2013 and December 31, 2012, we had $596 million,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which does not include $40.4 million of cash related to unsettled sales of marketable securities which was received subsequent to report date, and $586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respectively, of cash, cash equivalents and short and long-term available-for-sale marketable securities. As of September 30, 2013,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$374 million of our cash, cash equivalents, and short and long-term marketable securities were held by our international subsidiaries, primarily in the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Kingdom, and are related to earnings we intend to reinvest permanently outside the United States. Should we distribute earnings of foreign subsidiaries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form of dividends or otherwise, we may be subject to U.S. income taxes. Cumulative undistributed earnings of foreign subsidiaries that we intend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indefinitely reinvest outside of the United States totaled approximately $466 million as of September 30, 2013. Should we distribute, or be treated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certain U.S. tax rules as having distributed, the earnings of foreign subsidiaries in the form of dividends or otherwise, we may be subject to U.S. income taxes.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Determination of the amount of any unrecognized deferred income tax liability on this temporary difference is not practicable because of the complexities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hypothetical calculation. Cash held is primarily denominated in U.S. dollars.</w:t>
      </w:r>
    </w:p>
    <w:p>
      <w:pPr>
        <w:spacing w:after="0" w:line="21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Historically, the cash we generate has been sufficient to fund our working capital requirements, capital expenditures and to meet our long-term debt obligations and commitments. Management believes that our cash and cash equivalents and available-for-sale marketable securities, combined with expected cash flows generated by operating activities and available cash from our credit facilities will be sufficient to fund our ongoing working capital requirements, capital expenditures, business growth initiatives, meet our long term debt obligations and commitments, share repurchases and fund any potential acquisitions for at least the next twelve months. However, if during that period or thereafter, we are not successful in generating sufficient cash flow from operations or in raising additional capital when required in sufficient amounts and on terms acceptable to us, we may be required to reduce our planned capital expenditures and scale back the scope of our business growth initiatives, either of which could have a material adverse effect on our future financial condition or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Due 2016 and Revolving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20, 2011, we entered into a credit agreement, dated as of December 20, 2011, by and among TripAdvisor, TripAdvisor Holdings, LLC, and TripAdvisor LLC, the lenders party thereto, JPMorgan Chase Bank, N.A., as administrative agent, and J.P. Morgan Europe Limited, as London agent (this credit agreement, together with all exhibits, schedules, annexes, certificates, assignments and related documents contemplated thereby, is referred to herein as the “Credit Agreement”), which provides $600 million of borrowing including:</w:t>
      </w:r>
    </w:p>
    <w:p>
      <w:pPr>
        <w:spacing w:after="0" w:line="9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Term Loan Facility, or Term Loan, in an aggregate principal amount of $400 million with a term of five years due December 2016; and</w:t>
      </w:r>
    </w:p>
    <w:p>
      <w:pPr>
        <w:spacing w:after="0" w:line="142"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Revolving Credit Facility in an aggregate principal amount of $200 million available in U.S. dollars, Euros and British pound sterling with a term of five years expiring December 2016.</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150 basis points, or the Eurocurrency Spread, or the alternate base rate (“ABR”) plus 50 basis points, and undrawn amounts are currently subject to a commitment fee of 22.5 basis points.</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As of September 30, 2013, we are using a one-month interest period Eurocurrency spread, which is approximately 1.7% per annum. Interest is currently payable on a monthly basis while we are borrowing under the one-month interest rate period. The current interest rates are based on current assumptions, leverage and LIBOR rates and do not take into account that rates will reset periodically. A 25 basis point change in the interest rate on the current Term Loan balance would result in an increase or decrease to interest expense of approximately $0.9 million per annum.</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Term Loan principal is currently repayable in quarterly installments on the last day of each calendar quarter equal to 2.5% of the original principal amount with the balance due on the final maturity date. Principal payments aggregating $30 million were made during the nine months ended September 30, 2013.</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Revolving Credit Facility includes $40 million of borrowing capacity available for letters of credit and $40 million for borrowings on same-day notice. As of September 30, 2013, there are no outstanding borrowings under our Revolving Credit Facility.</w:t>
      </w:r>
    </w:p>
    <w:p>
      <w:pPr>
        <w:spacing w:after="0" w:line="17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During the three and nine months ended September 30, 2013, we recorded total interest and commitment fees on our Credit Agreement of $1.8 million and $5.9 million, respectively, to interest expense on our consolidated statement of operations. During the three and nine months ended September 30, 2012, we recorded total interest and commitment fees on our Credit Agreement of $2.1 million and $6.5 million, respectively, to interest expense on our consolidated statements of operations. All unpaid interest and commitment fee amounts as of September 30, 2013 and December 31, 2012 were not material.</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future minimum principal payment obligations due under the Credit Agreement related to our Term Loan is as follows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(in millions):</w:t>
      </w:r>
    </w:p>
    <w:p>
      <w:pPr>
        <w:spacing w:after="0" w:line="21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920" w:type="dxa"/>
            <w:vAlign w:val="bottom"/>
            <w:gridSpan w:val="4"/>
          </w:tcPr>
          <w:p>
            <w:pPr>
              <w:ind w:left="2260"/>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2013 (remaining three months)</w:t>
            </w:r>
          </w:p>
        </w:tc>
        <w:tc>
          <w:tcPr>
            <w:tcW w:w="2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2014</w:t>
            </w:r>
          </w:p>
        </w:tc>
        <w:tc>
          <w:tcPr>
            <w:tcW w:w="244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2015</w:t>
            </w:r>
          </w:p>
        </w:tc>
        <w:tc>
          <w:tcPr>
            <w:tcW w:w="244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2016</w:t>
            </w:r>
          </w:p>
        </w:tc>
        <w:tc>
          <w:tcPr>
            <w:tcW w:w="244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Credit Agreement also requires us to maintain a maximum leverage ratio and a minimum cash interest coverage ratio, and contain certain customary affirmative covenants and events of default, including a change of control. If an event of default occurs, the lenders under the Credit Agreement will be entitled to take various actions, including the acceleration of all amounts due under Credit Agreement and all actions permitted to be taken by a secured creditor.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we believe we are in compliance with all of our debt covenants.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addition to our borrowings under the Credit Agreement, we maintain our Chinese Credit Facilities. As of September 30, 2013 and December 31, 2012, we had short term borrowings outstanding of $26.2 million and $32.1 million, respectively.</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of our Chinese subsidiaries entered into a RMB 138,600,000 (approximately $22 million), one-year revolving credit facility with Bank of America (the “Chinese Credit Facility—BOA”) that is currently subject to review on a periodic basis with no-specific expiration period. During the third quarter of 2012 this credit line was increased to RMB 189,000,000 (approximately $30 million). During the nine months ended September 30, 2013, we made a payment inclusive of interest of RMB 68,283,570 (approximately $10.9 million). We currently have $11.9 million of outstanding borrowings from this credit facility as of September 30, 2013. Our Chinese Credit Facility—BOA currently bears interest based at 100% of the People’s Bank of China’s base rate and was 5.6% as of September 30, 2013.</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during April 2012, certain of our Chinese subsidiaries entered into a RMB 125,000,000 (approximately $20 million) one-year revolving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with J.P. Morgan Chase Bank (“Chinese Credit Facility-JPM”). This credit facility was renewed for an additional year in April 2013. During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nine months ended September 30, 2013, we made a payment inclusive of interest of RMB 24,281,546 (approximately $3.9 million). We currently have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$14.3 million of outstanding borrowings from this credit facility as of September 30, 2013. Our Chinese Credit Facility—JPM currently bears interest 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100% of the People’s Bank of China’s base rate and was 5.6% as of September 30, 2013.</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40"/>
        <w:spacing w:after="0" w:line="375" w:lineRule="auto"/>
        <w:rPr>
          <w:sz w:val="20"/>
          <w:szCs w:val="20"/>
          <w:color w:val="auto"/>
        </w:rPr>
      </w:pPr>
      <w:r>
        <w:rPr>
          <w:rFonts w:ascii="Arial" w:cs="Arial" w:eastAsia="Arial" w:hAnsi="Arial"/>
          <w:sz w:val="18"/>
          <w:szCs w:val="18"/>
          <w:b w:val="1"/>
          <w:bCs w:val="1"/>
          <w:i w:val="1"/>
          <w:iCs w:val="1"/>
          <w:color w:val="auto"/>
        </w:rPr>
        <w:t xml:space="preserve">Contractual Obligations, Commercial Commitments and Off-Balance Sheet Arrangements </w:t>
      </w:r>
      <w:r>
        <w:rPr>
          <w:rFonts w:ascii="Arial" w:cs="Arial" w:eastAsia="Arial" w:hAnsi="Arial"/>
          <w:sz w:val="18"/>
          <w:szCs w:val="18"/>
          <w:i w:val="1"/>
          <w:iCs w:val="1"/>
          <w:color w:val="auto"/>
        </w:rPr>
        <w:t>Office Lease Commitments</w:t>
      </w:r>
    </w:p>
    <w:p>
      <w:pPr>
        <w:spacing w:after="0" w:line="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On June 20, 2013, TripAdvisor LLC (“TA LLC”), our indirect, wholly owned subsidiary, entered into a lease (the “Lease”), with Normandy Gap-V Needham Building 3, LLC, as landlord (the “Landlord”). Pursuant to the Lease, the Landlord will build an approximately 280,000 square foot rental building in Needham, Massachusetts (the “Premises”), and thereafter lease the Premises to TA LLC as TripAdvisor’s new corporate headquarters for an initial term of 15 years and 7 months. If the Landlord fails to deliver the Premises according to the schedule, subject to certain conditions, TA LLC may be entitled to additional free rent, or in extreme cases, a right to terminate the Lease. Under the Lease, TA LLC is required to pay an initial base rent of $33.00 per square foot per year, increasing to $34.50 per square foot by the final year of the initial term, as well as all real estate taxes and other building operating costs.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future minimum lease payments are $143.5 million and are currently scheduled to be paid, beginning in November 2015, as follows: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 million for 2015, $9.3 million for 2016, $9.3 million for 2017, and $123.9 million for 2018 and thereafter. The Lease has escalating rental payments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periods of free rent and therefore the effects of variable rent payments will be expensed on a straight-line basis over the life of the Lease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GAAP. All real estate taxes and other building operating costs paid during the term of the Lease will be expensed as incurred. TA LLC is also obligated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deliver a letter of credit to the Landlord in the amount of $0.8 million as security deposit, which amount is subject to increase under certain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certain conditions, TA LLC has certain rights under the Lease, including rights of first offer to lease additional space or to purchase the Premises if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Landlord elects to sell. TA LLC also has an option to extend the term of the Lease for two consecutive terms of five years each.</w:t>
      </w:r>
    </w:p>
    <w:p>
      <w:pPr>
        <w:spacing w:after="0" w:line="21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connection with the Lease, on June 20, 2013, TripAdvisor entered into a Guaranty (the “Guaranty”), pursuant to which TripAdvisor provides full payment and performance guaranty for all of TA LLC’s obligations under the Lease.</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table presents our estimated future minimum rental payments under all operating leases with non-cancelable lease terms having initial terms in excess of one year as of September 30, 2013 (in millions):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r>
      <w:tr>
        <w:trPr>
          <w:trHeight w:val="171"/>
        </w:trPr>
        <w:tc>
          <w:tcPr>
            <w:tcW w:w="4640" w:type="dxa"/>
            <w:vAlign w:val="bottom"/>
          </w:tcPr>
          <w:p>
            <w:pPr>
              <w:spacing w:after="0"/>
              <w:rPr>
                <w:sz w:val="14"/>
                <w:szCs w:val="14"/>
                <w:color w:val="auto"/>
              </w:rPr>
            </w:pPr>
          </w:p>
        </w:tc>
        <w:tc>
          <w:tcPr>
            <w:tcW w:w="3120" w:type="dxa"/>
            <w:vAlign w:val="bottom"/>
            <w:gridSpan w:val="4"/>
          </w:tcPr>
          <w:p>
            <w:pPr>
              <w:jc w:val="center"/>
              <w:ind w:left="2239"/>
              <w:spacing w:after="0"/>
              <w:rPr>
                <w:sz w:val="20"/>
                <w:szCs w:val="20"/>
                <w:color w:val="auto"/>
              </w:rPr>
            </w:pPr>
            <w:r>
              <w:rPr>
                <w:rFonts w:ascii="Arial" w:cs="Arial" w:eastAsia="Arial" w:hAnsi="Arial"/>
                <w:sz w:val="14"/>
                <w:szCs w:val="14"/>
                <w:b w:val="1"/>
                <w:bCs w:val="1"/>
                <w:color w:val="auto"/>
                <w:w w:val="90"/>
              </w:rPr>
              <w:t>Payments</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2013 (remaining three months)</w:t>
            </w:r>
          </w:p>
        </w:tc>
        <w:tc>
          <w:tcPr>
            <w:tcW w:w="2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2014</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2016</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2018 and thereafter</w:t>
            </w:r>
          </w:p>
        </w:tc>
        <w:tc>
          <w:tcPr>
            <w:tcW w:w="2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r>
      <w:tr>
        <w:trPr>
          <w:trHeight w:val="115"/>
        </w:trPr>
        <w:tc>
          <w:tcPr>
            <w:tcW w:w="46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(1)</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80" w:hanging="452"/>
        <w:spacing w:after="0" w:line="34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Excludes spending on anticipated leasehold improvements on our Needham, Massachusetts lease, including design, development, construction costs, and the purchase and installation of equipment, and the receipt of related Landlord incentives, which we estimate will begin in October 2014.</w:t>
      </w:r>
    </w:p>
    <w:p>
      <w:pPr>
        <w:spacing w:after="0" w:line="124"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There have been no other material changes outside the normal course of business to our contractual obligations and commercial commitments since December 31, 2012. Refer to “Contractual Obligations, Commercial Commitments and Off-Balance Sheet Arrangements” in Item 7—Management’s Discussion and Analysis of Financial Condition and Results of Operations of our Annual Report on Form 10-K for the year ended December 31, 2012.</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of September 30, 2013, we did not have any off-balance sheet arrangements that have, or are reasonably likely to have, a current or future effect on our financial condition, results of operations, liquidity, capital expenditures or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claims for damages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7880"/>
        <w:spacing w:after="0"/>
        <w:rPr>
          <w:sz w:val="20"/>
          <w:szCs w:val="20"/>
          <w:color w:val="auto"/>
        </w:rPr>
      </w:pPr>
      <w:r>
        <w:rPr>
          <w:rFonts w:ascii="Arial" w:cs="Arial" w:eastAsia="Arial" w:hAnsi="Arial"/>
          <w:sz w:val="15"/>
          <w:szCs w:val="15"/>
          <w:b w:val="1"/>
          <w:bCs w:val="1"/>
          <w:i w:val="1"/>
          <w:iCs w:val="1"/>
          <w:color w:val="auto"/>
        </w:rPr>
        <w:t>Consolidated Cash Flow Statements Discussion</w:t>
      </w:r>
    </w:p>
    <w:p>
      <w:pPr>
        <w:spacing w:after="0" w:line="152" w:lineRule="exact"/>
        <w:rPr>
          <w:sz w:val="20"/>
          <w:szCs w:val="20"/>
          <w:color w:val="auto"/>
        </w:rPr>
      </w:pPr>
    </w:p>
    <w:p>
      <w:pPr>
        <w:jc w:val="right"/>
        <w:ind w:right="7840"/>
        <w:spacing w:after="0"/>
        <w:rPr>
          <w:sz w:val="20"/>
          <w:szCs w:val="20"/>
          <w:color w:val="auto"/>
        </w:rPr>
      </w:pPr>
      <w:r>
        <w:rPr>
          <w:rFonts w:ascii="Arial" w:cs="Arial" w:eastAsia="Arial" w:hAnsi="Arial"/>
          <w:sz w:val="18"/>
          <w:szCs w:val="18"/>
          <w:color w:val="auto"/>
        </w:rPr>
        <w:t>Our cash flows are as follows (in millions):</w:t>
      </w:r>
    </w:p>
    <w:p>
      <w:pPr>
        <w:spacing w:after="0" w:line="244"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Nine months ended</w:t>
      </w:r>
    </w:p>
    <w:p>
      <w:pPr>
        <w:jc w:val="center"/>
        <w:ind w:left="69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6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w:t>
            </w:r>
          </w:p>
        </w:tc>
        <w:tc>
          <w:tcPr>
            <w:tcW w:w="2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168</w:t>
            </w:r>
          </w:p>
        </w:tc>
        <w:tc>
          <w:tcPr>
            <w:tcW w:w="120" w:type="dxa"/>
            <w:vAlign w:val="bottom"/>
          </w:tcPr>
          <w:p>
            <w:pPr>
              <w:spacing w:after="0"/>
              <w:rPr>
                <w:sz w:val="18"/>
                <w:szCs w:val="18"/>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213</w:t>
            </w:r>
          </w:p>
        </w:tc>
        <w:tc>
          <w:tcPr>
            <w:tcW w:w="12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nine months ended September 30, 2013, net cash provided by operating activities increased by $110 million or 65% when compared to the same period in 2012, primarily due to an increase in net income of $24 million, an increase in non-cash items not affecting cash flows of $21 million, which is primarily related to increased stock based compensation and depreciation. Working capital movements increased $65 million for the period ending September 30, 2013 when compared to the same period in 2012, primarily due to an increase in 2013 related to positive operating cashflow from deferred merchant payables of $14 million with the remaining increase related to the timing of customer receipts, related party cash receipts, and tax and vendor payments.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nine months ended September 30, 2013, net cash provided by investing activities decreased by $202 million when compared to the same period in 2012, primarily due to a net increase in marketable securities purchase activity of $146 million, cash paid for 2013 business acquisitions of $32 million, net of cash acquired, and an increase in capital expenditures of $19 million. In addition, we received $7 million during the three months ended March 31, 2012 from Expedia related to the Spin-Off, which did not reoccur in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For the nine months ended September 30, 2013, net cash provided by financing activities decreased by $367 million when compared to the same period in 2012 primarily due to an increase of $15 million in principal payments on our term loan, payments of $138 million for common stock share repurchases under our authorized share repurchase program, a reduction of $205 million in proceeds related to the exercise of our stock options and warrants, as all remaining warrants were settled in the first nine months of 2012, and a $15 million repayment of our outstanding borrowings on our Chinese Credit Facilities in 2013. This was offset a $10 million repayment of our outstanding borrowing on our Revolving Credit Facility in 2012 that did not reoccur in 2013.</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Management</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exposed to certain market risks, including changes in interest rates and foreign currency exchange rates that could adversely affect our results of operations or financial condition.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interest and foreign exchange rates.</w:t>
      </w:r>
    </w:p>
    <w:p>
      <w:pPr>
        <w:spacing w:after="0" w:line="187"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There has been no material change in our market risk profile during the nine months ended September 30, 2013. For additional information, see</w:t>
      </w:r>
    </w:p>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Item 7A, Quantitative and Qualitative Disclosures About Market Risk, in Part II of our Annual Report on Form 10-K for the year ended December 31, 2012.</w:t>
      </w:r>
    </w:p>
    <w:p>
      <w:pPr>
        <w:spacing w:after="0" w:line="3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September 30, 2013,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September 30, 2013,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30, 2013 that have materially affected, or are reasonably likely to materially affect, our internal control over financial reporting.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TripAdvisor and our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factors discussed in Part I—Item 1A., “Risk Factors” in our Annual Report on Form 10-K for the year ended December 31, 2012 which could materially affect our business, financial condition or future results. There have been no material changes in our risk factors from those disclosed in our Annual Report on Form 10-K for the fiscal year ended December 31, 2012.</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quarter ended September 30, 2013, we did not issue or sell any shares of our common stock, Class B common stock or other equity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securities pursuant to unregistered transactions in reliance upon an exemption from the registration requirements of the Securities Act of 1933, as amended.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February 2013, we announced that our Board of Directors authorized the repurchase of $250 million of shares of our common stock under a share repurchase program. We intend to use available cash and future cash from operations to fund repurchases under the share repurchase program. The repurchase program has no expiration date but may be suspended or terminated by the Board of Directors at any time.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5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During the three months ended September 30, 2013, we repurchased 1,408,709 shares of outstanding common stock under the share repurchase program at an average price of $70.93 per share. Below is a summary of our common stock repurchases during the third quarter of 2013, the average price paid as well as the dollar value of shares that may still be purchased as of September 30, 2013:</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4"/>
                <w:szCs w:val="14"/>
                <w:color w:val="auto"/>
              </w:rPr>
            </w:pP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Purchased</w:t>
            </w:r>
          </w:p>
        </w:tc>
        <w:tc>
          <w:tcPr>
            <w:tcW w:w="20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940" w:type="dxa"/>
            <w:vAlign w:val="bottom"/>
            <w:gridSpan w:val="2"/>
            <w:vMerge w:val="continue"/>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as Part of</w:t>
            </w:r>
          </w:p>
        </w:tc>
        <w:tc>
          <w:tcPr>
            <w:tcW w:w="20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Price</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Publicly</w:t>
            </w:r>
          </w:p>
        </w:tc>
        <w:tc>
          <w:tcPr>
            <w:tcW w:w="2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Number</w:t>
            </w: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Paid</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Announced</w:t>
            </w:r>
          </w:p>
        </w:tc>
        <w:tc>
          <w:tcPr>
            <w:tcW w:w="20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9"/>
        </w:trPr>
        <w:tc>
          <w:tcPr>
            <w:tcW w:w="60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of Shares</w:t>
            </w: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per</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Plans or</w:t>
            </w:r>
          </w:p>
        </w:tc>
        <w:tc>
          <w:tcPr>
            <w:tcW w:w="20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71"/>
        </w:trPr>
        <w:tc>
          <w:tcPr>
            <w:tcW w:w="6080" w:type="dxa"/>
            <w:vAlign w:val="bottom"/>
            <w:vMerge w:val="continue"/>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Purchased(1)</w:t>
            </w: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Share(2)</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Programs</w:t>
            </w:r>
          </w:p>
        </w:tc>
        <w:tc>
          <w:tcPr>
            <w:tcW w:w="2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July 1 to July 31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484,709</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$ 63.90</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484,709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$176,618,205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August 1 to August 31</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479,251</w:t>
            </w: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$ 74.83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479,251</w:t>
            </w: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$140,757,928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September 1 to September 30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444,749</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9"/>
              </w:rPr>
              <w:t>$ 74.38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444,749</w:t>
            </w:r>
          </w:p>
        </w:tc>
        <w:tc>
          <w:tcPr>
            <w:tcW w:w="12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$107,678,226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080" w:type="dxa"/>
            <w:vAlign w:val="bottom"/>
          </w:tcPr>
          <w:p>
            <w:pPr>
              <w:ind w:left="360"/>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1,408,709</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1,408,709</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80" w:hanging="452"/>
        <w:spacing w:after="0" w:line="25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February 15, 2013, our Board of Directors authorized the repurchase of $250 million of shares of our common stock. The repurchase program has no expiration date.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amounts include fees and commissions associated with the share repurchase.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185"/>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160" w:type="dxa"/>
            <w:vAlign w:val="bottom"/>
          </w:tcPr>
          <w:p>
            <w:pPr>
              <w:spacing w:after="0"/>
              <w:rPr>
                <w:sz w:val="16"/>
                <w:szCs w:val="16"/>
                <w:color w:val="auto"/>
              </w:rPr>
            </w:pPr>
          </w:p>
        </w:tc>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4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440"/>
        </w:trPr>
        <w:tc>
          <w:tcPr>
            <w:tcW w:w="4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Certification of the Chief Executive Officer pursuant Section 302 of the Sarbanes-Oxley Act of 2002</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Certification of the Chief Financial Officer pursuant Section 302 of the Sarbanes-Oxley Act of 2002</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Certification of the Chief Executive Officer pursuant Section 906 of the Sarbanes-Oxley Act of 2002</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Certification of the Chief Financial Officer pursuant Section 906 of the Sarbanes-Oxley Act of 2002</w:t>
            </w:r>
          </w:p>
        </w:tc>
      </w:tr>
      <w:tr>
        <w:trPr>
          <w:trHeight w:val="310"/>
        </w:trPr>
        <w:tc>
          <w:tcPr>
            <w:tcW w:w="460" w:type="dxa"/>
            <w:vAlign w:val="bottom"/>
          </w:tcPr>
          <w:p>
            <w:pPr>
              <w:jc w:val="right"/>
              <w:ind w:right="15"/>
              <w:spacing w:after="0"/>
              <w:rPr>
                <w:sz w:val="20"/>
                <w:szCs w:val="20"/>
                <w:color w:val="auto"/>
              </w:rPr>
            </w:pPr>
            <w:r>
              <w:rPr>
                <w:rFonts w:ascii="Arial" w:cs="Arial" w:eastAsia="Arial" w:hAnsi="Arial"/>
                <w:sz w:val="18"/>
                <w:szCs w:val="18"/>
                <w:color w:val="auto"/>
                <w:w w:val="91"/>
              </w:rPr>
              <w:t>101*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1"/>
              </w:rPr>
              <w:t>The following financial statements from the Company’s Quarterly Report on Form 10-Q for the period ended September 30, 2013, formatted in</w:t>
            </w:r>
          </w:p>
        </w:tc>
      </w:tr>
      <w:tr>
        <w:trPr>
          <w:trHeight w:val="230"/>
        </w:trPr>
        <w:tc>
          <w:tcPr>
            <w:tcW w:w="46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8"/>
              </w:rPr>
              <w:t>XBRL: (i) Consolidated Statements of Operations (Unaudited), (ii) Consolidated Statements of Comprehensive Income (Unaudited),</w:t>
            </w:r>
          </w:p>
        </w:tc>
      </w:tr>
    </w:tbl>
    <w:p>
      <w:pPr>
        <w:ind w:left="1020" w:right="80" w:firstLine="1"/>
        <w:spacing w:after="0" w:line="261" w:lineRule="auto"/>
        <w:tabs>
          <w:tab w:leader="none" w:pos="1335"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Consolidated Balance Sheets (Unaudited), (iv) Consolidated Statement of Changes in Stockholders’ Equity (Unaudited), (v) Consolidated Statements of Cash Flows (Unaudited), and (vi) Notes to Unaudited Consolidated Financial Statements.</w:t>
      </w:r>
    </w:p>
    <w:p>
      <w:pPr>
        <w:spacing w:after="0" w:line="210" w:lineRule="exact"/>
        <w:rPr>
          <w:rFonts w:ascii="Arial" w:cs="Arial" w:eastAsia="Arial" w:hAnsi="Arial"/>
          <w:sz w:val="18"/>
          <w:szCs w:val="18"/>
          <w:color w:val="auto"/>
        </w:rPr>
      </w:pPr>
    </w:p>
    <w:p>
      <w:pPr>
        <w:ind w:left="220" w:right="180" w:hanging="216"/>
        <w:spacing w:after="0" w:line="286" w:lineRule="auto"/>
        <w:rPr>
          <w:rFonts w:ascii="Arial" w:cs="Arial" w:eastAsia="Arial" w:hAnsi="Arial"/>
          <w:sz w:val="18"/>
          <w:szCs w:val="18"/>
          <w:color w:val="auto"/>
        </w:rPr>
      </w:pPr>
      <w:r>
        <w:rPr>
          <w:rFonts w:ascii="Arial" w:cs="Arial" w:eastAsia="Arial" w:hAnsi="Arial"/>
          <w:sz w:val="17"/>
          <w:szCs w:val="17"/>
          <w:color w:val="auto"/>
        </w:rPr>
        <w:t>* 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TripAdvisor, Inc.</w:t>
      </w:r>
    </w:p>
    <w:p>
      <w:pPr>
        <w:spacing w:after="0" w:line="225" w:lineRule="exact"/>
        <w:rPr>
          <w:sz w:val="20"/>
          <w:szCs w:val="20"/>
          <w:color w:val="auto"/>
        </w:rPr>
      </w:pPr>
    </w:p>
    <w:p>
      <w:pPr>
        <w:ind w:left="6860"/>
        <w:spacing w:after="0"/>
        <w:tabs>
          <w:tab w:leader="none" w:pos="8180" w:val="left"/>
          <w:tab w:leader="none" w:pos="8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4"/>
          <w:szCs w:val="14"/>
          <w:color w:val="auto"/>
        </w:rPr>
        <w:t>ULIE</w:t>
      </w:r>
      <w:r>
        <w:rPr>
          <w:rFonts w:ascii="Arial" w:cs="Arial" w:eastAsia="Arial" w:hAnsi="Arial"/>
          <w:sz w:val="17"/>
          <w:szCs w:val="17"/>
          <w:color w:val="auto"/>
        </w:rPr>
        <w:t xml:space="preserve"> M.B. B</w:t>
      </w:r>
      <w:r>
        <w:rPr>
          <w:rFonts w:ascii="Arial" w:cs="Arial" w:eastAsia="Arial" w:hAnsi="Arial"/>
          <w:sz w:val="14"/>
          <w:szCs w:val="14"/>
          <w:color w:val="auto"/>
        </w:rPr>
        <w:t>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8"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Julie M.B. Bradley</w:t>
      </w:r>
    </w:p>
    <w:p>
      <w:pPr>
        <w:spacing w:after="0" w:line="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Financial Officer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October 23,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800"/>
          </w:cols>
          <w:pgMar w:left="240" w:top="459" w:right="8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3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2013 of TripAdvisor,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October 23, 2013</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Kaufer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Julie M.B. Bradley, Chief Financial Officer of TripAdvisor, Inc. certify that:</w:t>
      </w:r>
    </w:p>
    <w:p>
      <w:pPr>
        <w:spacing w:after="0" w:line="13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2013 of TripAdvisor,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October 23, 2013</w:t>
      </w:r>
      <w:r>
        <w:rPr>
          <w:sz w:val="20"/>
          <w:szCs w:val="20"/>
          <w:color w:val="auto"/>
        </w:rPr>
        <w:tab/>
      </w:r>
      <w:r>
        <w:rPr>
          <w:rFonts w:ascii="Arial" w:cs="Arial" w:eastAsia="Arial" w:hAnsi="Arial"/>
          <w:sz w:val="17"/>
          <w:szCs w:val="17"/>
          <w:color w:val="auto"/>
        </w:rPr>
        <w:t>/s/ 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Julie M.B. Bradley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September 30, 2013, as filed with the Securities and Exchange Commission on the date hereof (the “Report”), I, Stephen Kaufer, Chief Executive Officer of the Company, certify, pursuant to Section 906 of the Sarbanes-Oxley Act of 2002, 18 U.S.C. Section 1350, that:</w:t>
      </w:r>
    </w:p>
    <w:p>
      <w:pPr>
        <w:spacing w:after="0" w:line="87" w:lineRule="exact"/>
        <w:rPr>
          <w:sz w:val="20"/>
          <w:szCs w:val="20"/>
          <w:color w:val="auto"/>
        </w:rPr>
      </w:pPr>
    </w:p>
    <w:p>
      <w:pPr>
        <w:ind w:left="460" w:right="6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October 23, 2013</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Kaufer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September 30, 2013, as filed with the Securities and Exchange Commission on the date hereof (the “Report”), I, Julie M.B. Bradley, Chief Financial Officer of the Company, certify, pursuant to Section 906 of the Sarbanes-Oxley Act of 2002, 18 U.S.C. Section 1350, that:</w:t>
      </w:r>
    </w:p>
    <w:p>
      <w:pPr>
        <w:spacing w:after="0" w:line="87" w:lineRule="exact"/>
        <w:rPr>
          <w:sz w:val="20"/>
          <w:szCs w:val="20"/>
          <w:color w:val="auto"/>
        </w:rPr>
      </w:pPr>
    </w:p>
    <w:p>
      <w:pPr>
        <w:ind w:left="460" w:right="6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October 23, 2013</w:t>
      </w:r>
      <w:r>
        <w:rPr>
          <w:sz w:val="20"/>
          <w:szCs w:val="20"/>
          <w:color w:val="auto"/>
        </w:rPr>
        <w:tab/>
      </w:r>
      <w:r>
        <w:rPr>
          <w:rFonts w:ascii="Arial" w:cs="Arial" w:eastAsia="Arial" w:hAnsi="Arial"/>
          <w:sz w:val="17"/>
          <w:szCs w:val="17"/>
          <w:color w:val="auto"/>
        </w:rPr>
        <w:t>/s/ 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Julie M.B. Bradley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3"/>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
      <w:numFmt w:val="bullet"/>
      <w:start w:val="1"/>
    </w:lvl>
    <w:lvl w:ilvl="1">
      <w:lvlJc w:val="left"/>
      <w:lvlText w:val="(%2)"/>
      <w:numFmt w:val="lowerRoman"/>
      <w:start w:val="3"/>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2019-12-08T01:26:03Z</dcterms:created>
  <dcterms:modified xsi:type="dcterms:W3CDTF">2019-12-08T01:26:03Z</dcterms:modified>
</cp:coreProperties>
</file>