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rip-20240630.htm"/>
      <w:bookmarkStart w:id="1" w:name="kstrip20240630"/>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June 30, 2024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Commission file number: 001-35362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48"/>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80-0743202</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sz w:val="20"/>
        </w:rPr>
      </w:pPr>
      <w:r>
        <w:rPr>
          <w:rFonts w:ascii="Times New Roman" w:hAnsi="Times New Roman"/>
          <w:b/>
          <w:color w:val="000000"/>
          <w:sz w:val="20"/>
        </w:rPr>
        <w:t>400 1</w:t>
      </w:r>
      <w:r>
        <w:rPr>
          <w:rFonts w:ascii="Times New Roman" w:hAnsi="Times New Roman"/>
          <w:b/>
          <w:color w:val="000000"/>
          <w:sz w:val="13"/>
        </w:rPr>
        <w:t>st</w:t>
      </w:r>
      <w:r>
        <w:rPr>
          <w:rFonts w:ascii="Times New Roman" w:hAnsi="Times New Roman"/>
          <w:color w:val="000000"/>
          <w:sz w:val="20"/>
        </w:rPr>
        <w:t xml:space="preserve"> </w:t>
      </w:r>
      <w:r>
        <w:rPr>
          <w:rFonts w:ascii="Times New Roman" w:hAnsi="Times New Roman"/>
          <w:b/>
          <w:color w:val="000000"/>
          <w:sz w:val="20"/>
        </w:rPr>
        <w:t>Avenue</w:t>
      </w:r>
    </w:p>
    <w:p>
      <w:pPr>
        <w:pStyle w:val="TextBody"/>
        <w:bidi w:val="0"/>
        <w:jc w:val="center"/>
        <w:rPr>
          <w:rFonts w:ascii="Times New Roman" w:hAnsi="Times New Roman"/>
          <w:sz w:val="20"/>
        </w:rPr>
      </w:pPr>
      <w:r>
        <w:rPr>
          <w:rFonts w:ascii="Times New Roman" w:hAnsi="Times New Roman"/>
          <w:b/>
          <w:color w:val="000000"/>
          <w:sz w:val="20"/>
        </w:rPr>
        <w:t>Needham, MA</w:t>
      </w:r>
      <w:r>
        <w:rPr>
          <w:rFonts w:ascii="Times New Roman" w:hAnsi="Times New Roman"/>
          <w:color w:val="000000"/>
          <w:sz w:val="20"/>
        </w:rPr>
        <w:t xml:space="preserve"> </w:t>
      </w:r>
      <w:r>
        <w:rPr>
          <w:rFonts w:ascii="Times New Roman" w:hAnsi="Times New Roman"/>
          <w:b/>
          <w:color w:val="000000"/>
          <w:sz w:val="20"/>
        </w:rPr>
        <w:t xml:space="preserve">02494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(781) 800-5000</w:t>
      </w:r>
      <w:r>
        <w:rPr>
          <w:rFonts w:ascii="Times New Roman" w:hAnsi="Times New Roman"/>
          <w:color w:val="000000"/>
          <w:sz w:val="20"/>
        </w:rPr>
        <w:t xml:space="preserve"> </w:t>
      </w:r>
    </w:p>
    <w:p>
      <w:pPr>
        <w:pStyle w:val="TextBody"/>
        <w:bidi w:val="0"/>
        <w:spacing w:before="120" w:after="6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5913" w:type="dxa"/>
        <w:jc w:val="left"/>
        <w:tblInd w:w="0" w:type="dxa"/>
        <w:tblLayout w:type="fixed"/>
        <w:tblCellMar>
          <w:top w:w="28" w:type="dxa"/>
          <w:left w:w="28" w:type="dxa"/>
          <w:bottom w:w="28" w:type="dxa"/>
          <w:right w:w="28" w:type="dxa"/>
        </w:tblCellMar>
      </w:tblPr>
      <w:tblGrid>
        <w:gridCol w:w="1381"/>
        <w:gridCol w:w="1261"/>
        <w:gridCol w:w="3271"/>
      </w:tblGrid>
      <w:tr>
        <w:trPr/>
        <w:tc>
          <w:tcPr>
            <w:tcW w:w="13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w:t>
            </w:r>
          </w:p>
        </w:tc>
        <w:tc>
          <w:tcPr>
            <w:tcW w:w="32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TRIP</w:t>
            </w:r>
          </w:p>
        </w:tc>
        <w:tc>
          <w:tcPr>
            <w:tcW w:w="32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jc w:val="left"/>
        <w:rPr/>
      </w:pPr>
      <w:r>
        <w:rPr/>
        <w:t> </w:t>
      </w:r>
    </w:p>
    <w:tbl>
      <w:tblPr>
        <w:tblW w:w="6951" w:type="dxa"/>
        <w:jc w:val="left"/>
        <w:tblInd w:w="0" w:type="dxa"/>
        <w:tblLayout w:type="fixed"/>
        <w:tblCellMar>
          <w:top w:w="28" w:type="dxa"/>
          <w:left w:w="28" w:type="dxa"/>
          <w:bottom w:w="28" w:type="dxa"/>
          <w:right w:w="28" w:type="dxa"/>
        </w:tblCellMar>
      </w:tblPr>
      <w:tblGrid>
        <w:gridCol w:w="4186"/>
        <w:gridCol w:w="109"/>
        <w:gridCol w:w="2656"/>
      </w:tblGrid>
      <w:tr>
        <w:trPr/>
        <w:tc>
          <w:tcPr>
            <w:tcW w:w="4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pBdr>
                <w:bottom w:val="single" w:sz="8" w:space="1" w:color="000000"/>
              </w:pBdr>
              <w:bidi w:val="0"/>
              <w:spacing w:before="0" w:after="20"/>
              <w:jc w:val="center"/>
              <w:rPr>
                <w:rFonts w:ascii="Times New Roman" w:hAnsi="Times New Roman"/>
                <w:color w:val="000000"/>
                <w:sz w:val="16"/>
              </w:rPr>
            </w:pPr>
            <w:r>
              <w:rPr>
                <w:rFonts w:ascii="Times New Roman" w:hAnsi="Times New Roman"/>
                <w:color w:val="000000"/>
                <w:sz w:val="16"/>
              </w:rPr>
              <w:t>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6"/>
              </w:rPr>
            </w:pPr>
            <w:r>
              <w:rPr>
                <w:rFonts w:ascii="Times New Roman" w:hAnsi="Times New Roman"/>
                <w:color w:val="000000"/>
                <w:sz w:val="16"/>
              </w:rPr>
              <w:t>Outstanding Shares at July 31, 2024</w:t>
            </w:r>
          </w:p>
        </w:tc>
      </w:tr>
      <w:tr>
        <w:trPr/>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125,837,794 shares</w:t>
            </w:r>
          </w:p>
        </w:tc>
      </w:tr>
      <w:tr>
        <w:trPr/>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B 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12,799,999 shares</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Quarter Ended June 30, 2024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105"/>
        <w:gridCol w:w="109"/>
        <w:gridCol w:w="991"/>
      </w:tblGrid>
      <w:tr>
        <w:trPr/>
        <w:tc>
          <w:tcPr>
            <w:tcW w:w="9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0"/>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9105"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Part I—Financial Information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Item 1. Unaudited Condensed Consolidated Financial Statements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pBdr/>
              <w:bidi w:val="0"/>
              <w:spacing w:before="0" w:after="283"/>
              <w:ind w:left="490" w:right="0" w:hanging="245"/>
              <w:jc w:val="left"/>
              <w:rPr/>
            </w:pPr>
            <w:hyperlink w:anchor="unaudited_consolidated_statements_of_ope">
              <w:r>
                <w:rPr>
                  <w:rStyle w:val="InternetLink"/>
                  <w:rFonts w:ascii="Times New Roman" w:hAnsi="Times New Roman"/>
                  <w:color w:val="0000FF"/>
                  <w:sz w:val="20"/>
                  <w:u w:val="single"/>
                </w:rPr>
                <w:t>Unaudited Condensed Consolidated Statements of Operations for the Three and Six Months Ended June 30, 2024 and 2023</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3</w:t>
            </w:r>
          </w:p>
        </w:tc>
      </w:tr>
      <w:tr>
        <w:trPr/>
        <w:tc>
          <w:tcPr>
            <w:tcW w:w="9105" w:type="dxa"/>
            <w:tcBorders/>
            <w:tcMar>
              <w:top w:w="0" w:type="dxa"/>
              <w:left w:w="0" w:type="dxa"/>
              <w:bottom w:w="0" w:type="dxa"/>
              <w:right w:w="0" w:type="dxa"/>
            </w:tcMar>
            <w:vAlign w:val="center"/>
          </w:tcPr>
          <w:p>
            <w:pPr>
              <w:pStyle w:val="TableContents"/>
              <w:pBdr/>
              <w:bidi w:val="0"/>
              <w:spacing w:before="0" w:after="283"/>
              <w:ind w:left="490" w:right="0" w:hanging="245"/>
              <w:jc w:val="left"/>
              <w:rPr/>
            </w:pPr>
            <w:hyperlink w:anchor="unaudited_consolidated_statements_of_com">
              <w:r>
                <w:rPr>
                  <w:rStyle w:val="InternetLink"/>
                  <w:rFonts w:ascii="Times New Roman" w:hAnsi="Times New Roman"/>
                  <w:color w:val="0000FF"/>
                  <w:sz w:val="20"/>
                  <w:u w:val="single"/>
                </w:rPr>
                <w:t>Unaudited Condensed Consolidated Statements of Comprehensive Income (Loss) for the Three and Six Months Ended June 30, 2024 and 2023</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4</w:t>
            </w:r>
          </w:p>
        </w:tc>
      </w:tr>
      <w:tr>
        <w:trPr/>
        <w:tc>
          <w:tcPr>
            <w:tcW w:w="9105" w:type="dxa"/>
            <w:tcBorders/>
            <w:tcMar>
              <w:top w:w="0" w:type="dxa"/>
              <w:left w:w="0" w:type="dxa"/>
              <w:bottom w:w="0" w:type="dxa"/>
              <w:right w:w="0" w:type="dxa"/>
            </w:tcMar>
            <w:vAlign w:val="center"/>
          </w:tcPr>
          <w:p>
            <w:pPr>
              <w:pStyle w:val="TableContents"/>
              <w:pBdr/>
              <w:bidi w:val="0"/>
              <w:spacing w:before="0" w:after="283"/>
              <w:ind w:left="490" w:right="0" w:hanging="245"/>
              <w:jc w:val="left"/>
              <w:rPr/>
            </w:pPr>
            <w:hyperlink w:anchor="unaudited_consolidated_balance_sheets">
              <w:r>
                <w:rPr>
                  <w:rStyle w:val="InternetLink"/>
                  <w:rFonts w:ascii="Times New Roman" w:hAnsi="Times New Roman"/>
                  <w:color w:val="0000FF"/>
                  <w:sz w:val="20"/>
                  <w:u w:val="single"/>
                </w:rPr>
                <w:t>Unaudited Condensed Consolidated Balance Sheets at June 30, 2024 and December 31, 2023</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5</w:t>
            </w:r>
          </w:p>
        </w:tc>
      </w:tr>
      <w:tr>
        <w:trPr/>
        <w:tc>
          <w:tcPr>
            <w:tcW w:w="9105" w:type="dxa"/>
            <w:tcBorders/>
            <w:tcMar>
              <w:top w:w="0" w:type="dxa"/>
              <w:left w:w="0" w:type="dxa"/>
              <w:bottom w:w="0" w:type="dxa"/>
              <w:right w:w="0" w:type="dxa"/>
            </w:tcMar>
            <w:vAlign w:val="center"/>
          </w:tcPr>
          <w:p>
            <w:pPr>
              <w:pStyle w:val="TableContents"/>
              <w:pBdr/>
              <w:bidi w:val="0"/>
              <w:spacing w:before="0" w:after="283"/>
              <w:ind w:left="490" w:right="0" w:hanging="245"/>
              <w:jc w:val="left"/>
              <w:rPr/>
            </w:pPr>
            <w:hyperlink w:anchor="unaudited_consolidated_statements_of_cha">
              <w:r>
                <w:rPr>
                  <w:rStyle w:val="InternetLink"/>
                  <w:rFonts w:ascii="Times New Roman" w:hAnsi="Times New Roman"/>
                  <w:color w:val="0000FF"/>
                  <w:sz w:val="20"/>
                  <w:u w:val="single"/>
                </w:rPr>
                <w:t>Unaudited Condensed Consolidated Statements of Changes in Stockholders’ Equity for the Three and Six Months Ended June 30, 2024 and 2023</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6</w:t>
            </w:r>
          </w:p>
        </w:tc>
      </w:tr>
      <w:tr>
        <w:trPr/>
        <w:tc>
          <w:tcPr>
            <w:tcW w:w="9105" w:type="dxa"/>
            <w:tcBorders/>
            <w:tcMar>
              <w:top w:w="0" w:type="dxa"/>
              <w:left w:w="0" w:type="dxa"/>
              <w:bottom w:w="0" w:type="dxa"/>
              <w:right w:w="0" w:type="dxa"/>
            </w:tcMar>
            <w:vAlign w:val="center"/>
          </w:tcPr>
          <w:p>
            <w:pPr>
              <w:pStyle w:val="TableContents"/>
              <w:pBdr/>
              <w:bidi w:val="0"/>
              <w:spacing w:before="0" w:after="283"/>
              <w:ind w:left="490" w:right="0" w:hanging="245"/>
              <w:jc w:val="left"/>
              <w:rPr/>
            </w:pPr>
            <w:hyperlink w:anchor="unaudited_consolidated_caseflow">
              <w:r>
                <w:rPr>
                  <w:rStyle w:val="InternetLink"/>
                  <w:rFonts w:ascii="Times New Roman" w:hAnsi="Times New Roman"/>
                  <w:color w:val="0000FF"/>
                  <w:sz w:val="20"/>
                  <w:u w:val="single"/>
                </w:rPr>
                <w:t>Unaudited Condensed Consolidated Statements of Cash Flows for the Six Months Ended June 30, 2024 and 2023</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ind w:left="0" w:right="0" w:firstLine="735"/>
              <w:jc w:val="right"/>
              <w:rPr>
                <w:rFonts w:ascii="Times New Roman" w:hAnsi="Times New Roman"/>
                <w:color w:val="000000"/>
                <w:sz w:val="20"/>
              </w:rPr>
            </w:pPr>
            <w:r>
              <w:rPr>
                <w:rFonts w:ascii="Times New Roman" w:hAnsi="Times New Roman"/>
                <w:color w:val="000000"/>
                <w:sz w:val="20"/>
              </w:rPr>
              <w:t>8</w:t>
            </w:r>
          </w:p>
        </w:tc>
      </w:tr>
      <w:tr>
        <w:trPr/>
        <w:tc>
          <w:tcPr>
            <w:tcW w:w="9105" w:type="dxa"/>
            <w:tcBorders/>
            <w:tcMar>
              <w:top w:w="0" w:type="dxa"/>
              <w:left w:w="0" w:type="dxa"/>
              <w:bottom w:w="0" w:type="dxa"/>
              <w:right w:w="0" w:type="dxa"/>
            </w:tcMar>
            <w:vAlign w:val="center"/>
          </w:tcPr>
          <w:p>
            <w:pPr>
              <w:pStyle w:val="TableContents"/>
              <w:pBdr/>
              <w:bidi w:val="0"/>
              <w:spacing w:before="0" w:after="283"/>
              <w:ind w:left="490" w:right="0" w:hanging="245"/>
              <w:jc w:val="left"/>
              <w:rPr/>
            </w:pPr>
            <w:hyperlink w:anchor="unaudited_financial_notes">
              <w:r>
                <w:rPr>
                  <w:rStyle w:val="InternetLink"/>
                  <w:rFonts w:ascii="Times New Roman" w:hAnsi="Times New Roman"/>
                  <w:color w:val="0000FF"/>
                  <w:sz w:val="20"/>
                  <w:u w:val="single"/>
                </w:rPr>
                <w:t>Notes to Unaudited Condensed Consolidated Financial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2_management_discussion_and_anal">
              <w:r>
                <w:rPr>
                  <w:rStyle w:val="InternetLink"/>
                  <w:rFonts w:ascii="Times New Roman" w:hAnsi="Times New Roman"/>
                  <w:color w:val="0000FF"/>
                  <w:sz w:val="20"/>
                  <w:u w:val="single"/>
                </w:rPr>
                <w:t>Item 2. Management’s Discussion and Analysis of Financial Condition and Results of Operations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3_quantitative_and_qualitative_dis">
              <w:r>
                <w:rPr>
                  <w:rStyle w:val="InternetLink"/>
                  <w:rFonts w:ascii="Times New Roman" w:hAnsi="Times New Roman"/>
                  <w:color w:val="0000FF"/>
                  <w:sz w:val="20"/>
                  <w:u w:val="single"/>
                </w:rPr>
                <w:t>Item 3. Quantitative and Qualitative Disclosures about Market Risk</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Item 4. Controls and Procedures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91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Part II—Other Information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Item 1. Legal Proceedings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2_unregistered_sales_of_equity_sec">
              <w:r>
                <w:rPr>
                  <w:rStyle w:val="InternetLink"/>
                  <w:rFonts w:ascii="Times New Roman" w:hAnsi="Times New Roman"/>
                  <w:color w:val="0000FF"/>
                  <w:sz w:val="20"/>
                  <w:u w:val="single"/>
                </w:rPr>
                <w:t>Item 2. Unregistered Sales of Equity Securities and Use of Proceeds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3_defaults_upon_senior_securities">
              <w:r>
                <w:rPr>
                  <w:rStyle w:val="InternetLink"/>
                  <w:rFonts w:ascii="Times New Roman" w:hAnsi="Times New Roman"/>
                  <w:color w:val="0000FF"/>
                  <w:sz w:val="20"/>
                  <w:u w:val="single"/>
                </w:rPr>
                <w:t>Item 3. Defaults Upon Senior Securities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Item 4. Mine Safety Disclosures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Item 5. Other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Item 6. Exhibits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105"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bl>
    <w:p>
      <w:pPr>
        <w:pStyle w:val="TextBody"/>
        <w:bidi w:val="0"/>
        <w:jc w:val="left"/>
        <w:rPr/>
      </w:pPr>
      <w:r>
        <w:rPr/>
        <w:t> </w:t>
      </w:r>
    </w:p>
    <w:p>
      <w:pPr>
        <w:pStyle w:val="TextBody"/>
        <w:bidi w:val="0"/>
        <w:jc w:val="left"/>
        <w:rPr/>
      </w:pPr>
      <w:r>
        <w:rPr/>
        <w:t> </w:t>
      </w:r>
    </w:p>
    <w:p>
      <w:pPr>
        <w:pStyle w:val="TextBody"/>
        <w:bidi w:val="0"/>
        <w:spacing w:before="4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Unaudited Condensed Consolidated Financial Statements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 w:name="unaudited_consolidated_statements_of_ope"/>
      <w:bookmarkEnd w:id="2"/>
      <w:r>
        <w:rPr>
          <w:rFonts w:ascii="Times New Roman" w:hAnsi="Times New Roman"/>
          <w:b/>
          <w:color w:val="000000"/>
          <w:sz w:val="20"/>
        </w:rPr>
        <w:t>UNAUDITED 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884"/>
        <w:gridCol w:w="146"/>
        <w:gridCol w:w="211"/>
        <w:gridCol w:w="466"/>
        <w:gridCol w:w="166"/>
        <w:gridCol w:w="146"/>
        <w:gridCol w:w="211"/>
        <w:gridCol w:w="466"/>
        <w:gridCol w:w="166"/>
        <w:gridCol w:w="146"/>
        <w:gridCol w:w="211"/>
        <w:gridCol w:w="526"/>
        <w:gridCol w:w="166"/>
        <w:gridCol w:w="146"/>
        <w:gridCol w:w="211"/>
        <w:gridCol w:w="526"/>
        <w:gridCol w:w="411"/>
      </w:tblGrid>
      <w:tr>
        <w:trPr/>
        <w:tc>
          <w:tcPr>
            <w:tcW w:w="5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vAlign w:val="center"/>
          </w:tcPr>
          <w:p>
            <w:pPr>
              <w:pStyle w:val="TableContents"/>
              <w:bidi w:val="0"/>
              <w:spacing w:before="0" w:after="283"/>
              <w:jc w:val="center"/>
              <w:rPr/>
            </w:pPr>
            <w:r>
              <w:rPr/>
              <w:t> </w:t>
            </w:r>
          </w:p>
        </w:tc>
      </w:tr>
      <w:tr>
        <w:trPr/>
        <w:tc>
          <w:tcPr>
            <w:tcW w:w="58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(Note 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411" w:type="dxa"/>
            <w:tcBorders/>
            <w:shd w:fill="CFF0FC" w:val="clear"/>
            <w:vAlign w:val="center"/>
          </w:tcPr>
          <w:p>
            <w:pPr>
              <w:pStyle w:val="TableContents"/>
              <w:bidi w:val="0"/>
              <w:spacing w:before="0" w:after="283"/>
              <w:jc w:val="left"/>
              <w:rPr/>
            </w:pPr>
            <w:r>
              <w:rPr/>
              <w:t> </w:t>
            </w:r>
          </w:p>
        </w:tc>
      </w:tr>
      <w:tr>
        <w:trPr/>
        <w:tc>
          <w:tcPr>
            <w:tcW w:w="58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 (1) (exclusive of depreciation and amortization as shown separately below)</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 and content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shd w:fill="FFFFFF" w:val="clear"/>
            <w:vAlign w:val="center"/>
          </w:tcPr>
          <w:p>
            <w:pPr>
              <w:pStyle w:val="TableContents"/>
              <w:bidi w:val="0"/>
              <w:spacing w:before="0" w:after="283"/>
              <w:jc w:val="left"/>
              <w:rPr/>
            </w:pPr>
            <w:r>
              <w:rPr/>
              <w:t> </w:t>
            </w:r>
          </w:p>
        </w:tc>
      </w:tr>
      <w:tr>
        <w:trPr/>
        <w:tc>
          <w:tcPr>
            <w:tcW w:w="5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benefit for income taxes (Note 8)</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8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 attributable to common stockholders (Note 12):</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8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(Note 12):</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84"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Includes stock-based compensation expense as follows (Note 10):</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 and content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3" w:name="unaudited_consolidated_statements_of_com"/>
      <w:bookmarkEnd w:id="3"/>
      <w:r>
        <w:rPr>
          <w:rFonts w:ascii="Times New Roman" w:hAnsi="Times New Roman"/>
          <w:b/>
          <w:color w:val="000000"/>
          <w:sz w:val="20"/>
        </w:rPr>
        <w:t>UNAUDITED CONDENSED CONSOLIDATED STATEMENTS OF COMPREHENSIVE INCOME (LOSS)</w:t>
      </w:r>
    </w:p>
    <w:p>
      <w:pPr>
        <w:pStyle w:val="TextBody"/>
        <w:bidi w:val="0"/>
        <w:jc w:val="center"/>
        <w:rPr>
          <w:rFonts w:ascii="Times New Roman" w:hAnsi="Times New Roman"/>
          <w:sz w:val="20"/>
        </w:rPr>
      </w:pPr>
      <w:r>
        <w:rPr>
          <w:rFonts w:ascii="Times New Roman" w:hAnsi="Times New Roman"/>
          <w:b/>
          <w:color w:val="000000"/>
          <w:sz w:val="20"/>
        </w:rPr>
        <w:t>(in millions)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11"/>
        <w:gridCol w:w="346"/>
        <w:gridCol w:w="233"/>
        <w:gridCol w:w="383"/>
        <w:gridCol w:w="161"/>
        <w:gridCol w:w="161"/>
        <w:gridCol w:w="233"/>
        <w:gridCol w:w="383"/>
        <w:gridCol w:w="166"/>
        <w:gridCol w:w="146"/>
        <w:gridCol w:w="211"/>
        <w:gridCol w:w="376"/>
        <w:gridCol w:w="166"/>
        <w:gridCol w:w="146"/>
        <w:gridCol w:w="211"/>
        <w:gridCol w:w="376"/>
        <w:gridCol w:w="396"/>
      </w:tblGrid>
      <w:tr>
        <w:trPr/>
        <w:tc>
          <w:tcPr>
            <w:tcW w:w="6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61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55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6" w:type="dxa"/>
            <w:tcBorders/>
            <w:shd w:fill="FFFFFF" w:val="clear"/>
            <w:vAlign w:val="center"/>
          </w:tcPr>
          <w:p>
            <w:pPr>
              <w:pStyle w:val="TableContents"/>
              <w:bidi w:val="0"/>
              <w:spacing w:before="0" w:after="283"/>
              <w:jc w:val="center"/>
              <w:rPr/>
            </w:pPr>
            <w:r>
              <w:rPr/>
              <w:t> </w:t>
            </w:r>
          </w:p>
        </w:tc>
      </w:tr>
      <w:tr>
        <w:trPr/>
        <w:tc>
          <w:tcPr>
            <w:tcW w:w="61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5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346" w:type="dxa"/>
            <w:tcBorders/>
            <w:shd w:fill="FFFFFF" w:val="clear"/>
            <w:vAlign w:val="center"/>
          </w:tcPr>
          <w:p>
            <w:pPr>
              <w:pStyle w:val="TableContents"/>
              <w:bidi w:val="0"/>
              <w:spacing w:before="0" w:after="283"/>
              <w:jc w:val="left"/>
              <w:rPr/>
            </w:pPr>
            <w:r>
              <w:rPr/>
              <w:t> </w:t>
            </w:r>
          </w:p>
        </w:tc>
        <w:tc>
          <w:tcPr>
            <w:tcW w:w="616" w:type="dxa"/>
            <w:gridSpan w:val="2"/>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200"/>
              <w:jc w:val="right"/>
              <w:rPr/>
            </w:pPr>
            <w:r>
              <w:rPr/>
              <w:t> </w:t>
            </w:r>
          </w:p>
        </w:tc>
      </w:tr>
      <w:tr>
        <w:trPr/>
        <w:tc>
          <w:tcPr>
            <w:tcW w:w="61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 net of tax (1)</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right"/>
              <w:rPr>
                <w:color w:val="000000"/>
              </w:rPr>
            </w:pPr>
            <w:r>
              <w:rPr>
                <w:color w:val="000000"/>
              </w:rPr>
              <w:t>—</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6111" w:type="dxa"/>
            <w:tcBorders/>
            <w:shd w:fill="FFFFFF" w:val="cle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Reclassification adjustments included in net income (loss), net of tax </w:t>
            </w:r>
            <w:r>
              <w:rPr>
                <w:rFonts w:ascii="Times New Roman" w:hAnsi="Times New Roman"/>
                <w:color w:val="000000"/>
                <w:sz w:val="16"/>
              </w:rPr>
              <w:t>(1)</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3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3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200"/>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8"/>
        </w:rPr>
        <w:t>Deferred income tax liabilities related to these amounts are not material.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unaudited_consolidated_balance_sheets"/>
      <w:bookmarkEnd w:id="4"/>
      <w:r>
        <w:rPr>
          <w:rFonts w:ascii="Times New Roman" w:hAnsi="Times New Roman"/>
          <w:b/>
          <w:color w:val="000000"/>
          <w:sz w:val="20"/>
        </w:rPr>
        <w:t>UNAUDITED 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number of shares and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0"/>
        <w:gridCol w:w="146"/>
        <w:gridCol w:w="216"/>
        <w:gridCol w:w="587"/>
        <w:gridCol w:w="166"/>
        <w:gridCol w:w="146"/>
        <w:gridCol w:w="323"/>
        <w:gridCol w:w="877"/>
        <w:gridCol w:w="594"/>
      </w:tblGrid>
      <w:tr>
        <w:trPr/>
        <w:tc>
          <w:tcPr>
            <w:tcW w:w="7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71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4" w:type="dxa"/>
            <w:tcBorders/>
            <w:shd w:fill="FFFFFF" w:val="clear"/>
            <w:vAlign w:val="center"/>
          </w:tcPr>
          <w:p>
            <w:pPr>
              <w:pStyle w:val="TableContents"/>
              <w:bidi w:val="0"/>
              <w:spacing w:before="0" w:after="283"/>
              <w:jc w:val="center"/>
              <w:rPr/>
            </w:pPr>
            <w:r>
              <w:rPr/>
              <w:t> </w:t>
            </w:r>
          </w:p>
        </w:tc>
      </w:tr>
      <w:tr>
        <w:trPr/>
        <w:tc>
          <w:tcPr>
            <w:tcW w:w="71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0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7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 (Note 4)</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 (allowance for expected credit losses of $25 and $21, respectively) (Note 4)</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receivable (Note 8)</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color w:val="000000"/>
              </w:rPr>
            </w:pPr>
            <w:r>
              <w:rPr>
                <w:color w:val="000000"/>
              </w:rPr>
              <w:t>—</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 of accumulated depreciation of $569 and $551, respectively</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 of accumulated amortization of $204 and $208, respectively</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Non-marketable investments (Note 4)</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assets, net of allowance for credit losses of $10 and $10, respectively (Note 4)</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71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80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7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merchant payables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(Note 3)</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payable (Note 8)</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 (Note 5)</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(Note 6)</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obligation, net of current portion</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 (Note 7)</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right"/>
              <w:rPr/>
            </w:pPr>
            <w:r>
              <w:rPr/>
              <w:t> </w:t>
            </w:r>
          </w:p>
        </w:tc>
      </w:tr>
      <w:tr>
        <w:trPr/>
        <w:tc>
          <w:tcPr>
            <w:tcW w:w="7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71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(Note 11)</w:t>
            </w:r>
          </w:p>
        </w:tc>
        <w:tc>
          <w:tcPr>
            <w:tcW w:w="146" w:type="dxa"/>
            <w:tcBorders/>
            <w:shd w:fill="CFF0FC" w:val="clear"/>
            <w:vAlign w:val="center"/>
          </w:tcPr>
          <w:p>
            <w:pPr>
              <w:pStyle w:val="TableContents"/>
              <w:bidi w:val="0"/>
              <w:spacing w:before="0" w:after="283"/>
              <w:jc w:val="left"/>
              <w:rPr/>
            </w:pPr>
            <w:r>
              <w:rPr/>
              <w:t> </w:t>
            </w:r>
          </w:p>
        </w:tc>
        <w:tc>
          <w:tcPr>
            <w:tcW w:w="80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200"/>
              <w:jc w:val="righ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$0.001 par value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color w:val="000000"/>
              </w:rPr>
            </w:pPr>
            <w:r>
              <w:rPr>
                <w:color w:val="000000"/>
              </w:rPr>
              <w:t>—</w:t>
            </w:r>
          </w:p>
        </w:tc>
        <w:tc>
          <w:tcPr>
            <w:tcW w:w="594" w:type="dxa"/>
            <w:tcBorders/>
            <w:shd w:fill="FFFFFF" w:val="clear"/>
            <w:vAlign w:val="center"/>
          </w:tcPr>
          <w:p>
            <w:pPr>
              <w:pStyle w:val="TableContents"/>
              <w:bidi w:val="0"/>
              <w:spacing w:before="0" w:after="283"/>
              <w:ind w:left="0" w:right="0" w:firstLine="400"/>
              <w:jc w:val="left"/>
              <w:rPr/>
            </w:pPr>
            <w:r>
              <w:rPr/>
              <w:t> </w:t>
            </w:r>
          </w:p>
        </w:tc>
      </w:tr>
      <w:tr>
        <w:trPr/>
        <w:tc>
          <w:tcPr>
            <w:tcW w:w="715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Authorized shares: 100,000,000</w:t>
            </w:r>
          </w:p>
        </w:tc>
        <w:tc>
          <w:tcPr>
            <w:tcW w:w="146" w:type="dxa"/>
            <w:tcBorders/>
            <w:shd w:fill="CFF0FC" w:val="clear"/>
            <w:vAlign w:val="center"/>
          </w:tcPr>
          <w:p>
            <w:pPr>
              <w:pStyle w:val="TableContents"/>
              <w:bidi w:val="0"/>
              <w:spacing w:before="0" w:after="283"/>
              <w:jc w:val="left"/>
              <w:rPr/>
            </w:pPr>
            <w:r>
              <w:rPr/>
              <w:t> </w:t>
            </w:r>
          </w:p>
        </w:tc>
        <w:tc>
          <w:tcPr>
            <w:tcW w:w="80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71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Shares issued and outstanding: 0 and 0, respectively</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color w:val="000000"/>
              </w:rPr>
            </w:pPr>
            <w:r>
              <w:rPr>
                <w:color w:val="000000"/>
              </w:rPr>
              <w:t>—</w:t>
            </w:r>
          </w:p>
        </w:tc>
        <w:tc>
          <w:tcPr>
            <w:tcW w:w="594" w:type="dxa"/>
            <w:tcBorders/>
            <w:shd w:fill="CFF0FC" w:val="clear"/>
            <w:vAlign w:val="center"/>
          </w:tcPr>
          <w:p>
            <w:pPr>
              <w:pStyle w:val="TableContents"/>
              <w:bidi w:val="0"/>
              <w:spacing w:before="0" w:after="283"/>
              <w:ind w:left="0" w:right="0" w:firstLine="400"/>
              <w:jc w:val="left"/>
              <w:rPr/>
            </w:pPr>
            <w:r>
              <w:rPr/>
              <w:t> </w:t>
            </w:r>
          </w:p>
        </w:tc>
      </w:tr>
      <w:tr>
        <w:trPr/>
        <w:tc>
          <w:tcPr>
            <w:tcW w:w="71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Authorized shares: 1,600,000,000</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715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Shares issued: 152,027,428 and 149,775,361, respectively</w:t>
            </w:r>
          </w:p>
        </w:tc>
        <w:tc>
          <w:tcPr>
            <w:tcW w:w="146" w:type="dxa"/>
            <w:tcBorders/>
            <w:shd w:fill="CFF0FC" w:val="clear"/>
            <w:vAlign w:val="center"/>
          </w:tcPr>
          <w:p>
            <w:pPr>
              <w:pStyle w:val="TableContents"/>
              <w:bidi w:val="0"/>
              <w:spacing w:before="0" w:after="283"/>
              <w:jc w:val="left"/>
              <w:rPr/>
            </w:pPr>
            <w:r>
              <w:rPr/>
              <w:t> </w:t>
            </w:r>
          </w:p>
        </w:tc>
        <w:tc>
          <w:tcPr>
            <w:tcW w:w="80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400"/>
              <w:jc w:val="right"/>
              <w:rPr/>
            </w:pPr>
            <w:r>
              <w:rPr/>
              <w:t> </w:t>
            </w:r>
          </w:p>
        </w:tc>
      </w:tr>
      <w:tr>
        <w:trPr/>
        <w:tc>
          <w:tcPr>
            <w:tcW w:w="71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Shares outstanding: 125,767,176 and 124,881,494, respectively</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200"/>
              <w:jc w:val="righ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 $0.001 par value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color w:val="000000"/>
              </w:rPr>
            </w:pPr>
            <w:r>
              <w:rPr>
                <w:color w:val="000000"/>
              </w:rPr>
              <w:t>—</w:t>
            </w:r>
          </w:p>
        </w:tc>
        <w:tc>
          <w:tcPr>
            <w:tcW w:w="594" w:type="dxa"/>
            <w:tcBorders/>
            <w:shd w:fill="CFF0FC" w:val="clear"/>
            <w:vAlign w:val="center"/>
          </w:tcPr>
          <w:p>
            <w:pPr>
              <w:pStyle w:val="TableContents"/>
              <w:bidi w:val="0"/>
              <w:spacing w:before="0" w:after="283"/>
              <w:ind w:left="0" w:right="0" w:firstLine="400"/>
              <w:jc w:val="left"/>
              <w:rPr/>
            </w:pPr>
            <w:r>
              <w:rPr/>
              <w:t> </w:t>
            </w:r>
          </w:p>
        </w:tc>
      </w:tr>
      <w:tr>
        <w:trPr/>
        <w:tc>
          <w:tcPr>
            <w:tcW w:w="71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Authorized shares: 400,000,000</w:t>
            </w:r>
          </w:p>
        </w:tc>
        <w:tc>
          <w:tcPr>
            <w:tcW w:w="146" w:type="dxa"/>
            <w:tcBorders/>
            <w:shd w:fill="FFFFFF" w:val="clear"/>
            <w:vAlign w:val="center"/>
          </w:tcPr>
          <w:p>
            <w:pPr>
              <w:pStyle w:val="TableContents"/>
              <w:bidi w:val="0"/>
              <w:spacing w:before="0" w:after="283"/>
              <w:jc w:val="left"/>
              <w:rPr/>
            </w:pPr>
            <w:r>
              <w:rPr/>
              <w:t> </w:t>
            </w:r>
          </w:p>
        </w:tc>
        <w:tc>
          <w:tcPr>
            <w:tcW w:w="8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715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Shares issued and outstanding: 12,799,999 and 12,799,999, respectively</w:t>
            </w:r>
          </w:p>
        </w:tc>
        <w:tc>
          <w:tcPr>
            <w:tcW w:w="146" w:type="dxa"/>
            <w:tcBorders/>
            <w:shd w:fill="CFF0FC" w:val="clear"/>
            <w:vAlign w:val="center"/>
          </w:tcPr>
          <w:p>
            <w:pPr>
              <w:pStyle w:val="TableContents"/>
              <w:bidi w:val="0"/>
              <w:spacing w:before="0" w:after="283"/>
              <w:jc w:val="left"/>
              <w:rPr/>
            </w:pPr>
            <w:r>
              <w:rPr/>
              <w:t> </w:t>
            </w:r>
          </w:p>
        </w:tc>
        <w:tc>
          <w:tcPr>
            <w:tcW w:w="80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200"/>
              <w:jc w:val="righ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71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9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stock-common stock, at cost, 26,260,252 and 24,893,867 shares, respectively</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9"/>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unaudited_consolidated_statements_of_cha"/>
      <w:bookmarkEnd w:id="5"/>
      <w:r>
        <w:rPr>
          <w:rFonts w:ascii="Times New Roman" w:hAnsi="Times New Roman"/>
          <w:b/>
          <w:color w:val="000000"/>
          <w:sz w:val="19"/>
        </w:rPr>
        <w:t>UNAUDITED CONDENSED CONSOLIDATED STATEMENTS OF CHANGES IN STOCKHOLDERS’ EQUITY</w:t>
      </w:r>
      <w:r>
        <w:rPr>
          <w:rFonts w:ascii="Times New Roman" w:hAnsi="Times New Roman"/>
          <w:color w:val="000000"/>
          <w:sz w:val="20"/>
        </w:rPr>
        <w:t xml:space="preserve"> </w:t>
      </w:r>
    </w:p>
    <w:p>
      <w:pPr>
        <w:pStyle w:val="TextBody"/>
        <w:bidi w:val="0"/>
        <w:spacing w:before="0" w:after="60"/>
        <w:jc w:val="center"/>
        <w:rPr>
          <w:rFonts w:ascii="Times New Roman" w:hAnsi="Times New Roman"/>
          <w:sz w:val="20"/>
        </w:rPr>
      </w:pPr>
      <w:r>
        <w:rPr>
          <w:rFonts w:ascii="Times New Roman" w:hAnsi="Times New Roman"/>
          <w:b/>
          <w:color w:val="000000"/>
          <w:sz w:val="19"/>
        </w:rPr>
        <w:t>(in millions, except number of shares)</w:t>
      </w:r>
      <w:r>
        <w:rPr>
          <w:rFonts w:ascii="Times New Roman" w:hAnsi="Times New Roman"/>
          <w:color w:val="000000"/>
          <w:sz w:val="20"/>
        </w:rPr>
        <w:t xml:space="preserve"> </w:t>
      </w:r>
    </w:p>
    <w:tbl>
      <w:tblPr>
        <w:tblW w:w="13025" w:type="dxa"/>
        <w:jc w:val="left"/>
        <w:tblInd w:w="0" w:type="dxa"/>
        <w:tblLayout w:type="fixed"/>
        <w:tblCellMar>
          <w:top w:w="28" w:type="dxa"/>
          <w:left w:w="28" w:type="dxa"/>
          <w:bottom w:w="28" w:type="dxa"/>
          <w:right w:w="28" w:type="dxa"/>
        </w:tblCellMar>
      </w:tblPr>
      <w:tblGrid>
        <w:gridCol w:w="1186"/>
        <w:gridCol w:w="146"/>
        <w:gridCol w:w="146"/>
        <w:gridCol w:w="1006"/>
        <w:gridCol w:w="146"/>
        <w:gridCol w:w="146"/>
        <w:gridCol w:w="249"/>
        <w:gridCol w:w="442"/>
        <w:gridCol w:w="146"/>
        <w:gridCol w:w="146"/>
        <w:gridCol w:w="146"/>
        <w:gridCol w:w="916"/>
        <w:gridCol w:w="146"/>
        <w:gridCol w:w="146"/>
        <w:gridCol w:w="249"/>
        <w:gridCol w:w="442"/>
        <w:gridCol w:w="146"/>
        <w:gridCol w:w="146"/>
        <w:gridCol w:w="241"/>
        <w:gridCol w:w="630"/>
        <w:gridCol w:w="166"/>
        <w:gridCol w:w="146"/>
        <w:gridCol w:w="257"/>
        <w:gridCol w:w="494"/>
        <w:gridCol w:w="146"/>
        <w:gridCol w:w="146"/>
        <w:gridCol w:w="423"/>
        <w:gridCol w:w="748"/>
        <w:gridCol w:w="166"/>
        <w:gridCol w:w="146"/>
        <w:gridCol w:w="146"/>
        <w:gridCol w:w="976"/>
        <w:gridCol w:w="166"/>
        <w:gridCol w:w="146"/>
        <w:gridCol w:w="214"/>
        <w:gridCol w:w="477"/>
        <w:gridCol w:w="166"/>
        <w:gridCol w:w="146"/>
        <w:gridCol w:w="196"/>
        <w:gridCol w:w="37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2"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4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151,237,501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12,799,999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0"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94"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(24,893,867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77"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(822</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825</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related to exercises of options and 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789,927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 (Note 11)</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(1,366,385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 on net share settlements of equity awards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152,027,428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12,799,999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(26,260,252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tbl>
      <w:tblPr>
        <w:tblW w:w="13045" w:type="dxa"/>
        <w:jc w:val="left"/>
        <w:tblInd w:w="0" w:type="dxa"/>
        <w:tblLayout w:type="fixed"/>
        <w:tblCellMar>
          <w:top w:w="28" w:type="dxa"/>
          <w:left w:w="28" w:type="dxa"/>
          <w:bottom w:w="28" w:type="dxa"/>
          <w:right w:w="28" w:type="dxa"/>
        </w:tblCellMar>
      </w:tblPr>
      <w:tblGrid>
        <w:gridCol w:w="1186"/>
        <w:gridCol w:w="146"/>
        <w:gridCol w:w="146"/>
        <w:gridCol w:w="1006"/>
        <w:gridCol w:w="146"/>
        <w:gridCol w:w="146"/>
        <w:gridCol w:w="249"/>
        <w:gridCol w:w="442"/>
        <w:gridCol w:w="146"/>
        <w:gridCol w:w="146"/>
        <w:gridCol w:w="146"/>
        <w:gridCol w:w="916"/>
        <w:gridCol w:w="146"/>
        <w:gridCol w:w="146"/>
        <w:gridCol w:w="249"/>
        <w:gridCol w:w="442"/>
        <w:gridCol w:w="146"/>
        <w:gridCol w:w="146"/>
        <w:gridCol w:w="241"/>
        <w:gridCol w:w="630"/>
        <w:gridCol w:w="166"/>
        <w:gridCol w:w="146"/>
        <w:gridCol w:w="257"/>
        <w:gridCol w:w="494"/>
        <w:gridCol w:w="166"/>
        <w:gridCol w:w="146"/>
        <w:gridCol w:w="423"/>
        <w:gridCol w:w="748"/>
        <w:gridCol w:w="166"/>
        <w:gridCol w:w="146"/>
        <w:gridCol w:w="146"/>
        <w:gridCol w:w="976"/>
        <w:gridCol w:w="166"/>
        <w:gridCol w:w="146"/>
        <w:gridCol w:w="214"/>
        <w:gridCol w:w="477"/>
        <w:gridCol w:w="166"/>
        <w:gridCol w:w="146"/>
        <w:gridCol w:w="196"/>
        <w:gridCol w:w="37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02"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4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149,775,361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12,799,999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0"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94"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(24,893,867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77"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(822</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871</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related to exercises of options and 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 (Note 11)</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(1,366,385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 on net share settlements of equity awards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152,027,428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12,799,999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(26,260,252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19"/>
        </w:rPr>
      </w:pPr>
      <w:r>
        <w:rPr>
          <w:rFonts w:ascii="Times New Roman" w:hAnsi="Times New Roman"/>
          <w:color w:val="000000"/>
          <w:sz w:val="19"/>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9"/>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9"/>
        </w:rPr>
        <w:t>UNAUDITED CONDENSED CONSOLIDATED STATEMENTS OF CHANGES IN STOCKHOLDERS’ EQUITY</w:t>
      </w:r>
      <w:r>
        <w:rPr>
          <w:rFonts w:ascii="Times New Roman" w:hAnsi="Times New Roman"/>
          <w:color w:val="000000"/>
          <w:sz w:val="20"/>
        </w:rPr>
        <w:t xml:space="preserve"> </w:t>
      </w:r>
    </w:p>
    <w:p>
      <w:pPr>
        <w:pStyle w:val="TextBody"/>
        <w:bidi w:val="0"/>
        <w:spacing w:before="0" w:after="60"/>
        <w:jc w:val="center"/>
        <w:rPr>
          <w:rFonts w:ascii="Times New Roman" w:hAnsi="Times New Roman"/>
          <w:sz w:val="20"/>
        </w:rPr>
      </w:pPr>
      <w:r>
        <w:rPr>
          <w:rFonts w:ascii="Times New Roman" w:hAnsi="Times New Roman"/>
          <w:b/>
          <w:color w:val="000000"/>
          <w:sz w:val="19"/>
        </w:rPr>
        <w:t>(in millions, except number of shares)</w:t>
      </w:r>
      <w:r>
        <w:rPr>
          <w:rFonts w:ascii="Times New Roman" w:hAnsi="Times New Roman"/>
          <w:color w:val="000000"/>
          <w:sz w:val="20"/>
        </w:rPr>
        <w:t xml:space="preserve"> </w:t>
      </w:r>
    </w:p>
    <w:tbl>
      <w:tblPr>
        <w:tblW w:w="13025" w:type="dxa"/>
        <w:jc w:val="left"/>
        <w:tblInd w:w="0" w:type="dxa"/>
        <w:tblLayout w:type="fixed"/>
        <w:tblCellMar>
          <w:top w:w="28" w:type="dxa"/>
          <w:left w:w="28" w:type="dxa"/>
          <w:bottom w:w="28" w:type="dxa"/>
          <w:right w:w="28" w:type="dxa"/>
        </w:tblCellMar>
      </w:tblPr>
      <w:tblGrid>
        <w:gridCol w:w="1186"/>
        <w:gridCol w:w="146"/>
        <w:gridCol w:w="146"/>
        <w:gridCol w:w="1006"/>
        <w:gridCol w:w="146"/>
        <w:gridCol w:w="146"/>
        <w:gridCol w:w="249"/>
        <w:gridCol w:w="442"/>
        <w:gridCol w:w="146"/>
        <w:gridCol w:w="146"/>
        <w:gridCol w:w="146"/>
        <w:gridCol w:w="916"/>
        <w:gridCol w:w="146"/>
        <w:gridCol w:w="146"/>
        <w:gridCol w:w="249"/>
        <w:gridCol w:w="442"/>
        <w:gridCol w:w="146"/>
        <w:gridCol w:w="146"/>
        <w:gridCol w:w="241"/>
        <w:gridCol w:w="630"/>
        <w:gridCol w:w="166"/>
        <w:gridCol w:w="146"/>
        <w:gridCol w:w="257"/>
        <w:gridCol w:w="494"/>
        <w:gridCol w:w="146"/>
        <w:gridCol w:w="146"/>
        <w:gridCol w:w="423"/>
        <w:gridCol w:w="748"/>
        <w:gridCol w:w="166"/>
        <w:gridCol w:w="146"/>
        <w:gridCol w:w="146"/>
        <w:gridCol w:w="976"/>
        <w:gridCol w:w="166"/>
        <w:gridCol w:w="146"/>
        <w:gridCol w:w="214"/>
        <w:gridCol w:w="477"/>
        <w:gridCol w:w="166"/>
        <w:gridCol w:w="146"/>
        <w:gridCol w:w="196"/>
        <w:gridCol w:w="37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82"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4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148,090,833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12,799,999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0"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94"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(18,844,614</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77"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(722</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808</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related to exercises of options and 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551,812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 (Note 11)</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(4,724,729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 on net share settlements of equity awards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148,642,645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12,799,999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(23,569,343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60"/>
        <w:jc w:val="center"/>
        <w:rPr/>
      </w:pPr>
      <w:r>
        <w:rPr/>
        <w:t> </w:t>
      </w:r>
    </w:p>
    <w:tbl>
      <w:tblPr>
        <w:tblW w:w="13045" w:type="dxa"/>
        <w:jc w:val="left"/>
        <w:tblInd w:w="0" w:type="dxa"/>
        <w:tblLayout w:type="fixed"/>
        <w:tblCellMar>
          <w:top w:w="28" w:type="dxa"/>
          <w:left w:w="28" w:type="dxa"/>
          <w:bottom w:w="28" w:type="dxa"/>
          <w:right w:w="28" w:type="dxa"/>
        </w:tblCellMar>
      </w:tblPr>
      <w:tblGrid>
        <w:gridCol w:w="1186"/>
        <w:gridCol w:w="146"/>
        <w:gridCol w:w="146"/>
        <w:gridCol w:w="1006"/>
        <w:gridCol w:w="146"/>
        <w:gridCol w:w="146"/>
        <w:gridCol w:w="249"/>
        <w:gridCol w:w="442"/>
        <w:gridCol w:w="146"/>
        <w:gridCol w:w="146"/>
        <w:gridCol w:w="146"/>
        <w:gridCol w:w="916"/>
        <w:gridCol w:w="146"/>
        <w:gridCol w:w="146"/>
        <w:gridCol w:w="249"/>
        <w:gridCol w:w="442"/>
        <w:gridCol w:w="146"/>
        <w:gridCol w:w="146"/>
        <w:gridCol w:w="241"/>
        <w:gridCol w:w="630"/>
        <w:gridCol w:w="166"/>
        <w:gridCol w:w="146"/>
        <w:gridCol w:w="257"/>
        <w:gridCol w:w="494"/>
        <w:gridCol w:w="166"/>
        <w:gridCol w:w="146"/>
        <w:gridCol w:w="423"/>
        <w:gridCol w:w="748"/>
        <w:gridCol w:w="166"/>
        <w:gridCol w:w="146"/>
        <w:gridCol w:w="146"/>
        <w:gridCol w:w="976"/>
        <w:gridCol w:w="166"/>
        <w:gridCol w:w="146"/>
        <w:gridCol w:w="214"/>
        <w:gridCol w:w="477"/>
        <w:gridCol w:w="166"/>
        <w:gridCol w:w="146"/>
        <w:gridCol w:w="196"/>
        <w:gridCol w:w="376"/>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02"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4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146,891,538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12,799,999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0"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94"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(18,844,614</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77"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(722</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861</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related to exercises of options and vesting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1,751,107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 (Note 11)</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(4,724,729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Withholding taxes on net share settlements of equity awards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148,642,645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12,799,999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(23,569,343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19"/>
        </w:rPr>
      </w:pPr>
      <w:r>
        <w:rPr>
          <w:rFonts w:ascii="Times New Roman" w:hAnsi="Times New Roman"/>
          <w:color w:val="000000"/>
          <w:sz w:val="19"/>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unaudited_consolidated_caseflow"/>
      <w:bookmarkEnd w:id="6"/>
      <w:r>
        <w:rPr>
          <w:rFonts w:ascii="Times New Roman" w:hAnsi="Times New Roman"/>
          <w:b/>
          <w:color w:val="000000"/>
          <w:sz w:val="20"/>
        </w:rPr>
        <w:t>UNAUDITED 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7"/>
        <w:gridCol w:w="146"/>
        <w:gridCol w:w="225"/>
        <w:gridCol w:w="612"/>
        <w:gridCol w:w="177"/>
        <w:gridCol w:w="156"/>
        <w:gridCol w:w="225"/>
        <w:gridCol w:w="612"/>
        <w:gridCol w:w="615"/>
      </w:tblGrid>
      <w:tr>
        <w:trPr/>
        <w:tc>
          <w:tcPr>
            <w:tcW w:w="7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4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0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3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3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center"/>
              <w:rPr/>
            </w:pPr>
            <w:r>
              <w:rPr/>
              <w:t> </w:t>
            </w:r>
          </w:p>
        </w:tc>
        <w:tc>
          <w:tcPr>
            <w:tcW w:w="177" w:type="dxa"/>
            <w:tcBorders/>
            <w:shd w:fill="CFF0FC" w:val="clear"/>
            <w:vAlign w:val="center"/>
          </w:tcPr>
          <w:p>
            <w:pPr>
              <w:pStyle w:val="TableContents"/>
              <w:bidi w:val="0"/>
              <w:spacing w:before="0" w:after="283"/>
              <w:jc w:val="center"/>
              <w:rPr/>
            </w:pPr>
            <w:r>
              <w:rPr/>
              <w:t> </w:t>
            </w:r>
          </w:p>
        </w:tc>
        <w:tc>
          <w:tcPr>
            <w:tcW w:w="156" w:type="dxa"/>
            <w:tcBorders/>
            <w:shd w:fill="CFF0FC" w:val="clear"/>
            <w:vAlign w:val="center"/>
          </w:tcPr>
          <w:p>
            <w:pPr>
              <w:pStyle w:val="TableContents"/>
              <w:bidi w:val="0"/>
              <w:spacing w:before="0" w:after="283"/>
              <w:jc w:val="center"/>
              <w:rPr/>
            </w:pPr>
            <w:r>
              <w:rPr/>
              <w:t> </w:t>
            </w:r>
          </w:p>
        </w:tc>
        <w:tc>
          <w:tcPr>
            <w:tcW w:w="837" w:type="dxa"/>
            <w:gridSpan w:val="2"/>
            <w:tcBorders/>
            <w:shd w:fill="CFF0FC" w:val="clear"/>
            <w:vAlign w:val="center"/>
          </w:tcPr>
          <w:p>
            <w:pPr>
              <w:pStyle w:val="TableContents"/>
              <w:bidi w:val="0"/>
              <w:spacing w:before="0" w:after="283"/>
              <w:jc w:val="center"/>
              <w:rPr/>
            </w:pPr>
            <w:r>
              <w:rPr/>
              <w:t> </w:t>
            </w:r>
          </w:p>
        </w:tc>
        <w:tc>
          <w:tcPr>
            <w:tcW w:w="615" w:type="dxa"/>
            <w:tcBorders/>
            <w:shd w:fill="CFF0FC" w:val="clear"/>
            <w:vAlign w:val="center"/>
          </w:tcPr>
          <w:p>
            <w:pPr>
              <w:pStyle w:val="TableContents"/>
              <w:bidi w:val="0"/>
              <w:spacing w:before="0" w:after="283"/>
              <w:jc w:val="center"/>
              <w:rPr/>
            </w:pPr>
            <w:r>
              <w:rPr/>
              <w:t> </w:t>
            </w:r>
          </w:p>
        </w:tc>
      </w:tr>
      <w:tr>
        <w:trPr/>
        <w:tc>
          <w:tcPr>
            <w:tcW w:w="74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743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43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 (Note 10)</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743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743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 net:</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400"/>
              <w:jc w:val="right"/>
              <w:rPr/>
            </w:pPr>
            <w:r>
              <w:rPr/>
              <w:t> </w:t>
            </w:r>
          </w:p>
        </w:tc>
      </w:tr>
      <w:tr>
        <w:trPr/>
        <w:tc>
          <w:tcPr>
            <w:tcW w:w="743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 net, prepaid expenses and other assets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743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merchant payables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743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 receivables/payables, net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3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operating activities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615" w:type="dxa"/>
            <w:tcBorders/>
            <w:shd w:fill="FFFFFF" w:val="clear"/>
            <w:vAlign w:val="center"/>
          </w:tcPr>
          <w:p>
            <w:pPr>
              <w:pStyle w:val="TableContents"/>
              <w:bidi w:val="0"/>
              <w:spacing w:before="0" w:after="283"/>
              <w:jc w:val="left"/>
              <w:rPr/>
            </w:pPr>
            <w:r>
              <w:rPr/>
              <w:t> </w:t>
            </w:r>
          </w:p>
        </w:tc>
      </w:tr>
      <w:tr>
        <w:trPr/>
        <w:tc>
          <w:tcPr>
            <w:tcW w:w="743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jc w:val="left"/>
              <w:rPr/>
            </w:pPr>
            <w:r>
              <w:rPr/>
              <w:t> </w:t>
            </w:r>
          </w:p>
        </w:tc>
      </w:tr>
      <w:tr>
        <w:trPr/>
        <w:tc>
          <w:tcPr>
            <w:tcW w:w="743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43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expenditures, including capitalized website development</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jc w:val="left"/>
              <w:rPr/>
            </w:pPr>
            <w:r>
              <w:rPr/>
              <w:t> </w:t>
            </w:r>
          </w:p>
        </w:tc>
      </w:tr>
      <w:tr>
        <w:trPr/>
        <w:tc>
          <w:tcPr>
            <w:tcW w:w="743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43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Repurchase of common stock (Note 11)</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6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financing costs related to Credit Facility</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color w:val="000000"/>
              </w:rPr>
            </w:pPr>
            <w:r>
              <w:rPr>
                <w:color w:val="000000"/>
              </w:rPr>
              <w:t>—</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withholding taxes on net share settlements of equity awards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finance lease obligation</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43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3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615" w:type="dxa"/>
            <w:tcBorders/>
            <w:shd w:fill="CFF0FC" w:val="clear"/>
            <w:vAlign w:val="center"/>
          </w:tcPr>
          <w:p>
            <w:pPr>
              <w:pStyle w:val="TableContents"/>
              <w:bidi w:val="0"/>
              <w:spacing w:before="0" w:after="283"/>
              <w:jc w:val="left"/>
              <w:rPr/>
            </w:pPr>
            <w:r>
              <w:rPr/>
              <w:t> </w:t>
            </w:r>
          </w:p>
        </w:tc>
      </w:tr>
      <w:tr>
        <w:trPr/>
        <w:tc>
          <w:tcPr>
            <w:tcW w:w="74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3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3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43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(received) during the period for income taxes, net of refunds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743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during the period for interest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5"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unaudited_financial_notes"/>
      <w:bookmarkEnd w:id="7"/>
      <w:r>
        <w:rPr>
          <w:rFonts w:ascii="Times New Roman" w:hAnsi="Times New Roman"/>
          <w:b/>
          <w:color w:val="000000"/>
          <w:sz w:val="20"/>
        </w:rPr>
        <w:t>NOTE 1: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refer to Tripadvisor, Inc. and our wholly-owned subsidiaries as “Tripadvisor,” “Tripadvisor Group,” “the Company,” “us,” “we,” and “our” in these notes to the unaudited condensed consolidated financial statements. </w:t>
      </w:r>
    </w:p>
    <w:p>
      <w:pPr>
        <w:pStyle w:val="TextBody"/>
        <w:bidi w:val="0"/>
        <w:spacing w:before="36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Tripadvisor Group operates as a family of brands with a purpose of connecting people to experiences worth sharing. The Company's vision is to be the world’s most trusted source for travel and experiences. The Company operates across three reportable segments: Brand Tripadvisor,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Brand Tripadvisor’s purpose is to empower everyone to be a better traveler by serving as the world’s most trusted and essential travel guidance platform. Brand Tripadvisor offers travelers and experience seekers an online global platform for travelers to discover, generate, and share authentic user-generated content (“UGC”) in the form of ratings and reviews for destinations, points-of-interest (“POIs”), experiences, accommodations, restaurants, and cruises in over 40 countries and in more than 20 languages across the world. As of December 31, 2023, Brand Tripadvisor offers more than 1 billion user-generated ratings and reviews on over 8 million experiences, accommodations, restaurants, airlines, and cruises.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Viator enables travelers to discover and book iconic, unique and memorable experiences from operators around the globe. Viator's online marketplace is comprehensive, connecting travelers to bookable tours, activities and attractions—consisting of over 350,000 experiences from more than 55,000 operators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TheFork provides an online marketplace that enables diners to discover and book online reservations at approximately 55,000 restaurants in 11 countries, as of December 31, 2023, across the U.K. and western and central Europe.</w:t>
      </w:r>
    </w:p>
    <w:p>
      <w:pPr>
        <w:pStyle w:val="TextBody"/>
        <w:bidi w:val="0"/>
        <w:spacing w:before="36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2023, previously filed with the SEC (the "2023 Annual Report"). The unaudited condensed consolidated balance sheet as of December 31, 2023 included herein was derived from the audited consolidated financial statements as of that date, but does not include all disclosures including notes required by GAAP.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Liberty Tripadvisor Holdings, Inc. (“LTRIP”) beneficially owned approximately 16.4 million shares of our common stock and 12.8 million shares of our Class B common stock, which constitute approximately 13% of the outstanding shares of common stock and 100% of the outstanding shares of Class B common stock. Assuming the conversion of all LTRIP’s shares of Class B common stock into common stock, LTRIP would beneficially own approximately 21% of the outstanding common stock. Because each share of Class B common stock is entitled to ten votes per share and each share of common stock is entitled to one vote per share, LTRIP may be deemed to beneficially own equity securities representing approximately 57% of our voting power. We had no related party transactions with LTRIP during each of the three and six months ended June 30, 2024 and 2023.</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was negatively impacted by the risks and uncertainties related to the COVID-19 pandemic and our business would be adversely and materially affected upon a resurgence of COVID-19 or the emergence of any new pandemic or other health crisis that results in reinstated travel bans and/or other government restrictions and mandates. Following the lifting of restrictions in connection with the COVID-19 pandemic, travel demand increased. In addition, the U.S. and other countries have seen significant increased inflation and decreases in discretionary spending patterns by consumers. If macroeconomic conditions deteriorate, consumer demand and spending may decline, we may not be able to pass on increased costs to our customers and our inability or failure to navigate the macroeconomic environment could harm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natural disasters, public health-related events, political instability, geopolitical conflicts, including the evolving events in the Middle East, acts of terrorism, fluctuations in currency values, and changes in global economic conditions are examples of other events that could have a negative impact on the travel industry, and as a result, our financial results in the future. </w:t>
      </w:r>
    </w:p>
    <w:p>
      <w:pPr>
        <w:pStyle w:val="TextBody"/>
        <w:bidi w:val="0"/>
        <w:spacing w:before="360" w:after="283"/>
        <w:jc w:val="left"/>
        <w:rPr>
          <w:rFonts w:ascii="Times New Roman" w:hAnsi="Times New Roman"/>
          <w:sz w:val="20"/>
        </w:rPr>
      </w:pPr>
      <w:r>
        <w:rPr>
          <w:rFonts w:ascii="Times New Roman" w:hAnsi="Times New Roman"/>
          <w:b/>
          <w:color w:val="000000"/>
          <w:sz w:val="20"/>
        </w:rPr>
        <w:t>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is accounting for income taxes. Refer to “Note 8: </w:t>
      </w:r>
      <w:r>
        <w:rPr>
          <w:rFonts w:ascii="Times New Roman" w:hAnsi="Times New Roman"/>
          <w:i/>
          <w:color w:val="000000"/>
          <w:sz w:val="20"/>
        </w:rPr>
        <w:t>Income Taxes</w:t>
      </w:r>
      <w:r>
        <w:rPr>
          <w:rFonts w:ascii="Times New Roman" w:hAnsi="Times New Roman"/>
          <w:color w:val="000000"/>
          <w:sz w:val="20"/>
        </w:rPr>
        <w:t>” for information regarding our significant income tax estimates.</w:t>
      </w:r>
    </w:p>
    <w:p>
      <w:pPr>
        <w:pStyle w:val="TextBody"/>
        <w:bidi w:val="0"/>
        <w:spacing w:before="36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w:t>
      </w:r>
    </w:p>
    <w:p>
      <w:pPr>
        <w:pStyle w:val="TextBody"/>
        <w:bidi w:val="0"/>
        <w:spacing w:before="360" w:after="283"/>
        <w:jc w:val="left"/>
        <w:rPr>
          <w:rFonts w:ascii="Times New Roman" w:hAnsi="Times New Roman"/>
          <w:sz w:val="20"/>
        </w:rPr>
      </w:pPr>
      <w:r>
        <w:rPr>
          <w:rFonts w:ascii="Times New Roman" w:hAnsi="Times New Roman"/>
          <w:b/>
          <w:color w:val="000000"/>
          <w:sz w:val="20"/>
        </w:rPr>
        <w:t>NOTE 2: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have been no material changes to our accounting policies since December 31, 2023, as described under “Note 2: </w:t>
      </w:r>
      <w:r>
        <w:rPr>
          <w:rFonts w:ascii="Times New Roman" w:hAnsi="Times New Roman"/>
          <w:i/>
          <w:color w:val="000000"/>
          <w:sz w:val="20"/>
        </w:rPr>
        <w:t>Significant Accounting Policies</w:t>
      </w:r>
      <w:r>
        <w:rPr>
          <w:rFonts w:ascii="Times New Roman" w:hAnsi="Times New Roman"/>
          <w:color w:val="000000"/>
          <w:sz w:val="20"/>
        </w:rPr>
        <w:t>”, in the notes to consolidated financial statements in Item 8 of our 2023 Annual Report.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New 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Financial Accounting Standards Board (“FASB”) issued new accounting guidance requiring entities to provide additional information in the income tax rate reconciliation and additional disclosures about income taxes paid. The new accounting guidance requires entities to disclose in their rate reconciliation table additional categories of information about federal, state and foreign income taxes and to provide more details about the reconciling items in some categories if the items meet a quantitative threshold. This guidance is effective for annual periods beginning after December 15, 2024, and should be applied prospectively, but entities have the option to apply it retrospectively for each period presented. Early adoption is permitted for annual financial statements that have not yet been issued or made available for issuance. We are currently considering our timing of adoption and are in the process of evaluating the impact of adopting this newly issued accounting rule on our consolidated financial statements and related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the FASB issued new accounting guidance which expands public entities’ segment disclosures by requiring disclosure of significant segment expenses that are regularly provided to the chief operating decision maker (“CODM") and included within each reported measure of segment profit or loss, an amount and description of its composition for other segment items, and interim disclosures of a reportable segment’s profit or loss and assets. This guidance is effective for annual periods beginning after December 15, 2023, and interim periods within annual periods beginning after December 15, 2024, with early adoption permitted, including adoption in any interim period. We will adopt this guidance with our Annual Report on Form 10-K for the year ended December 31, 2024. The Company is in the process of evaluating changes which may be required to support our future reportable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segment disclosures in order to comply with this new guidance, including evaluation of internal reporting, operational processes, controls, and other areas. We will continue to provide updates related to the adoption of this new standard, as known.</w:t>
      </w:r>
    </w:p>
    <w:p>
      <w:pPr>
        <w:pStyle w:val="TextBody"/>
        <w:bidi w:val="0"/>
        <w:spacing w:before="360" w:after="283"/>
        <w:jc w:val="left"/>
        <w:rPr>
          <w:rFonts w:ascii="Times New Roman" w:hAnsi="Times New Roman"/>
          <w:sz w:val="20"/>
        </w:rPr>
      </w:pPr>
      <w:r>
        <w:rPr>
          <w:rFonts w:ascii="Times New Roman" w:hAnsi="Times New Roman"/>
          <w:b/>
          <w:color w:val="000000"/>
          <w:sz w:val="20"/>
        </w:rPr>
        <w:t>NOTE 3: 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have been no material changes to our principal revenue streams, revenue recognition policies, performance obligations, description of and timing of services, or customer payment terms since December 31, 2023, as described under “Note 2: </w:t>
      </w:r>
      <w:r>
        <w:rPr>
          <w:rFonts w:ascii="Times New Roman" w:hAnsi="Times New Roman"/>
          <w:i/>
          <w:color w:val="000000"/>
          <w:sz w:val="20"/>
        </w:rPr>
        <w:t>Significant Accounting Policies</w:t>
      </w:r>
      <w:r>
        <w:rPr>
          <w:rFonts w:ascii="Times New Roman" w:hAnsi="Times New Roman"/>
          <w:color w:val="000000"/>
          <w:sz w:val="20"/>
        </w:rPr>
        <w:t xml:space="preserve">” in the notes to consolidated financial statements in Item 8 of our 2023 Annual Report. There was no significant revenue recognized in the three and six months ended June 30, 2024 and 2023, related to performance obligations satisfied in prior periods.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40" w:after="120"/>
        <w:jc w:val="left"/>
        <w:rPr>
          <w:rFonts w:ascii="Times New Roman" w:hAnsi="Times New Roman"/>
          <w:sz w:val="20"/>
        </w:rPr>
      </w:pPr>
      <w:r>
        <w:rPr>
          <w:rFonts w:ascii="Times New Roman" w:hAnsi="Times New Roman"/>
          <w:color w:val="000000"/>
          <w:sz w:val="20"/>
        </w:rPr>
        <w:t xml:space="preserve">We disaggregate revenue from contracts with customers into major products/revenue sources. We have determined that disaggregating revenue into these categories achieves the disclosure objective under GAAP, which is to depict how the nature, amount, timing, and uncertainty of revenue and cash flows are affected by economic factors. As noted in “Note 13: </w:t>
      </w:r>
      <w:r>
        <w:rPr>
          <w:rFonts w:ascii="Times New Roman" w:hAnsi="Times New Roman"/>
          <w:i/>
          <w:color w:val="000000"/>
          <w:sz w:val="20"/>
        </w:rPr>
        <w:t>Segment Information</w:t>
      </w:r>
      <w:r>
        <w:rPr>
          <w:rFonts w:ascii="Times New Roman" w:hAnsi="Times New Roman"/>
          <w:color w:val="000000"/>
          <w:sz w:val="20"/>
        </w:rPr>
        <w:t xml:space="preserve">,” our business consists of three reportable segments – (1) Brand Tripadvisor; (2) Viator; and (3) TheFork. A reconciliation of disaggregated revenue to segment revenue is also included below: </w:t>
      </w:r>
    </w:p>
    <w:tbl>
      <w:tblPr>
        <w:tblW w:w="8347" w:type="dxa"/>
        <w:jc w:val="left"/>
        <w:tblInd w:w="0" w:type="dxa"/>
        <w:tblLayout w:type="fixed"/>
        <w:tblCellMar>
          <w:top w:w="28" w:type="dxa"/>
          <w:left w:w="28" w:type="dxa"/>
          <w:bottom w:w="28" w:type="dxa"/>
          <w:right w:w="28" w:type="dxa"/>
        </w:tblCellMar>
      </w:tblPr>
      <w:tblGrid>
        <w:gridCol w:w="3436"/>
        <w:gridCol w:w="146"/>
        <w:gridCol w:w="297"/>
        <w:gridCol w:w="593"/>
        <w:gridCol w:w="233"/>
        <w:gridCol w:w="205"/>
        <w:gridCol w:w="297"/>
        <w:gridCol w:w="593"/>
        <w:gridCol w:w="166"/>
        <w:gridCol w:w="146"/>
        <w:gridCol w:w="271"/>
        <w:gridCol w:w="541"/>
        <w:gridCol w:w="213"/>
        <w:gridCol w:w="187"/>
        <w:gridCol w:w="271"/>
        <w:gridCol w:w="541"/>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Major products/revenue sources </w:t>
            </w:r>
            <w:r>
              <w:rPr>
                <w:rFonts w:ascii="Times New Roman" w:hAnsi="Times New Roman"/>
                <w:b/>
                <w:color w:val="000000"/>
                <w:sz w:val="16"/>
              </w:rPr>
              <w:t>(1)</w:t>
            </w: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554" w:type="dxa"/>
            <w:gridSpan w:val="14"/>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CFF0FC" w:val="cle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Brand Tripadvisor:</w:t>
            </w:r>
          </w:p>
        </w:tc>
        <w:tc>
          <w:tcPr>
            <w:tcW w:w="146" w:type="dxa"/>
            <w:tcBorders/>
            <w:shd w:fill="FFFFFF" w:val="clear"/>
            <w:vAlign w:val="center"/>
          </w:tcPr>
          <w:p>
            <w:pPr>
              <w:pStyle w:val="TableContents"/>
              <w:bidi w:val="0"/>
              <w:spacing w:before="0" w:after="283"/>
              <w:jc w:val="center"/>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center"/>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center"/>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Tripadvisor-branded hotels</w:t>
            </w:r>
          </w:p>
        </w:tc>
        <w:tc>
          <w:tcPr>
            <w:tcW w:w="146" w:type="dxa"/>
            <w:tcBorders/>
            <w:shd w:fill="CFF0FC" w:val="clear"/>
            <w:vAlign w:val="center"/>
          </w:tcPr>
          <w:p>
            <w:pPr>
              <w:pStyle w:val="TableContents"/>
              <w:bidi w:val="0"/>
              <w:spacing w:before="0" w:after="283"/>
              <w:jc w:val="center"/>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3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center"/>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1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Media and advertising</w:t>
            </w:r>
          </w:p>
        </w:tc>
        <w:tc>
          <w:tcPr>
            <w:tcW w:w="146" w:type="dxa"/>
            <w:tcBorders/>
            <w:shd w:fill="FFFFFF" w:val="cle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3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FFFFFF" w:val="cle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pPr>
            <w:r>
              <w:rPr>
                <w:color w:val="000000"/>
              </w:rPr>
              <w:t>   </w:t>
            </w:r>
            <w:r>
              <w:rPr>
                <w:rFonts w:ascii="Times New Roman" w:hAnsi="Times New Roman"/>
                <w:color w:val="000000"/>
                <w:sz w:val="20"/>
              </w:rPr>
              <w:t xml:space="preserve">Tripadvisor experiences and dining </w:t>
            </w: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center"/>
              <w:rPr/>
            </w:pPr>
            <w:r>
              <w:rPr/>
              <w:t> </w:t>
            </w:r>
          </w:p>
        </w:tc>
        <w:tc>
          <w:tcPr>
            <w:tcW w:w="297"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3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center"/>
              <w:rPr/>
            </w:pPr>
            <w:r>
              <w:rPr/>
              <w:t> </w:t>
            </w:r>
          </w:p>
        </w:tc>
        <w:tc>
          <w:tcPr>
            <w:tcW w:w="297"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Brand Tripadvisor</w:t>
            </w:r>
          </w:p>
        </w:tc>
        <w:tc>
          <w:tcPr>
            <w:tcW w:w="146" w:type="dxa"/>
            <w:tcBorders/>
            <w:shd w:fill="CFF0FC" w:val="clear"/>
            <w:vAlign w:val="center"/>
          </w:tcPr>
          <w:p>
            <w:pPr>
              <w:pStyle w:val="TableContents"/>
              <w:bidi w:val="0"/>
              <w:spacing w:before="0" w:after="283"/>
              <w:jc w:val="center"/>
              <w:rPr/>
            </w:pPr>
            <w:r>
              <w:rPr/>
              <w:t> </w:t>
            </w:r>
          </w:p>
        </w:tc>
        <w:tc>
          <w:tcPr>
            <w:tcW w:w="297"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3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center"/>
              <w:rPr/>
            </w:pPr>
            <w:r>
              <w:rPr/>
              <w:t> </w:t>
            </w:r>
          </w:p>
        </w:tc>
        <w:tc>
          <w:tcPr>
            <w:tcW w:w="297"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21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center"/>
              <w:rPr/>
            </w:pPr>
            <w:r>
              <w:rPr/>
              <w:t> </w:t>
            </w:r>
          </w:p>
        </w:tc>
        <w:tc>
          <w:tcPr>
            <w:tcW w:w="8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center"/>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Viator</w:t>
            </w:r>
          </w:p>
        </w:tc>
        <w:tc>
          <w:tcPr>
            <w:tcW w:w="146" w:type="dxa"/>
            <w:tcBorders/>
            <w:shd w:fill="CFF0FC" w:val="clear"/>
            <w:vAlign w:val="center"/>
          </w:tcPr>
          <w:p>
            <w:pPr>
              <w:pStyle w:val="TableContents"/>
              <w:bidi w:val="0"/>
              <w:spacing w:before="0" w:after="283"/>
              <w:jc w:val="center"/>
              <w:rPr/>
            </w:pPr>
            <w:r>
              <w:rPr/>
              <w:t> </w:t>
            </w:r>
          </w:p>
        </w:tc>
        <w:tc>
          <w:tcPr>
            <w:tcW w:w="297"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33"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center"/>
              <w:rPr/>
            </w:pPr>
            <w:r>
              <w:rPr/>
              <w:t> </w:t>
            </w:r>
          </w:p>
        </w:tc>
        <w:tc>
          <w:tcPr>
            <w:tcW w:w="297"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11" w:type="dxa"/>
            <w:tcBorders/>
            <w:shd w:fill="CFF0FC" w:val="clear"/>
            <w:vAlign w:val="center"/>
          </w:tcPr>
          <w:p>
            <w:pPr>
              <w:pStyle w:val="TableContents"/>
              <w:bidi w:val="0"/>
              <w:spacing w:before="0" w:after="283"/>
              <w:jc w:val="left"/>
              <w:rPr/>
            </w:pPr>
            <w:r>
              <w:rPr/>
              <w:t> </w:t>
            </w:r>
          </w:p>
        </w:tc>
      </w:tr>
      <w:tr>
        <w:trPr/>
        <w:tc>
          <w:tcPr>
            <w:tcW w:w="3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TheFork</w:t>
            </w:r>
          </w:p>
        </w:tc>
        <w:tc>
          <w:tcPr>
            <w:tcW w:w="146" w:type="dxa"/>
            <w:tcBorders/>
            <w:shd w:fill="FFFFFF" w:val="cle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33"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1" w:type="dxa"/>
            <w:tcBorders/>
            <w:shd w:fill="FFFFFF" w:val="cle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Intersegment eliminations </w:t>
            </w: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CFF0FC" w:val="cle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vAlign w:val="center"/>
          </w:tcPr>
          <w:p>
            <w:pPr>
              <w:pStyle w:val="TableContents"/>
              <w:bidi w:val="0"/>
              <w:spacing w:before="0" w:after="283"/>
              <w:jc w:val="center"/>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center"/>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center"/>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center"/>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sz w:val="20"/>
        </w:rPr>
      </w:pPr>
      <w:r>
        <w:rPr>
          <w:rFonts w:ascii="Times New Roman" w:hAnsi="Times New Roman"/>
          <w:color w:val="000000"/>
          <w:sz w:val="16"/>
        </w:rPr>
        <w:t>Our revenue is recognized primarily at a point in time for all reportable segments.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sz w:val="16"/>
        </w:rPr>
      </w:pPr>
      <w:r>
        <w:rPr>
          <w:rFonts w:ascii="Times New Roman" w:hAnsi="Times New Roman"/>
          <w:color w:val="000000"/>
          <w:sz w:val="16"/>
        </w:rPr>
        <w:t xml:space="preserve">Tripadvisor experiences and dining revenue within the Brand Tripadvisor segment is shown gross of intersegment (intercompany) revenue, which is eliminated on a consolidated basis. See “Note 13: </w:t>
      </w:r>
      <w:r>
        <w:rPr>
          <w:rFonts w:ascii="Times New Roman" w:hAnsi="Times New Roman"/>
          <w:i/>
          <w:color w:val="000000"/>
          <w:sz w:val="16"/>
        </w:rPr>
        <w:t>Segment Information</w:t>
      </w:r>
      <w:r>
        <w:rPr>
          <w:rFonts w:ascii="Times New Roman" w:hAnsi="Times New Roman"/>
          <w:color w:val="000000"/>
          <w:sz w:val="16"/>
        </w:rPr>
        <w:t>” for a discussion of intersegment revenue for all periods presented</w:t>
      </w:r>
      <w:r>
        <w:rPr>
          <w:rFonts w:ascii="Times New Roman" w:hAnsi="Times New Roman"/>
          <w:color w:val="000000"/>
          <w:sz w:val="18"/>
        </w:rPr>
        <w:t>.</w:t>
      </w:r>
      <w:r>
        <w:rPr>
          <w:rFonts w:ascii="Times New Roman" w:hAnsi="Times New Roman"/>
          <w:color w:val="000000"/>
          <w:sz w:val="16"/>
        </w:rPr>
        <w:t xml:space="preserv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Contract liabilities generally include payments received in advance of performance under the contract and are realized as revenue as the performance obligation to the customer is satisfied, which we present as deferred revenue on our consolidated balance sheet, including amounts that are refundable. As of January 1, 2024, we had $49 million recorded as deferred revenue on our unaudited condensed consolidated balance sheet, of which $10 million and $38 million was recognized as revenue during the three and six months ended June 30, 2024, respectively. During the three and six months ended June 30, 2024, refunds due to cancellations by travelers were $1 million and $3 million, respectively. As of January 1, 2023, we had $44 million recorded as deferred revenue on our unaudited condensed consolidated balance sheet, of which $8 million and $36 million was recognized as revenue during the three and six months ended June 30, 2023, respectively. During the three and six months ended June 30, 2023, refunds due to cancellations by travelers were $1 million and $3 million, respectively. The difference between the opening and closing balances of our deferred revenue primarily results from the timing differences between when we receive customer payments and the time in which we satisfy our performance obligations.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FINANCIAL INSTRUMENTS AND 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assets and liabilities required to be reported at fair value, GAAP provides a hierarchy that prioritizes inputs to valuation techniques used to measure fair value into three broad levels: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1—Valuations are based on quoted market prices for identical assets and liabilities in active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3—Valuations are based on unobservable inputs reflecting our own assumptions, consistent with reasonably available assumptions made by other market participants. These valuations require significant judgment.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Marketable Securities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June 30, 2024 and December 31, 2023, we had approximately $1.2 billion and $1.1 billion of cash and cash equivalents, respectively, which consisted of available on demand bank deposits and money market funds, with maturities of 90 days or less at the date of purchase, in each case, with major global financial institutions. We had no outstanding investments classified as either short-term or long-term marketable securities as of June 30, 2024 or December 31, 2023, and there were no purchases or sales of any marketable securities during and for the three and six months ended June 30, 2024 and 2023.</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shows our cash and cash equivalents that are measured at fair value on a recurring basis and are categorized using the fair value hierarchy, as well as their classification on our unaudited condensed consolidated balance sheets as of June 30, 2024 and December 31, 2023:</w:t>
      </w:r>
    </w:p>
    <w:tbl>
      <w:tblPr>
        <w:tblW w:w="10205" w:type="dxa"/>
        <w:jc w:val="left"/>
        <w:tblInd w:w="0" w:type="dxa"/>
        <w:tblLayout w:type="fixed"/>
        <w:tblCellMar>
          <w:top w:w="28" w:type="dxa"/>
          <w:left w:w="28" w:type="dxa"/>
          <w:bottom w:w="28" w:type="dxa"/>
          <w:right w:w="28" w:type="dxa"/>
        </w:tblCellMar>
      </w:tblPr>
      <w:tblGrid>
        <w:gridCol w:w="1425"/>
        <w:gridCol w:w="146"/>
        <w:gridCol w:w="267"/>
        <w:gridCol w:w="723"/>
        <w:gridCol w:w="146"/>
        <w:gridCol w:w="146"/>
        <w:gridCol w:w="241"/>
        <w:gridCol w:w="654"/>
        <w:gridCol w:w="146"/>
        <w:gridCol w:w="146"/>
        <w:gridCol w:w="351"/>
        <w:gridCol w:w="952"/>
        <w:gridCol w:w="146"/>
        <w:gridCol w:w="146"/>
        <w:gridCol w:w="267"/>
        <w:gridCol w:w="723"/>
        <w:gridCol w:w="146"/>
        <w:gridCol w:w="146"/>
        <w:gridCol w:w="241"/>
        <w:gridCol w:w="654"/>
        <w:gridCol w:w="146"/>
        <w:gridCol w:w="146"/>
        <w:gridCol w:w="351"/>
        <w:gridCol w:w="952"/>
        <w:gridCol w:w="798"/>
      </w:tblGrid>
      <w:tr>
        <w:trPr/>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36" w:type="dxa"/>
            <w:gridSpan w:val="2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798" w:type="dxa"/>
            <w:tcBorders/>
            <w:shd w:fill="FFFFFF" w:val="clear"/>
            <w:vAlign w:val="center"/>
          </w:tcPr>
          <w:p>
            <w:pPr>
              <w:pStyle w:val="TableContents"/>
              <w:bidi w:val="0"/>
              <w:spacing w:before="0" w:after="283"/>
              <w:jc w:val="center"/>
              <w:rPr/>
            </w:pPr>
            <w:r>
              <w:rPr/>
              <w:t> </w:t>
            </w:r>
          </w:p>
        </w:tc>
      </w:tr>
      <w:tr>
        <w:trPr/>
        <w:tc>
          <w:tcPr>
            <w:tcW w:w="14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798" w:type="dxa"/>
            <w:tcBorders/>
            <w:shd w:fill="FFFFFF" w:val="clear"/>
            <w:vAlign w:val="center"/>
          </w:tcPr>
          <w:p>
            <w:pPr>
              <w:pStyle w:val="TableContents"/>
              <w:bidi w:val="0"/>
              <w:spacing w:before="0" w:after="283"/>
              <w:jc w:val="left"/>
              <w:rPr/>
            </w:pPr>
            <w:r>
              <w:rPr/>
              <w:t> </w:t>
            </w:r>
          </w:p>
        </w:tc>
      </w:tr>
      <w:tr>
        <w:trPr/>
        <w:tc>
          <w:tcPr>
            <w:tcW w:w="14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3" w:type="dxa"/>
            <w:gridSpan w:val="2"/>
            <w:tcBorders/>
            <w:shd w:fill="CFF0FC" w:val="clear"/>
            <w:vAlign w:val="center"/>
          </w:tcPr>
          <w:p>
            <w:pPr>
              <w:pStyle w:val="TableContents"/>
              <w:bidi w:val="0"/>
              <w:spacing w:before="0" w:after="283"/>
              <w:jc w:val="right"/>
              <w:rPr/>
            </w:pPr>
            <w:r>
              <w:rPr/>
              <w:t> </w:t>
            </w:r>
          </w:p>
        </w:tc>
        <w:tc>
          <w:tcPr>
            <w:tcW w:w="798" w:type="dxa"/>
            <w:tcBorders/>
            <w:shd w:fill="CFF0FC" w:val="clear"/>
            <w:vAlign w:val="center"/>
          </w:tcPr>
          <w:p>
            <w:pPr>
              <w:pStyle w:val="TableContents"/>
              <w:bidi w:val="0"/>
              <w:spacing w:before="0" w:after="283"/>
              <w:ind w:left="0" w:right="0" w:firstLine="200"/>
              <w:jc w:val="right"/>
              <w:rPr/>
            </w:pPr>
            <w:r>
              <w:rPr/>
              <w:t> </w:t>
            </w:r>
          </w:p>
        </w:tc>
      </w:tr>
      <w:tr>
        <w:trPr/>
        <w:tc>
          <w:tcPr>
            <w:tcW w:w="142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1425"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We did not have any unrealized gains and losses related to our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pStyle w:val="TextBody"/>
        <w:bidi w:val="0"/>
        <w:spacing w:before="240" w:after="283"/>
        <w:jc w:val="left"/>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use forward contracts to reduce the effects of foreign currency exchange rate fluctuations on our cash flows for the Euro versus the U.S. Dollar. For the three and six months ended June 30, 2024 and 2023, our forward contracts were not designated as hedges and generally had maturities of less than 90 days. Our outstanding or unsettled forward contracts are carried at fair value on our unaudited condensed consolidated balance sheets as of both June 30, 2024 and December 31, 2023. We measure the fair value of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foreign currency forward contracts in other income (expense), net on our unaudited condensed consolidated statement of operations, which was not material during any of the periods presented.</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the notional principal amounts of our outstanding derivative instruments for the periods presented:</w:t>
      </w:r>
    </w:p>
    <w:tbl>
      <w:tblPr>
        <w:tblW w:w="7545" w:type="dxa"/>
        <w:jc w:val="left"/>
        <w:tblInd w:w="0" w:type="dxa"/>
        <w:tblLayout w:type="fixed"/>
        <w:tblCellMar>
          <w:top w:w="28" w:type="dxa"/>
          <w:left w:w="28" w:type="dxa"/>
          <w:bottom w:w="28" w:type="dxa"/>
          <w:right w:w="28" w:type="dxa"/>
        </w:tblCellMar>
      </w:tblPr>
      <w:tblGrid>
        <w:gridCol w:w="4291"/>
        <w:gridCol w:w="146"/>
        <w:gridCol w:w="450"/>
        <w:gridCol w:w="675"/>
        <w:gridCol w:w="146"/>
        <w:gridCol w:w="146"/>
        <w:gridCol w:w="750"/>
        <w:gridCol w:w="750"/>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429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Foreign currency exchange-forward contracts </w:t>
            </w:r>
            <w:r>
              <w:rPr>
                <w:rFonts w:ascii="Times New Roman" w:hAnsi="Times New Roman"/>
                <w:color w:val="000000"/>
                <w:sz w:val="16"/>
              </w:rPr>
              <w:t>(1) (2)</w:t>
            </w:r>
          </w:p>
        </w:tc>
        <w:tc>
          <w:tcPr>
            <w:tcW w:w="146" w:type="dxa"/>
            <w:tcBorders/>
            <w:shd w:fill="CFF0FC" w:val="clear"/>
            <w:vAlign w:val="center"/>
          </w:tcPr>
          <w:p>
            <w:pPr>
              <w:pStyle w:val="TableContents"/>
              <w:bidi w:val="0"/>
              <w:spacing w:before="0" w:after="283"/>
              <w:jc w:val="left"/>
              <w:rPr/>
            </w:pPr>
            <w:r>
              <w:rPr/>
              <w:t> </w:t>
            </w:r>
          </w:p>
        </w:tc>
        <w:tc>
          <w:tcPr>
            <w:tcW w:w="4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Derivative contracts address foreign currency exchange fluctuations for the Euro versus the U.S. dollar. These outstanding derivatives are not designated as hedging instruments and have an original maturity period of 90 days</w:t>
      </w:r>
      <w:r>
        <w:rPr>
          <w:rFonts w:ascii="Times New Roman" w:hAnsi="Times New Roman"/>
          <w:color w:val="000000"/>
          <w:sz w:val="20"/>
        </w:rPr>
        <w:t xml:space="preserve"> </w:t>
      </w:r>
      <w:r>
        <w:rPr>
          <w:rFonts w:ascii="Times New Roman" w:hAnsi="Times New Roman"/>
          <w:color w:val="000000"/>
          <w:sz w:val="16"/>
        </w:rPr>
        <w:t>or less.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The fair value of our outstanding derivatives as of June 30, 2024 and December 31, 2023, respectively, was not material. The notional amount of a forward contract is the contracted amount of foreign currency to be exchanged and is not recorded on the unaudited condensed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did not enter into any cash flow, fair value or net investment hedges as of June 30, 2024 or December 31, 2023.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Financial Assets and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financial instruments not measured at fair value on a recurring basis including accounts payable, accrued expenses and other current liabilities, and deferred merchant payables, were carried at cost on our unaudited condensed consolidated balance sheets, which approximates their fair values because of the short-term nature of these items. Accounts receivable, including contract assets as described below, as well as certain other financial assets, are measured at amortized cost and are carried at cost less an allowance for expected credit losses on our unaudited condensed consolidated balance sheets to present the net amount expected to be collected.</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provides information about the opening and closing balances of accounts receivable, including contract assets, net of allowance for expected credit losses, from contracts with customers as of the dates presented:</w:t>
      </w:r>
    </w:p>
    <w:tbl>
      <w:tblPr>
        <w:tblW w:w="5025" w:type="dxa"/>
        <w:jc w:val="left"/>
        <w:tblInd w:w="0" w:type="dxa"/>
        <w:tblLayout w:type="fixed"/>
        <w:tblCellMar>
          <w:top w:w="28" w:type="dxa"/>
          <w:left w:w="28" w:type="dxa"/>
          <w:bottom w:w="28" w:type="dxa"/>
          <w:right w:w="28" w:type="dxa"/>
        </w:tblCellMar>
      </w:tblPr>
      <w:tblGrid>
        <w:gridCol w:w="1771"/>
        <w:gridCol w:w="146"/>
        <w:gridCol w:w="375"/>
        <w:gridCol w:w="750"/>
        <w:gridCol w:w="146"/>
        <w:gridCol w:w="146"/>
        <w:gridCol w:w="499"/>
        <w:gridCol w:w="1001"/>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91" w:type="dxa"/>
            <w:tcBorders/>
            <w:shd w:fill="CFF0FC"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Accounts receivable are recognized when the right to consideration becomes unconditional, and are recorded net of an allowance for expected credit losses. We record accounts receivable at the invoiced amount. Our customer invoices are generally due from customers 30 days from the time of invoicing.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During the periods ended June 30, 2024 and December 31, 2023, there were no significant changes in contract assets related to business combinations, impairments, cumulative catch-ups or other material adjustments.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Fair Value of Long-Term Debt</w:t>
      </w:r>
    </w:p>
    <w:p>
      <w:pPr>
        <w:pStyle w:val="TextBody"/>
        <w:bidi w:val="0"/>
        <w:spacing w:before="240" w:after="120"/>
        <w:jc w:val="left"/>
        <w:rPr>
          <w:rFonts w:ascii="Times New Roman" w:hAnsi="Times New Roman"/>
          <w:sz w:val="20"/>
        </w:rPr>
      </w:pPr>
      <w:r>
        <w:rPr>
          <w:rFonts w:ascii="Times New Roman" w:hAnsi="Times New Roman"/>
          <w:color w:val="000000"/>
          <w:sz w:val="20"/>
        </w:rPr>
        <w:t xml:space="preserve">The following table shows the aggregate principal and fair value amount of the 2025 Senior Notes and 2026 Senior Notes as of the dates presented, which are classified as long-term debt on our unaudited condensed consolidated balance sheets and are considered Level 2 fair value measurements. Refer to “Note 6: </w:t>
      </w:r>
      <w:r>
        <w:rPr>
          <w:rFonts w:ascii="Times New Roman" w:hAnsi="Times New Roman"/>
          <w:i/>
          <w:color w:val="000000"/>
          <w:sz w:val="20"/>
        </w:rPr>
        <w:t>Debt</w:t>
      </w:r>
      <w:r>
        <w:rPr>
          <w:rFonts w:ascii="Times New Roman" w:hAnsi="Times New Roman"/>
          <w:color w:val="000000"/>
          <w:sz w:val="20"/>
        </w:rPr>
        <w:t>” for additional information on the 2025 Senior Notes and 2026 Senior Notes.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835" w:type="dxa"/>
        <w:jc w:val="left"/>
        <w:tblInd w:w="0" w:type="dxa"/>
        <w:tblLayout w:type="fixed"/>
        <w:tblCellMar>
          <w:top w:w="28" w:type="dxa"/>
          <w:left w:w="28" w:type="dxa"/>
          <w:bottom w:w="28" w:type="dxa"/>
          <w:right w:w="28" w:type="dxa"/>
        </w:tblCellMar>
      </w:tblPr>
      <w:tblGrid>
        <w:gridCol w:w="2581"/>
        <w:gridCol w:w="146"/>
        <w:gridCol w:w="375"/>
        <w:gridCol w:w="750"/>
        <w:gridCol w:w="146"/>
        <w:gridCol w:w="146"/>
        <w:gridCol w:w="499"/>
        <w:gridCol w:w="1001"/>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5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2025 Senior Notes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Aggregate principal amount</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Carrying value amount (1)</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9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Fair value amount (2)</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2026 Senior Notes</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Aggregate principal amount</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9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Carrying value amount (1)</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Fair value amount (2)</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4"/>
        </w:rPr>
      </w:pPr>
      <w:r>
        <w:rPr>
          <w:rFonts w:ascii="Times New Roman" w:hAnsi="Times New Roman"/>
          <w:color w:val="000000"/>
          <w:sz w:val="16"/>
        </w:rPr>
        <w:t>Net of $2</w:t>
      </w:r>
      <w:r>
        <w:rPr>
          <w:rFonts w:ascii="Times New Roman" w:hAnsi="Times New Roman"/>
          <w:color w:val="000000"/>
          <w:sz w:val="24"/>
        </w:rPr>
        <w:t xml:space="preserve"> </w:t>
      </w:r>
      <w:r>
        <w:rPr>
          <w:rFonts w:ascii="Times New Roman" w:hAnsi="Times New Roman"/>
          <w:color w:val="000000"/>
          <w:sz w:val="16"/>
        </w:rPr>
        <w:t>million and $3</w:t>
      </w:r>
      <w:r>
        <w:rPr>
          <w:rFonts w:ascii="Times New Roman" w:hAnsi="Times New Roman"/>
          <w:color w:val="000000"/>
          <w:sz w:val="24"/>
        </w:rPr>
        <w:t xml:space="preserve"> </w:t>
      </w:r>
      <w:r>
        <w:rPr>
          <w:rFonts w:ascii="Times New Roman" w:hAnsi="Times New Roman"/>
          <w:color w:val="000000"/>
          <w:sz w:val="16"/>
        </w:rPr>
        <w:t>million of unamortized debt issuance costs as of June 30, 2024 and December 31, 2023, respectively.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sz w:val="24"/>
        </w:rPr>
      </w:pPr>
      <w:r>
        <w:rPr>
          <w:rFonts w:ascii="Times New Roman" w:hAnsi="Times New Roman"/>
          <w:color w:val="000000"/>
          <w:sz w:val="16"/>
        </w:rPr>
        <w:t>We estimate the fair value of the 2025 Senior Notes and 2026 Senior Notes based on recently reported market transactions</w:t>
      </w:r>
      <w:r>
        <w:rPr>
          <w:rFonts w:ascii="Times New Roman" w:hAnsi="Times New Roman"/>
          <w:color w:val="000000"/>
          <w:sz w:val="24"/>
        </w:rPr>
        <w:t xml:space="preserve"> </w:t>
      </w:r>
      <w:r>
        <w:rPr>
          <w:rFonts w:ascii="Times New Roman" w:hAnsi="Times New Roman"/>
          <w:color w:val="000000"/>
          <w:sz w:val="16"/>
        </w:rPr>
        <w:t>and/or prices for identical or similar financial instruments obtained from a third-party pricing source.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have any assets or liabilities measured at fair value on a recurring basis using Level 3 unobservable inputs as of June 30, 2024 and December 31, 2023.</w:t>
      </w:r>
    </w:p>
    <w:p>
      <w:pPr>
        <w:pStyle w:val="TextBody"/>
        <w:bidi w:val="0"/>
        <w:spacing w:before="240" w:after="283"/>
        <w:jc w:val="left"/>
        <w:rPr>
          <w:rFonts w:ascii="Times New Roman" w:hAnsi="Times New Roman"/>
          <w:sz w:val="20"/>
        </w:rPr>
      </w:pPr>
      <w:r>
        <w:rPr>
          <w:rFonts w:ascii="Times New Roman" w:hAnsi="Times New Roman"/>
          <w:b/>
          <w:i/>
          <w:color w:val="000000"/>
          <w:sz w:val="20"/>
        </w:rPr>
        <w:t>Risks and Concentrations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certain financial risks and concentrations, including concentration related to dependence on our relationships with our customers. For the year ended December 31, 2023, our two most significant travel partners, Expedia Group, Inc. (and its subsidiaries) and Booking Holdings, Inc. (and its subsidiaries), each accounted for 10% or more of our consolidated revenue and together accounted for approximately 25% of our consolidated revenue, with nearly all of this revenue concentrated in our Brand Tripadvisor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 government programs outside the U.S. Our cash and cash equivalents are generally composed of available on demand bank deposits or term deposits with several major global financial institutions, as well as money market funds, primarily denominated in U.S. dollars, and to a lesser extent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 days, also mitigate risk. Our overall credit risk related to accounts receivable is mitigated by the relatively short collection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Assets Measured at Fair Value on a Non-recurring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Non-Marketable Investments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Equity Securities Accounted for under the Equity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$29 million and $30 million as of June 30, 2024 and December 31, 2023, respectively, and is included in non-marketable investments on our unaudited condensed consolidated balance sheets. During both the six months ended June 30, 2024 and 2023, we recognized $1 million, representing our share of the investee’s net loss in other income (expenses), net within the unaudited condensed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the three and six months ended June 30, 2024 and 2023, we did not record any impairment loss on this equity investment.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maintains various commercial agreements with Chelsea Investment Holding Company PTE Ltd. and/or its subsidiaries. Transactions under these agreements are considered related-party transactions, and were not material during the three and six months ended June 30, 2024 and 2023.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Long-Term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holds collateralized notes (the “Notes Receivable”) issued by a privately held company with a total principal amount of $20 million. The Company has classified the Notes Receivable as held-to-maturity, as the Company has concluded it has the positive intent and ability to hold the Notes Receivable until maturity, with 50% due in eight years and the remaining 50% due 10 years from the issuance date of June 2020, or the date on which there is a change in control, whichever is earlier. As of both June 30, 2024 and December 31, 2023, the carrying value of the Notes Receivable was $9 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 </w:t>
      </w:r>
    </w:p>
    <w:p>
      <w:pPr>
        <w:pStyle w:val="TextBody"/>
        <w:bidi w:val="0"/>
        <w:spacing w:before="360" w:after="283"/>
        <w:jc w:val="left"/>
        <w:rPr>
          <w:rFonts w:ascii="Times New Roman" w:hAnsi="Times New Roman"/>
          <w:sz w:val="20"/>
        </w:rPr>
      </w:pPr>
      <w:r>
        <w:rPr>
          <w:rFonts w:ascii="Times New Roman" w:hAnsi="Times New Roman"/>
          <w:b/>
          <w:color w:val="000000"/>
          <w:sz w:val="20"/>
        </w:rPr>
        <w:t>NOTE 5: ACCRUED EXPENSES AND OTHER CURRENT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as of the dates presented: </w:t>
      </w:r>
    </w:p>
    <w:p>
      <w:pPr>
        <w:pStyle w:val="TextBody"/>
        <w:bidi w:val="0"/>
        <w:jc w:val="left"/>
        <w:rPr/>
      </w:pPr>
      <w:r>
        <w:rPr/>
        <w:t> </w:t>
      </w:r>
    </w:p>
    <w:tbl>
      <w:tblPr>
        <w:tblW w:w="8360" w:type="dxa"/>
        <w:jc w:val="left"/>
        <w:tblInd w:w="0" w:type="dxa"/>
        <w:tblLayout w:type="fixed"/>
        <w:tblCellMar>
          <w:top w:w="28" w:type="dxa"/>
          <w:left w:w="28" w:type="dxa"/>
          <w:bottom w:w="28" w:type="dxa"/>
          <w:right w:w="28" w:type="dxa"/>
        </w:tblCellMar>
      </w:tblPr>
      <w:tblGrid>
        <w:gridCol w:w="4906"/>
        <w:gridCol w:w="146"/>
        <w:gridCol w:w="375"/>
        <w:gridCol w:w="750"/>
        <w:gridCol w:w="146"/>
        <w:gridCol w:w="146"/>
        <w:gridCol w:w="499"/>
        <w:gridCol w:w="1001"/>
        <w:gridCol w:w="3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4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salary, bonus, and other employee-related benefits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shd w:fill="CFF0FC" w:val="clear"/>
            <w:vAlign w:val="center"/>
          </w:tcPr>
          <w:p>
            <w:pPr>
              <w:pStyle w:val="TableContents"/>
              <w:bidi w:val="0"/>
              <w:spacing w:before="0" w:after="283"/>
              <w:jc w:val="left"/>
              <w:rPr/>
            </w:pPr>
            <w:r>
              <w:rPr/>
              <w:t> </w:t>
            </w:r>
          </w:p>
        </w:tc>
      </w:tr>
      <w:tr>
        <w:trPr/>
        <w:tc>
          <w:tcPr>
            <w:tcW w:w="4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marketing costs</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1" w:type="dxa"/>
            <w:tcBorders/>
            <w:shd w:fill="FFFFFF" w:val="clear"/>
            <w:vAlign w:val="center"/>
          </w:tcPr>
          <w:p>
            <w:pPr>
              <w:pStyle w:val="TableContents"/>
              <w:bidi w:val="0"/>
              <w:spacing w:before="0" w:after="283"/>
              <w:jc w:val="left"/>
              <w:rPr/>
            </w:pPr>
            <w:r>
              <w:rPr/>
              <w:t> </w:t>
            </w:r>
          </w:p>
        </w:tc>
      </w:tr>
      <w:tr>
        <w:trPr/>
        <w:tc>
          <w:tcPr>
            <w:tcW w:w="49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Interest payable </w:t>
            </w: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FF0FC" w:val="clear"/>
            <w:vAlign w:val="center"/>
          </w:tcPr>
          <w:p>
            <w:pPr>
              <w:pStyle w:val="TableContents"/>
              <w:bidi w:val="0"/>
              <w:spacing w:before="0" w:after="283"/>
              <w:jc w:val="left"/>
              <w:rPr/>
            </w:pPr>
            <w:r>
              <w:rPr/>
              <w:t> </w:t>
            </w:r>
          </w:p>
        </w:tc>
      </w:tr>
      <w:tr>
        <w:trPr/>
        <w:tc>
          <w:tcPr>
            <w:tcW w:w="49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 current portion</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vAlign w:val="center"/>
          </w:tcPr>
          <w:p>
            <w:pPr>
              <w:pStyle w:val="TableContents"/>
              <w:bidi w:val="0"/>
              <w:spacing w:before="0" w:after="283"/>
              <w:jc w:val="left"/>
              <w:rPr/>
            </w:pPr>
            <w:r>
              <w:rPr/>
              <w:t> </w:t>
            </w:r>
          </w:p>
        </w:tc>
      </w:tr>
      <w:tr>
        <w:trPr/>
        <w:tc>
          <w:tcPr>
            <w:tcW w:w="4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current portion</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vAlign w:val="center"/>
          </w:tcPr>
          <w:p>
            <w:pPr>
              <w:pStyle w:val="TableContents"/>
              <w:bidi w:val="0"/>
              <w:spacing w:before="0" w:after="283"/>
              <w:jc w:val="left"/>
              <w:rPr/>
            </w:pPr>
            <w:r>
              <w:rPr/>
              <w:t> </w:t>
            </w:r>
          </w:p>
        </w:tc>
      </w:tr>
      <w:tr>
        <w:trPr/>
        <w:tc>
          <w:tcPr>
            <w:tcW w:w="49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Restructuring and other related reorganization costs </w:t>
            </w: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shd w:fill="FFFFFF" w:val="clear"/>
            <w:vAlign w:val="center"/>
          </w:tcPr>
          <w:p>
            <w:pPr>
              <w:pStyle w:val="TableContents"/>
              <w:bidi w:val="0"/>
              <w:spacing w:before="0" w:after="283"/>
              <w:jc w:val="left"/>
              <w:rPr/>
            </w:pPr>
            <w:r>
              <w:rPr/>
              <w:t> </w:t>
            </w:r>
          </w:p>
        </w:tc>
      </w:tr>
      <w:tr>
        <w:trPr/>
        <w:tc>
          <w:tcPr>
            <w:tcW w:w="49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Non-income taxes payable </w:t>
            </w: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CFF0FC" w:val="clear"/>
            <w:vAlign w:val="center"/>
          </w:tcPr>
          <w:p>
            <w:pPr>
              <w:pStyle w:val="TableContents"/>
              <w:bidi w:val="0"/>
              <w:spacing w:before="0" w:after="283"/>
              <w:jc w:val="left"/>
              <w:rPr/>
            </w:pPr>
            <w:r>
              <w:rPr/>
              <w:t> </w:t>
            </w:r>
          </w:p>
        </w:tc>
      </w:tr>
      <w:tr>
        <w:trPr/>
        <w:tc>
          <w:tcPr>
            <w:tcW w:w="49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Accrued legal contingencies </w:t>
            </w: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9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Amount relates primarily to unpaid interest accrued on the 2025 Senior Notes. Refer to “Note 6: </w:t>
      </w:r>
      <w:r>
        <w:rPr>
          <w:rFonts w:ascii="Times New Roman" w:hAnsi="Times New Roman"/>
          <w:i/>
          <w:color w:val="000000"/>
          <w:sz w:val="16"/>
        </w:rPr>
        <w:t>Debt</w:t>
      </w:r>
      <w:r>
        <w:rPr>
          <w:rFonts w:ascii="Times New Roman" w:hAnsi="Times New Roman"/>
          <w:color w:val="000000"/>
          <w:sz w:val="20"/>
        </w:rPr>
        <w:t xml:space="preserve">” </w:t>
      </w:r>
      <w:r>
        <w:rPr>
          <w:rFonts w:ascii="Times New Roman" w:hAnsi="Times New Roman"/>
          <w:color w:val="000000"/>
          <w:sz w:val="16"/>
        </w:rPr>
        <w:t>for further information.</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sz w:val="20"/>
        </w:rPr>
      </w:pPr>
      <w:r>
        <w:rPr>
          <w:rFonts w:ascii="Times New Roman" w:hAnsi="Times New Roman"/>
          <w:color w:val="000000"/>
          <w:sz w:val="16"/>
        </w:rPr>
        <w:t>During the third quarter of 2023, the Company approved and subsequently initiated a set of actions across its businesses in order to reduce its cost structure, improve operational efficiencies, and realign its workforce with its strategic initiatives. These actions taken by the Company resulted in reduced global headcount. As a result, the Company incurred estimated pre-tax restructuring and other related reorganization costs of $22</w:t>
      </w:r>
      <w:r>
        <w:rPr>
          <w:rFonts w:ascii="Times New Roman" w:hAnsi="Times New Roman"/>
          <w:color w:val="000000"/>
          <w:sz w:val="20"/>
        </w:rPr>
        <w:t xml:space="preserve"> </w:t>
      </w:r>
      <w:r>
        <w:rPr>
          <w:rFonts w:ascii="Times New Roman" w:hAnsi="Times New Roman"/>
          <w:color w:val="000000"/>
          <w:sz w:val="16"/>
        </w:rPr>
        <w:t>million during the year ended December 31, 2023, consisting primarily of employee severance and related benefits. We expect the majority of remaining unpaid costs as of June 30, 2024 to be disbursed during 2024.</w:t>
      </w:r>
    </w:p>
    <w:p>
      <w:pPr>
        <w:pStyle w:val="TextBody"/>
        <w:bidi w:val="0"/>
        <w:spacing w:before="120" w:after="120"/>
        <w:jc w:val="left"/>
        <w:rPr>
          <w:rFonts w:ascii="Times New Roman" w:hAnsi="Times New Roman"/>
          <w:color w:val="000000"/>
          <w:sz w:val="16"/>
        </w:rPr>
      </w:pPr>
      <w:r>
        <w:rPr>
          <w:rFonts w:ascii="Times New Roman" w:hAnsi="Times New Roman"/>
          <w:color w:val="000000"/>
          <w:sz w:val="16"/>
        </w:rPr>
        <w:t>The following table summarizes our restructuring and other related reorganization costs for the six months ended June 30, 2024:</w:t>
      </w:r>
    </w:p>
    <w:tbl>
      <w:tblPr>
        <w:tblW w:w="5143" w:type="dxa"/>
        <w:jc w:val="left"/>
        <w:tblInd w:w="0" w:type="dxa"/>
        <w:tblLayout w:type="fixed"/>
        <w:tblCellMar>
          <w:top w:w="28" w:type="dxa"/>
          <w:left w:w="28" w:type="dxa"/>
          <w:bottom w:w="28" w:type="dxa"/>
          <w:right w:w="28" w:type="dxa"/>
        </w:tblCellMar>
      </w:tblPr>
      <w:tblGrid>
        <w:gridCol w:w="3541"/>
        <w:gridCol w:w="146"/>
        <w:gridCol w:w="497"/>
        <w:gridCol w:w="748"/>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liability as of December 31, 2023</w:t>
            </w:r>
          </w:p>
        </w:tc>
        <w:tc>
          <w:tcPr>
            <w:tcW w:w="146"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Charges</w:t>
            </w:r>
          </w:p>
        </w:tc>
        <w:tc>
          <w:tcPr>
            <w:tcW w:w="146"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liability as of June 30, 2024</w:t>
            </w:r>
          </w:p>
        </w:tc>
        <w:tc>
          <w:tcPr>
            <w:tcW w:w="146" w:type="dxa"/>
            <w:tcBorders/>
            <w:shd w:fill="CFF0FC" w:val="clear"/>
            <w:vAlign w:val="center"/>
          </w:tcPr>
          <w:p>
            <w:pPr>
              <w:pStyle w:val="TableContents"/>
              <w:bidi w:val="0"/>
              <w:spacing w:before="0" w:after="283"/>
              <w:jc w:val="left"/>
              <w:rPr/>
            </w:pPr>
            <w:r>
              <w:rPr/>
              <w:t> </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Amount relates primarily to digital service taxes.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sz w:val="16"/>
        </w:rPr>
      </w:pPr>
      <w:r>
        <w:rPr>
          <w:rFonts w:ascii="Times New Roman" w:hAnsi="Times New Roman"/>
          <w:color w:val="000000"/>
          <w:sz w:val="16"/>
        </w:rPr>
        <w:t xml:space="preserve">Refer to "Note 9: </w:t>
      </w:r>
      <w:r>
        <w:rPr>
          <w:rFonts w:ascii="Times New Roman" w:hAnsi="Times New Roman"/>
          <w:i/>
          <w:color w:val="000000"/>
          <w:sz w:val="16"/>
        </w:rPr>
        <w:t>Commitments and Contingencies</w:t>
      </w:r>
      <w:r>
        <w:rPr>
          <w:rFonts w:ascii="Times New Roman" w:hAnsi="Times New Roman"/>
          <w:color w:val="000000"/>
          <w:sz w:val="16"/>
        </w:rPr>
        <w:t>" for further information.</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6: DEBT</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outstanding debt consisted of the following as of the dates presented:</w:t>
      </w:r>
    </w:p>
    <w:tbl>
      <w:tblPr>
        <w:tblW w:w="10205" w:type="dxa"/>
        <w:jc w:val="left"/>
        <w:tblInd w:w="0" w:type="dxa"/>
        <w:tblLayout w:type="fixed"/>
        <w:tblCellMar>
          <w:top w:w="28" w:type="dxa"/>
          <w:left w:w="28" w:type="dxa"/>
          <w:bottom w:w="28" w:type="dxa"/>
          <w:right w:w="28" w:type="dxa"/>
        </w:tblCellMar>
      </w:tblPr>
      <w:tblGrid>
        <w:gridCol w:w="3213"/>
        <w:gridCol w:w="146"/>
        <w:gridCol w:w="734"/>
        <w:gridCol w:w="1472"/>
        <w:gridCol w:w="146"/>
        <w:gridCol w:w="146"/>
        <w:gridCol w:w="1038"/>
        <w:gridCol w:w="1335"/>
        <w:gridCol w:w="166"/>
        <w:gridCol w:w="146"/>
        <w:gridCol w:w="422"/>
        <w:gridCol w:w="847"/>
        <w:gridCol w:w="394"/>
      </w:tblGrid>
      <w:tr>
        <w:trPr/>
        <w:tc>
          <w:tcPr>
            <w:tcW w:w="3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11" w:type="dxa"/>
            <w:gridSpan w:val="1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394" w:type="dxa"/>
            <w:tcBorders/>
            <w:shd w:fill="FFFFFF" w:val="clear"/>
            <w:vAlign w:val="center"/>
          </w:tcPr>
          <w:p>
            <w:pPr>
              <w:pStyle w:val="TableContents"/>
              <w:bidi w:val="0"/>
              <w:spacing w:before="0" w:after="283"/>
              <w:jc w:val="center"/>
              <w:rPr/>
            </w:pPr>
            <w:r>
              <w:rPr/>
              <w:t> </w:t>
            </w:r>
          </w:p>
        </w:tc>
      </w:tr>
      <w:tr>
        <w:trPr/>
        <w:tc>
          <w:tcPr>
            <w:tcW w:w="3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2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9" w:type="dxa"/>
            <w:gridSpan w:val="2"/>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2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7.00% 2025 Senior Notes due 2025</w:t>
            </w:r>
          </w:p>
        </w:tc>
        <w:tc>
          <w:tcPr>
            <w:tcW w:w="146"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2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0.25% Convertible 2026 Senior Notes due 2026</w:t>
            </w:r>
          </w:p>
        </w:tc>
        <w:tc>
          <w:tcPr>
            <w:tcW w:w="146" w:type="dxa"/>
            <w:tcBorders/>
            <w:shd w:fill="CFF0FC" w:val="cle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9"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r>
      <w:tr>
        <w:trPr/>
        <w:tc>
          <w:tcPr>
            <w:tcW w:w="3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11" w:type="dxa"/>
            <w:gridSpan w:val="1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w:t>
            </w:r>
          </w:p>
        </w:tc>
        <w:tc>
          <w:tcPr>
            <w:tcW w:w="394" w:type="dxa"/>
            <w:tcBorders/>
            <w:shd w:fill="FFFFFF" w:val="clear"/>
            <w:vAlign w:val="center"/>
          </w:tcPr>
          <w:p>
            <w:pPr>
              <w:pStyle w:val="TableContents"/>
              <w:bidi w:val="0"/>
              <w:spacing w:before="0" w:after="283"/>
              <w:jc w:val="center"/>
              <w:rPr/>
            </w:pPr>
            <w:r>
              <w:rPr/>
              <w:t> </w:t>
            </w:r>
          </w:p>
        </w:tc>
      </w:tr>
      <w:tr>
        <w:trPr/>
        <w:tc>
          <w:tcPr>
            <w:tcW w:w="3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2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3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9" w:type="dxa"/>
            <w:gridSpan w:val="2"/>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2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7.00% 2025 Senior Notes due 2025</w:t>
            </w:r>
          </w:p>
        </w:tc>
        <w:tc>
          <w:tcPr>
            <w:tcW w:w="146"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2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0.25% Convertible 2026 Senior Notes due 2026</w:t>
            </w:r>
          </w:p>
        </w:tc>
        <w:tc>
          <w:tcPr>
            <w:tcW w:w="146" w:type="dxa"/>
            <w:tcBorders/>
            <w:shd w:fill="CFF0FC" w:val="cle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party to a credit agreement with a group of lenders initially entered into in June 2015 and, amended and restated in June 2023 (the “Credit Agreement”), which, among other things, provides for a $500 million secured revolving credit facility (the “Credit Facility”). The Credit Facility has a maturity date of June 29, 2028 (unless, on any date that is 91 days prior to the final scheduled maturity date in respect of any indebtedness outstanding under certain “specified debt,” the aggregate outstanding principal amount of such specified debt is $200 million or more, then the maturity date will be such business day).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and December 31, 2023, we had no outstanding borrowings under the Credit Facility. The Credit Facility also includes $15 million of borrowing capacity available for letters of credit and $40 million for swing-line borrowings on same-day notice. As of June 30, 2024 and December 31, 2023, we had issued $3 million and $4 million, respectively, of undrawn standby letters of credit under the Credit Facility. For both the three and six months ended June 30, 2024 and 2023, total interest expense and commitment fees on our Credit Facility was not material. The Credit Agreement, among other things, requires us to maintain a maximum total net leverage ratio of 4.5 to 1.0 and contains certain customary affirmative and negative covenants and events of default, including a change of control.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July 8, 2024, the Company entered into the First Amendment to its Credit Agreement (the “Amendment”). Among other things, the Amendment provides for a new $500 million term loan B credit facility maturing July 8, 2031, with an interest rate based on SOFR plus 2.75% (the “Term Loan B Facility”). On July 15, 2024, the Company used proceeds from the Term Loan B Facility, to fully redeem the $500 million of outstanding debt related to our 2025 Senior Notes. Refer to “Note 14: </w:t>
      </w:r>
      <w:r>
        <w:rPr>
          <w:rFonts w:ascii="Times New Roman" w:hAnsi="Times New Roman"/>
          <w:i/>
          <w:color w:val="000000"/>
          <w:sz w:val="20"/>
        </w:rPr>
        <w:t>Subsequent Events</w:t>
      </w:r>
      <w:r>
        <w:rPr>
          <w:rFonts w:ascii="Times New Roman" w:hAnsi="Times New Roman"/>
          <w:color w:val="000000"/>
          <w:sz w:val="20"/>
        </w:rPr>
        <w:t>” for more information about the Amendment and the Term Loan B Facility.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2025 Senior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both June 30, 2024 and December 31, 2023, unpaid interest on the 2025 Senior Notes of $16 million was included in accrued expenses and other current liabilities on our unaudited condensed consolidated balance sheets, and $9 million and $18 million was recorded as interest expense on our unaudited condensed consolidated statements of operations during both the three and six months ended June 30, 2024 and 2023, respectively.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July 15, 2024, as noted above, the Company redeemed all $500 million aggregate principal amount of the Company’s outstanding 2025 Senior Notes. Refer to “Note 14: </w:t>
      </w:r>
      <w:r>
        <w:rPr>
          <w:rFonts w:ascii="Times New Roman" w:hAnsi="Times New Roman"/>
          <w:i/>
          <w:color w:val="000000"/>
          <w:sz w:val="20"/>
        </w:rPr>
        <w:t xml:space="preserve">Subsequent Events” </w:t>
      </w:r>
      <w:r>
        <w:rPr>
          <w:rFonts w:ascii="Times New Roman" w:hAnsi="Times New Roman"/>
          <w:color w:val="000000"/>
          <w:sz w:val="20"/>
        </w:rPr>
        <w:t xml:space="preserve">for more information about the redemption of the 2025 Senior Notes.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2026 Senior Notes</w:t>
      </w:r>
    </w:p>
    <w:p>
      <w:pPr>
        <w:pStyle w:val="TextBody"/>
        <w:bidi w:val="0"/>
        <w:spacing w:before="240" w:after="283"/>
        <w:jc w:val="left"/>
        <w:rPr>
          <w:rFonts w:ascii="Times New Roman" w:hAnsi="Times New Roman"/>
          <w:sz w:val="20"/>
        </w:rPr>
      </w:pPr>
      <w:r>
        <w:rPr>
          <w:rFonts w:ascii="Times New Roman" w:hAnsi="Times New Roman"/>
          <w:color w:val="000000"/>
          <w:sz w:val="20"/>
        </w:rPr>
        <w:t>During the three and six months ended June 30, 2024 and 2023, our effective interest rate, including debt issuance costs, was approximately 0.40% and 0.50%, respectively, and total interest expense incurred from the 2026 Senior Notes was not material in any period</w:t>
      </w:r>
      <w:r>
        <w:rPr>
          <w:rFonts w:ascii="Times New Roman" w:hAnsi="Times New Roman"/>
          <w:color w:val="212529"/>
          <w:sz w:val="20"/>
        </w:rPr>
        <w:t xml:space="preserve">. </w:t>
      </w:r>
      <w:r>
        <w:rPr>
          <w:rFonts w:ascii="Times New Roman" w:hAnsi="Times New Roman"/>
          <w:color w:val="000000"/>
          <w:sz w:val="20"/>
        </w:rPr>
        <w:t>As of June 30, 2024 and December 31, 2023, unpaid interest on the 2026 Senior Notes was also not material.</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2C2C2C"/>
          <w:sz w:val="20"/>
        </w:rPr>
      </w:pPr>
      <w:r>
        <w:rPr>
          <w:rFonts w:ascii="Times New Roman" w:hAnsi="Times New Roman"/>
          <w:b/>
          <w:i/>
          <w:color w:val="2C2C2C"/>
          <w:sz w:val="20"/>
        </w:rPr>
        <w:t>Capped Call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at a cost of approximately $35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Capped Calls are considered indexed to our own stock and are considered equity classified under GAAP, and therefore included as a reduction to additional paid-in-capital within stockholders’ equity on the unaudited condensed consolidated balance sheets as of both June 30, 2024 and December 31, 2023. The Capped Calls are not accounted for as derivatives and their fair value is not remeasured each reporting period.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8: </w:t>
      </w:r>
      <w:r>
        <w:rPr>
          <w:rFonts w:ascii="Times New Roman" w:hAnsi="Times New Roman"/>
          <w:i/>
          <w:color w:val="000000"/>
          <w:sz w:val="20"/>
        </w:rPr>
        <w:t>Debt</w:t>
      </w:r>
      <w:r>
        <w:rPr>
          <w:rFonts w:ascii="Times New Roman" w:hAnsi="Times New Roman"/>
          <w:color w:val="000000"/>
          <w:sz w:val="20"/>
        </w:rPr>
        <w:t>” in the notes to consolidated financial statements in Item 8 of our 2023 Annual Report, for additional information pertaining to redemption, conversion, and repurchase features or terms regarding the Credit Facility, 2025 Senior Notes, 2026 Senior Notes or Capped Calls.</w:t>
      </w:r>
    </w:p>
    <w:p>
      <w:pPr>
        <w:pStyle w:val="TextBody"/>
        <w:bidi w:val="0"/>
        <w:spacing w:before="360" w:after="120"/>
        <w:jc w:val="left"/>
        <w:rPr>
          <w:rFonts w:ascii="Times New Roman" w:hAnsi="Times New Roman"/>
          <w:sz w:val="20"/>
        </w:rPr>
      </w:pPr>
      <w:r>
        <w:rPr>
          <w:rFonts w:ascii="Times New Roman" w:hAnsi="Times New Roman"/>
          <w:b/>
          <w:color w:val="000000"/>
          <w:sz w:val="20"/>
        </w:rPr>
        <w:t>NOTE 7: OTHER LONG-TERM LIABILITIES</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Other long-term liabilities consisted of the following as of the dates presented:</w:t>
      </w:r>
    </w:p>
    <w:tbl>
      <w:tblPr>
        <w:tblW w:w="7370" w:type="dxa"/>
        <w:jc w:val="left"/>
        <w:tblInd w:w="0" w:type="dxa"/>
        <w:tblLayout w:type="fixed"/>
        <w:tblCellMar>
          <w:top w:w="28" w:type="dxa"/>
          <w:left w:w="28" w:type="dxa"/>
          <w:bottom w:w="28" w:type="dxa"/>
          <w:right w:w="28" w:type="dxa"/>
        </w:tblCellMar>
      </w:tblPr>
      <w:tblGrid>
        <w:gridCol w:w="3916"/>
        <w:gridCol w:w="146"/>
        <w:gridCol w:w="375"/>
        <w:gridCol w:w="750"/>
        <w:gridCol w:w="146"/>
        <w:gridCol w:w="146"/>
        <w:gridCol w:w="499"/>
        <w:gridCol w:w="1001"/>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(1)</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gain on equity method investment (2)</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income taxes payable (3)</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Refer to “Note 8: </w:t>
      </w:r>
      <w:r>
        <w:rPr>
          <w:rFonts w:ascii="Times New Roman" w:hAnsi="Times New Roman"/>
          <w:i/>
          <w:color w:val="000000"/>
          <w:sz w:val="16"/>
        </w:rPr>
        <w:t>Income Taxes</w:t>
      </w:r>
      <w:r>
        <w:rPr>
          <w:rFonts w:ascii="Times New Roman" w:hAnsi="Times New Roman"/>
          <w:color w:val="000000"/>
          <w:sz w:val="20"/>
        </w:rPr>
        <w:t xml:space="preserve">” </w:t>
      </w:r>
      <w:r>
        <w:rPr>
          <w:rFonts w:ascii="Times New Roman" w:hAnsi="Times New Roman"/>
          <w:color w:val="000000"/>
          <w:sz w:val="16"/>
        </w:rPr>
        <w:t xml:space="preserve">for information regarding unrecognized tax benefits. Amounts include accrued interest related to this liability.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Amount relates to long-term portion of a deferred income liability recorded as a result of an equity method investment. Refer to “Note 4: </w:t>
      </w:r>
      <w:r>
        <w:rPr>
          <w:rFonts w:ascii="Times New Roman" w:hAnsi="Times New Roman"/>
          <w:i/>
          <w:color w:val="000000"/>
          <w:sz w:val="16"/>
        </w:rPr>
        <w:t>Financial Instruments and Fair Value Measurements</w:t>
      </w:r>
      <w:r>
        <w:rPr>
          <w:rFonts w:ascii="Times New Roman" w:hAnsi="Times New Roman"/>
          <w:color w:val="000000"/>
          <w:sz w:val="20"/>
        </w:rPr>
        <w:t xml:space="preserve">” </w:t>
      </w:r>
      <w:r>
        <w:rPr>
          <w:rFonts w:ascii="Times New Roman" w:hAnsi="Times New Roman"/>
          <w:color w:val="000000"/>
          <w:sz w:val="16"/>
        </w:rPr>
        <w:t>for additional information.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Amount relates to the long-term portion of transition tax payable related to the Tax Cuts and Jobs Act of 2017 (the "2017 Tax Act"), which was reclassified to current income taxes payable on our unaudited condensed consolidated balance sheet during the second quarter of 2024, reflecting its anticipated payment within the next twelve months.</w:t>
      </w:r>
    </w:p>
    <w:p>
      <w:pPr>
        <w:pStyle w:val="TextBody"/>
        <w:bidi w:val="0"/>
        <w:spacing w:before="360" w:after="283"/>
        <w:jc w:val="left"/>
        <w:rPr>
          <w:rFonts w:ascii="Times New Roman" w:hAnsi="Times New Roman"/>
          <w:sz w:val="20"/>
        </w:rPr>
      </w:pPr>
      <w:r>
        <w:rPr>
          <w:rFonts w:ascii="Times New Roman" w:hAnsi="Times New Roman"/>
          <w:b/>
          <w:color w:val="000000"/>
          <w:sz w:val="20"/>
        </w:rPr>
        <w:t>NOTE 8: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income tax provision was $14 million and $57 million for the three and six months ended June 30, 2024, respectively, and our income tax provision was $20 million and $78 million for the three and six months ended June 30, 2023, respectively. The change in our income tax provision during the six months ended June 30, 2024, when compared to the same period in 2023, was primarily the result of an Internal Revenue Service ("IRS") audit settlement for the 2014 through 2016 tax years, and an adjustment to our existing transfer pricing income tax reserves for subsequent tax years recorded during the three months ended March 31, 2024, as discussed below. Our effective tax rate for the three months ended June 30, 2024 differs from the U.S. federal statutory rate of 21%, primarily due to state taxes and unfavorable stock-based compensation tax effects. Our effective tax rate for the six months ended June 30, 2024 differs from the U.S. federal statutory rate of 21%, primarily due to the result of an IRS audit settlement as noted above.</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 reconciliation of the provision (benefit) for income taxes to the amounts computed by applying the statutory federal income tax rate to income (loss) before income taxes is as follows for the periods presented:</w:t>
      </w:r>
    </w:p>
    <w:tbl>
      <w:tblPr>
        <w:tblW w:w="7046" w:type="dxa"/>
        <w:jc w:val="left"/>
        <w:tblInd w:w="0" w:type="dxa"/>
        <w:tblLayout w:type="fixed"/>
        <w:tblCellMar>
          <w:top w:w="28" w:type="dxa"/>
          <w:left w:w="28" w:type="dxa"/>
          <w:bottom w:w="28" w:type="dxa"/>
          <w:right w:w="28" w:type="dxa"/>
        </w:tblCellMar>
      </w:tblPr>
      <w:tblGrid>
        <w:gridCol w:w="4666"/>
        <w:gridCol w:w="146"/>
        <w:gridCol w:w="306"/>
        <w:gridCol w:w="458"/>
        <w:gridCol w:w="240"/>
        <w:gridCol w:w="211"/>
        <w:gridCol w:w="306"/>
        <w:gridCol w:w="502"/>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2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 at the federal statutory rate</w:t>
            </w:r>
          </w:p>
        </w:tc>
        <w:tc>
          <w:tcPr>
            <w:tcW w:w="146" w:type="dxa"/>
            <w:tcBorders/>
            <w:shd w:fill="CFF0FC" w:val="clear"/>
            <w:vAlign w:val="center"/>
          </w:tcPr>
          <w:p>
            <w:pPr>
              <w:pStyle w:val="TableContents"/>
              <w:bidi w:val="0"/>
              <w:spacing w:before="0" w:after="283"/>
              <w:jc w:val="center"/>
              <w:rPr/>
            </w:pPr>
            <w:r>
              <w:rPr/>
              <w:t> </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40"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CFF0FC" w:val="cle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effect of federal tax benefit</w:t>
            </w:r>
          </w:p>
        </w:tc>
        <w:tc>
          <w:tcPr>
            <w:tcW w:w="146" w:type="dxa"/>
            <w:tcBorders/>
            <w:shd w:fill="FFFFFF" w:val="clear"/>
            <w:vAlign w:val="center"/>
          </w:tcPr>
          <w:p>
            <w:pPr>
              <w:pStyle w:val="TableContents"/>
              <w:bidi w:val="0"/>
              <w:spacing w:before="0" w:after="283"/>
              <w:jc w:val="center"/>
              <w:rPr/>
            </w:pPr>
            <w:r>
              <w:rPr/>
              <w:t> </w:t>
            </w:r>
          </w:p>
        </w:tc>
        <w:tc>
          <w:tcPr>
            <w:tcW w:w="306"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30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vAlign w:val="center"/>
          </w:tcPr>
          <w:p>
            <w:pPr>
              <w:pStyle w:val="TableContents"/>
              <w:bidi w:val="0"/>
              <w:spacing w:before="0" w:after="283"/>
              <w:jc w:val="left"/>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and related interest</w:t>
            </w:r>
          </w:p>
        </w:tc>
        <w:tc>
          <w:tcPr>
            <w:tcW w:w="146" w:type="dxa"/>
            <w:tcBorders/>
            <w:shd w:fill="CFF0FC" w:val="clear"/>
            <w:vAlign w:val="center"/>
          </w:tcPr>
          <w:p>
            <w:pPr>
              <w:pStyle w:val="TableContents"/>
              <w:bidi w:val="0"/>
              <w:spacing w:before="0" w:after="283"/>
              <w:jc w:val="center"/>
              <w:rPr/>
            </w:pPr>
            <w:r>
              <w:rPr/>
              <w:t> </w:t>
            </w:r>
          </w:p>
        </w:tc>
        <w:tc>
          <w:tcPr>
            <w:tcW w:w="30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0"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30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center"/>
              <w:rPr/>
            </w:pPr>
            <w:r>
              <w:rPr/>
              <w:t> </w:t>
            </w:r>
          </w:p>
        </w:tc>
        <w:tc>
          <w:tcPr>
            <w:tcW w:w="306"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4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30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vAlign w:val="center"/>
          </w:tcPr>
          <w:p>
            <w:pPr>
              <w:pStyle w:val="TableContents"/>
              <w:bidi w:val="0"/>
              <w:spacing w:before="0" w:after="283"/>
              <w:jc w:val="left"/>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tax credit</w:t>
            </w:r>
          </w:p>
        </w:tc>
        <w:tc>
          <w:tcPr>
            <w:tcW w:w="146" w:type="dxa"/>
            <w:tcBorders/>
            <w:shd w:fill="CFF0FC" w:val="clear"/>
            <w:vAlign w:val="center"/>
          </w:tcPr>
          <w:p>
            <w:pPr>
              <w:pStyle w:val="TableContents"/>
              <w:bidi w:val="0"/>
              <w:spacing w:before="0" w:after="283"/>
              <w:jc w:val="center"/>
              <w:rPr/>
            </w:pPr>
            <w:r>
              <w:rPr/>
              <w:t> </w:t>
            </w:r>
          </w:p>
        </w:tc>
        <w:tc>
          <w:tcPr>
            <w:tcW w:w="30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center"/>
              <w:rPr/>
            </w:pPr>
            <w:r>
              <w:rPr/>
              <w:t> </w:t>
            </w:r>
          </w:p>
        </w:tc>
        <w:tc>
          <w:tcPr>
            <w:tcW w:w="30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vAlign w:val="center"/>
          </w:tcPr>
          <w:p>
            <w:pPr>
              <w:pStyle w:val="TableContents"/>
              <w:bidi w:val="0"/>
              <w:spacing w:before="0" w:after="283"/>
              <w:jc w:val="center"/>
              <w:rPr/>
            </w:pPr>
            <w:r>
              <w:rPr/>
              <w:t> </w:t>
            </w:r>
          </w:p>
        </w:tc>
        <w:tc>
          <w:tcPr>
            <w:tcW w:w="306"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center"/>
              <w:rPr/>
            </w:pPr>
            <w:r>
              <w:rPr/>
              <w:t> </w:t>
            </w:r>
          </w:p>
        </w:tc>
        <w:tc>
          <w:tcPr>
            <w:tcW w:w="30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vAlign w:val="center"/>
          </w:tcPr>
          <w:p>
            <w:pPr>
              <w:pStyle w:val="TableContents"/>
              <w:bidi w:val="0"/>
              <w:spacing w:before="0" w:after="283"/>
              <w:jc w:val="left"/>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IRS audit settlement</w:t>
            </w:r>
          </w:p>
        </w:tc>
        <w:tc>
          <w:tcPr>
            <w:tcW w:w="146" w:type="dxa"/>
            <w:tcBorders/>
            <w:shd w:fill="CFF0FC" w:val="clear"/>
            <w:vAlign w:val="center"/>
          </w:tcPr>
          <w:p>
            <w:pPr>
              <w:pStyle w:val="TableContents"/>
              <w:bidi w:val="0"/>
              <w:spacing w:before="0" w:after="283"/>
              <w:jc w:val="center"/>
              <w:rPr/>
            </w:pPr>
            <w:r>
              <w:rPr/>
              <w:t> </w:t>
            </w:r>
          </w:p>
        </w:tc>
        <w:tc>
          <w:tcPr>
            <w:tcW w:w="30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40"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30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CFF0FC" w:val="cle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pricing reserves adjustment</w:t>
            </w:r>
          </w:p>
        </w:tc>
        <w:tc>
          <w:tcPr>
            <w:tcW w:w="146" w:type="dxa"/>
            <w:tcBorders/>
            <w:shd w:fill="FFFFFF" w:val="clear"/>
            <w:vAlign w:val="center"/>
          </w:tcPr>
          <w:p>
            <w:pPr>
              <w:pStyle w:val="TableContents"/>
              <w:bidi w:val="0"/>
              <w:spacing w:before="0" w:after="283"/>
              <w:jc w:val="center"/>
              <w:rPr/>
            </w:pPr>
            <w:r>
              <w:rPr/>
              <w:t> </w:t>
            </w:r>
          </w:p>
        </w:tc>
        <w:tc>
          <w:tcPr>
            <w:tcW w:w="306"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center"/>
              <w:rPr/>
            </w:pPr>
            <w:r>
              <w:rPr/>
              <w:t> </w:t>
            </w:r>
          </w:p>
        </w:tc>
        <w:tc>
          <w:tcPr>
            <w:tcW w:w="30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FFFFFF" w:val="clear"/>
            <w:vAlign w:val="center"/>
          </w:tcPr>
          <w:p>
            <w:pPr>
              <w:pStyle w:val="TableContents"/>
              <w:bidi w:val="0"/>
              <w:spacing w:before="0" w:after="283"/>
              <w:jc w:val="left"/>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vAlign w:val="center"/>
          </w:tcPr>
          <w:p>
            <w:pPr>
              <w:pStyle w:val="TableContents"/>
              <w:bidi w:val="0"/>
              <w:spacing w:before="0" w:after="283"/>
              <w:jc w:val="center"/>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center"/>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vAlign w:val="center"/>
          </w:tcPr>
          <w:p>
            <w:pPr>
              <w:pStyle w:val="TableContents"/>
              <w:bidi w:val="0"/>
              <w:spacing w:before="0" w:after="283"/>
              <w:jc w:val="center"/>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center"/>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accounting policy is to recognize accrued interest and penalties related to unrecognized tax benefits and income tax liabilities as part of our income tax expense. As of June 30, 2024, we had an accrued interest liability of $19 million, which was included in unrecognized tax benefits in other long-term liabilities on our unaudited condensed consolidated balance sheet, and no penalties were accrued.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under examination by the IRS for the 2014 through 2016 and 2018 tax years and have various ongoing audits for foreign and state income tax returns. These audits include questions regarding or review of the timing and amount of income and deductions and the allocation of income among various tax jurisdictions. These examinations may lead to proposed or ordinary course adjustments to our taxes. As of June 30, 2024, no material assessments have resulted, except as noted below regarding our 2014 through 2016 standalone IRS audit, and our 2012 through 2016 HM Revenue &amp; Customs (“HMRC”) audit.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disclosed in our 2023 Annual Report, we received Notices of Proposed Adjustments ("NOPA") from the IRS for the 2014 through 2016 tax years relating to certain transfer pricing arrangements with our foreign subsidiaries. In response, we requested competent authority assistance under the Mutual Agreement Procedure (“MAP”) for the 2014 through 2016 tax years. In January 2024, we received notification of a MAP resolution agreement for the 2014 through 2016 tax years, which we accepted in February 2024. During the six months ended June 30, 2024, we recorded additional income tax expense as a discrete item, inclusive of interest, of $45 million related to this settlement on our unaudited condensed consolidated statement of operations, including $46 million recorded during the first quarter of 2024. We reviewed the impact of the acceptance of this settlement position against our existing transfer pricing income tax reserves for the subsequent open tax years during the first quarter of 2024, which resulted in an income tax benefit, inclusive of estimated interest, of $4 million. During the three months ended June 30, 2024, we made a payment to the IRS of $141 million, inclusive of estimated interest, to satisfy this audit settlement. We anticipate a competent authority refund from a foreign jurisdiction and certain federal tax benefits, net of state tax payments due, associated with this IRS audit settlement which will be substantially settled in the next twelve months, resulting in an estimated net cash inflow of $25 million to $35 million, inclusive of related interest. This anticipated refund is reflected in the current income taxes receivable balance of $45 million, partially offset by a lesser amount in income taxes payable consisting of anticipated state tax payments on our unaudited condensed consolidated balance sheet as of June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had recorded $153 million of unrecognized tax benefits, inclusive of interest, classified as other long-term liabilities on our unaudited condensed consolidated balance sheet. As a result of our acceptance of MAP with the IRS for the 2014 through 2016 tax years, and its impact on other ongoing IRS audits, as described above, we reduced this unrecognized tax benefits liability by $79 million during the three months ended March 31, 2024 by reclassifying this balance to current income taxes payable on our unaudited condensed consolidated balance sheet, representing a short-term payment obligation to the IRS, which was subsequently paid during the three months ended June 30, 2024, as noted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disclosed in our 2023 Annual Report, we received a NOPA from the IRS for the 2009 through 2011 tax years relating to certain transfer pricing arrangements with our foreign subsidiaries. In response, we also requested competent authority assistance under MAP for the 2009 through 2011 tax years. In January 2023, we received a final notice from the IRS regarding a MAP resolution agreement for the 2009 through 2011 tax years, which the Company accepted in February 2023. In the first quarter of 2023, we recorded additional income tax expense as a discrete item, inclusive of interest, of $31 million specifically related to this settlement on our unaudited condensed consolidated statement of operations. We reviewed the impact of the acceptance of this settlement position against our existing transfer pricing income tax reserves for the subsequent tax years at that time during the first quarter of 2023, which resulted in incremental income tax expense, inclusive of estimated interest, of $24 million. The total impact of these adjustments resulted in an incremental income tax expense on our unaudited condensed consolidated statement of operations of $55</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million for the three months ended March 31, 2023. During the three months ended June 30, 2023, we made a U.S. federal tax payment of $113 million, inclusive of interest, to Expedia related to this IRS audit settlement, pursuant to the Tax Sharing Agreement with Expedia.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2021, we received from HMRC an issue closure notice relating to adjustments for the 2012 through 2016 tax years. These proposed adjustments are related to certain transfer pricing arrangements with our foreign subsidiaries and would result in an increase to our worldwide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w:t>
      </w:r>
    </w:p>
    <w:p>
      <w:pPr>
        <w:pStyle w:val="TextBody"/>
        <w:bidi w:val="0"/>
        <w:spacing w:before="360" w:after="283"/>
        <w:jc w:val="left"/>
        <w:rPr>
          <w:rFonts w:ascii="Times New Roman" w:hAnsi="Times New Roman"/>
          <w:sz w:val="20"/>
        </w:rPr>
      </w:pPr>
      <w:r>
        <w:rPr>
          <w:rFonts w:ascii="Times New Roman" w:hAnsi="Times New Roman"/>
          <w:b/>
          <w:color w:val="000000"/>
          <w:sz w:val="20"/>
        </w:rPr>
        <w:t>NOTE 9: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June 30, 2024, there have been no material changes to our commitments and contingencies since December 31, 2023, except as discussed below. Refer to “Note 12: </w:t>
      </w:r>
      <w:r>
        <w:rPr>
          <w:rFonts w:ascii="Times New Roman" w:hAnsi="Times New Roman"/>
          <w:i/>
          <w:color w:val="000000"/>
          <w:sz w:val="20"/>
        </w:rPr>
        <w:t>Commitments and Contingencies</w:t>
      </w:r>
      <w:r>
        <w:rPr>
          <w:rFonts w:ascii="Times New Roman" w:hAnsi="Times New Roman"/>
          <w:color w:val="000000"/>
          <w:sz w:val="20"/>
        </w:rPr>
        <w:t>,” in the notes to our consolidated financial statements in Item 8 of our 2023 Annual Report.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and alleged infringement of third-party intellectual property rights), tax matters (including value-added, excise, transient occupancy and accommodation taxes), regulatory compliance (including competition, consumer protection matters and data privacy or cybersecurity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in “Note 8: </w:t>
      </w:r>
      <w:r>
        <w:rPr>
          <w:rFonts w:ascii="Times New Roman" w:hAnsi="Times New Roman"/>
          <w:i/>
          <w:color w:val="000000"/>
          <w:sz w:val="20"/>
        </w:rPr>
        <w:t>Income Taxes</w:t>
      </w:r>
      <w:r>
        <w:rPr>
          <w:rFonts w:ascii="Times New Roman" w:hAnsi="Times New Roman"/>
          <w:color w:val="000000"/>
          <w:sz w:val="20"/>
        </w:rPr>
        <w:t>.”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under audit by the IRS and various other domestic and foreign tax authorities with regards to income tax matters. We have reserved for potential losses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8: </w:t>
      </w:r>
      <w:r>
        <w:rPr>
          <w:rFonts w:ascii="Times New Roman" w:hAnsi="Times New Roman"/>
          <w:i/>
          <w:color w:val="000000"/>
          <w:sz w:val="20"/>
        </w:rPr>
        <w:t>Income Taxes</w:t>
      </w:r>
      <w:r>
        <w:rPr>
          <w:rFonts w:ascii="Times New Roman" w:hAnsi="Times New Roman"/>
          <w:color w:val="000000"/>
          <w:sz w:val="20"/>
        </w:rPr>
        <w:t>” for further information on potential contingencies pertaining to current income tax audits.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we have an accrual in the amount of $10 million in accrued expenses and other current liabilities in our unaudited condensed consolidated balance sheet, as an estimated potential settlement of a regulatory related matter within our alternative accommodation rentals offering. This amount was accrued during the three months ended March 31, 2024, and is included in general and administrative expenses in our unaudited condensed consolidated statements of operations for the six months ended June 30, 2024. This accrual is based on our best estimate of probable loss; the ultimate resolution of this contingency may be greater or less than the liability recorded.</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10: STOCK BASED AWARDS AND OTHER EQUITY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Stock-Based Compensation Expense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the amount of stock-based compensation expense and the related income tax benefit included in our unaudited condensed consolidated statements of operations during the periods presented: </w:t>
      </w:r>
    </w:p>
    <w:tbl>
      <w:tblPr>
        <w:tblW w:w="8020" w:type="dxa"/>
        <w:jc w:val="left"/>
        <w:tblInd w:w="0" w:type="dxa"/>
        <w:tblLayout w:type="fixed"/>
        <w:tblCellMar>
          <w:top w:w="28" w:type="dxa"/>
          <w:left w:w="28" w:type="dxa"/>
          <w:bottom w:w="28" w:type="dxa"/>
          <w:right w:w="28" w:type="dxa"/>
        </w:tblCellMar>
      </w:tblPr>
      <w:tblGrid>
        <w:gridCol w:w="4306"/>
        <w:gridCol w:w="146"/>
        <w:gridCol w:w="241"/>
        <w:gridCol w:w="361"/>
        <w:gridCol w:w="189"/>
        <w:gridCol w:w="166"/>
        <w:gridCol w:w="241"/>
        <w:gridCol w:w="361"/>
        <w:gridCol w:w="166"/>
        <w:gridCol w:w="146"/>
        <w:gridCol w:w="211"/>
        <w:gridCol w:w="376"/>
        <w:gridCol w:w="166"/>
        <w:gridCol w:w="146"/>
        <w:gridCol w:w="211"/>
        <w:gridCol w:w="376"/>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8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tax benefit from stock-based compensation</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 net of tax</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capitalized $3 million and $6 million of stock-based compensation expense as website development costs during the three and six months ended June 30, 2024, respectively, and $3 million and $5 million during the three and six months ended June 30, 2023,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Stock-Based Award Activity and Valuation </w:t>
      </w:r>
    </w:p>
    <w:p>
      <w:pPr>
        <w:pStyle w:val="TextBody"/>
        <w:bidi w:val="0"/>
        <w:spacing w:before="120" w:after="283"/>
        <w:jc w:val="left"/>
        <w:rPr>
          <w:rFonts w:ascii="Times New Roman" w:hAnsi="Times New Roman"/>
          <w:sz w:val="20"/>
        </w:rPr>
      </w:pPr>
      <w:r>
        <w:rPr>
          <w:rFonts w:ascii="Times New Roman" w:hAnsi="Times New Roman"/>
          <w:b/>
          <w:i/>
          <w:color w:val="000000"/>
          <w:sz w:val="20"/>
        </w:rPr>
        <w:t>2024 Stock Option Activity</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 summary of our stock option activity, consisting of service-based non-qualified stock options, is presented below: </w:t>
      </w:r>
    </w:p>
    <w:tbl>
      <w:tblPr>
        <w:tblW w:w="9351" w:type="dxa"/>
        <w:jc w:val="left"/>
        <w:tblInd w:w="0" w:type="dxa"/>
        <w:tblLayout w:type="fixed"/>
        <w:tblCellMar>
          <w:top w:w="28" w:type="dxa"/>
          <w:left w:w="28" w:type="dxa"/>
          <w:bottom w:w="28" w:type="dxa"/>
          <w:right w:w="28" w:type="dxa"/>
        </w:tblCellMar>
      </w:tblPr>
      <w:tblGrid>
        <w:gridCol w:w="4246"/>
        <w:gridCol w:w="146"/>
        <w:gridCol w:w="228"/>
        <w:gridCol w:w="897"/>
        <w:gridCol w:w="166"/>
        <w:gridCol w:w="146"/>
        <w:gridCol w:w="214"/>
        <w:gridCol w:w="582"/>
        <w:gridCol w:w="146"/>
        <w:gridCol w:w="146"/>
        <w:gridCol w:w="284"/>
        <w:gridCol w:w="707"/>
        <w:gridCol w:w="146"/>
        <w:gridCol w:w="146"/>
        <w:gridCol w:w="362"/>
        <w:gridCol w:w="598"/>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2023</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(1)</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or expired</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9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June 30, 2024</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2024</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84"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after June 30, 2024 (2)</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sz w:val="20"/>
        </w:rPr>
      </w:pPr>
      <w:r>
        <w:rPr>
          <w:rFonts w:ascii="Times New Roman" w:hAnsi="Times New Roman"/>
          <w:color w:val="000000"/>
          <w:sz w:val="16"/>
        </w:rPr>
        <w:t>Inclusive of approximately</w:t>
      </w:r>
      <w:r>
        <w:rPr>
          <w:rFonts w:ascii="Times New Roman" w:hAnsi="Times New Roman"/>
          <w:color w:val="000000"/>
          <w:sz w:val="20"/>
        </w:rPr>
        <w:t xml:space="preserve"> </w:t>
      </w:r>
      <w:r>
        <w:rPr>
          <w:rFonts w:ascii="Times New Roman" w:hAnsi="Times New Roman"/>
          <w:color w:val="000000"/>
          <w:sz w:val="16"/>
        </w:rPr>
        <w:t>67,000</w:t>
      </w:r>
      <w:r>
        <w:rPr>
          <w:rFonts w:ascii="Times New Roman" w:hAnsi="Times New Roman"/>
          <w:color w:val="000000"/>
          <w:sz w:val="20"/>
        </w:rPr>
        <w:t xml:space="preserve"> </w:t>
      </w:r>
      <w:r>
        <w:rPr>
          <w:rFonts w:ascii="Times New Roman" w:hAnsi="Times New Roman"/>
          <w:color w:val="000000"/>
          <w:sz w:val="16"/>
        </w:rPr>
        <w:t>stock options withheld due to net share settlement to satisfy required employee tax withholding requirements. Potential shares which had been convertible under stock options that were withheld under net share settlement remain in the authorized but unissued pool under the Tripadvisor, Inc. 2023 Stock and Annual Incentive Plan (the “2023 Plan”) and can be reissued by the Company. Total payments for the employees’ tax obligations to the taxing authorities due to net share settlements are reflected as a financing activity within the consolidated statements of cash flows.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The Company accounts for forfeitures as they occur, rather than estimate expected forfeitures as allowed under GAAP and therefore does not include a forfeiture rate in our vested and expected to vest calculation unless necessary for a performance condition award.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weighted-average grant date fair value of stock options issued during the six months ended June 30, 2024 and 2023, using a Black-Scholes Merton option-pricing model, was $13.64 and $10.46, respectively. The total fair value of stock options vested was $4 million for both the six months ended June 30, 2024 and 2023, respectively. Aggregate intrinsic value represents the difference between the closing stock price of our common stock and the exercise price of outstanding, in-the-money options. Our closing stock price as reported on Nasdaq as of June 30, 2024 was $17.81. The total intrinsic value of stock options exercised was not material for the six months ended June 30, 2024 and 2023.</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left"/>
        <w:rPr>
          <w:rFonts w:ascii="Times New Roman" w:hAnsi="Times New Roman"/>
          <w:sz w:val="20"/>
        </w:rPr>
      </w:pPr>
      <w:r>
        <w:rPr>
          <w:rFonts w:ascii="Times New Roman" w:hAnsi="Times New Roman"/>
          <w:b/>
          <w:i/>
          <w:color w:val="000000"/>
          <w:sz w:val="20"/>
        </w:rPr>
        <w:t>2024 Restricted Stock Units ("RSUs")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summary of our RSUs activity, consisting of service-based vesting terms, is presented below:</w:t>
      </w:r>
    </w:p>
    <w:tbl>
      <w:tblPr>
        <w:tblW w:w="8757" w:type="dxa"/>
        <w:jc w:val="left"/>
        <w:tblInd w:w="0" w:type="dxa"/>
        <w:tblLayout w:type="fixed"/>
        <w:tblCellMar>
          <w:top w:w="28" w:type="dxa"/>
          <w:left w:w="28" w:type="dxa"/>
          <w:bottom w:w="28" w:type="dxa"/>
          <w:right w:w="28" w:type="dxa"/>
        </w:tblCellMar>
      </w:tblPr>
      <w:tblGrid>
        <w:gridCol w:w="4441"/>
        <w:gridCol w:w="146"/>
        <w:gridCol w:w="199"/>
        <w:gridCol w:w="926"/>
        <w:gridCol w:w="166"/>
        <w:gridCol w:w="146"/>
        <w:gridCol w:w="347"/>
        <w:gridCol w:w="943"/>
        <w:gridCol w:w="146"/>
        <w:gridCol w:w="146"/>
        <w:gridCol w:w="319"/>
        <w:gridCol w:w="641"/>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vAlign w:val="center"/>
          </w:tcPr>
          <w:p>
            <w:pPr>
              <w:pStyle w:val="TableContents"/>
              <w:bidi w:val="0"/>
              <w:spacing w:before="0" w:after="283"/>
              <w:jc w:val="center"/>
              <w:rPr/>
            </w:pPr>
            <w:r>
              <w:rPr/>
              <w:t> </w:t>
            </w:r>
          </w:p>
        </w:tc>
      </w:tr>
      <w:tr>
        <w:trPr/>
        <w:tc>
          <w:tcPr>
            <w:tcW w:w="4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vAlign w:val="center"/>
          </w:tcPr>
          <w:p>
            <w:pPr>
              <w:pStyle w:val="TableContents"/>
              <w:bidi w:val="0"/>
              <w:spacing w:before="0" w:after="283"/>
              <w:jc w:val="center"/>
              <w:rPr/>
            </w:pPr>
            <w:r>
              <w:rPr/>
              <w:t> </w:t>
            </w:r>
          </w:p>
        </w:tc>
      </w:tr>
      <w:tr>
        <w:trPr/>
        <w:tc>
          <w:tcPr>
            <w:tcW w:w="4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4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as of December 31, 2023</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released (1)</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9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as of June 30, 2024 (2)</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Inclusive of approximately 620,000</w:t>
      </w:r>
      <w:r>
        <w:rPr>
          <w:rFonts w:ascii="Times New Roman" w:hAnsi="Times New Roman"/>
          <w:color w:val="000000"/>
          <w:sz w:val="20"/>
        </w:rPr>
        <w:t xml:space="preserve"> </w:t>
      </w:r>
      <w:r>
        <w:rPr>
          <w:rFonts w:ascii="Times New Roman" w:hAnsi="Times New Roman"/>
          <w:color w:val="000000"/>
          <w:sz w:val="16"/>
        </w:rPr>
        <w:t>RSUs withheld due to net share settlement to satisfy required employee tax withholding requirements. Potential shares which had been convertible under RSUs that were withheld under net share settlement remain in the authorized but unissued pool under the 2023 Plan and can be reissued by the Company. Total payments for the employees’ tax obligations to the taxing authorities due to net share settlements are reflected as a financing activity within the consolidated statements of cash flows.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The Company accounts for forfeitures as they occur, rather than estimate expected forfeitures as allowed under GAAP and therefore does not include a forfeiture rate in our vested and expected to vest calculation unless necessary for a performance condition award.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RSUs are measured at fair value based on the quoted price of our common stock at the date of grant. We amortize the grant-date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 The total fair value of RSUs vested was $68 million and $71 million for the six months ended June 30, 2024 and 2023, respectively.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 summary of our performance-based RSUs ("PSUs") and market-based RSUs (“MSUs”) activity is presented below:</w:t>
      </w:r>
    </w:p>
    <w:tbl>
      <w:tblPr>
        <w:tblW w:w="10205" w:type="dxa"/>
        <w:jc w:val="left"/>
        <w:tblInd w:w="0" w:type="dxa"/>
        <w:tblLayout w:type="fixed"/>
        <w:tblCellMar>
          <w:top w:w="28" w:type="dxa"/>
          <w:left w:w="28" w:type="dxa"/>
          <w:bottom w:w="28" w:type="dxa"/>
          <w:right w:w="28" w:type="dxa"/>
        </w:tblCellMar>
      </w:tblPr>
      <w:tblGrid>
        <w:gridCol w:w="3067"/>
        <w:gridCol w:w="146"/>
        <w:gridCol w:w="1080"/>
        <w:gridCol w:w="146"/>
        <w:gridCol w:w="1101"/>
        <w:gridCol w:w="146"/>
        <w:gridCol w:w="926"/>
        <w:gridCol w:w="146"/>
        <w:gridCol w:w="1080"/>
        <w:gridCol w:w="146"/>
        <w:gridCol w:w="1101"/>
        <w:gridCol w:w="146"/>
        <w:gridCol w:w="974"/>
      </w:tblGrid>
      <w:tr>
        <w:trPr/>
        <w:tc>
          <w:tcPr>
            <w:tcW w:w="3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30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PSUs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MSUs </w:t>
            </w:r>
            <w:r>
              <w:rPr>
                <w:rFonts w:ascii="Times New Roman" w:hAnsi="Times New Roman"/>
                <w:b/>
                <w:color w:val="000000"/>
                <w:sz w:val="12"/>
              </w:rPr>
              <w:t>(2)</w:t>
            </w:r>
          </w:p>
        </w:tc>
      </w:tr>
      <w:tr>
        <w:trPr/>
        <w:tc>
          <w:tcPr>
            <w:tcW w:w="30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0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0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r>
      <w:tr>
        <w:trPr/>
        <w:tc>
          <w:tcPr>
            <w:tcW w:w="30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0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0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r>
      <w:tr>
        <w:trPr/>
        <w:tc>
          <w:tcPr>
            <w:tcW w:w="30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46"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r>
      <w:tr>
        <w:trPr/>
        <w:tc>
          <w:tcPr>
            <w:tcW w:w="30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46"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r>
      <w:tr>
        <w:trPr/>
        <w:tc>
          <w:tcPr>
            <w:tcW w:w="30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r>
      <w:tr>
        <w:trPr/>
        <w:tc>
          <w:tcPr>
            <w:tcW w:w="30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r>
      <w:tr>
        <w:trPr/>
        <w:tc>
          <w:tcPr>
            <w:tcW w:w="30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as of December 31, 2023</w:t>
            </w:r>
          </w:p>
        </w:tc>
        <w:tc>
          <w:tcPr>
            <w:tcW w:w="146"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46"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r>
      <w:tr>
        <w:trPr/>
        <w:tc>
          <w:tcPr>
            <w:tcW w:w="30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0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left"/>
              <w:rPr/>
            </w:pPr>
            <w:r>
              <w:rPr/>
              <w:t> </w:t>
            </w:r>
          </w:p>
        </w:tc>
      </w:tr>
      <w:tr>
        <w:trPr/>
        <w:tc>
          <w:tcPr>
            <w:tcW w:w="30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46"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46"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r>
      <w:tr>
        <w:trPr/>
        <w:tc>
          <w:tcPr>
            <w:tcW w:w="30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as of June 30, 2024</w:t>
            </w:r>
          </w:p>
        </w:tc>
        <w:tc>
          <w:tcPr>
            <w:tcW w:w="146" w:type="dxa"/>
            <w:tcBorders/>
            <w:shd w:fill="CFF0FC" w:val="clear"/>
            <w:vAlign w:val="center"/>
          </w:tcPr>
          <w:p>
            <w:pPr>
              <w:pStyle w:val="TableContents"/>
              <w:bidi w:val="0"/>
              <w:spacing w:before="0" w:after="283"/>
              <w:jc w:val="left"/>
              <w:rPr/>
            </w:pPr>
            <w:r>
              <w:rPr/>
              <w:t> </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146"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46"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sz w:val="20"/>
        </w:rPr>
      </w:pPr>
      <w:r>
        <w:rPr>
          <w:rFonts w:ascii="Times New Roman" w:hAnsi="Times New Roman"/>
          <w:color w:val="000000"/>
          <w:sz w:val="16"/>
        </w:rPr>
        <w:t>Represents PSUs awarded in February 2023 and March 2024. The February 2023 PSU awards provide for vesting in two equal annual installments on each of December 31, 2024 and December 31, 2025, if and to the extent the Company achieves pre-determined revenue and adjusted EBITDA metrics (each weighted 50%) established by the Compensation Committee and Section 16 Committee of its Board of Directors (jointly, the "Compensation Committees"). The March 2024 PSU awards provide for vesting in two equal annual installments on each of December 31, 2025 and December 31, 2026, if and to the extent the Company achieves pre-determined revenue and adjusted EBITDA metrics (each weighted 50%) established by the Compensation Committees. The estimated grant-date fair values per PSU were measured based on the quoted price of our common stock at the date of grant, calculated upon the establishment of performance targets, and will be amortized on a straight-line basis over the requisite service period.</w:t>
      </w:r>
      <w:r>
        <w:rPr>
          <w:rFonts w:ascii="Times New Roman" w:hAnsi="Times New Roman"/>
          <w:color w:val="000000"/>
          <w:sz w:val="20"/>
        </w:rPr>
        <w:t xml:space="preserve"> </w:t>
      </w:r>
      <w:r>
        <w:rPr>
          <w:rFonts w:ascii="Times New Roman" w:hAnsi="Times New Roman"/>
          <w:color w:val="000000"/>
          <w:sz w:val="16"/>
        </w:rPr>
        <w:t>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MSUs shall vest three years from grant date, generally with 25% vesting if the weighted-average stock price over a 30 day trading period during the vesting period is equal to or greater than $35.00 but less than $45.00, 50% vesting if equal to or greater than $45.00 but less than $55.00; and 100% vesting if equal to or greater than $55.00, subject to continuous employment with, or performance of services for, the Company. A Monte-Carlo simulation model, which simulated the present value of the potential outcomes of future stock prices was used to calculate the grant-date fair value of our MSU awards. The estimated grant-date fair value of these awards is amortized on a straight-line basis over the requisite service period and is not adjusted based on the actual number of awards that ultimately vest.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current income tax benefits associated with the exercise or settlement of Tripadvisor stock-based awards held by our employees was $4 million and $7 million during the three and six months ended June 30, 2024, respectively, and $3 million and $6 million during the three and six months ended June 30,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2024, total unrecognized compensation cost related to stock-based awards, substantially RSUs, was $307 million, which the Company expects to recognize over a weighted-average period of 2.8 years.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STOCKHOLDERS’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7, 2023, our Board of Directors authorized the repurchase of $250 million in shares of our common stock under a share repurchase program. Our Board of Directors authorized and directed management, working with the Executive Committee of our Board of Directors, to affect the share repurchase program in compliance with applicable legal requirements. The Executive Committee will determine the price, timing, amount and method of such repurchases based on its evaluation of market conditions and other factors, and at prices determined to be attractive and in the best interests of both the Company and its stockholders. This share repurchase program, which has a term of two years, does not obligate the Company to acquire any particular number of shares and may be modified, suspended or discontinued at any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2024, we repurchased 1,366,385 shares of our outstanding common stock at an average price of $18.28 per share, exclusive of fees and commissions, or $25 million in the aggregate. As of June 30, 2024, the Company had $200 million remaining available to repurchase shares of its common stock under this share repurchase program. During the three months ended June 30, 2023, we repurchased 4,724,729 shares of our outstanding common stock at an average price of $15.85 per share, exclusive of fees and commissions, or $75 million in the aggregate, which completed a previous share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2024 and 2023, any excise tax on share repurchases was not material.</w:t>
      </w:r>
    </w:p>
    <w:p>
      <w:pPr>
        <w:pStyle w:val="TextBody"/>
        <w:bidi w:val="0"/>
        <w:spacing w:before="360" w:after="283"/>
        <w:jc w:val="left"/>
        <w:rPr>
          <w:rFonts w:ascii="Times New Roman" w:hAnsi="Times New Roman"/>
          <w:sz w:val="20"/>
        </w:rPr>
      </w:pPr>
      <w:r>
        <w:rPr>
          <w:rFonts w:ascii="Times New Roman" w:hAnsi="Times New Roman"/>
          <w:b/>
          <w:color w:val="000000"/>
          <w:sz w:val="20"/>
        </w:rPr>
        <w:t>NOTE 12: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compute basic earnings per share ("Basic EPS") by dividing net income (loss) by the weighted average number of common shares outstanding during the period. We compute diluted earnings per share ("Diluted EPS") by dividing net income (loss) by the sum of the weighted average number of common shares outstanding including the dilutive effect of stock-based awards as determined under the treasury stock method and of the 2026 Senior Notes using the if-converted method, as share settlement is presumed, under GAAP. In periods when we recognize a net loss, we exclude the impact of outstanding stock-based awards and the potential share settlement impact related to the 2026 Senior Notes from the Diluted EPS calculation as their inclusion would have an antidilutive effect. Accordingly, for periods in which we report a net loss, such as for the six months ended June 30, 2024 and 2023, Diluted EPS is the same as Basic EPS since dilutive common equivalent shares are not assumed to have been issued if their effect is antidilutive.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Additionally, in periods when the 2026 Senior Notes are dilutive, interest expense, net of tax, is added back to net income (loss) (the “numerator”) to calculate Diluted EPS.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June 30, 2024 and 2023, the market price of a share of our common stock did not exceed the $107.36 cap price.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Below is a reconciliation of the weighted average number of shares of common stock outstanding used in calculating Diluted EPS for the periods presented: </w:t>
      </w:r>
    </w:p>
    <w:tbl>
      <w:tblPr>
        <w:tblW w:w="10205" w:type="dxa"/>
        <w:jc w:val="left"/>
        <w:tblInd w:w="0" w:type="dxa"/>
        <w:tblLayout w:type="fixed"/>
        <w:tblCellMar>
          <w:top w:w="28" w:type="dxa"/>
          <w:left w:w="28" w:type="dxa"/>
          <w:bottom w:w="28" w:type="dxa"/>
          <w:right w:w="28" w:type="dxa"/>
        </w:tblCellMar>
      </w:tblPr>
      <w:tblGrid>
        <w:gridCol w:w="4204"/>
        <w:gridCol w:w="546"/>
        <w:gridCol w:w="211"/>
        <w:gridCol w:w="781"/>
        <w:gridCol w:w="146"/>
        <w:gridCol w:w="146"/>
        <w:gridCol w:w="211"/>
        <w:gridCol w:w="781"/>
        <w:gridCol w:w="146"/>
        <w:gridCol w:w="146"/>
        <w:gridCol w:w="211"/>
        <w:gridCol w:w="781"/>
        <w:gridCol w:w="166"/>
        <w:gridCol w:w="146"/>
        <w:gridCol w:w="211"/>
        <w:gridCol w:w="781"/>
        <w:gridCol w:w="591"/>
      </w:tblGrid>
      <w:tr>
        <w:trPr/>
        <w:tc>
          <w:tcPr>
            <w:tcW w:w="420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0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4"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486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 thousands and $ in millions, except per share amounts)</w:t>
            </w:r>
          </w:p>
        </w:tc>
        <w:tc>
          <w:tcPr>
            <w:tcW w:w="591" w:type="dxa"/>
            <w:tcBorders/>
            <w:shd w:fill="FFFFFF" w:val="clear"/>
            <w:vAlign w:val="center"/>
          </w:tcPr>
          <w:p>
            <w:pPr>
              <w:pStyle w:val="TableContents"/>
              <w:bidi w:val="0"/>
              <w:spacing w:before="0" w:after="283"/>
              <w:jc w:val="center"/>
              <w:rPr/>
            </w:pPr>
            <w:r>
              <w:rPr/>
              <w:t> </w:t>
            </w:r>
          </w:p>
        </w:tc>
      </w:tr>
      <w:tr>
        <w:trPr/>
        <w:tc>
          <w:tcPr>
            <w:tcW w:w="4204"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Numerator:</w:t>
            </w:r>
          </w:p>
        </w:tc>
        <w:tc>
          <w:tcPr>
            <w:tcW w:w="5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04" w:type="dxa"/>
            <w:tcBorders/>
            <w:shd w:fill="FFFFFF" w:val="cle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Net income (loss) </w:t>
            </w:r>
            <w:r>
              <w:rPr>
                <w:rFonts w:ascii="Times New Roman" w:hAnsi="Times New Roman"/>
                <w:color w:val="000000"/>
                <w:sz w:val="16"/>
              </w:rPr>
              <w:t>(1)</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4"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Denominator:</w:t>
            </w:r>
          </w:p>
        </w:tc>
        <w:tc>
          <w:tcPr>
            <w:tcW w:w="5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20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used to compute Basic EPS</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140,666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0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effect of dilutive securities:</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4204"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awards (Note 10)</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204"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2026 Senior Notes (Note 6)</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used to compute Diluted EPS</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140,666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EPS</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Interest expense, net of taxes, related to the 2026 Senior Notes which was included in the Diluted EPS calculation for both the three months ended June 30, 2024 and 2023 was not material.</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Potential common shares, consisting of outstanding stock options, RSUs, and those issuable under the 2026 Senior Notes, totaling approximately 13.5 million shares and 22.1 million shares for the three and six months ended June 30, 2024, respectively, and approximately 16.1 million shares and 22.4 million shares for the three and six months ended June 30, 2023, respectively, have been excluded from the Diluted EPS calculation because their effect would have been antidilutive. In addition, potential common shares from certain performance-based awards of approximately 1.5 million shares for both the three and six months ended June 30, 2024, respectively, and approximately 1.1 million shares for both the three and six months ended June 30, 2023, respectively, for which all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targets required to trigger vesting had not been achieved, were also excluded from the calculation of weighted average shares used to compute Diluted EPS.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earnings per share amounts are the same for common stock and Class B common stock because the holders of each class are legally entitled to equal per share distributions whether through dividends or in liquidation. In addition, our non-vested RSUs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noBreakHyphen/>
        <w:t xml:space="preserve">class method of determining earnings per share. </w:t>
      </w:r>
    </w:p>
    <w:p>
      <w:pPr>
        <w:pStyle w:val="TextBody"/>
        <w:bidi w:val="0"/>
        <w:spacing w:before="360" w:after="283"/>
        <w:jc w:val="left"/>
        <w:rPr>
          <w:rFonts w:ascii="Times New Roman" w:hAnsi="Times New Roman"/>
          <w:sz w:val="20"/>
        </w:rPr>
      </w:pPr>
      <w:r>
        <w:rPr>
          <w:rFonts w:ascii="Times New Roman" w:hAnsi="Times New Roman"/>
          <w:b/>
          <w:color w:val="000000"/>
          <w:sz w:val="20"/>
        </w:rPr>
        <w:t>NOTE 13: SEGMENT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three reportable segments: (1) Brand Tripadvisor; (2) Viator; and (3) TheFork. Our Brand Tripadvisor segment includes the following revenue sources: (1) Tripadvisor-branded hotels – consisting of hotel meta revenue, primarily click-based advertising revenue, and also hotel B2B revenue, which includes primarily subscription-based advertising and hotel sponsored placements revenue; (2) Media and advertising revenue – consisting primarily of display-based advertising revenue (also referred to as “media advertising”); (3) Tripadvisor experiences and dining revenue – consisting of intercompany (intersegment) revenue related to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external revenue generated from Tripadvisor restaurant service offerings; and (4) Other revenue – consisting of cruises, alternative accommodation rentals, flights, and rental cars revenue. The nature of the services provided and related revenue recognition policies are summarized by reportable segment in “Note 3: </w:t>
      </w:r>
      <w:r>
        <w:rPr>
          <w:rFonts w:ascii="Times New Roman" w:hAnsi="Times New Roman"/>
          <w:i/>
          <w:color w:val="000000"/>
          <w:sz w:val="20"/>
        </w:rPr>
        <w:t>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segments are determined based on how our chief executive officer, who also serves as our chief operating decision maker (“CODM") manages our business, regularly accesses information, and evaluates performance for operating decision-making purposes, including allocation of resources. Adjusted EBITDA is our segment profit measure and a key measure used by our CODM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long-lived asset, and intangible assets impairments; (6) legal reserves and settlements, including indirect tax reserves related to audit settlements and the impact of one-time changes resulting from enacted tax legislation; (7) restructuring and other related reorganization costs; and (8) non-recurring expenses and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Direct costs are included in the applicable operating segments, including certain corporate general and administrative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used by our CODM. We include these expenses in our Brand Tripadvisor segment. Our allocation methodology is periodically evaluated and may change.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tables present our reportable segment information for the three and six months ended June 30, 2024 and 2023 and include a reconciliation of adjusted EBITDA to Net income (loss). We record depreciation and amortization, stock-based compensation and other stock-settled obligations, goodwill, long-lived asset and intangible asset impairments, legal reserves and settlements, and non-recurring expenses and income, net, which are excluded from segment operating performance, in "Corporate &amp;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segment disclosure includes intersegment revenues, which consist of affiliate marketing fees for services provided by our Brand Tripadvisor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 are eliminated in consolidation. The elimination of such intersegment transactions is included within the “Corporate &amp; Eliminations” column in the tables below.</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783" w:type="dxa"/>
        <w:jc w:val="left"/>
        <w:tblInd w:w="0" w:type="dxa"/>
        <w:tblLayout w:type="fixed"/>
        <w:tblCellMar>
          <w:top w:w="28" w:type="dxa"/>
          <w:left w:w="28" w:type="dxa"/>
          <w:bottom w:w="28" w:type="dxa"/>
          <w:right w:w="28" w:type="dxa"/>
        </w:tblCellMar>
      </w:tblPr>
      <w:tblGrid>
        <w:gridCol w:w="3016"/>
        <w:gridCol w:w="146"/>
        <w:gridCol w:w="569"/>
        <w:gridCol w:w="1141"/>
        <w:gridCol w:w="146"/>
        <w:gridCol w:w="146"/>
        <w:gridCol w:w="280"/>
        <w:gridCol w:w="560"/>
        <w:gridCol w:w="146"/>
        <w:gridCol w:w="146"/>
        <w:gridCol w:w="374"/>
        <w:gridCol w:w="616"/>
        <w:gridCol w:w="146"/>
        <w:gridCol w:w="146"/>
        <w:gridCol w:w="377"/>
        <w:gridCol w:w="673"/>
        <w:gridCol w:w="166"/>
        <w:gridCol w:w="146"/>
        <w:gridCol w:w="211"/>
        <w:gridCol w:w="42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4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Brand Tripadvisor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TheFork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10"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w:t>
            </w:r>
          </w:p>
        </w:tc>
        <w:tc>
          <w:tcPr>
            <w:tcW w:w="146" w:type="dxa"/>
            <w:tcBorders/>
            <w:shd w:fill="CFF0FC" w:val="clear"/>
            <w:vAlign w:val="center"/>
          </w:tcPr>
          <w:p>
            <w:pPr>
              <w:pStyle w:val="TableContents"/>
              <w:bidi w:val="0"/>
              <w:spacing w:before="0" w:after="283"/>
              <w:jc w:val="center"/>
              <w:rPr/>
            </w:pPr>
            <w:r>
              <w:rPr/>
              <w:t> </w:t>
            </w:r>
          </w:p>
        </w:tc>
        <w:tc>
          <w:tcPr>
            <w:tcW w:w="5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vAlign w:val="center"/>
          </w:tcPr>
          <w:p>
            <w:pPr>
              <w:pStyle w:val="TableContents"/>
              <w:bidi w:val="0"/>
              <w:spacing w:before="0" w:after="283"/>
              <w:jc w:val="center"/>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center"/>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vAlign w:val="center"/>
          </w:tcPr>
          <w:p>
            <w:pPr>
              <w:pStyle w:val="TableContents"/>
              <w:bidi w:val="0"/>
              <w:spacing w:before="0" w:after="283"/>
              <w:jc w:val="center"/>
              <w:rPr/>
            </w:pPr>
            <w:r>
              <w:rPr/>
              <w:t> </w:t>
            </w:r>
          </w:p>
        </w:tc>
        <w:tc>
          <w:tcPr>
            <w:tcW w:w="56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center"/>
              <w:rPr/>
            </w:pPr>
            <w:r>
              <w:rPr/>
              <w:t> </w:t>
            </w:r>
          </w:p>
        </w:tc>
        <w:tc>
          <w:tcPr>
            <w:tcW w:w="17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center"/>
              <w:rPr/>
            </w:pPr>
            <w:r>
              <w:rPr/>
              <w:t> </w:t>
            </w:r>
          </w:p>
        </w:tc>
        <w:tc>
          <w:tcPr>
            <w:tcW w:w="171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reserves and settlements </w:t>
            </w:r>
            <w:r>
              <w:rPr>
                <w:rFonts w:ascii="Times New Roman" w:hAnsi="Times New Roman"/>
                <w:color w:val="000000"/>
                <w:sz w:val="16"/>
              </w:rPr>
              <w:t>(4)</w:t>
            </w:r>
          </w:p>
        </w:tc>
        <w:tc>
          <w:tcPr>
            <w:tcW w:w="146" w:type="dxa"/>
            <w:tcBorders/>
            <w:shd w:fill="CFF0FC" w:val="clear"/>
            <w:vAlign w:val="center"/>
          </w:tcPr>
          <w:p>
            <w:pPr>
              <w:pStyle w:val="TableContents"/>
              <w:bidi w:val="0"/>
              <w:spacing w:before="0" w:after="283"/>
              <w:jc w:val="center"/>
              <w:rPr/>
            </w:pPr>
            <w:r>
              <w:rPr/>
              <w:t> </w:t>
            </w:r>
          </w:p>
        </w:tc>
        <w:tc>
          <w:tcPr>
            <w:tcW w:w="569"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0"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Non-recurring income (expense) </w:t>
            </w: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center"/>
              <w:rPr/>
            </w:pPr>
            <w:r>
              <w:rPr/>
              <w:t> </w:t>
            </w:r>
          </w:p>
        </w:tc>
        <w:tc>
          <w:tcPr>
            <w:tcW w:w="171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vAlign w:val="center"/>
          </w:tcPr>
          <w:p>
            <w:pPr>
              <w:pStyle w:val="TableContents"/>
              <w:bidi w:val="0"/>
              <w:spacing w:before="0" w:after="283"/>
              <w:jc w:val="center"/>
              <w:rPr/>
            </w:pPr>
            <w:r>
              <w:rPr/>
              <w:t> </w:t>
            </w:r>
          </w:p>
        </w:tc>
        <w:tc>
          <w:tcPr>
            <w:tcW w:w="17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center"/>
              <w:rPr/>
            </w:pPr>
            <w:r>
              <w:rPr/>
              <w:t> </w:t>
            </w:r>
          </w:p>
        </w:tc>
        <w:tc>
          <w:tcPr>
            <w:tcW w:w="171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vAlign w:val="center"/>
          </w:tcPr>
          <w:p>
            <w:pPr>
              <w:pStyle w:val="TableContents"/>
              <w:bidi w:val="0"/>
              <w:spacing w:before="0" w:after="283"/>
              <w:jc w:val="center"/>
              <w:rPr/>
            </w:pPr>
            <w:r>
              <w:rPr/>
              <w:t> </w:t>
            </w:r>
          </w:p>
        </w:tc>
        <w:tc>
          <w:tcPr>
            <w:tcW w:w="17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vAlign w:val="center"/>
          </w:tcPr>
          <w:p>
            <w:pPr>
              <w:pStyle w:val="TableContents"/>
              <w:bidi w:val="0"/>
              <w:spacing w:before="0" w:after="283"/>
              <w:jc w:val="center"/>
              <w:rPr/>
            </w:pPr>
            <w:r>
              <w:rPr/>
              <w:t> </w:t>
            </w:r>
          </w:p>
        </w:tc>
        <w:tc>
          <w:tcPr>
            <w:tcW w:w="17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vAlign w:val="center"/>
          </w:tcPr>
          <w:p>
            <w:pPr>
              <w:pStyle w:val="TableContents"/>
              <w:bidi w:val="0"/>
              <w:spacing w:before="0" w:after="283"/>
              <w:jc w:val="center"/>
              <w:rPr/>
            </w:pPr>
            <w:r>
              <w:rPr/>
              <w:t> </w:t>
            </w:r>
          </w:p>
        </w:tc>
        <w:tc>
          <w:tcPr>
            <w:tcW w:w="17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23" w:type="dxa"/>
        <w:jc w:val="left"/>
        <w:tblInd w:w="0" w:type="dxa"/>
        <w:tblLayout w:type="fixed"/>
        <w:tblCellMar>
          <w:top w:w="28" w:type="dxa"/>
          <w:left w:w="28" w:type="dxa"/>
          <w:bottom w:w="28" w:type="dxa"/>
          <w:right w:w="28" w:type="dxa"/>
        </w:tblCellMar>
      </w:tblPr>
      <w:tblGrid>
        <w:gridCol w:w="3016"/>
        <w:gridCol w:w="146"/>
        <w:gridCol w:w="569"/>
        <w:gridCol w:w="1141"/>
        <w:gridCol w:w="146"/>
        <w:gridCol w:w="146"/>
        <w:gridCol w:w="280"/>
        <w:gridCol w:w="560"/>
        <w:gridCol w:w="166"/>
        <w:gridCol w:w="146"/>
        <w:gridCol w:w="374"/>
        <w:gridCol w:w="616"/>
        <w:gridCol w:w="166"/>
        <w:gridCol w:w="146"/>
        <w:gridCol w:w="377"/>
        <w:gridCol w:w="673"/>
        <w:gridCol w:w="166"/>
        <w:gridCol w:w="146"/>
        <w:gridCol w:w="211"/>
        <w:gridCol w:w="42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Brand Tripadvisor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TheFork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0"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w:t>
            </w:r>
          </w:p>
        </w:tc>
        <w:tc>
          <w:tcPr>
            <w:tcW w:w="146" w:type="dxa"/>
            <w:tcBorders/>
            <w:shd w:fill="FFFFFF" w:val="clear"/>
            <w:vAlign w:val="center"/>
          </w:tcPr>
          <w:p>
            <w:pPr>
              <w:pStyle w:val="TableContents"/>
              <w:bidi w:val="0"/>
              <w:spacing w:before="0" w:after="283"/>
              <w:jc w:val="center"/>
              <w:rPr/>
            </w:pPr>
            <w:r>
              <w:rPr/>
              <w:t> </w:t>
            </w:r>
          </w:p>
        </w:tc>
        <w:tc>
          <w:tcPr>
            <w:tcW w:w="5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vAlign w:val="center"/>
          </w:tcPr>
          <w:p>
            <w:pPr>
              <w:pStyle w:val="TableContents"/>
              <w:bidi w:val="0"/>
              <w:spacing w:before="0" w:after="283"/>
              <w:jc w:val="center"/>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center"/>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vAlign w:val="center"/>
          </w:tcPr>
          <w:p>
            <w:pPr>
              <w:pStyle w:val="TableContents"/>
              <w:bidi w:val="0"/>
              <w:spacing w:before="0" w:after="283"/>
              <w:jc w:val="center"/>
              <w:rPr/>
            </w:pPr>
            <w:r>
              <w:rPr/>
              <w:t> </w:t>
            </w:r>
          </w:p>
        </w:tc>
        <w:tc>
          <w:tcPr>
            <w:tcW w:w="569"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0"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center"/>
              <w:rPr/>
            </w:pPr>
            <w:r>
              <w:rPr/>
              <w:t> </w:t>
            </w:r>
          </w:p>
        </w:tc>
        <w:tc>
          <w:tcPr>
            <w:tcW w:w="171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center"/>
              <w:rPr/>
            </w:pPr>
            <w:r>
              <w:rPr/>
              <w:t> </w:t>
            </w:r>
          </w:p>
        </w:tc>
        <w:tc>
          <w:tcPr>
            <w:tcW w:w="17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vAlign w:val="center"/>
          </w:tcPr>
          <w:p>
            <w:pPr>
              <w:pStyle w:val="TableContents"/>
              <w:bidi w:val="0"/>
              <w:spacing w:before="0" w:after="283"/>
              <w:jc w:val="center"/>
              <w:rPr/>
            </w:pPr>
            <w:r>
              <w:rPr/>
              <w:t> </w:t>
            </w:r>
          </w:p>
        </w:tc>
        <w:tc>
          <w:tcPr>
            <w:tcW w:w="171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center"/>
              <w:rPr/>
            </w:pPr>
            <w:r>
              <w:rPr/>
              <w:t> </w:t>
            </w:r>
          </w:p>
        </w:tc>
        <w:tc>
          <w:tcPr>
            <w:tcW w:w="17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vAlign w:val="center"/>
          </w:tcPr>
          <w:p>
            <w:pPr>
              <w:pStyle w:val="TableContents"/>
              <w:bidi w:val="0"/>
              <w:spacing w:before="0" w:after="283"/>
              <w:jc w:val="center"/>
              <w:rPr/>
            </w:pPr>
            <w:r>
              <w:rPr/>
              <w:t> </w:t>
            </w:r>
          </w:p>
        </w:tc>
        <w:tc>
          <w:tcPr>
            <w:tcW w:w="17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vAlign w:val="center"/>
          </w:tcPr>
          <w:p>
            <w:pPr>
              <w:pStyle w:val="TableContents"/>
              <w:bidi w:val="0"/>
              <w:spacing w:before="0" w:after="283"/>
              <w:jc w:val="center"/>
              <w:rPr/>
            </w:pPr>
            <w:r>
              <w:rPr/>
              <w:t> </w:t>
            </w:r>
          </w:p>
        </w:tc>
        <w:tc>
          <w:tcPr>
            <w:tcW w:w="17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center"/>
              <w:rPr/>
            </w:pPr>
            <w:r>
              <w:rPr/>
              <w:t> </w:t>
            </w:r>
          </w:p>
        </w:tc>
        <w:tc>
          <w:tcPr>
            <w:tcW w:w="17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69"/>
        <w:gridCol w:w="146"/>
        <w:gridCol w:w="515"/>
        <w:gridCol w:w="1032"/>
        <w:gridCol w:w="146"/>
        <w:gridCol w:w="146"/>
        <w:gridCol w:w="265"/>
        <w:gridCol w:w="529"/>
        <w:gridCol w:w="166"/>
        <w:gridCol w:w="146"/>
        <w:gridCol w:w="353"/>
        <w:gridCol w:w="581"/>
        <w:gridCol w:w="166"/>
        <w:gridCol w:w="146"/>
        <w:gridCol w:w="373"/>
        <w:gridCol w:w="666"/>
        <w:gridCol w:w="166"/>
        <w:gridCol w:w="146"/>
        <w:gridCol w:w="211"/>
        <w:gridCol w:w="421"/>
        <w:gridCol w:w="216"/>
      </w:tblGrid>
      <w:tr>
        <w:trPr/>
        <w:tc>
          <w:tcPr>
            <w:tcW w:w="3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6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Brand Tripadvisor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TheFork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74"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6" w:type="dxa"/>
            <w:tcBorders/>
            <w:shd w:fill="FFFFFF" w:val="clear"/>
            <w:vAlign w:val="center"/>
          </w:tcPr>
          <w:p>
            <w:pPr>
              <w:pStyle w:val="TableContents"/>
              <w:bidi w:val="0"/>
              <w:spacing w:before="0" w:after="283"/>
              <w:jc w:val="center"/>
              <w:rPr/>
            </w:pPr>
            <w:r>
              <w:rPr/>
              <w:t> </w:t>
            </w:r>
          </w:p>
        </w:tc>
      </w:tr>
      <w:tr>
        <w:trPr/>
        <w:tc>
          <w:tcPr>
            <w:tcW w:w="36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w:t>
            </w:r>
          </w:p>
        </w:tc>
        <w:tc>
          <w:tcPr>
            <w:tcW w:w="146" w:type="dxa"/>
            <w:tcBorders/>
            <w:shd w:fill="FFFFFF" w:val="clear"/>
            <w:vAlign w:val="center"/>
          </w:tcPr>
          <w:p>
            <w:pPr>
              <w:pStyle w:val="TableContents"/>
              <w:bidi w:val="0"/>
              <w:spacing w:before="0" w:after="283"/>
              <w:jc w:val="center"/>
              <w:rPr/>
            </w:pPr>
            <w:r>
              <w:rPr/>
              <w:t> </w:t>
            </w:r>
          </w:p>
        </w:tc>
        <w:tc>
          <w:tcPr>
            <w:tcW w:w="5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216" w:type="dxa"/>
            <w:tcBorders/>
            <w:shd w:fill="FFFFFF" w:val="clear"/>
            <w:vAlign w:val="center"/>
          </w:tcPr>
          <w:p>
            <w:pPr>
              <w:pStyle w:val="TableContents"/>
              <w:bidi w:val="0"/>
              <w:spacing w:before="0" w:after="283"/>
              <w:jc w:val="left"/>
              <w:rPr/>
            </w:pPr>
            <w:r>
              <w:rPr/>
              <w:t> </w:t>
            </w:r>
          </w:p>
        </w:tc>
      </w:tr>
      <w:tr>
        <w:trPr/>
        <w:tc>
          <w:tcPr>
            <w:tcW w:w="36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vAlign w:val="center"/>
          </w:tcPr>
          <w:p>
            <w:pPr>
              <w:pStyle w:val="TableContents"/>
              <w:bidi w:val="0"/>
              <w:spacing w:before="0" w:after="283"/>
              <w:jc w:val="center"/>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center"/>
              <w:rPr/>
            </w:pPr>
            <w:r>
              <w:rPr/>
              <w:t> </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vAlign w:val="center"/>
          </w:tcPr>
          <w:p>
            <w:pPr>
              <w:pStyle w:val="TableContents"/>
              <w:bidi w:val="0"/>
              <w:spacing w:before="0" w:after="283"/>
              <w:jc w:val="center"/>
              <w:rPr/>
            </w:pPr>
            <w:r>
              <w:rPr/>
              <w:t> </w:t>
            </w:r>
          </w:p>
        </w:tc>
        <w:tc>
          <w:tcPr>
            <w:tcW w:w="515"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5"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3"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3"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16" w:type="dxa"/>
            <w:tcBorders/>
            <w:shd w:fill="CFF0FC" w:val="clear"/>
            <w:vAlign w:val="center"/>
          </w:tcPr>
          <w:p>
            <w:pPr>
              <w:pStyle w:val="TableContents"/>
              <w:bidi w:val="0"/>
              <w:spacing w:before="0" w:after="283"/>
              <w:jc w:val="left"/>
              <w:rPr/>
            </w:pPr>
            <w:r>
              <w:rPr/>
              <w:t> </w:t>
            </w:r>
          </w:p>
        </w:tc>
      </w:tr>
      <w:tr>
        <w:trPr/>
        <w:tc>
          <w:tcPr>
            <w:tcW w:w="36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center"/>
              <w:rPr/>
            </w:pPr>
            <w:r>
              <w:rPr/>
              <w:t> </w:t>
            </w:r>
          </w:p>
        </w:tc>
        <w:tc>
          <w:tcPr>
            <w:tcW w:w="15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373"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center"/>
              <w:rPr/>
            </w:pPr>
            <w:r>
              <w:rPr/>
              <w:t> </w:t>
            </w:r>
          </w:p>
        </w:tc>
        <w:tc>
          <w:tcPr>
            <w:tcW w:w="15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73"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reserves and settlements </w:t>
            </w:r>
            <w:r>
              <w:rPr>
                <w:rFonts w:ascii="Times New Roman" w:hAnsi="Times New Roman"/>
                <w:color w:val="000000"/>
                <w:sz w:val="16"/>
              </w:rPr>
              <w:t>(6)</w:t>
            </w:r>
          </w:p>
        </w:tc>
        <w:tc>
          <w:tcPr>
            <w:tcW w:w="146" w:type="dxa"/>
            <w:tcBorders/>
            <w:shd w:fill="FFFFFF" w:val="clear"/>
            <w:vAlign w:val="center"/>
          </w:tcPr>
          <w:p>
            <w:pPr>
              <w:pStyle w:val="TableContents"/>
              <w:bidi w:val="0"/>
              <w:spacing w:before="0" w:after="283"/>
              <w:jc w:val="center"/>
              <w:rPr/>
            </w:pPr>
            <w:r>
              <w:rPr/>
              <w:t> </w:t>
            </w:r>
          </w:p>
        </w:tc>
        <w:tc>
          <w:tcPr>
            <w:tcW w:w="515"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3"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3"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reorganization costs</w:t>
            </w:r>
          </w:p>
        </w:tc>
        <w:tc>
          <w:tcPr>
            <w:tcW w:w="146" w:type="dxa"/>
            <w:tcBorders/>
            <w:shd w:fill="CFF0FC" w:val="clear"/>
            <w:vAlign w:val="center"/>
          </w:tcPr>
          <w:p>
            <w:pPr>
              <w:pStyle w:val="TableContents"/>
              <w:bidi w:val="0"/>
              <w:spacing w:before="0" w:after="283"/>
              <w:jc w:val="center"/>
              <w:rPr/>
            </w:pPr>
            <w:r>
              <w:rPr/>
              <w:t> </w:t>
            </w:r>
          </w:p>
        </w:tc>
        <w:tc>
          <w:tcPr>
            <w:tcW w:w="515"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5"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3"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73"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Non-recurring income (expense) </w:t>
            </w: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center"/>
              <w:rPr/>
            </w:pPr>
            <w:r>
              <w:rPr/>
              <w:t> </w:t>
            </w:r>
          </w:p>
        </w:tc>
        <w:tc>
          <w:tcPr>
            <w:tcW w:w="15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373"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vAlign w:val="center"/>
          </w:tcPr>
          <w:p>
            <w:pPr>
              <w:pStyle w:val="TableContents"/>
              <w:bidi w:val="0"/>
              <w:spacing w:before="0" w:after="283"/>
              <w:jc w:val="center"/>
              <w:rPr/>
            </w:pPr>
            <w:r>
              <w:rPr/>
              <w:t> </w:t>
            </w:r>
          </w:p>
        </w:tc>
        <w:tc>
          <w:tcPr>
            <w:tcW w:w="15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7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3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6" w:type="dxa"/>
            <w:tcBorders/>
            <w:shd w:fill="CFF0FC" w:val="clear"/>
            <w:vAlign w:val="center"/>
          </w:tcPr>
          <w:p>
            <w:pPr>
              <w:pStyle w:val="TableContents"/>
              <w:bidi w:val="0"/>
              <w:spacing w:before="0" w:after="283"/>
              <w:jc w:val="left"/>
              <w:rPr/>
            </w:pPr>
            <w:r>
              <w:rPr/>
              <w:t> </w:t>
            </w:r>
          </w:p>
        </w:tc>
      </w:tr>
      <w:tr>
        <w:trPr/>
        <w:tc>
          <w:tcPr>
            <w:tcW w:w="36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center"/>
              <w:rPr/>
            </w:pPr>
            <w:r>
              <w:rPr/>
              <w:t> </w:t>
            </w:r>
          </w:p>
        </w:tc>
        <w:tc>
          <w:tcPr>
            <w:tcW w:w="15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3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vAlign w:val="center"/>
          </w:tcPr>
          <w:p>
            <w:pPr>
              <w:pStyle w:val="TableContents"/>
              <w:bidi w:val="0"/>
              <w:spacing w:before="0" w:after="283"/>
              <w:jc w:val="center"/>
              <w:rPr/>
            </w:pPr>
            <w:r>
              <w:rPr/>
              <w:t> </w:t>
            </w:r>
          </w:p>
        </w:tc>
        <w:tc>
          <w:tcPr>
            <w:tcW w:w="15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3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6" w:type="dxa"/>
            <w:tcBorders/>
            <w:shd w:fill="CFF0FC" w:val="clear"/>
            <w:vAlign w:val="center"/>
          </w:tcPr>
          <w:p>
            <w:pPr>
              <w:pStyle w:val="TableContents"/>
              <w:bidi w:val="0"/>
              <w:spacing w:before="0" w:after="283"/>
              <w:jc w:val="left"/>
              <w:rPr/>
            </w:pPr>
            <w:r>
              <w:rPr/>
              <w:t> </w:t>
            </w:r>
          </w:p>
        </w:tc>
      </w:tr>
      <w:tr>
        <w:trPr/>
        <w:tc>
          <w:tcPr>
            <w:tcW w:w="36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vAlign w:val="center"/>
          </w:tcPr>
          <w:p>
            <w:pPr>
              <w:pStyle w:val="TableContents"/>
              <w:bidi w:val="0"/>
              <w:spacing w:before="0" w:after="283"/>
              <w:jc w:val="center"/>
              <w:rPr/>
            </w:pPr>
            <w:r>
              <w:rPr/>
              <w:t> </w:t>
            </w:r>
          </w:p>
        </w:tc>
        <w:tc>
          <w:tcPr>
            <w:tcW w:w="15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3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vAlign w:val="center"/>
          </w:tcPr>
          <w:p>
            <w:pPr>
              <w:pStyle w:val="TableContents"/>
              <w:bidi w:val="0"/>
              <w:spacing w:before="0" w:after="283"/>
              <w:jc w:val="center"/>
              <w:rPr/>
            </w:pPr>
            <w:r>
              <w:rPr/>
              <w:t> </w:t>
            </w:r>
          </w:p>
        </w:tc>
        <w:tc>
          <w:tcPr>
            <w:tcW w:w="154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3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823" w:type="dxa"/>
        <w:jc w:val="left"/>
        <w:tblInd w:w="0" w:type="dxa"/>
        <w:tblLayout w:type="fixed"/>
        <w:tblCellMar>
          <w:top w:w="28" w:type="dxa"/>
          <w:left w:w="28" w:type="dxa"/>
          <w:bottom w:w="28" w:type="dxa"/>
          <w:right w:w="28" w:type="dxa"/>
        </w:tblCellMar>
      </w:tblPr>
      <w:tblGrid>
        <w:gridCol w:w="3016"/>
        <w:gridCol w:w="146"/>
        <w:gridCol w:w="569"/>
        <w:gridCol w:w="1141"/>
        <w:gridCol w:w="146"/>
        <w:gridCol w:w="146"/>
        <w:gridCol w:w="280"/>
        <w:gridCol w:w="560"/>
        <w:gridCol w:w="166"/>
        <w:gridCol w:w="146"/>
        <w:gridCol w:w="355"/>
        <w:gridCol w:w="635"/>
        <w:gridCol w:w="166"/>
        <w:gridCol w:w="146"/>
        <w:gridCol w:w="377"/>
        <w:gridCol w:w="673"/>
        <w:gridCol w:w="166"/>
        <w:gridCol w:w="146"/>
        <w:gridCol w:w="211"/>
        <w:gridCol w:w="42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Brand Tripadvisor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TheFork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0"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w:t>
            </w:r>
          </w:p>
        </w:tc>
        <w:tc>
          <w:tcPr>
            <w:tcW w:w="146" w:type="dxa"/>
            <w:tcBorders/>
            <w:shd w:fill="CFF0FC" w:val="clear"/>
            <w:vAlign w:val="center"/>
          </w:tcPr>
          <w:p>
            <w:pPr>
              <w:pStyle w:val="TableContents"/>
              <w:bidi w:val="0"/>
              <w:spacing w:before="0" w:after="283"/>
              <w:jc w:val="center"/>
              <w:rPr/>
            </w:pPr>
            <w:r>
              <w:rPr/>
              <w:t> </w:t>
            </w:r>
          </w:p>
        </w:tc>
        <w:tc>
          <w:tcPr>
            <w:tcW w:w="5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21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vAlign w:val="center"/>
          </w:tcPr>
          <w:p>
            <w:pPr>
              <w:pStyle w:val="TableContents"/>
              <w:bidi w:val="0"/>
              <w:spacing w:before="0" w:after="283"/>
              <w:jc w:val="center"/>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center"/>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vAlign w:val="center"/>
          </w:tcPr>
          <w:p>
            <w:pPr>
              <w:pStyle w:val="TableContents"/>
              <w:bidi w:val="0"/>
              <w:spacing w:before="0" w:after="283"/>
              <w:jc w:val="center"/>
              <w:rPr/>
            </w:pPr>
            <w:r>
              <w:rPr/>
              <w:t> </w:t>
            </w:r>
          </w:p>
        </w:tc>
        <w:tc>
          <w:tcPr>
            <w:tcW w:w="56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5"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37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center"/>
              <w:rPr/>
            </w:pPr>
            <w:r>
              <w:rPr/>
              <w:t> </w:t>
            </w:r>
          </w:p>
        </w:tc>
        <w:tc>
          <w:tcPr>
            <w:tcW w:w="17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center"/>
              <w:rPr/>
            </w:pPr>
            <w:r>
              <w:rPr/>
              <w:t> </w:t>
            </w:r>
          </w:p>
        </w:tc>
        <w:tc>
          <w:tcPr>
            <w:tcW w:w="171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37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Non-recurring income (expense) </w:t>
            </w:r>
            <w:r>
              <w:rPr>
                <w:rFonts w:ascii="Times New Roman" w:hAnsi="Times New Roman"/>
                <w:color w:val="000000"/>
                <w:sz w:val="16"/>
              </w:rPr>
              <w:t>(7)</w:t>
            </w:r>
          </w:p>
        </w:tc>
        <w:tc>
          <w:tcPr>
            <w:tcW w:w="146" w:type="dxa"/>
            <w:tcBorders/>
            <w:shd w:fill="CFF0FC" w:val="clear"/>
            <w:vAlign w:val="center"/>
          </w:tcPr>
          <w:p>
            <w:pPr>
              <w:pStyle w:val="TableContents"/>
              <w:bidi w:val="0"/>
              <w:spacing w:before="0" w:after="283"/>
              <w:jc w:val="center"/>
              <w:rPr/>
            </w:pPr>
            <w:r>
              <w:rPr/>
              <w:t> </w:t>
            </w:r>
          </w:p>
        </w:tc>
        <w:tc>
          <w:tcPr>
            <w:tcW w:w="17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377"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vAlign w:val="center"/>
          </w:tcPr>
          <w:p>
            <w:pPr>
              <w:pStyle w:val="TableContents"/>
              <w:bidi w:val="0"/>
              <w:spacing w:before="0" w:after="283"/>
              <w:jc w:val="center"/>
              <w:rPr/>
            </w:pPr>
            <w:r>
              <w:rPr/>
              <w:t> </w:t>
            </w:r>
          </w:p>
        </w:tc>
        <w:tc>
          <w:tcPr>
            <w:tcW w:w="171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center"/>
              <w:rPr/>
            </w:pPr>
            <w:r>
              <w:rPr/>
              <w:t> </w:t>
            </w:r>
          </w:p>
        </w:tc>
        <w:tc>
          <w:tcPr>
            <w:tcW w:w="17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vAlign w:val="center"/>
          </w:tcPr>
          <w:p>
            <w:pPr>
              <w:pStyle w:val="TableContents"/>
              <w:bidi w:val="0"/>
              <w:spacing w:before="0" w:after="283"/>
              <w:jc w:val="center"/>
              <w:rPr/>
            </w:pPr>
            <w:r>
              <w:rPr/>
              <w:t> </w:t>
            </w:r>
          </w:p>
        </w:tc>
        <w:tc>
          <w:tcPr>
            <w:tcW w:w="17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vAlign w:val="center"/>
          </w:tcPr>
          <w:p>
            <w:pPr>
              <w:pStyle w:val="TableContents"/>
              <w:bidi w:val="0"/>
              <w:spacing w:before="0" w:after="283"/>
              <w:jc w:val="center"/>
              <w:rPr/>
            </w:pPr>
            <w:r>
              <w:rPr/>
              <w:t> </w:t>
            </w:r>
          </w:p>
        </w:tc>
        <w:tc>
          <w:tcPr>
            <w:tcW w:w="171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center"/>
              <w:rPr/>
            </w:pPr>
            <w:r>
              <w:rPr/>
              <w:t> </w:t>
            </w:r>
          </w:p>
        </w:tc>
        <w:tc>
          <w:tcPr>
            <w:tcW w:w="17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4"/>
        </w:rPr>
      </w:pPr>
      <w:r>
        <w:rPr>
          <w:rFonts w:ascii="Times New Roman" w:hAnsi="Times New Roman"/>
          <w:color w:val="000000"/>
          <w:sz w:val="16"/>
        </w:rPr>
        <w:t>Corporate general and administrative personnel costs of $2</w:t>
      </w:r>
      <w:r>
        <w:rPr>
          <w:rFonts w:ascii="Times New Roman" w:hAnsi="Times New Roman"/>
          <w:color w:val="000000"/>
          <w:sz w:val="24"/>
        </w:rPr>
        <w:t xml:space="preserve"> </w:t>
      </w:r>
      <w:r>
        <w:rPr>
          <w:rFonts w:ascii="Times New Roman" w:hAnsi="Times New Roman"/>
          <w:color w:val="000000"/>
          <w:sz w:val="16"/>
        </w:rPr>
        <w:t>million and $4</w:t>
      </w:r>
      <w:r>
        <w:rPr>
          <w:rFonts w:ascii="Times New Roman" w:hAnsi="Times New Roman"/>
          <w:color w:val="000000"/>
          <w:sz w:val="24"/>
        </w:rPr>
        <w:t xml:space="preserve"> </w:t>
      </w:r>
      <w:r>
        <w:rPr>
          <w:rFonts w:ascii="Times New Roman" w:hAnsi="Times New Roman"/>
          <w:color w:val="000000"/>
          <w:sz w:val="16"/>
        </w:rPr>
        <w:t>million for the three and six months ended June 30, 2024, respectively, and $2</w:t>
      </w:r>
      <w:r>
        <w:rPr>
          <w:rFonts w:ascii="Times New Roman" w:hAnsi="Times New Roman"/>
          <w:color w:val="000000"/>
          <w:sz w:val="24"/>
        </w:rPr>
        <w:t xml:space="preserve"> </w:t>
      </w:r>
      <w:r>
        <w:rPr>
          <w:rFonts w:ascii="Times New Roman" w:hAnsi="Times New Roman"/>
          <w:color w:val="000000"/>
          <w:sz w:val="16"/>
        </w:rPr>
        <w:t>million and $3</w:t>
      </w:r>
      <w:r>
        <w:rPr>
          <w:rFonts w:ascii="Times New Roman" w:hAnsi="Times New Roman"/>
          <w:color w:val="000000"/>
          <w:sz w:val="24"/>
        </w:rPr>
        <w:t xml:space="preserve"> </w:t>
      </w:r>
      <w:r>
        <w:rPr>
          <w:rFonts w:ascii="Times New Roman" w:hAnsi="Times New Roman"/>
          <w:color w:val="000000"/>
          <w:sz w:val="16"/>
        </w:rPr>
        <w:t>million for the three and six months ended June 30, 2023, respectively, were allocated to the Viator and TheFork segments.</w:t>
      </w:r>
      <w:r>
        <w:rPr>
          <w:rFonts w:ascii="Times New Roman" w:hAnsi="Times New Roman"/>
          <w:color w:val="000000"/>
          <w:sz w:val="24"/>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4"/>
        </w:rPr>
      </w:pPr>
      <w:r>
        <w:rPr>
          <w:rFonts w:ascii="Times New Roman" w:hAnsi="Times New Roman"/>
          <w:color w:val="000000"/>
          <w:sz w:val="16"/>
        </w:rPr>
        <w:t>Includes allocated corporate general and administrative personnel costs from our Brand Tripadvisor segment of $1</w:t>
      </w:r>
      <w:r>
        <w:rPr>
          <w:rFonts w:ascii="Times New Roman" w:hAnsi="Times New Roman"/>
          <w:color w:val="000000"/>
          <w:sz w:val="24"/>
        </w:rPr>
        <w:t xml:space="preserve"> </w:t>
      </w:r>
      <w:r>
        <w:rPr>
          <w:rFonts w:ascii="Times New Roman" w:hAnsi="Times New Roman"/>
          <w:color w:val="000000"/>
          <w:sz w:val="16"/>
        </w:rPr>
        <w:t>million and $2</w:t>
      </w:r>
      <w:r>
        <w:rPr>
          <w:rFonts w:ascii="Times New Roman" w:hAnsi="Times New Roman"/>
          <w:color w:val="000000"/>
          <w:sz w:val="24"/>
        </w:rPr>
        <w:t xml:space="preserve"> </w:t>
      </w:r>
      <w:r>
        <w:rPr>
          <w:rFonts w:ascii="Times New Roman" w:hAnsi="Times New Roman"/>
          <w:color w:val="000000"/>
          <w:sz w:val="16"/>
        </w:rPr>
        <w:t>million for the three and six months ended June 30, 2024, respectively, and $1</w:t>
      </w:r>
      <w:r>
        <w:rPr>
          <w:rFonts w:ascii="Times New Roman" w:hAnsi="Times New Roman"/>
          <w:color w:val="000000"/>
          <w:sz w:val="24"/>
        </w:rPr>
        <w:t xml:space="preserve"> </w:t>
      </w:r>
      <w:r>
        <w:rPr>
          <w:rFonts w:ascii="Times New Roman" w:hAnsi="Times New Roman"/>
          <w:color w:val="000000"/>
          <w:sz w:val="16"/>
        </w:rPr>
        <w:t xml:space="preserve">million for both the three and six months ended June 30, 2023.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sz w:val="24"/>
        </w:rPr>
      </w:pPr>
      <w:r>
        <w:rPr>
          <w:rFonts w:ascii="Times New Roman" w:hAnsi="Times New Roman"/>
          <w:color w:val="000000"/>
          <w:sz w:val="16"/>
        </w:rPr>
        <w:t>Includes allocated corporate general and administrative personnel costs from our Brand Tripadvisor segment of $1</w:t>
      </w:r>
      <w:r>
        <w:rPr>
          <w:rFonts w:ascii="Times New Roman" w:hAnsi="Times New Roman"/>
          <w:color w:val="000000"/>
          <w:sz w:val="24"/>
        </w:rPr>
        <w:t xml:space="preserve"> </w:t>
      </w:r>
      <w:r>
        <w:rPr>
          <w:rFonts w:ascii="Times New Roman" w:hAnsi="Times New Roman"/>
          <w:color w:val="000000"/>
          <w:sz w:val="16"/>
        </w:rPr>
        <w:t>million and $2</w:t>
      </w:r>
      <w:r>
        <w:rPr>
          <w:rFonts w:ascii="Times New Roman" w:hAnsi="Times New Roman"/>
          <w:color w:val="000000"/>
          <w:sz w:val="24"/>
        </w:rPr>
        <w:t xml:space="preserve"> </w:t>
      </w:r>
      <w:r>
        <w:rPr>
          <w:rFonts w:ascii="Times New Roman" w:hAnsi="Times New Roman"/>
          <w:color w:val="000000"/>
          <w:sz w:val="16"/>
        </w:rPr>
        <w:t>million for the three and six months ended June 30, 2024, respectively, and $1</w:t>
      </w:r>
      <w:r>
        <w:rPr>
          <w:rFonts w:ascii="Times New Roman" w:hAnsi="Times New Roman"/>
          <w:color w:val="000000"/>
          <w:sz w:val="24"/>
        </w:rPr>
        <w:t xml:space="preserve"> </w:t>
      </w:r>
      <w:r>
        <w:rPr>
          <w:rFonts w:ascii="Times New Roman" w:hAnsi="Times New Roman"/>
          <w:color w:val="000000"/>
          <w:sz w:val="16"/>
        </w:rPr>
        <w:t>million and $2</w:t>
      </w:r>
      <w:r>
        <w:rPr>
          <w:rFonts w:ascii="Times New Roman" w:hAnsi="Times New Roman"/>
          <w:color w:val="000000"/>
          <w:sz w:val="24"/>
        </w:rPr>
        <w:t xml:space="preserve"> </w:t>
      </w:r>
      <w:r>
        <w:rPr>
          <w:rFonts w:ascii="Times New Roman" w:hAnsi="Times New Roman"/>
          <w:color w:val="000000"/>
          <w:sz w:val="16"/>
        </w:rPr>
        <w:t>million for the three and six months ended June 30, 2023, respectively.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sz w:val="24"/>
        </w:rPr>
      </w:pPr>
      <w:r>
        <w:rPr>
          <w:rFonts w:ascii="Times New Roman" w:hAnsi="Times New Roman"/>
          <w:color w:val="000000"/>
          <w:sz w:val="16"/>
        </w:rPr>
        <w:t>Represents a one-time charge of $4</w:t>
      </w:r>
      <w:r>
        <w:rPr>
          <w:rFonts w:ascii="Times New Roman" w:hAnsi="Times New Roman"/>
          <w:color w:val="000000"/>
          <w:sz w:val="24"/>
        </w:rPr>
        <w:t xml:space="preserve"> </w:t>
      </w:r>
      <w:r>
        <w:rPr>
          <w:rFonts w:ascii="Times New Roman" w:hAnsi="Times New Roman"/>
          <w:color w:val="000000"/>
          <w:sz w:val="16"/>
        </w:rPr>
        <w:t>million during the second quarter of 2024, resulting from enacted tax legislation in Canada during June 2024 related to digital services taxes, which requires retrospective application back to January 1, 2022, reflected in general and administrative expenses on our unaudited condensed consolidated statement of operations. This amount represents the one-time retrospective liability for the periods prior to April 1, 2024, while the liability for the three months ended June 30, 2024 and all prospective periods are and will be included within adjusted EBITDA, respectively.</w:t>
      </w:r>
      <w:r>
        <w:rPr>
          <w:rFonts w:ascii="Times New Roman" w:hAnsi="Times New Roman"/>
          <w:color w:val="000000"/>
          <w:sz w:val="24"/>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sz w:val="24"/>
        </w:rPr>
      </w:pPr>
      <w:r>
        <w:rPr>
          <w:rFonts w:ascii="Times New Roman" w:hAnsi="Times New Roman"/>
          <w:color w:val="000000"/>
          <w:sz w:val="16"/>
        </w:rPr>
        <w:t>The Company expensed certain transaction related costs of $2</w:t>
      </w:r>
      <w:r>
        <w:rPr>
          <w:rFonts w:ascii="Times New Roman" w:hAnsi="Times New Roman"/>
          <w:color w:val="000000"/>
          <w:sz w:val="24"/>
        </w:rPr>
        <w:t xml:space="preserve"> </w:t>
      </w:r>
      <w:r>
        <w:rPr>
          <w:rFonts w:ascii="Times New Roman" w:hAnsi="Times New Roman"/>
          <w:color w:val="000000"/>
          <w:sz w:val="16"/>
        </w:rPr>
        <w:t>million and $3</w:t>
      </w:r>
      <w:r>
        <w:rPr>
          <w:rFonts w:ascii="Times New Roman" w:hAnsi="Times New Roman"/>
          <w:color w:val="000000"/>
          <w:sz w:val="24"/>
        </w:rPr>
        <w:t xml:space="preserve"> </w:t>
      </w:r>
      <w:r>
        <w:rPr>
          <w:rFonts w:ascii="Times New Roman" w:hAnsi="Times New Roman"/>
          <w:color w:val="000000"/>
          <w:sz w:val="16"/>
        </w:rPr>
        <w:t>million during the three and six months ended June 30, 2024, respectively, to general and administrative expenses on our unaudited condensed consolidated statement of operations. The Company considers such costs to be non-recurring in nature.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spacing w:before="0" w:after="0"/>
        <w:jc w:val="left"/>
        <w:rPr>
          <w:rFonts w:ascii="Times New Roman" w:hAnsi="Times New Roman"/>
          <w:sz w:val="24"/>
        </w:rPr>
      </w:pPr>
      <w:r>
        <w:rPr>
          <w:rFonts w:ascii="Times New Roman" w:hAnsi="Times New Roman"/>
          <w:color w:val="000000"/>
          <w:sz w:val="16"/>
        </w:rPr>
        <w:t>Includes a one-time charge of $4</w:t>
      </w:r>
      <w:r>
        <w:rPr>
          <w:rFonts w:ascii="Times New Roman" w:hAnsi="Times New Roman"/>
          <w:color w:val="000000"/>
          <w:sz w:val="24"/>
        </w:rPr>
        <w:t xml:space="preserve"> </w:t>
      </w:r>
      <w:r>
        <w:rPr>
          <w:rFonts w:ascii="Times New Roman" w:hAnsi="Times New Roman"/>
          <w:color w:val="000000"/>
          <w:sz w:val="16"/>
        </w:rPr>
        <w:t>million during the second quarter of 2024, resulting from enacted tax legislation in Canada during June 2024 related to digital services taxes, which requires retrospective application back to January 1, 2022, as noted above. In addition, this amount includes an estimated accrual for the potential settlement of a regulatory related matter of $10</w:t>
      </w:r>
      <w:r>
        <w:rPr>
          <w:rFonts w:ascii="Times New Roman" w:hAnsi="Times New Roman"/>
          <w:color w:val="000000"/>
          <w:sz w:val="24"/>
        </w:rPr>
        <w:t xml:space="preserve"> </w:t>
      </w:r>
      <w:r>
        <w:rPr>
          <w:rFonts w:ascii="Times New Roman" w:hAnsi="Times New Roman"/>
          <w:color w:val="000000"/>
          <w:sz w:val="16"/>
        </w:rPr>
        <w:t xml:space="preserve">million, expensed during the first quarter of 2024. Refer to "Note 9: </w:t>
      </w:r>
      <w:r>
        <w:rPr>
          <w:rFonts w:ascii="Times New Roman" w:hAnsi="Times New Roman"/>
          <w:i/>
          <w:color w:val="000000"/>
          <w:sz w:val="16"/>
        </w:rPr>
        <w:t>Commitments and Contingencies</w:t>
      </w:r>
      <w:r>
        <w:rPr>
          <w:rFonts w:ascii="Times New Roman" w:hAnsi="Times New Roman"/>
          <w:color w:val="000000"/>
          <w:sz w:val="16"/>
        </w:rPr>
        <w:t xml:space="preserve">" for further information. These costs are reflected in general and administrative expenses on our unaudited condensed consolidated statement of operations.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(7)</w:t>
      </w:r>
    </w:p>
    <w:p>
      <w:pPr>
        <w:pStyle w:val="TextBody"/>
        <w:bidi w:val="0"/>
        <w:jc w:val="left"/>
        <w:rPr>
          <w:rFonts w:ascii="Times New Roman" w:hAnsi="Times New Roman"/>
          <w:sz w:val="24"/>
        </w:rPr>
      </w:pPr>
      <w:r>
        <w:rPr>
          <w:rFonts w:ascii="Times New Roman" w:hAnsi="Times New Roman"/>
          <w:color w:val="000000"/>
          <w:sz w:val="16"/>
        </w:rPr>
        <w:t>The Company expensed $3</w:t>
      </w:r>
      <w:r>
        <w:rPr>
          <w:rFonts w:ascii="Times New Roman" w:hAnsi="Times New Roman"/>
          <w:color w:val="000000"/>
          <w:sz w:val="24"/>
        </w:rPr>
        <w:t xml:space="preserve"> </w:t>
      </w:r>
      <w:r>
        <w:rPr>
          <w:rFonts w:ascii="Times New Roman" w:hAnsi="Times New Roman"/>
          <w:color w:val="000000"/>
          <w:sz w:val="16"/>
        </w:rPr>
        <w:t>million of previously capitalized transaction related costs during the first quarter of 2023 to general and administrative expenses on our unaudited condensed consolidated statement of operations. The Company considers such costs to be non-recurring in nature.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Customer Concentrations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4: </w:t>
      </w:r>
      <w:r>
        <w:rPr>
          <w:rFonts w:ascii="Times New Roman" w:hAnsi="Times New Roman"/>
          <w:i/>
          <w:color w:val="000000"/>
          <w:sz w:val="20"/>
        </w:rPr>
        <w:t>Financial Instruments and Fair Value Measurements</w:t>
      </w:r>
      <w:r>
        <w:rPr>
          <w:rFonts w:ascii="Times New Roman" w:hAnsi="Times New Roman"/>
          <w:color w:val="000000"/>
          <w:sz w:val="20"/>
        </w:rPr>
        <w:t>” under the section entitled “Risks and Concentrations” for information regarding our major customer concentrations.</w:t>
      </w:r>
    </w:p>
    <w:p>
      <w:pPr>
        <w:pStyle w:val="TextBody"/>
        <w:bidi w:val="0"/>
        <w:jc w:val="left"/>
        <w:rPr>
          <w:rFonts w:ascii="Times New Roman" w:hAnsi="Times New Roman"/>
          <w:i/>
          <w:color w:val="000000"/>
          <w:sz w:val="20"/>
        </w:rPr>
      </w:pPr>
      <w:r>
        <w:rPr>
          <w:rFonts w:ascii="Times New Roman" w:hAnsi="Times New Roman"/>
          <w:i/>
          <w:color w:val="000000"/>
          <w:sz w:val="20"/>
        </w:rPr>
        <w:t>Product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Revenue sources within our Brand Tripadvisor segment, consisting of Tripadvisor-branded hotels revenue, Media and advertising revenue, Tripadvisor experiences and dining revenue, and other revenue, along with our Viator and TheFork segment revenue sources, comprise our products. Refer to “Note 3: </w:t>
      </w:r>
      <w:r>
        <w:rPr>
          <w:rFonts w:ascii="Times New Roman" w:hAnsi="Times New Roman"/>
          <w:i/>
          <w:color w:val="000000"/>
          <w:sz w:val="20"/>
        </w:rPr>
        <w:t>Revenue Recognition</w:t>
      </w:r>
      <w:r>
        <w:rPr>
          <w:rFonts w:ascii="Times New Roman" w:hAnsi="Times New Roman"/>
          <w:color w:val="000000"/>
          <w:sz w:val="20"/>
        </w:rPr>
        <w:t xml:space="preserve">” for our revenue by product. </w:t>
      </w:r>
    </w:p>
    <w:p>
      <w:pPr>
        <w:pStyle w:val="TextBody"/>
        <w:bidi w:val="0"/>
        <w:spacing w:before="360" w:after="283"/>
        <w:jc w:val="left"/>
        <w:rPr>
          <w:rFonts w:ascii="Times New Roman" w:hAnsi="Times New Roman"/>
          <w:sz w:val="20"/>
        </w:rPr>
      </w:pPr>
      <w:r>
        <w:rPr>
          <w:rFonts w:ascii="Times New Roman" w:hAnsi="Times New Roman"/>
          <w:b/>
          <w:color w:val="000000"/>
          <w:sz w:val="20"/>
        </w:rPr>
        <w:t>NOTE 14: SUBSEQUENT EVENT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8, 2024, the Company entered into the Amendment to its Credit Facility with a group of lenders, initially entered into in June 2015 and, most recently, the Credit Agreement in June 2023 (as amended by the Amendment, the “Amended Credit Agreement”) and closed on the Term Loan B Facility. The Amendment provides for the new $500 million Term Loan B Facility maturing July 8, 2031, with an interest rate based on SOFR plus 2.75%. The Term Loan B Facility was offered at 99.75% of par and is required to be paid down at 1.00% of the aggregate principal amount per year. On July 15, 2024, proceeds from the Term Loan B Facility were used to redeem the $500 million aggregate principal amount of the Company’s outstanding 2025 Senior Notes. Any term not otherwise defined herein shall have the meaning ascribed to it in the Amended 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Credit Agreement includes terms similar to those under the original Credit Agreement subject to certain changes and, among other things: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Implements the Term Loan B Facility;</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Makes certain adjustments to the definition of “Consolidated EBITDA”;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Increases the Available Amount by the portion of excess cash flow and asset sale, casualty and condemnation mandatory prepayments declined by lenders under the Term Loan B Facility, which may be used to make restricted payments and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4"/>
        </w:rPr>
      </w:pPr>
      <w:r>
        <w:rPr>
          <w:rFonts w:ascii="Times New Roman" w:hAnsi="Times New Roman"/>
          <w:color w:val="000000"/>
          <w:sz w:val="20"/>
        </w:rPr>
        <w:t>Adds a separate dollar basket not to exceed the greater of $195</w:t>
      </w:r>
      <w:r>
        <w:rPr>
          <w:rFonts w:ascii="Times New Roman" w:hAnsi="Times New Roman"/>
          <w:color w:val="000000"/>
          <w:sz w:val="24"/>
        </w:rPr>
        <w:t xml:space="preserve"> </w:t>
      </w:r>
      <w:r>
        <w:rPr>
          <w:rFonts w:ascii="Times New Roman" w:hAnsi="Times New Roman"/>
          <w:color w:val="000000"/>
          <w:sz w:val="20"/>
        </w:rPr>
        <w:t>million and 50% of Consolidated EBITDA for capital leases and purchase money debt;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Adds a separate “ratio debt” basket for additional indebtedness up to 3.5 times pro forma Total Net Leverage Ratio, subject to certain customary limitations;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Adds customary extension and modification and refinancing facility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Credit Agreement includes certain customary restrictions on the ability of the Company and its subsidiaries to, among other things, incur additional indebtedness, grant additional liens, and make investments, acquisitions, dispositions, distributions, and other payments, with certain exceptions as more specifically described in the Amended Credit Agreement. The Term Loan B Facility has no financial covenant.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Credit Agreement contains customary events of default and modifies the cross-default provision so that the Term Loan B Facility includes a customary cross-acceleration event of default with the revolving facility under the Amended Credit Agreement. If an event of default occurs and is continuing, then, among other things, the lenders may declare any outstanding obligations under the Amended Credit Agreement to be immediately due and payable and exercise their rights and remedies against the collateral. The obligations under the Amended Credit Agreement are secured by substantially all assets, whether personal, tangible or intangible, of the Company and the Subsidiary Loan Parties as granted under the Security Documents.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6: </w:t>
      </w:r>
      <w:r>
        <w:rPr>
          <w:rFonts w:ascii="Times New Roman" w:hAnsi="Times New Roman"/>
          <w:i/>
          <w:color w:val="000000"/>
          <w:sz w:val="20"/>
        </w:rPr>
        <w:t>Debt</w:t>
      </w:r>
      <w:r>
        <w:rPr>
          <w:rFonts w:ascii="Times New Roman" w:hAnsi="Times New Roman"/>
          <w:color w:val="000000"/>
          <w:sz w:val="20"/>
        </w:rPr>
        <w:t>” for further information.</w:t>
      </w:r>
    </w:p>
    <w:p>
      <w:pPr>
        <w:pStyle w:val="TextBody"/>
        <w:bidi w:val="0"/>
        <w:spacing w:before="360" w:after="200"/>
        <w:jc w:val="left"/>
        <w:rPr>
          <w:rFonts w:ascii="Times New Roman" w:hAnsi="Times New Roman"/>
          <w:sz w:val="20"/>
        </w:rPr>
      </w:pPr>
      <w:bookmarkStart w:id="8" w:name="item2_management_discussion_and_anal"/>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included in this Management’s Discussion and Analysis of Financial Condition and Results of Operations should be read in conjunction with our unaudited condensed consolidated financial statements and the accompanying notes included in this Quarterly Report, and the consolidated financial statements and accompanying notes, as well as Management’s Discussion and Analysis of Financial Condition and Results of Operations contained in our 2023 Annual Report. </w:t>
      </w:r>
    </w:p>
    <w:p>
      <w:pPr>
        <w:pStyle w:val="TextBody"/>
        <w:bidi w:val="0"/>
        <w:spacing w:before="120" w:after="283"/>
        <w:jc w:val="left"/>
        <w:rPr>
          <w:rFonts w:ascii="Times New Roman" w:hAnsi="Times New Roman"/>
          <w:sz w:val="20"/>
        </w:rPr>
      </w:pPr>
      <w:r>
        <w:rPr>
          <w:rFonts w:ascii="Times New Roman" w:hAnsi="Times New Roman"/>
          <w:color w:val="000000"/>
          <w:sz w:val="20"/>
        </w:rPr>
        <w:t>This Quarterly Report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2023 Annual Report, Part I, Item 1A, “</w:t>
      </w:r>
      <w:r>
        <w:rPr>
          <w:rFonts w:ascii="Times New Roman" w:hAnsi="Times New Roman"/>
          <w:i/>
          <w:color w:val="000000"/>
          <w:sz w:val="20"/>
        </w:rPr>
        <w:t>Risk Factors,</w:t>
      </w:r>
      <w:r>
        <w:rPr>
          <w:rFonts w:ascii="Times New Roman" w:hAnsi="Times New Roman"/>
          <w:color w:val="000000"/>
          <w:sz w:val="20"/>
        </w:rPr>
        <w:t xml:space="preserve">” as well as those discussed elsewhere in this Quarterly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Tripadvisor Group operates as a family of brands with a purpose of connecting people to experiences worth sharing. The Company's vision is to be the world’s most trusted source for travel and experiences. The Company operates across three reportable segments: Brand Tripadvisor,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Brand Tripadvisor’s purpose is to empower everyone to be a better traveler by serving as the world’s most trusted and essential travel guidance platform. Since Tripadvisor’s founding in 2000, Brand Tripadvisor has developed a relationship of trust and community with travelers and experience seekers by providing an online global platform for travelers to discover, generate, and share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authentic user-generated content (“UGC”) in the form of ratings and reviews for destinations, points-of-interest (“POIs”), experiences, accommodations, restaurants, and cruises in over 40 countries and in more than 20 languages across the world. Brand Tripadvisor offers more than 1 billion user-generated ratings and reviews on over 8 million experiences, accommodations, restaurants, airlines, and cruises. Brand Tripadvisor’s online platform attracts one of the world’s largest travel audiences, with hundreds of millions of visitors annually.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Viator’s purpose is 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experience operators around the globe. Our online marketplace is comprehensive and easy-to-use, connecting millions of travelers to the world’s largest supply of bookable tours, activities and attractions—over 350,000 experiences from more than 55,000 operators. Viator is a pure-play experiences OTA singularly focused on the needs of both travelers and operators with the largest supply of bookable experiences available to travelers.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TheFork’s purpose is to deliver happiness through amazing dining experiences. TheFork delivers on its purpose by providing an online marketplace that enables diners to discover and book online reservations at approximately 55,000 restaurants in 11 countries across the U.K. and western and central Europe. TheFork has become an urban, gastronomic guide with a strong community that offers approximately 20 million restaurant reviews.</w:t>
      </w:r>
    </w:p>
    <w:p>
      <w:pPr>
        <w:pStyle w:val="TextBody"/>
        <w:bidi w:val="0"/>
        <w:spacing w:before="360" w:after="283"/>
        <w:jc w:val="left"/>
        <w:rPr>
          <w:rFonts w:ascii="Times New Roman" w:hAnsi="Times New Roman"/>
          <w:sz w:val="20"/>
        </w:rPr>
      </w:pPr>
      <w:r>
        <w:rPr>
          <w:rFonts w:ascii="Times New Roman" w:hAnsi="Times New Roman"/>
          <w:b/>
          <w:color w:val="000000"/>
          <w:sz w:val="20"/>
        </w:rPr>
        <w:t>Our Business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Tripadvisor Group operates in a unique position in the travel and experiences ecosystem: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 global, and growing addressable markets including travel, experiences, and digital advertising;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large, global, and engaged audience making meaningful contributions that reinforces a relationship of trust and community;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wealth of high-intent data that comes from serving our audience of travelers and experience seekers at different points along their journey - whether they are engaging on our platforms for inspiration on their next experience, planning a trip, or making a purchasing decision.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Brand Tripadvisor segment, we offer a compelling value proposition to both travelers and partners across a number of key offerings that include accommodations, experiences, dining, and media. This value proposition is delivered through a collection of durable assets that we believe are difficult to replicate: a trusted brand, authentic UGC, a large community of contributors, and one of the largest global travel audiences. Our strategy in this segment is to leverage these core assets as well as our technology capabilities to provide travelers with a compelling user experience to help make the best decisions in each phase of the travel journey, including pre-trip planning, in-destination, and post-trip sharing. We intend to drive new traveler acquisition and repeat audience engagement on our platform by offering meaningful travel guidance solutions and services that reduce friction in the traveler journey and create a deeper, more persistent relationship with travelers. We evaluate investment opportunities across data, product, marketing, and technology that we believe will improve and diversify the monetization of our audience through deeper engagement, which, in turn, we expect will drive more value to our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Brand Tripadvisor segment plays an important role in our portfolio. For over two decades, we believe we have built difficult to replicate assets such as a trusted brand, authentic content, a large community of contributors, and one of the largest global travel audiences available. Our long-term strategy for the Brand Tripadvisor segment builds on our heritage and the reasons hundreds of millions of travelers come to Tripadvisor each year. Fundamental to this strategy will be: (1) innovating and enhancing world-class travel guidance and planning products to help travelers make confident decisions in a world where it is hard to find advice you can trust; (2) prioritizing deeper engagement with travelers, increasing members, and repeat customers by leveraging our rich data and technology assets to provide more relevant, curated, and contextual content throughout the traveler journey; and (3) driving a step change in the value we can deliver to our partners by accelerating and diversifying the monetization of our valuable audience across key categories, including hotel meta, media advertising, and experiences.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our Viator and TheFork segments, we provide two-sided marketplaces that connect travelers and diners to operators of bookable experiences and restaurants, respectively. Within our Viator and TheFork segments, we are investing in growth, future scale, and market share gains to accelerate our market leadership position, while improving unit economics on both sides of the marketplace that provide visibility to sustainable future profitability. This means driving awareness and higher quality audience engagement, which we believe will drive greater repeat bookings, more direct traffic, and translate into improved unit economics over time. Our investments on both sides of our marketplace, as well as in our primary offerings, are intended to deliver a differentiated value proposition that we believe will drive sustainable market leadership as our partners, operators, and travelers find themselves in an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increasingly competitive marketplace environment. We are focused on continuing to grow both our supplier base and our user base by offering innovative tools and features on our branded platforms, and through continued awareness of our brand through marketing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focused on executing initiatives across the Tripadvisor Group through organic investment in data, products, marketing and technology to further enhance the value we deliver to travelers and partners across our brands, platforms, and segments. In addition, we may accelerate growth inorganically by opportunistically pursuing strategic acquisitions.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online travel industry in which we operate is large, highly dynamic and increasingly competitive. We describe below current trends affecting our overall business and segments, including uncertainties that may impact our ability to execute on our objectives and strategies. Public health-related events, such as a pandemic, political instability, geopolitical conflicts, including the evolving events in the Middle East, acts of terrorism, fluctuations in currency values, and changes in global economic conditions, are examples of other events that could have a negative impact on the travel industry and, as a result, our financial results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Google introducing changes to its search engine results page (“SERP”), we generated a significant amount of direct traffic from search engines, including Google, through strong search engine optimization (“SEO”) performance across all segments. We believe our SEO traffic acquisition performance has been negatively impacted in the past, and may be impacted in the future, by metasearch and search engines (primarily Google) changing their search result placement and underlying algorithms, including to increase the prominence of their own products in search results across our business, most notably within our hotel meta offering within our Brand Tripadvisor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response to the large underpenetrated market for experiences, Viator continues to invest in marketing to drive awareness and grow market share. Over the long-term, we are focused on driving a greater percentage of our bookings from direct channels. We are doing this by continuing to focus on increasing our brand recognition and improving the user experience across products on our website and mobile app, providing high-quality customer service, and offering leading customer choice for online bookable experiences supply.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global experiences market is large, growing, and highly fragmented, with the vast majority of bookings still occurring through traditional offline sources. We are observing a secular shift, however, as this market continues to grow and accelerate the pace of online adoption. Likewise, the global restaurants category is also benefiting from increased online adoption by both consumers and restaurant partners, particularly in Europe. Given the competitive positioning of our businesses relative to the attractive growth prospects in these categories, we expect to continue to invest in these categories across Tripadvisor Group and, in particular, within the Viator and TheFork segments, to continue accelerating revenue growth, operating scale, and market share gains for the long-term.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disclosed in our 2023 Annual Report, in August 2023, we received a NOPA from the IRS for the 2014 through 2016 tax years relating to certain transfer pricing arrangements with our foreign subsidiaries. In response, we requested competent authority assistance under the MAP for the 2014 through 2016 tax years. In January 2024, we received notification of a MAP resolution agreement for the 2014 through 2016 tax years, which we accepted in February 2024. During the six months ended June 30, 2024, we recorded additional income tax expense as a discrete item, inclusive of interest, of $45 million related to this settlement on our unaudited condensed consolidated statement of operations, including $46 million recorded during the first quarter of 2024. We reviewed the impact of the acceptance of this settlement position against our existing transfer pricing income tax reserves for the subsequent open tax years during the first quarter of 2024, which resulted in an income tax benefit, inclusive of estimated interest, of $4 million. During the three months ended June 30, 2024, we made a payment to the IRS of $141 million, inclusive of estimated interest, to satisfy this audit settlement. We anticipate a competent authority refund from a foreign jurisdiction and certain federal tax benefits, net of state tax payments due, associated with this IRS audit settlement which will be substantially settled in the next twelve months, resulting in an estimated net cash inflow of $25 million to $35 million, inclusive of related interest. Refer to “Note 8: </w:t>
      </w:r>
      <w:r>
        <w:rPr>
          <w:rFonts w:ascii="Times New Roman" w:hAnsi="Times New Roman"/>
          <w:i/>
          <w:color w:val="000000"/>
          <w:sz w:val="20"/>
        </w:rPr>
        <w:t>Income Taxes</w:t>
      </w:r>
      <w:r>
        <w:rPr>
          <w:rFonts w:ascii="Times New Roman" w:hAnsi="Times New Roman"/>
          <w:color w:val="000000"/>
          <w:sz w:val="20"/>
        </w:rPr>
        <w:t>” in the notes to our unaudited condensed consolidated financial statements in Item 1 of this Quarterly Report for further information regarding potential material contingencies related to ongoing audits regarding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8, 2024, the Company entered into an Amendment to its Credit Facility. The Amendment provides for a new $500 million term loan B credit facility maturing July 8, 2031, with an interest rate based on SOFR plus 2.75% (the “Term Loan B Facility”). The Term Loan B Facility was offered at 99.75% of par and is required to be paid down at 1.00% of the aggregate principal amount per year. Subsequently, on July 15, 2024, the Company used proceeds from the Term Loan B Facility, to redeem the $500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million aggregate principal amount of the Company’s outstanding 2025 Senior Notes. Refer to “Note 14: </w:t>
      </w:r>
      <w:r>
        <w:rPr>
          <w:rFonts w:ascii="Times New Roman" w:hAnsi="Times New Roman"/>
          <w:i/>
          <w:color w:val="000000"/>
          <w:sz w:val="20"/>
        </w:rPr>
        <w:t>Subsequent Events</w:t>
      </w:r>
      <w:r>
        <w:rPr>
          <w:rFonts w:ascii="Times New Roman" w:hAnsi="Times New Roman"/>
          <w:color w:val="000000"/>
          <w:sz w:val="20"/>
        </w:rPr>
        <w:t>” in the notes to our unaudited condensed consolidated financial statements in Item 1 in this Quarterly Report for further information.</w:t>
      </w:r>
    </w:p>
    <w:p>
      <w:pPr>
        <w:pStyle w:val="TextBody"/>
        <w:bidi w:val="0"/>
        <w:spacing w:before="360" w:after="283"/>
        <w:jc w:val="left"/>
        <w:rPr>
          <w:rFonts w:ascii="Times New Roman" w:hAnsi="Times New Roman"/>
          <w:sz w:val="20"/>
        </w:rPr>
      </w:pPr>
      <w:r>
        <w:rPr>
          <w:rFonts w:ascii="Times New Roman" w:hAnsi="Times New Roman"/>
          <w:b/>
          <w:color w:val="000000"/>
          <w:sz w:val="20"/>
        </w:rPr>
        <w:t>Employees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the Company had approximately 2,850 employees. Approximately 59%, 35%, and 6% of the Company’s current employees are based in Europe, the U.S., and the rest of world (“ROW”),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pStyle w:val="TextBody"/>
        <w:bidi w:val="0"/>
        <w:spacing w:before="36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w:t>
      </w:r>
      <w:r>
        <w:rPr>
          <w:rFonts w:ascii="Times New Roman" w:hAnsi="Times New Roman"/>
          <w:color w:val="231F20"/>
          <w:sz w:val="20"/>
        </w:rPr>
        <w:t xml:space="preserve">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w:t>
      </w:r>
      <w:r>
        <w:rPr>
          <w:rFonts w:ascii="Times New Roman" w:hAnsi="Times New Roman"/>
          <w:color w:val="000000"/>
          <w:sz w:val="20"/>
        </w:rPr>
        <w:t xml:space="preserve">. </w:t>
      </w:r>
      <w:r>
        <w:rPr>
          <w:rFonts w:ascii="Times New Roman" w:hAnsi="Times New Roman"/>
          <w:color w:val="231F20"/>
          <w:sz w:val="20"/>
        </w:rPr>
        <w:t>Other factors may also impact typical seasonal fluctuations, such as significant shifts in our business mix, adverse economic conditions, public health-related events, as well as other factors</w:t>
      </w:r>
      <w:r>
        <w:rPr>
          <w:rFonts w:ascii="Times New Roman" w:hAnsi="Times New Roman"/>
          <w:color w:val="000000"/>
          <w:sz w:val="20"/>
        </w:rPr>
        <w:t>.</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management to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certain critical estimates that we believe require significant judgment in the preparation of our consolidated financial statements. We consider an accounting estimate to be critical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requires us to make an assumption because information was not available at the time or it included matters that were highly uncertain at the time we were making the estimate; and/or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changes in the estimate or different estimates that we could have selected may have had a material impact on our financial condition 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material changes to our critical accounting policies and estimates as compared to the critical accounting policies and estimates described in our 2023 Annual Report. </w:t>
      </w:r>
    </w:p>
    <w:p>
      <w:pPr>
        <w:pStyle w:val="TextBody"/>
        <w:bidi w:val="0"/>
        <w:spacing w:before="240" w:after="240"/>
        <w:jc w:val="left"/>
        <w:rPr>
          <w:rFonts w:ascii="Times New Roman" w:hAnsi="Times New Roman"/>
          <w:sz w:val="20"/>
        </w:rPr>
      </w:pPr>
      <w:r>
        <w:rPr>
          <w:rFonts w:ascii="Times New Roman" w:hAnsi="Times New Roman"/>
          <w:b/>
          <w:color w:val="000000"/>
          <w:sz w:val="20"/>
        </w:rPr>
        <w:t>Significant Accounting Policies and New Accounting Pronouncements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There have been no material changes to our significant accounting policies or new accounting pronouncements that we are required to adopt that may have an impact on our unaudited condensed consolidated financial statements since December 31, 2023, as compared to those described under “Note 2: </w:t>
      </w:r>
      <w:r>
        <w:rPr>
          <w:rFonts w:ascii="Times New Roman" w:hAnsi="Times New Roman"/>
          <w:i/>
          <w:color w:val="000000"/>
          <w:sz w:val="20"/>
        </w:rPr>
        <w:t>Significant Accounting Policies,</w:t>
      </w:r>
      <w:r>
        <w:rPr>
          <w:rFonts w:ascii="Times New Roman" w:hAnsi="Times New Roman"/>
          <w:color w:val="000000"/>
          <w:sz w:val="20"/>
        </w:rPr>
        <w:t>” in the notes to consolidated financial statements in Item 8 of our 2023 Annual Report.</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Selected Financial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percentages)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59"/>
        <w:gridCol w:w="346"/>
        <w:gridCol w:w="259"/>
        <w:gridCol w:w="517"/>
        <w:gridCol w:w="203"/>
        <w:gridCol w:w="179"/>
        <w:gridCol w:w="259"/>
        <w:gridCol w:w="517"/>
        <w:gridCol w:w="166"/>
        <w:gridCol w:w="146"/>
        <w:gridCol w:w="280"/>
        <w:gridCol w:w="725"/>
        <w:gridCol w:w="304"/>
        <w:gridCol w:w="146"/>
        <w:gridCol w:w="244"/>
        <w:gridCol w:w="488"/>
        <w:gridCol w:w="192"/>
        <w:gridCol w:w="169"/>
        <w:gridCol w:w="244"/>
        <w:gridCol w:w="488"/>
        <w:gridCol w:w="166"/>
        <w:gridCol w:w="146"/>
        <w:gridCol w:w="258"/>
        <w:gridCol w:w="746"/>
        <w:gridCol w:w="558"/>
      </w:tblGrid>
      <w:tr>
        <w:trPr/>
        <w:tc>
          <w:tcPr>
            <w:tcW w:w="245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2459"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9"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76" w:type="dxa"/>
            <w:gridSpan w:val="2"/>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7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r>
      <w:tr>
        <w:trPr/>
        <w:tc>
          <w:tcPr>
            <w:tcW w:w="24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346" w:type="dxa"/>
            <w:tcBorders/>
            <w:shd w:fill="CFF0FC" w:val="clear"/>
            <w:vAlign w:val="center"/>
          </w:tcPr>
          <w:p>
            <w:pPr>
              <w:pStyle w:val="TableContents"/>
              <w:bidi w:val="0"/>
              <w:spacing w:before="0" w:after="283"/>
              <w:jc w:val="left"/>
              <w:rPr/>
            </w:pPr>
            <w:r>
              <w:rPr/>
              <w:t> </w:t>
            </w:r>
          </w:p>
        </w:tc>
        <w:tc>
          <w:tcPr>
            <w:tcW w:w="776" w:type="dxa"/>
            <w:gridSpan w:val="2"/>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7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4" w:type="dxa"/>
            <w:gridSpan w:val="2"/>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ind w:left="0" w:right="0" w:firstLine="200"/>
              <w:jc w:val="left"/>
              <w:rPr/>
            </w:pPr>
            <w:r>
              <w:rPr/>
              <w:t> </w:t>
            </w:r>
          </w:p>
        </w:tc>
      </w:tr>
      <w:tr>
        <w:trPr/>
        <w:tc>
          <w:tcPr>
            <w:tcW w:w="2459"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44"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5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pPr>
            <w:r>
              <w:rPr/>
              <w:t> </w:t>
            </w:r>
          </w:p>
        </w:tc>
        <w:tc>
          <w:tcPr>
            <w:tcW w:w="5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58"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and content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5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58"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3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3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CFF0FC" w:val="clear"/>
            <w:vAlign w:val="center"/>
          </w:tcPr>
          <w:p>
            <w:pPr>
              <w:pStyle w:val="TableContents"/>
              <w:bidi w:val="0"/>
              <w:spacing w:before="0" w:after="283"/>
              <w:jc w:val="left"/>
              <w:rPr/>
            </w:pPr>
            <w:r>
              <w:rPr/>
              <w:t> </w:t>
            </w:r>
          </w:p>
        </w:tc>
        <w:tc>
          <w:tcPr>
            <w:tcW w:w="776" w:type="dxa"/>
            <w:gridSpan w:val="2"/>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7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4" w:type="dxa"/>
            <w:gridSpan w:val="2"/>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ind w:left="0" w:right="0" w:firstLine="200"/>
              <w:jc w:val="left"/>
              <w:rPr/>
            </w:pPr>
            <w:r>
              <w:rPr/>
              <w:t> </w:t>
            </w:r>
          </w:p>
        </w:tc>
      </w:tr>
      <w:tr>
        <w:trPr/>
        <w:tc>
          <w:tcPr>
            <w:tcW w:w="2459"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5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pPr>
            <w:r>
              <w:rPr/>
              <w:t> </w:t>
            </w:r>
          </w:p>
        </w:tc>
        <w:tc>
          <w:tcPr>
            <w:tcW w:w="5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58"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0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5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3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04"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04"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58" w:type="dxa"/>
            <w:tcBorders/>
            <w:shd w:fill="CFF0FC" w:val="clear"/>
            <w:vAlign w:val="center"/>
          </w:tcPr>
          <w:p>
            <w:pPr>
              <w:pStyle w:val="TableContents"/>
              <w:bidi w:val="0"/>
              <w:spacing w:before="0" w:after="283"/>
              <w:jc w:val="right"/>
              <w:rPr/>
            </w:pPr>
            <w:r>
              <w:rPr/>
              <w:t> </w:t>
            </w:r>
          </w:p>
        </w:tc>
      </w:tr>
      <w:tr>
        <w:trPr/>
        <w:tc>
          <w:tcPr>
            <w:tcW w:w="24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3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44"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5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59"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776" w:type="dxa"/>
            <w:gridSpan w:val="2"/>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7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4" w:type="dxa"/>
            <w:gridSpan w:val="2"/>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left"/>
              <w:rPr/>
            </w:pPr>
            <w:r>
              <w:rPr/>
              <w:t> </w:t>
            </w:r>
          </w:p>
        </w:tc>
      </w:tr>
      <w:tr>
        <w:trPr/>
        <w:tc>
          <w:tcPr>
            <w:tcW w:w="24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Data:</w:t>
            </w:r>
          </w:p>
        </w:tc>
        <w:tc>
          <w:tcPr>
            <w:tcW w:w="346" w:type="dxa"/>
            <w:tcBorders/>
            <w:shd w:fill="FFFFFF" w:val="clear"/>
            <w:vAlign w:val="center"/>
          </w:tcPr>
          <w:p>
            <w:pPr>
              <w:pStyle w:val="TableContents"/>
              <w:bidi w:val="0"/>
              <w:spacing w:before="0" w:after="283"/>
              <w:jc w:val="left"/>
              <w:rPr/>
            </w:pPr>
            <w:r>
              <w:rPr/>
              <w:t> </w:t>
            </w:r>
          </w:p>
        </w:tc>
        <w:tc>
          <w:tcPr>
            <w:tcW w:w="776" w:type="dxa"/>
            <w:gridSpan w:val="2"/>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right"/>
              <w:rPr/>
            </w:pPr>
            <w:r>
              <w:rPr/>
              <w:t> </w:t>
            </w:r>
          </w:p>
        </w:tc>
        <w:tc>
          <w:tcPr>
            <w:tcW w:w="7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left"/>
              <w:rPr/>
            </w:pPr>
            <w:r>
              <w:rPr/>
              <w:t> </w:t>
            </w:r>
          </w:p>
        </w:tc>
      </w:tr>
      <w:tr>
        <w:trPr/>
        <w:tc>
          <w:tcPr>
            <w:tcW w:w="24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(1)</w:t>
            </w:r>
          </w:p>
        </w:tc>
        <w:tc>
          <w:tcPr>
            <w:tcW w:w="3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n.m. = </w:t>
      </w:r>
      <w:r>
        <w:rPr>
          <w:rFonts w:ascii="Times New Roman" w:hAnsi="Times New Roman"/>
          <w:i/>
          <w:color w:val="000000"/>
          <w:sz w:val="16"/>
        </w:rPr>
        <w:t>not meaningful</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Consolidated Adjusted EBITDA is considered a non-GAAP measure as defined by the SEC. Please refer to the “Adjusted EBITDA” discussion below for more information, including tabular reconciliations to the most directly comparable GAAP financial measure.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Revenue and Segment Information</w:t>
      </w:r>
    </w:p>
    <w:p>
      <w:pPr>
        <w:pStyle w:val="TextBody"/>
        <w:bidi w:val="0"/>
        <w:spacing w:before="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00"/>
        <w:gridCol w:w="146"/>
        <w:gridCol w:w="245"/>
        <w:gridCol w:w="490"/>
        <w:gridCol w:w="315"/>
        <w:gridCol w:w="169"/>
        <w:gridCol w:w="245"/>
        <w:gridCol w:w="490"/>
        <w:gridCol w:w="301"/>
        <w:gridCol w:w="146"/>
        <w:gridCol w:w="276"/>
        <w:gridCol w:w="716"/>
        <w:gridCol w:w="301"/>
        <w:gridCol w:w="146"/>
        <w:gridCol w:w="228"/>
        <w:gridCol w:w="455"/>
        <w:gridCol w:w="329"/>
        <w:gridCol w:w="157"/>
        <w:gridCol w:w="228"/>
        <w:gridCol w:w="455"/>
        <w:gridCol w:w="301"/>
        <w:gridCol w:w="146"/>
        <w:gridCol w:w="276"/>
        <w:gridCol w:w="716"/>
        <w:gridCol w:w="528"/>
      </w:tblGrid>
      <w:tr>
        <w:trPr/>
        <w:tc>
          <w:tcPr>
            <w:tcW w:w="2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24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by Segment:</w:t>
            </w:r>
          </w:p>
        </w:tc>
        <w:tc>
          <w:tcPr>
            <w:tcW w:w="146" w:type="dxa"/>
            <w:tcBorders/>
            <w:shd w:fill="CFF0FC" w:val="clear"/>
            <w:vAlign w:val="center"/>
          </w:tcPr>
          <w:p>
            <w:pPr>
              <w:pStyle w:val="TableContents"/>
              <w:bidi w:val="0"/>
              <w:spacing w:before="0" w:after="283"/>
              <w:jc w:val="left"/>
              <w:rPr/>
            </w:pPr>
            <w:r>
              <w:rPr/>
              <w:t> </w:t>
            </w:r>
          </w:p>
        </w:tc>
        <w:tc>
          <w:tcPr>
            <w:tcW w:w="1954" w:type="dxa"/>
            <w:gridSpan w:val="6"/>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2" w:type="dxa"/>
            <w:gridSpan w:val="6"/>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28" w:type="dxa"/>
            <w:tcBorders/>
            <w:shd w:fill="CFF0FC" w:val="clear"/>
            <w:vAlign w:val="center"/>
          </w:tcPr>
          <w:p>
            <w:pPr>
              <w:pStyle w:val="TableContents"/>
              <w:bidi w:val="0"/>
              <w:spacing w:before="0" w:after="283"/>
              <w:jc w:val="left"/>
              <w:rPr/>
            </w:pPr>
            <w:r>
              <w:rPr/>
              <w:t> </w:t>
            </w:r>
          </w:p>
        </w:tc>
      </w:tr>
      <w:tr>
        <w:trPr/>
        <w:tc>
          <w:tcPr>
            <w:tcW w:w="240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Brand Tripadvisor </w:t>
            </w: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15"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2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Viator</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15"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2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TheFork</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5"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2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Intersegment eliminations </w:t>
            </w: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28"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by Segment:</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3" w:type="dxa"/>
            <w:gridSpan w:val="2"/>
            <w:tcBorders/>
            <w:shd w:fill="CFF0FC" w:val="clear"/>
            <w:vAlign w:val="center"/>
          </w:tcPr>
          <w:p>
            <w:pPr>
              <w:pStyle w:val="TableContents"/>
              <w:bidi w:val="0"/>
              <w:spacing w:before="0" w:after="283"/>
              <w:jc w:val="right"/>
              <w:rPr/>
            </w:pPr>
            <w:r>
              <w:rPr/>
              <w:t> </w:t>
            </w:r>
          </w:p>
        </w:tc>
        <w:tc>
          <w:tcPr>
            <w:tcW w:w="329"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683"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28" w:type="dxa"/>
            <w:tcBorders/>
            <w:shd w:fill="CFF0FC" w:val="clear"/>
            <w:vAlign w:val="center"/>
          </w:tcPr>
          <w:p>
            <w:pPr>
              <w:pStyle w:val="TableContents"/>
              <w:bidi w:val="0"/>
              <w:spacing w:before="0" w:after="283"/>
              <w:jc w:val="right"/>
              <w:rPr/>
            </w:pPr>
            <w:r>
              <w:rPr/>
              <w:t> </w:t>
            </w:r>
          </w:p>
        </w:tc>
      </w:tr>
      <w:tr>
        <w:trPr/>
        <w:tc>
          <w:tcPr>
            <w:tcW w:w="24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Brand Tripadvisor</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15"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2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Viator</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5"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TheFork</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28" w:type="dxa"/>
            <w:tcBorders/>
            <w:shd w:fill="FFFFFF" w:val="clear"/>
            <w:vAlign w:val="center"/>
          </w:tcPr>
          <w:p>
            <w:pPr>
              <w:pStyle w:val="TableContents"/>
              <w:bidi w:val="0"/>
              <w:spacing w:before="0" w:after="283"/>
              <w:ind w:left="0" w:right="0" w:firstLine="200"/>
              <w:jc w:val="right"/>
              <w:rPr/>
            </w:pPr>
            <w:r>
              <w:rPr/>
              <w:t> </w:t>
            </w:r>
          </w:p>
        </w:tc>
      </w:tr>
      <w:tr>
        <w:trPr/>
        <w:tc>
          <w:tcPr>
            <w:tcW w:w="240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Adjusted EBITDA</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Margin by Segment </w:t>
            </w:r>
            <w:r>
              <w:rPr>
                <w:rFonts w:ascii="Times New Roman" w:hAnsi="Times New Roman"/>
                <w:color w:val="000000"/>
                <w:sz w:val="16"/>
              </w:rPr>
              <w:t>(2)</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3" w:type="dxa"/>
            <w:gridSpan w:val="2"/>
            <w:tcBorders/>
            <w:shd w:fill="FFFFFF" w:val="clear"/>
            <w:vAlign w:val="center"/>
          </w:tcPr>
          <w:p>
            <w:pPr>
              <w:pStyle w:val="TableContents"/>
              <w:bidi w:val="0"/>
              <w:spacing w:before="0" w:after="283"/>
              <w:jc w:val="right"/>
              <w:rPr/>
            </w:pPr>
            <w:r>
              <w:rPr/>
              <w:t> </w:t>
            </w:r>
          </w:p>
        </w:tc>
        <w:tc>
          <w:tcPr>
            <w:tcW w:w="329"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683"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r>
      <w:tr>
        <w:trPr/>
        <w:tc>
          <w:tcPr>
            <w:tcW w:w="2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Brand Tripadvisor</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28" w:type="dxa"/>
            <w:tcBorders/>
            <w:shd w:fill="CFF0FC" w:val="clear"/>
            <w:vAlign w:val="center"/>
          </w:tcPr>
          <w:p>
            <w:pPr>
              <w:pStyle w:val="TableContents"/>
              <w:bidi w:val="0"/>
              <w:spacing w:before="0" w:after="283"/>
              <w:jc w:val="right"/>
              <w:rPr/>
            </w:pPr>
            <w:r>
              <w:rPr/>
              <w:t> </w:t>
            </w:r>
          </w:p>
        </w:tc>
      </w:tr>
      <w:tr>
        <w:trPr/>
        <w:tc>
          <w:tcPr>
            <w:tcW w:w="24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Viator</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28" w:type="dxa"/>
            <w:tcBorders/>
            <w:shd w:fill="FFFFFF" w:val="clear"/>
            <w:vAlign w:val="center"/>
          </w:tcPr>
          <w:p>
            <w:pPr>
              <w:pStyle w:val="TableContents"/>
              <w:bidi w:val="0"/>
              <w:spacing w:before="0" w:after="283"/>
              <w:jc w:val="right"/>
              <w:rPr/>
            </w:pPr>
            <w:r>
              <w:rPr/>
              <w:t> </w:t>
            </w:r>
          </w:p>
        </w:tc>
      </w:tr>
      <w:tr>
        <w:trPr/>
        <w:tc>
          <w:tcPr>
            <w:tcW w:w="2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TheFork</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28" w:type="dxa"/>
            <w:tcBorders/>
            <w:shd w:fill="CFF0FC" w:val="clear"/>
            <w:vAlign w:val="center"/>
          </w:tcPr>
          <w:p>
            <w:pPr>
              <w:pStyle w:val="TableContents"/>
              <w:bidi w:val="0"/>
              <w:spacing w:before="0" w:after="283"/>
              <w:jc w:val="right"/>
              <w:rPr/>
            </w:pPr>
            <w:r>
              <w:rPr/>
              <w:t> </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n.m. = </w:t>
      </w:r>
      <w:r>
        <w:rPr>
          <w:rFonts w:ascii="Times New Roman" w:hAnsi="Times New Roman"/>
          <w:i/>
          <w:color w:val="000000"/>
          <w:sz w:val="16"/>
        </w:rPr>
        <w:t>not meaningful</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 xml:space="preserve">Brand Tripadvisor segment revenue figures are shown gross of intersegment (intercompany) revenue, which is eliminated on a consolidated basis. Refer to “Note 13: </w:t>
      </w:r>
      <w:r>
        <w:rPr>
          <w:rFonts w:ascii="Times New Roman" w:hAnsi="Times New Roman"/>
          <w:i/>
          <w:color w:val="000000"/>
          <w:sz w:val="16"/>
        </w:rPr>
        <w:t>Segment Information</w:t>
      </w:r>
      <w:r>
        <w:rPr>
          <w:color w:val="000000"/>
        </w:rPr>
        <w:t xml:space="preserve">” </w:t>
      </w:r>
      <w:r>
        <w:rPr>
          <w:rFonts w:ascii="Times New Roman" w:hAnsi="Times New Roman"/>
          <w:color w:val="000000"/>
          <w:sz w:val="16"/>
        </w:rPr>
        <w:t xml:space="preserve">in the notes to our unaudited condensed consolidated financial statements in Item 1 in this Quarterly Report for a discussion of intersegment revenue for all periods presented.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color w:val="000000"/>
        </w:rPr>
      </w:pPr>
      <w:r>
        <w:rPr>
          <w:color w:val="000000"/>
        </w:rPr>
        <w:t>“</w:t>
      </w:r>
      <w:r>
        <w:rPr>
          <w:rFonts w:ascii="Times New Roman" w:hAnsi="Times New Roman"/>
          <w:color w:val="000000"/>
          <w:sz w:val="16"/>
        </w:rPr>
        <w:t xml:space="preserve">Adjusted EBITDA Margin by Segment” is defined as Adjusted EBITDA by segment divided by revenue by segment.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Brand Tripadvisor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Brand Tripadvisor segment revenue decreased by $29 million and $33 million during the three and six months ended June 30, 2024, respectively, when compared to the same periods in 2023, primarily due to a decrease in our hotel meta revenue and, to a lesser extent, a decrease in hotel B2B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in our Brand Tripadvisor segment decreased by $12 million and $7 million during the three and six months ended June 30, 2024, respectively, when compared to the same periods in 2023, while adjusted EBITDA margin remained constant and increased 1 percentage point during the three and six months ended June 30, 2024, respectively, when compared to the same periods in 2023. The decrease in Adjusted EBITDA was primarily due to a decrease in revenue as noted above, and to a lesser extent, an increase in brand advertising costs, direct revenue generation costs related to data center and media production costs, primarily in media and advertising, partially offset by a decrease in direct selling and marketing expenses related to online paid traffic acquisition costs, and personnel and overhead costs driven by a reduction in headcount related to cost reduction measures taken during 2023. The improvement in adjusted EBITDA margin during the six months ended June 30, 2024, when compared to the same period in 2023, was largely due to the decrease of selling and marketing costs as a percent of revenue, partially offset by an increase in cost of revenue direct costs and technology and content personnel costs as a percent of revenue.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is a detailed discussion of the revenue sources within our Brand Tripadvisor segment:</w:t>
      </w:r>
    </w:p>
    <w:tbl>
      <w:tblPr>
        <w:tblW w:w="10205" w:type="dxa"/>
        <w:jc w:val="left"/>
        <w:tblInd w:w="0" w:type="dxa"/>
        <w:tblLayout w:type="fixed"/>
        <w:tblCellMar>
          <w:top w:w="28" w:type="dxa"/>
          <w:left w:w="28" w:type="dxa"/>
          <w:bottom w:w="28" w:type="dxa"/>
          <w:right w:w="28" w:type="dxa"/>
        </w:tblCellMar>
      </w:tblPr>
      <w:tblGrid>
        <w:gridCol w:w="2425"/>
        <w:gridCol w:w="346"/>
        <w:gridCol w:w="231"/>
        <w:gridCol w:w="463"/>
        <w:gridCol w:w="298"/>
        <w:gridCol w:w="160"/>
        <w:gridCol w:w="231"/>
        <w:gridCol w:w="463"/>
        <w:gridCol w:w="271"/>
        <w:gridCol w:w="146"/>
        <w:gridCol w:w="263"/>
        <w:gridCol w:w="682"/>
        <w:gridCol w:w="289"/>
        <w:gridCol w:w="146"/>
        <w:gridCol w:w="224"/>
        <w:gridCol w:w="447"/>
        <w:gridCol w:w="288"/>
        <w:gridCol w:w="155"/>
        <w:gridCol w:w="224"/>
        <w:gridCol w:w="447"/>
        <w:gridCol w:w="271"/>
        <w:gridCol w:w="146"/>
        <w:gridCol w:w="263"/>
        <w:gridCol w:w="682"/>
        <w:gridCol w:w="644"/>
      </w:tblGrid>
      <w:tr>
        <w:trPr/>
        <w:tc>
          <w:tcPr>
            <w:tcW w:w="24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42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44" w:type="dxa"/>
            <w:tcBorders/>
            <w:shd w:fill="FFFFFF" w:val="clear"/>
            <w:vAlign w:val="center"/>
          </w:tcPr>
          <w:p>
            <w:pPr>
              <w:pStyle w:val="TableContents"/>
              <w:bidi w:val="0"/>
              <w:spacing w:before="0" w:after="283"/>
              <w:jc w:val="center"/>
              <w:rPr/>
            </w:pPr>
            <w:r>
              <w:rPr/>
              <w:t> </w:t>
            </w:r>
          </w:p>
        </w:tc>
      </w:tr>
      <w:tr>
        <w:trPr/>
        <w:tc>
          <w:tcPr>
            <w:tcW w:w="242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center"/>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8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pPr>
            <w:r>
              <w:rPr/>
              <w:t> </w:t>
            </w:r>
          </w:p>
        </w:tc>
        <w:tc>
          <w:tcPr>
            <w:tcW w:w="2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pPr>
            <w:r>
              <w:rPr/>
              <w:t> </w:t>
            </w:r>
          </w:p>
        </w:tc>
        <w:tc>
          <w:tcPr>
            <w:tcW w:w="644" w:type="dxa"/>
            <w:tcBorders/>
            <w:shd w:fill="FFFFFF" w:val="clear"/>
            <w:vAlign w:val="center"/>
          </w:tcPr>
          <w:p>
            <w:pPr>
              <w:pStyle w:val="TableContents"/>
              <w:bidi w:val="0"/>
              <w:spacing w:before="0" w:after="283"/>
              <w:jc w:val="center"/>
              <w:rPr/>
            </w:pPr>
            <w:r>
              <w:rPr/>
              <w:t> </w:t>
            </w:r>
          </w:p>
        </w:tc>
      </w:tr>
      <w:tr>
        <w:trPr/>
        <w:tc>
          <w:tcPr>
            <w:tcW w:w="242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Brand Tripadvisor:</w:t>
            </w:r>
          </w:p>
        </w:tc>
        <w:tc>
          <w:tcPr>
            <w:tcW w:w="346" w:type="dxa"/>
            <w:tcBorders/>
            <w:shd w:fill="CFF0FC" w:val="clear"/>
            <w:vAlign w:val="center"/>
          </w:tcPr>
          <w:p>
            <w:pPr>
              <w:pStyle w:val="TableContents"/>
              <w:bidi w:val="0"/>
              <w:spacing w:before="0" w:after="283"/>
              <w:jc w:val="left"/>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298" w:type="dxa"/>
            <w:tcBorders/>
            <w:shd w:fill="CFF0FC" w:val="clear"/>
            <w:vAlign w:val="center"/>
          </w:tcPr>
          <w:p>
            <w:pPr>
              <w:pStyle w:val="TableContents"/>
              <w:bidi w:val="0"/>
              <w:spacing w:before="0" w:after="283"/>
              <w:jc w:val="center"/>
              <w:rPr/>
            </w:pPr>
            <w:r>
              <w:rPr/>
              <w:t> </w:t>
            </w:r>
          </w:p>
        </w:tc>
        <w:tc>
          <w:tcPr>
            <w:tcW w:w="160" w:type="dxa"/>
            <w:tcBorders/>
            <w:shd w:fill="CFF0FC" w:val="clear"/>
            <w:vAlign w:val="center"/>
          </w:tcPr>
          <w:p>
            <w:pPr>
              <w:pStyle w:val="TableContents"/>
              <w:bidi w:val="0"/>
              <w:spacing w:before="0" w:after="283"/>
              <w:jc w:val="center"/>
              <w:rPr/>
            </w:pPr>
            <w:r>
              <w:rPr/>
              <w:t> </w:t>
            </w:r>
          </w:p>
        </w:tc>
        <w:tc>
          <w:tcPr>
            <w:tcW w:w="694"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5" w:type="dxa"/>
            <w:gridSpan w:val="2"/>
            <w:tcBorders/>
            <w:shd w:fill="CFF0FC" w:val="clear"/>
            <w:vAlign w:val="center"/>
          </w:tcPr>
          <w:p>
            <w:pPr>
              <w:pStyle w:val="TableContents"/>
              <w:bidi w:val="0"/>
              <w:spacing w:before="0" w:after="283"/>
              <w:jc w:val="center"/>
              <w:rPr/>
            </w:pPr>
            <w:r>
              <w:rPr/>
              <w:t> </w:t>
            </w:r>
          </w:p>
        </w:tc>
        <w:tc>
          <w:tcPr>
            <w:tcW w:w="28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1" w:type="dxa"/>
            <w:gridSpan w:val="2"/>
            <w:tcBorders/>
            <w:shd w:fill="CFF0FC" w:val="clear"/>
            <w:vAlign w:val="center"/>
          </w:tcPr>
          <w:p>
            <w:pPr>
              <w:pStyle w:val="TableContents"/>
              <w:bidi w:val="0"/>
              <w:spacing w:before="0" w:after="283"/>
              <w:jc w:val="center"/>
              <w:rPr/>
            </w:pPr>
            <w:r>
              <w:rPr/>
              <w:t> </w:t>
            </w:r>
          </w:p>
        </w:tc>
        <w:tc>
          <w:tcPr>
            <w:tcW w:w="288" w:type="dxa"/>
            <w:tcBorders/>
            <w:shd w:fill="CFF0FC" w:val="clear"/>
            <w:vAlign w:val="center"/>
          </w:tcPr>
          <w:p>
            <w:pPr>
              <w:pStyle w:val="TableContents"/>
              <w:bidi w:val="0"/>
              <w:spacing w:before="0" w:after="283"/>
              <w:jc w:val="center"/>
              <w:rPr/>
            </w:pPr>
            <w:r>
              <w:rPr/>
              <w:t> </w:t>
            </w:r>
          </w:p>
        </w:tc>
        <w:tc>
          <w:tcPr>
            <w:tcW w:w="155" w:type="dxa"/>
            <w:tcBorders/>
            <w:shd w:fill="CFF0FC" w:val="clear"/>
            <w:vAlign w:val="center"/>
          </w:tcPr>
          <w:p>
            <w:pPr>
              <w:pStyle w:val="TableContents"/>
              <w:bidi w:val="0"/>
              <w:spacing w:before="0" w:after="283"/>
              <w:jc w:val="center"/>
              <w:rPr/>
            </w:pPr>
            <w:r>
              <w:rPr/>
              <w:t> </w:t>
            </w:r>
          </w:p>
        </w:tc>
        <w:tc>
          <w:tcPr>
            <w:tcW w:w="671"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5" w:type="dxa"/>
            <w:gridSpan w:val="2"/>
            <w:tcBorders/>
            <w:shd w:fill="CFF0FC" w:val="clear"/>
            <w:vAlign w:val="center"/>
          </w:tcPr>
          <w:p>
            <w:pPr>
              <w:pStyle w:val="TableContents"/>
              <w:bidi w:val="0"/>
              <w:spacing w:before="0" w:after="283"/>
              <w:jc w:val="center"/>
              <w:rPr/>
            </w:pPr>
            <w:r>
              <w:rPr/>
              <w:t> </w:t>
            </w:r>
          </w:p>
        </w:tc>
        <w:tc>
          <w:tcPr>
            <w:tcW w:w="644" w:type="dxa"/>
            <w:tcBorders/>
            <w:shd w:fill="CFF0FC" w:val="clear"/>
            <w:vAlign w:val="center"/>
          </w:tcPr>
          <w:p>
            <w:pPr>
              <w:pStyle w:val="TableContents"/>
              <w:bidi w:val="0"/>
              <w:spacing w:before="0" w:after="283"/>
              <w:jc w:val="center"/>
              <w:rPr/>
            </w:pPr>
            <w:r>
              <w:rPr/>
              <w:t> </w:t>
            </w:r>
          </w:p>
        </w:tc>
      </w:tr>
      <w:tr>
        <w:trPr/>
        <w:tc>
          <w:tcPr>
            <w:tcW w:w="242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Tripadvisor-branded hotels</w:t>
            </w:r>
          </w:p>
        </w:tc>
        <w:tc>
          <w:tcPr>
            <w:tcW w:w="3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8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44"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425" w:type="dxa"/>
            <w:tcBorders/>
            <w:shd w:fill="CFF0FC" w:val="clear"/>
            <w:vAlign w:val="center"/>
          </w:tcPr>
          <w:p>
            <w:pPr>
              <w:pStyle w:val="TableContents"/>
              <w:bidi w:val="0"/>
              <w:spacing w:before="0" w:after="283"/>
              <w:ind w:left="300" w:right="0" w:firstLine="300"/>
              <w:jc w:val="left"/>
              <w:rPr>
                <w:rFonts w:ascii="Times New Roman" w:hAnsi="Times New Roman"/>
                <w:i/>
                <w:color w:val="000000"/>
                <w:sz w:val="20"/>
              </w:rPr>
            </w:pPr>
            <w:r>
              <w:rPr>
                <w:rFonts w:ascii="Times New Roman" w:hAnsi="Times New Roman"/>
                <w:i/>
                <w:color w:val="000000"/>
                <w:sz w:val="20"/>
              </w:rPr>
              <w:t>% of Brand Tripadvisor revenue*</w:t>
            </w:r>
          </w:p>
        </w:tc>
        <w:tc>
          <w:tcPr>
            <w:tcW w:w="3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60</w:t>
            </w:r>
          </w:p>
        </w:tc>
        <w:tc>
          <w:tcPr>
            <w:tcW w:w="298"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62</w:t>
            </w:r>
          </w:p>
        </w:tc>
        <w:tc>
          <w:tcPr>
            <w:tcW w:w="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63</w:t>
            </w:r>
          </w:p>
        </w:tc>
        <w:tc>
          <w:tcPr>
            <w:tcW w:w="288"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66</w:t>
            </w:r>
          </w:p>
        </w:tc>
        <w:tc>
          <w:tcPr>
            <w:tcW w:w="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Media and advertising</w:t>
            </w:r>
          </w:p>
        </w:tc>
        <w:tc>
          <w:tcPr>
            <w:tcW w:w="3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9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8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44"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425" w:type="dxa"/>
            <w:tcBorders/>
            <w:shd w:fill="CFF0FC" w:val="clear"/>
            <w:vAlign w:val="center"/>
          </w:tcPr>
          <w:p>
            <w:pPr>
              <w:pStyle w:val="TableContents"/>
              <w:bidi w:val="0"/>
              <w:spacing w:before="0" w:after="283"/>
              <w:ind w:left="300" w:right="0" w:firstLine="300"/>
              <w:jc w:val="left"/>
              <w:rPr>
                <w:rFonts w:ascii="Times New Roman" w:hAnsi="Times New Roman"/>
                <w:i/>
                <w:color w:val="000000"/>
                <w:sz w:val="20"/>
              </w:rPr>
            </w:pPr>
            <w:r>
              <w:rPr>
                <w:rFonts w:ascii="Times New Roman" w:hAnsi="Times New Roman"/>
                <w:i/>
                <w:color w:val="000000"/>
                <w:sz w:val="20"/>
              </w:rPr>
              <w:t>% of Brand Tripadvisor revenue*</w:t>
            </w:r>
          </w:p>
        </w:tc>
        <w:tc>
          <w:tcPr>
            <w:tcW w:w="3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w:t>
            </w:r>
          </w:p>
        </w:tc>
        <w:tc>
          <w:tcPr>
            <w:tcW w:w="298"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w:t>
            </w:r>
          </w:p>
        </w:tc>
        <w:tc>
          <w:tcPr>
            <w:tcW w:w="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w:t>
            </w:r>
          </w:p>
        </w:tc>
        <w:tc>
          <w:tcPr>
            <w:tcW w:w="288"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14</w:t>
            </w:r>
          </w:p>
        </w:tc>
        <w:tc>
          <w:tcPr>
            <w:tcW w:w="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pPr>
            <w:r>
              <w:rPr>
                <w:color w:val="000000"/>
              </w:rPr>
              <w:t>   </w:t>
            </w:r>
            <w:r>
              <w:rPr>
                <w:rFonts w:ascii="Times New Roman" w:hAnsi="Times New Roman"/>
                <w:color w:val="000000"/>
                <w:sz w:val="20"/>
              </w:rPr>
              <w:t xml:space="preserve">Tripadvisor experiences and dining </w:t>
            </w:r>
            <w:r>
              <w:rPr>
                <w:rFonts w:ascii="Times New Roman" w:hAnsi="Times New Roman"/>
                <w:color w:val="000000"/>
                <w:sz w:val="16"/>
              </w:rPr>
              <w:t>(1)</w:t>
            </w:r>
          </w:p>
        </w:tc>
        <w:tc>
          <w:tcPr>
            <w:tcW w:w="3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9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8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44"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425" w:type="dxa"/>
            <w:tcBorders/>
            <w:shd w:fill="CFF0FC" w:val="clear"/>
            <w:vAlign w:val="center"/>
          </w:tcPr>
          <w:p>
            <w:pPr>
              <w:pStyle w:val="TableContents"/>
              <w:bidi w:val="0"/>
              <w:spacing w:before="0" w:after="283"/>
              <w:ind w:left="300" w:right="0" w:firstLine="300"/>
              <w:jc w:val="left"/>
              <w:rPr>
                <w:rFonts w:ascii="Times New Roman" w:hAnsi="Times New Roman"/>
                <w:i/>
                <w:color w:val="000000"/>
                <w:sz w:val="20"/>
              </w:rPr>
            </w:pPr>
            <w:r>
              <w:rPr>
                <w:rFonts w:ascii="Times New Roman" w:hAnsi="Times New Roman"/>
                <w:i/>
                <w:color w:val="000000"/>
                <w:sz w:val="20"/>
              </w:rPr>
              <w:t>% of Brand Tripadvisor revenue*</w:t>
            </w:r>
          </w:p>
        </w:tc>
        <w:tc>
          <w:tcPr>
            <w:tcW w:w="3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19</w:t>
            </w:r>
          </w:p>
        </w:tc>
        <w:tc>
          <w:tcPr>
            <w:tcW w:w="298"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18</w:t>
            </w:r>
          </w:p>
        </w:tc>
        <w:tc>
          <w:tcPr>
            <w:tcW w:w="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w:t>
            </w:r>
          </w:p>
        </w:tc>
        <w:tc>
          <w:tcPr>
            <w:tcW w:w="288"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47"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w:t>
            </w:r>
          </w:p>
        </w:tc>
        <w:tc>
          <w:tcPr>
            <w:tcW w:w="27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3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8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44"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425" w:type="dxa"/>
            <w:tcBorders/>
            <w:shd w:fill="CFF0FC" w:val="clear"/>
            <w:vAlign w:val="center"/>
          </w:tcPr>
          <w:p>
            <w:pPr>
              <w:pStyle w:val="TableContents"/>
              <w:bidi w:val="0"/>
              <w:spacing w:before="0" w:after="283"/>
              <w:ind w:left="300" w:right="0" w:firstLine="300"/>
              <w:jc w:val="left"/>
              <w:rPr>
                <w:rFonts w:ascii="Times New Roman" w:hAnsi="Times New Roman"/>
                <w:i/>
                <w:color w:val="000000"/>
                <w:sz w:val="20"/>
              </w:rPr>
            </w:pPr>
            <w:r>
              <w:rPr>
                <w:rFonts w:ascii="Times New Roman" w:hAnsi="Times New Roman"/>
                <w:i/>
                <w:color w:val="000000"/>
                <w:sz w:val="20"/>
              </w:rPr>
              <w:t>% of Brand Tripadvisor revenue*</w:t>
            </w:r>
          </w:p>
        </w:tc>
        <w:tc>
          <w:tcPr>
            <w:tcW w:w="3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ind w:left="0" w:right="0" w:firstLine="200"/>
              <w:jc w:val="left"/>
              <w:rPr/>
            </w:pPr>
            <w:r>
              <w:rPr/>
              <w:t> </w:t>
            </w:r>
          </w:p>
        </w:tc>
      </w:tr>
      <w:tr>
        <w:trPr/>
        <w:tc>
          <w:tcPr>
            <w:tcW w:w="242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Brand Tripadvisor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i/>
          <w:color w:val="000000"/>
          <w:sz w:val="16"/>
        </w:rPr>
      </w:pPr>
      <w:r>
        <w:rPr>
          <w:rFonts w:ascii="Times New Roman" w:hAnsi="Times New Roman"/>
          <w:i/>
          <w:color w:val="000000"/>
          <w:sz w:val="16"/>
        </w:rPr>
        <w:t>*Percentages may not total to 100% due to rounding.</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 xml:space="preserve">Tripadvisor experiences and dining revenue within the Brand Tripadvisor segment is shown gross of intersegment (intercompany) revenue, which is eliminated on a consolidated basis. Refer to “Note 13: </w:t>
      </w:r>
      <w:r>
        <w:rPr>
          <w:rFonts w:ascii="Times New Roman" w:hAnsi="Times New Roman"/>
          <w:i/>
          <w:color w:val="000000"/>
          <w:sz w:val="16"/>
        </w:rPr>
        <w:t>Segment Information</w:t>
      </w:r>
      <w:r>
        <w:rPr>
          <w:color w:val="000000"/>
        </w:rPr>
        <w:t xml:space="preserve">” </w:t>
      </w:r>
      <w:r>
        <w:rPr>
          <w:rFonts w:ascii="Times New Roman" w:hAnsi="Times New Roman"/>
          <w:color w:val="000000"/>
          <w:sz w:val="16"/>
        </w:rPr>
        <w:t xml:space="preserve">in the notes to our unaudited condensed consolidated financial statements in Item 1 in this Quarterly Report for a discussion of intersegment revenue for all periods presented. </w:t>
      </w:r>
    </w:p>
    <w:p>
      <w:pPr>
        <w:pStyle w:val="TextBody"/>
        <w:bidi w:val="0"/>
        <w:spacing w:before="360" w:after="283"/>
        <w:jc w:val="left"/>
        <w:rPr>
          <w:rFonts w:ascii="Times New Roman" w:hAnsi="Times New Roman"/>
          <w:sz w:val="20"/>
        </w:rPr>
      </w:pPr>
      <w:r>
        <w:rPr>
          <w:rFonts w:ascii="Times New Roman" w:hAnsi="Times New Roman"/>
          <w:i/>
          <w:color w:val="000000"/>
          <w:sz w:val="20"/>
        </w:rPr>
        <w:t>Tripadvisor-branded Hotels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Tripadvisor-branded hotels revenue decreased by $24 million and $34 million during the three and six months ended June 30, 2024, respectively, when compared to the same periods in 2023, primarily due to a decrease in our hotel meta revenue and, to a lesser extent, a decrease in hotel B2B revenue, as the Company transitions from a sales-led model to a self-service model. The decrease in our hotel meta revenue was primarily driven by declines in our U.S. and European hotel meta revenue and, to a lesser extent, ROW hotel meta revenue, primarily due to weaker demand due to increased competition in paid online marketing channels and continued headwinds impacting free channels, or SEO, during the second quarter of 2024, contributing to a decrease in click volumes.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Media and Advertising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Media and advertising revenue consists of revenue from display-based advertising (or “media advertising”) across our Tripadvisor Group platform and decreased $1 million during the three months ended June 30, 2024, and increased $1 million during the six months ended June 30, 2024, when compared to the same periods in 2023, partially due to the timing of certain advertising campaigns.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Tripadvisor Experiences and Dining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Tripadvisor experiences and dining revenue, which includes intercompany (intersegment) revenue consisting of affiliate marketing commissions earned primarily from experience bookings and, to a lesser extent, restaurant reservation bookings on Tripadvisor-branded websites and mobile apps, fulfilled by Viator and TheFork, respectively, are eliminated on a consolidated basis, in addition to revenue earned from Tripadvisor's restaurants service offerings. Tripadvisor experiences and dining revenue decreased $2 million during the three months ended June 30, 2024, when compared to the same period in 2023, primarily due to a decline in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dining revenue as we move from a sales-led model to a self-service model, and to a lesser extent some deceleration in experiences growth during the second quarter. Tripadvisor experiences and dining revenue increased $1 million during the six months ended June 30, 2024, when compared to the same period in 2023, driven by experiences revenue, mostly offset by a decline in dining revenue as we move from a sales-led model to a self-service model, as noted above.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revenue includes alternative accommodation rentals revenue, in addition to click-based advertising and display-based advertising revenue from our cruise, flights, and rental cars offerings on Tripadvisor websites and mobile apps. Other revenue decreased $2 million and $1 million during the three and six months ended June 30, 2024, respectively, when compared to the same periods in 2023, primarily due to a decline in alternative accommodation rentals revenue, partially offset by an increase in cruise revenue.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Viator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Viator segment revenue increased by $28 million and $54 million during the three and six months ended June 30, 2024, respectively, when compared to the same periods in 2023, driven by consumer demand for experiences across all geographies, driving growth in bookings. The increase in revenue during the three months ended June 30, 2024, when compared to the same period in 2023, was slightly offset by the timing of the Easter holiday during the second quarter of 2023, while the Easter holiday occurred during the first quarter in 2024, and as noted above, some deceleration in growth in the Brand Tripadvisor point-of-sale during the second quarter of 2024. We continue to believe that Viator is benefiting from a larger macro trend, as the large global market in which it operates continues to grow and migrate online from traditional offline 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in our Viator segment improved by $12 million and $13 million during the three and six months ended June 30, 2024, respectively, when compared to the same periods in 2023, and adjusted EBITDA margin improved by 5 percentage points and 4 percentage points during three and six months ended June 30, 2024, respectively, when compared to the same periods in 2023. These improvements in adjusted EBITDA were primarily due to increased leverage as we scale the business and drive greater bookings from more profitable repeat customers. These improvements were partially offset by our continued investment in marketing in response to consumer demand for experiences and increased investment to grow market share, acquire new customers, and drive brand awareness. In addition, increased personnel and overhead costs to support business growth and invest in our product experience and, to a lesser extent, increased digital service taxes, and an increase in revenue generation costs resulting from credit card payments in direct correlation with the increase in revenue, all negatively impacted adjusted EBITDA. The improvements in adjusted EBITDA margin were primarily due to a decrease in selling and marketing costs as a percent of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TheFork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TheFork segment revenue increased by $4 million and $10 million during the three and six months ended June 30, 2024, respectively, when compared to the same periods in 2023. These improvements were driven by increased consumer demand for dining in Europe, including increased bookings and pricing, during the three and six months ended June 30, 2024, when compared to the same periods in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in TheFork segment improved by $7 million and $14 million during the three and six months ended June 30, 2024, respectively, when compared to the same periods in 2023, while adjusted EBITDA margin improved by 18 percentage points and 19 percentage points during the three and six months ended June 30, 2024, respectively, when compared to the same periods in 2023. The improvement in adjusted EBITDA was primarily due to an increase in revenue as noted above, and lower personnel and overhead costs. The improvement in adjusted EBITDA margin was primarily due to lower personnel and overhead costs as a percent of revenue, and to a lesser extent, selling and marketing costs as a percent of revenue as a result of efficient marketing spend.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Consolidated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 consists of expenses that are directly related or closely correlated to revenue generation, including direct costs, such as credit card and other booking transaction payment fees, data center costs, including cloud-based solutions, media production costs, ad serving fees, and other revenue generating costs. In addition, cost of revenue includes personnel and overhead expenses, including salaries, benefits, stock-based compensation and bonuses for certain customer support personnel who are directly involved in revenue generation.</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883"/>
        <w:gridCol w:w="346"/>
        <w:gridCol w:w="285"/>
        <w:gridCol w:w="489"/>
        <w:gridCol w:w="367"/>
        <w:gridCol w:w="197"/>
        <w:gridCol w:w="285"/>
        <w:gridCol w:w="489"/>
        <w:gridCol w:w="271"/>
        <w:gridCol w:w="146"/>
        <w:gridCol w:w="338"/>
        <w:gridCol w:w="734"/>
        <w:gridCol w:w="271"/>
        <w:gridCol w:w="146"/>
        <w:gridCol w:w="263"/>
        <w:gridCol w:w="451"/>
        <w:gridCol w:w="338"/>
        <w:gridCol w:w="182"/>
        <w:gridCol w:w="263"/>
        <w:gridCol w:w="451"/>
        <w:gridCol w:w="271"/>
        <w:gridCol w:w="146"/>
        <w:gridCol w:w="338"/>
        <w:gridCol w:w="734"/>
        <w:gridCol w:w="521"/>
      </w:tblGrid>
      <w:tr>
        <w:trPr/>
        <w:tc>
          <w:tcPr>
            <w:tcW w:w="18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188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21" w:type="dxa"/>
            <w:tcBorders/>
            <w:shd w:fill="FFFFFF" w:val="clear"/>
            <w:vAlign w:val="center"/>
          </w:tcPr>
          <w:p>
            <w:pPr>
              <w:pStyle w:val="TableContents"/>
              <w:bidi w:val="0"/>
              <w:spacing w:before="0" w:after="283"/>
              <w:jc w:val="center"/>
              <w:rPr/>
            </w:pPr>
            <w:r>
              <w:rPr/>
              <w:t> </w:t>
            </w:r>
          </w:p>
        </w:tc>
      </w:tr>
      <w:tr>
        <w:trPr/>
        <w:tc>
          <w:tcPr>
            <w:tcW w:w="188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center"/>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3"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2" w:type="dxa"/>
            <w:gridSpan w:val="6"/>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72"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48" w:type="dxa"/>
            <w:gridSpan w:val="6"/>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72" w:type="dxa"/>
            <w:gridSpan w:val="2"/>
            <w:tcBorders/>
            <w:shd w:fill="CFF0FC" w:val="clear"/>
            <w:vAlign w:val="center"/>
          </w:tcPr>
          <w:p>
            <w:pPr>
              <w:pStyle w:val="TableContents"/>
              <w:bidi w:val="0"/>
              <w:spacing w:before="0" w:after="283"/>
              <w:jc w:val="center"/>
              <w:rPr/>
            </w:pPr>
            <w:r>
              <w:rPr/>
              <w:t> </w:t>
            </w:r>
          </w:p>
        </w:tc>
        <w:tc>
          <w:tcPr>
            <w:tcW w:w="521" w:type="dxa"/>
            <w:tcBorders/>
            <w:shd w:fill="CFF0FC" w:val="clear"/>
            <w:vAlign w:val="center"/>
          </w:tcPr>
          <w:p>
            <w:pPr>
              <w:pStyle w:val="TableContents"/>
              <w:bidi w:val="0"/>
              <w:spacing w:before="0" w:after="283"/>
              <w:jc w:val="center"/>
              <w:rPr/>
            </w:pPr>
            <w:r>
              <w:rPr/>
              <w:t> </w:t>
            </w:r>
          </w:p>
        </w:tc>
      </w:tr>
      <w:tr>
        <w:trPr/>
        <w:tc>
          <w:tcPr>
            <w:tcW w:w="18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w:t>
            </w:r>
          </w:p>
        </w:tc>
        <w:tc>
          <w:tcPr>
            <w:tcW w:w="3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67"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3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overhead</w:t>
            </w:r>
          </w:p>
        </w:tc>
        <w:tc>
          <w:tcPr>
            <w:tcW w:w="3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2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8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2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8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85"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7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72" w:type="dxa"/>
            <w:gridSpan w:val="2"/>
            <w:tcBorders/>
            <w:shd w:fill="CFF0FC" w:val="clear"/>
            <w:vAlign w:val="center"/>
          </w:tcPr>
          <w:p>
            <w:pPr>
              <w:pStyle w:val="TableContents"/>
              <w:bidi w:val="0"/>
              <w:spacing w:before="0" w:after="283"/>
              <w:jc w:val="left"/>
              <w:rPr/>
            </w:pPr>
            <w:r>
              <w:rPr/>
              <w:t> </w:t>
            </w:r>
          </w:p>
        </w:tc>
        <w:tc>
          <w:tcPr>
            <w:tcW w:w="52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revenue increased $5 million and $11 million during the three and six months ended June 30, 2024, respectively, when compared to the same periods in 2023. The increase in cost of revenue was primarily due to increased direct revenue generation costs related to data center costs and media production costs in our Brand Tripadvisor segment, as well as, increased direct costs from credit card payment processing fees and other revenue-related transaction costs in our Viator segment in direct correlation with the increase in revenue, as Viator serves as the merchant of record for the significant majority of its experience booking transactions.</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and Marketing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Selling and marketing expenses consist of direct costs, including traffic generation costs from paid online traffic acquisition costs (including SEM and other online traffic acquisition costs), syndication costs and affiliate marketing commissions, social media costs, brand advertising (including television and other offline advertising), promotions and public relations. In addition, our selling and marketing expenses consist of indirect costs such as personnel and overhead expenses, including salaries, commissions, benefits, stock-based compensation, bonuses for sales, sales support, customer support and marketing employees.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5"/>
        <w:gridCol w:w="346"/>
        <w:gridCol w:w="243"/>
        <w:gridCol w:w="537"/>
        <w:gridCol w:w="312"/>
        <w:gridCol w:w="168"/>
        <w:gridCol w:w="243"/>
        <w:gridCol w:w="537"/>
        <w:gridCol w:w="271"/>
        <w:gridCol w:w="146"/>
        <w:gridCol w:w="354"/>
        <w:gridCol w:w="662"/>
        <w:gridCol w:w="307"/>
        <w:gridCol w:w="146"/>
        <w:gridCol w:w="229"/>
        <w:gridCol w:w="506"/>
        <w:gridCol w:w="294"/>
        <w:gridCol w:w="158"/>
        <w:gridCol w:w="229"/>
        <w:gridCol w:w="506"/>
        <w:gridCol w:w="271"/>
        <w:gridCol w:w="146"/>
        <w:gridCol w:w="354"/>
        <w:gridCol w:w="662"/>
        <w:gridCol w:w="563"/>
      </w:tblGrid>
      <w:tr>
        <w:trPr/>
        <w:tc>
          <w:tcPr>
            <w:tcW w:w="20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01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63" w:type="dxa"/>
            <w:tcBorders/>
            <w:shd w:fill="FFFFFF" w:val="clear"/>
            <w:vAlign w:val="center"/>
          </w:tcPr>
          <w:p>
            <w:pPr>
              <w:pStyle w:val="TableContents"/>
              <w:bidi w:val="0"/>
              <w:spacing w:before="0" w:after="283"/>
              <w:jc w:val="center"/>
              <w:rPr/>
            </w:pPr>
            <w:r>
              <w:rPr/>
              <w:t> </w:t>
            </w:r>
          </w:p>
        </w:tc>
      </w:tr>
      <w:tr>
        <w:trPr/>
        <w:tc>
          <w:tcPr>
            <w:tcW w:w="201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040" w:type="dxa"/>
            <w:gridSpan w:val="6"/>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16" w:type="dxa"/>
            <w:gridSpan w:val="2"/>
            <w:tcBorders/>
            <w:shd w:fill="CFF0FC" w:val="clear"/>
            <w:vAlign w:val="center"/>
          </w:tcPr>
          <w:p>
            <w:pPr>
              <w:pStyle w:val="TableContents"/>
              <w:bidi w:val="0"/>
              <w:spacing w:before="0" w:after="283"/>
              <w:jc w:val="center"/>
              <w:rPr/>
            </w:pPr>
            <w:r>
              <w:rPr/>
              <w:t> </w:t>
            </w:r>
          </w:p>
        </w:tc>
        <w:tc>
          <w:tcPr>
            <w:tcW w:w="3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22" w:type="dxa"/>
            <w:gridSpan w:val="6"/>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16" w:type="dxa"/>
            <w:gridSpan w:val="2"/>
            <w:tcBorders/>
            <w:shd w:fill="CFF0FC" w:val="clear"/>
            <w:vAlign w:val="center"/>
          </w:tcPr>
          <w:p>
            <w:pPr>
              <w:pStyle w:val="TableContents"/>
              <w:bidi w:val="0"/>
              <w:spacing w:before="0" w:after="283"/>
              <w:jc w:val="center"/>
              <w:rPr/>
            </w:pPr>
            <w:r>
              <w:rPr/>
              <w:t> </w:t>
            </w:r>
          </w:p>
        </w:tc>
        <w:tc>
          <w:tcPr>
            <w:tcW w:w="563" w:type="dxa"/>
            <w:tcBorders/>
            <w:shd w:fill="CFF0FC" w:val="clear"/>
            <w:vAlign w:val="center"/>
          </w:tcPr>
          <w:p>
            <w:pPr>
              <w:pStyle w:val="TableContents"/>
              <w:bidi w:val="0"/>
              <w:spacing w:before="0" w:after="283"/>
              <w:jc w:val="center"/>
              <w:rPr/>
            </w:pPr>
            <w:r>
              <w:rPr/>
              <w:t> </w:t>
            </w:r>
          </w:p>
        </w:tc>
      </w:tr>
      <w:tr>
        <w:trPr/>
        <w:tc>
          <w:tcPr>
            <w:tcW w:w="20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w:t>
            </w:r>
          </w:p>
        </w:tc>
        <w:tc>
          <w:tcPr>
            <w:tcW w:w="3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1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94"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overhead</w:t>
            </w:r>
          </w:p>
        </w:tc>
        <w:tc>
          <w:tcPr>
            <w:tcW w:w="3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6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and marketing</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6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43"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16" w:type="dxa"/>
            <w:gridSpan w:val="2"/>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16" w:type="dxa"/>
            <w:gridSpan w:val="2"/>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Direct selling and marketing costs as a percentage of consolidated revenue was 42% during both the three and six months ended June 30, 2024, a slight decrease from 43% when compared to the same periods in 2023. Direct selling and marketing costs decreased by $4 million and remained flat during the three and six months ended June 30, 2024, respectively, when compared to the same periods in 2023, primarily driven by a decrease in paid online traffic acquisition costs in Brand Tripadvisor of $17 million and $26 million during the three and six months ended June 30, 2024, respectively, when compared to the same periods in 2023. These decreases were partially offset by an increase in paid online traffic acquisition costs in Viator of $9 million and $24 million during the three and six months ended June 30, 2024, respectively, when compared to the same periods in 2023, to capture consumer demand, including increased investment within our Viator segment to grow market share, acquire new customers, and drive brand awareness.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Personnel and overhead costs decreased $3 million and $4 million during the three and six months ended June 30, 2024, respectively, when compared to the same periods in 2023, primarily driven by a reduction in headcount related to our cost-reduction measures taken during 2023 in Brand Tripadvisor, partially by offset by an increase in personnel and overhead costs to support business growth and investment in our product experience in Viator.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Technology and Content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computer supplies, telecom, content translation and localization, and consulting costs.</w:t>
      </w:r>
    </w:p>
    <w:tbl>
      <w:tblPr>
        <w:tblW w:w="10205" w:type="dxa"/>
        <w:jc w:val="left"/>
        <w:tblInd w:w="0" w:type="dxa"/>
        <w:tblLayout w:type="fixed"/>
        <w:tblCellMar>
          <w:top w:w="28" w:type="dxa"/>
          <w:left w:w="28" w:type="dxa"/>
          <w:bottom w:w="28" w:type="dxa"/>
          <w:right w:w="28" w:type="dxa"/>
        </w:tblCellMar>
      </w:tblPr>
      <w:tblGrid>
        <w:gridCol w:w="2118"/>
        <w:gridCol w:w="346"/>
        <w:gridCol w:w="241"/>
        <w:gridCol w:w="534"/>
        <w:gridCol w:w="310"/>
        <w:gridCol w:w="167"/>
        <w:gridCol w:w="241"/>
        <w:gridCol w:w="534"/>
        <w:gridCol w:w="271"/>
        <w:gridCol w:w="146"/>
        <w:gridCol w:w="413"/>
        <w:gridCol w:w="597"/>
        <w:gridCol w:w="271"/>
        <w:gridCol w:w="146"/>
        <w:gridCol w:w="228"/>
        <w:gridCol w:w="505"/>
        <w:gridCol w:w="293"/>
        <w:gridCol w:w="158"/>
        <w:gridCol w:w="228"/>
        <w:gridCol w:w="505"/>
        <w:gridCol w:w="271"/>
        <w:gridCol w:w="146"/>
        <w:gridCol w:w="413"/>
        <w:gridCol w:w="597"/>
        <w:gridCol w:w="526"/>
      </w:tblGrid>
      <w:tr>
        <w:trPr/>
        <w:tc>
          <w:tcPr>
            <w:tcW w:w="21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118"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0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26" w:type="dxa"/>
            <w:tcBorders/>
            <w:shd w:fill="FFFFFF" w:val="clear"/>
            <w:vAlign w:val="center"/>
          </w:tcPr>
          <w:p>
            <w:pPr>
              <w:pStyle w:val="TableContents"/>
              <w:bidi w:val="0"/>
              <w:spacing w:before="0" w:after="283"/>
              <w:jc w:val="center"/>
              <w:rPr/>
            </w:pPr>
            <w:r>
              <w:rPr/>
              <w:t> </w:t>
            </w:r>
          </w:p>
        </w:tc>
      </w:tr>
      <w:tr>
        <w:trPr/>
        <w:tc>
          <w:tcPr>
            <w:tcW w:w="2118"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8"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027" w:type="dxa"/>
            <w:gridSpan w:val="6"/>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10"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17" w:type="dxa"/>
            <w:gridSpan w:val="6"/>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10" w:type="dxa"/>
            <w:gridSpan w:val="2"/>
            <w:tcBorders/>
            <w:shd w:fill="CFF0FC" w:val="clear"/>
            <w:vAlign w:val="center"/>
          </w:tcPr>
          <w:p>
            <w:pPr>
              <w:pStyle w:val="TableContents"/>
              <w:bidi w:val="0"/>
              <w:spacing w:before="0" w:after="283"/>
              <w:jc w:val="center"/>
              <w:rPr/>
            </w:pPr>
            <w:r>
              <w:rPr/>
              <w:t> </w:t>
            </w:r>
          </w:p>
        </w:tc>
        <w:tc>
          <w:tcPr>
            <w:tcW w:w="526" w:type="dxa"/>
            <w:tcBorders/>
            <w:shd w:fill="CFF0FC" w:val="clear"/>
            <w:vAlign w:val="center"/>
          </w:tcPr>
          <w:p>
            <w:pPr>
              <w:pStyle w:val="TableContents"/>
              <w:bidi w:val="0"/>
              <w:spacing w:before="0" w:after="283"/>
              <w:jc w:val="center"/>
              <w:rPr/>
            </w:pPr>
            <w:r>
              <w:rPr/>
              <w:t> </w:t>
            </w:r>
          </w:p>
        </w:tc>
      </w:tr>
      <w:tr>
        <w:trPr/>
        <w:tc>
          <w:tcPr>
            <w:tcW w:w="21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overhead</w:t>
            </w:r>
          </w:p>
        </w:tc>
        <w:tc>
          <w:tcPr>
            <w:tcW w:w="3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9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2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technology and content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2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10"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5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10" w:type="dxa"/>
            <w:gridSpan w:val="2"/>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Technology and content costs increased $4 million and $12 million during the three and six months ended June 30, 2024, respectively, when compared to the same periods in 2023, primarily due to increased personnel and overhead costs resulting from additional headcount to support business growth and our strategic initiatives within our Viator and Brand Tripadvisor segments,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operating costs including bad debt expense, non-income taxes, such as sales, use, digital services, and other non-income related taxes.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9"/>
        <w:gridCol w:w="346"/>
        <w:gridCol w:w="247"/>
        <w:gridCol w:w="546"/>
        <w:gridCol w:w="317"/>
        <w:gridCol w:w="170"/>
        <w:gridCol w:w="247"/>
        <w:gridCol w:w="422"/>
        <w:gridCol w:w="271"/>
        <w:gridCol w:w="146"/>
        <w:gridCol w:w="313"/>
        <w:gridCol w:w="680"/>
        <w:gridCol w:w="271"/>
        <w:gridCol w:w="146"/>
        <w:gridCol w:w="226"/>
        <w:gridCol w:w="500"/>
        <w:gridCol w:w="291"/>
        <w:gridCol w:w="156"/>
        <w:gridCol w:w="226"/>
        <w:gridCol w:w="500"/>
        <w:gridCol w:w="271"/>
        <w:gridCol w:w="146"/>
        <w:gridCol w:w="313"/>
        <w:gridCol w:w="680"/>
        <w:gridCol w:w="525"/>
      </w:tblGrid>
      <w:tr>
        <w:trPr/>
        <w:tc>
          <w:tcPr>
            <w:tcW w:w="22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2249"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25" w:type="dxa"/>
            <w:tcBorders/>
            <w:shd w:fill="FFFFFF" w:val="clear"/>
            <w:vAlign w:val="center"/>
          </w:tcPr>
          <w:p>
            <w:pPr>
              <w:pStyle w:val="TableContents"/>
              <w:bidi w:val="0"/>
              <w:spacing w:before="0" w:after="283"/>
              <w:jc w:val="center"/>
              <w:rPr/>
            </w:pPr>
            <w:r>
              <w:rPr/>
              <w:t> </w:t>
            </w:r>
          </w:p>
        </w:tc>
      </w:tr>
      <w:tr>
        <w:trPr/>
        <w:tc>
          <w:tcPr>
            <w:tcW w:w="2249"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center"/>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9"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49" w:type="dxa"/>
            <w:gridSpan w:val="6"/>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3"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899" w:type="dxa"/>
            <w:gridSpan w:val="6"/>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3" w:type="dxa"/>
            <w:gridSpan w:val="2"/>
            <w:tcBorders/>
            <w:shd w:fill="CFF0FC" w:val="clear"/>
            <w:vAlign w:val="center"/>
          </w:tcPr>
          <w:p>
            <w:pPr>
              <w:pStyle w:val="TableContents"/>
              <w:bidi w:val="0"/>
              <w:spacing w:before="0" w:after="283"/>
              <w:jc w:val="center"/>
              <w:rPr/>
            </w:pPr>
            <w:r>
              <w:rPr/>
              <w:t> </w:t>
            </w:r>
          </w:p>
        </w:tc>
        <w:tc>
          <w:tcPr>
            <w:tcW w:w="525" w:type="dxa"/>
            <w:tcBorders/>
            <w:shd w:fill="CFF0FC" w:val="clear"/>
            <w:vAlign w:val="center"/>
          </w:tcPr>
          <w:p>
            <w:pPr>
              <w:pStyle w:val="TableContents"/>
              <w:bidi w:val="0"/>
              <w:spacing w:before="0" w:after="283"/>
              <w:jc w:val="center"/>
              <w:rPr/>
            </w:pPr>
            <w:r>
              <w:rPr/>
              <w:t> </w:t>
            </w:r>
          </w:p>
        </w:tc>
      </w:tr>
      <w:tr>
        <w:trPr/>
        <w:tc>
          <w:tcPr>
            <w:tcW w:w="22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overhead</w:t>
            </w:r>
          </w:p>
        </w:tc>
        <w:tc>
          <w:tcPr>
            <w:tcW w:w="3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7"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91"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 fees and other</w:t>
            </w:r>
          </w:p>
        </w:tc>
        <w:tc>
          <w:tcPr>
            <w:tcW w:w="346"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2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49"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2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49"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47"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4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5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5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3" w:type="dxa"/>
            <w:gridSpan w:val="2"/>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Personnel and overhead costs increased by $2 million and remained flat during the three and six months ended June 30, 2024, respectively, when compared to the same periods in 2023, primarily driven by an increase in stock-based compensation of $4 million and $5 million, respectively, largely offset by a reduction in headcount related to cost reduction measures taken during 2023 in our Brand Tripadvisor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Professional service fees and other costs increased by $7 million during the three months ended June 30, 3024, when compared to the same period in 2023, primarily due to incremental digital service tax costs of $4 million resulting from enacted tax legislation in Canada during June 2024, and non-recurring transaction related costs of $2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Professional service fees and other costs increased by $16 million during the six months ended June 30, 2024, when compared to the same period in 2023, primarily due to an estimated accrual for the potential settlement of a regulatory related matter of $10 million during the first quarter of 2024, and to a lesser extent, incremental digital service tax costs of $4 million, as noted above, and increased bad debt expense of $2 million.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tbl>
      <w:tblPr>
        <w:tblW w:w="8560" w:type="dxa"/>
        <w:jc w:val="left"/>
        <w:tblInd w:w="0" w:type="dxa"/>
        <w:tblLayout w:type="fixed"/>
        <w:tblCellMar>
          <w:top w:w="28" w:type="dxa"/>
          <w:left w:w="28" w:type="dxa"/>
          <w:bottom w:w="28" w:type="dxa"/>
          <w:right w:w="28" w:type="dxa"/>
        </w:tblCellMar>
      </w:tblPr>
      <w:tblGrid>
        <w:gridCol w:w="3166"/>
        <w:gridCol w:w="346"/>
        <w:gridCol w:w="300"/>
        <w:gridCol w:w="513"/>
        <w:gridCol w:w="385"/>
        <w:gridCol w:w="207"/>
        <w:gridCol w:w="300"/>
        <w:gridCol w:w="513"/>
        <w:gridCol w:w="271"/>
        <w:gridCol w:w="146"/>
        <w:gridCol w:w="273"/>
        <w:gridCol w:w="468"/>
        <w:gridCol w:w="351"/>
        <w:gridCol w:w="189"/>
        <w:gridCol w:w="273"/>
        <w:gridCol w:w="468"/>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1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3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85"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center"/>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51"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3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center"/>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depreciation and amortization</w:t>
            </w:r>
          </w:p>
        </w:tc>
        <w:tc>
          <w:tcPr>
            <w:tcW w:w="3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and amortization did not change materially during both the three and six months ended June 30, 2024, respectively, when compared to the same periods in 2023.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Interest expense primarily consists of interest incurred, commitment fees, and debt issuance cost amortization related to the Credit Facility, the 2025 Senior Notes, the 2026 Senior Notes, as well as imputed interest on finance leases.</w:t>
      </w:r>
    </w:p>
    <w:tbl>
      <w:tblPr>
        <w:tblW w:w="6336" w:type="dxa"/>
        <w:jc w:val="left"/>
        <w:tblInd w:w="0" w:type="dxa"/>
        <w:tblLayout w:type="fixed"/>
        <w:tblCellMar>
          <w:top w:w="28" w:type="dxa"/>
          <w:left w:w="28" w:type="dxa"/>
          <w:bottom w:w="28" w:type="dxa"/>
          <w:right w:w="28" w:type="dxa"/>
        </w:tblCellMar>
      </w:tblPr>
      <w:tblGrid>
        <w:gridCol w:w="1426"/>
        <w:gridCol w:w="146"/>
        <w:gridCol w:w="315"/>
        <w:gridCol w:w="561"/>
        <w:gridCol w:w="248"/>
        <w:gridCol w:w="218"/>
        <w:gridCol w:w="315"/>
        <w:gridCol w:w="561"/>
        <w:gridCol w:w="166"/>
        <w:gridCol w:w="146"/>
        <w:gridCol w:w="287"/>
        <w:gridCol w:w="512"/>
        <w:gridCol w:w="226"/>
        <w:gridCol w:w="199"/>
        <w:gridCol w:w="287"/>
        <w:gridCol w:w="512"/>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center"/>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expense did not change materially during the three and six months ended June 30, 2024 when compared to the same periods in 2023, as our capital structure did not change significantly as of June 30, 2024. The majority of interest expense reported during the three and six months ended June 30, 2024 and 2023 was related to the 2025 Senior Notes. Refer to “Note 6: </w:t>
      </w:r>
      <w:r>
        <w:rPr>
          <w:rFonts w:ascii="Times New Roman" w:hAnsi="Times New Roman"/>
          <w:i/>
          <w:color w:val="000000"/>
          <w:sz w:val="20"/>
        </w:rPr>
        <w:t>Debt</w:t>
      </w:r>
      <w:r>
        <w:rPr>
          <w:rFonts w:ascii="Times New Roman" w:hAnsi="Times New Roman"/>
          <w:color w:val="000000"/>
          <w:sz w:val="20"/>
        </w:rPr>
        <w:t xml:space="preserve">” and “Note 14: </w:t>
      </w:r>
      <w:r>
        <w:rPr>
          <w:rFonts w:ascii="Times New Roman" w:hAnsi="Times New Roman"/>
          <w:i/>
          <w:color w:val="000000"/>
          <w:sz w:val="20"/>
        </w:rPr>
        <w:t>Subsequent Events</w:t>
      </w:r>
      <w:r>
        <w:rPr>
          <w:rFonts w:ascii="Times New Roman" w:hAnsi="Times New Roman"/>
          <w:color w:val="000000"/>
          <w:sz w:val="20"/>
        </w:rPr>
        <w:t xml:space="preserve">” in the notes to our unaudited condensed consolidated financial statements in Item 1 in this Quarterly Report for further information on material capital structure changes subsequent to June 30, 2024.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360" w:after="120"/>
        <w:jc w:val="left"/>
        <w:rPr>
          <w:rFonts w:ascii="Times New Roman" w:hAnsi="Times New Roman"/>
          <w:color w:val="000000"/>
          <w:sz w:val="20"/>
        </w:rPr>
      </w:pPr>
      <w:r>
        <w:rPr>
          <w:rFonts w:ascii="Times New Roman" w:hAnsi="Times New Roman"/>
          <w:color w:val="000000"/>
          <w:sz w:val="20"/>
        </w:rPr>
        <w:t>Interest income primarily consists of interest earned from available on demand bank deposits, term deposits, money market funds, and marketable securities, including amortization of discounts and premiums on our marketable securities.</w:t>
      </w:r>
    </w:p>
    <w:tbl>
      <w:tblPr>
        <w:tblW w:w="6235" w:type="dxa"/>
        <w:jc w:val="left"/>
        <w:tblInd w:w="0" w:type="dxa"/>
        <w:tblLayout w:type="fixed"/>
        <w:tblCellMar>
          <w:top w:w="28" w:type="dxa"/>
          <w:left w:w="28" w:type="dxa"/>
          <w:bottom w:w="28" w:type="dxa"/>
          <w:right w:w="28" w:type="dxa"/>
        </w:tblCellMar>
      </w:tblPr>
      <w:tblGrid>
        <w:gridCol w:w="1366"/>
        <w:gridCol w:w="146"/>
        <w:gridCol w:w="348"/>
        <w:gridCol w:w="521"/>
        <w:gridCol w:w="240"/>
        <w:gridCol w:w="240"/>
        <w:gridCol w:w="348"/>
        <w:gridCol w:w="521"/>
        <w:gridCol w:w="146"/>
        <w:gridCol w:w="146"/>
        <w:gridCol w:w="317"/>
        <w:gridCol w:w="475"/>
        <w:gridCol w:w="219"/>
        <w:gridCol w:w="219"/>
        <w:gridCol w:w="317"/>
        <w:gridCol w:w="475"/>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1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3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40"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center"/>
              <w:rPr/>
            </w:pPr>
            <w:r>
              <w:rPr/>
              <w:t> </w:t>
            </w:r>
          </w:p>
        </w:tc>
        <w:tc>
          <w:tcPr>
            <w:tcW w:w="3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9"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center"/>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Interest income increased $1 million and $3 million during the three and six months ended June 30, 2024, respectively, when compared to the same periods in 2023, primarily due to an increase in the average amount of cash invested and increased interest rates received on bank deposits, as well as an increase in interest earned on money market funds during the three and six months ended June 30,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360" w:after="120"/>
        <w:jc w:val="left"/>
        <w:rPr>
          <w:rFonts w:ascii="Times New Roman" w:hAnsi="Times New Roman"/>
          <w:color w:val="000000"/>
          <w:sz w:val="20"/>
        </w:rPr>
      </w:pPr>
      <w:r>
        <w:rPr>
          <w:rFonts w:ascii="Times New Roman" w:hAnsi="Times New Roman"/>
          <w:color w:val="000000"/>
          <w:sz w:val="20"/>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tbl>
      <w:tblPr>
        <w:tblW w:w="7298" w:type="dxa"/>
        <w:jc w:val="left"/>
        <w:tblInd w:w="0" w:type="dxa"/>
        <w:tblLayout w:type="fixed"/>
        <w:tblCellMar>
          <w:top w:w="28" w:type="dxa"/>
          <w:left w:w="28" w:type="dxa"/>
          <w:bottom w:w="28" w:type="dxa"/>
          <w:right w:w="28" w:type="dxa"/>
        </w:tblCellMar>
      </w:tblPr>
      <w:tblGrid>
        <w:gridCol w:w="2386"/>
        <w:gridCol w:w="146"/>
        <w:gridCol w:w="352"/>
        <w:gridCol w:w="577"/>
        <w:gridCol w:w="243"/>
        <w:gridCol w:w="243"/>
        <w:gridCol w:w="352"/>
        <w:gridCol w:w="452"/>
        <w:gridCol w:w="166"/>
        <w:gridCol w:w="146"/>
        <w:gridCol w:w="335"/>
        <w:gridCol w:w="430"/>
        <w:gridCol w:w="263"/>
        <w:gridCol w:w="231"/>
        <w:gridCol w:w="335"/>
        <w:gridCol w:w="430"/>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vAlign w:val="center"/>
          </w:tcPr>
          <w:p>
            <w:pPr>
              <w:pStyle w:val="TableContents"/>
              <w:bidi w:val="0"/>
              <w:spacing w:before="0" w:after="283"/>
              <w:jc w:val="right"/>
              <w:rPr>
                <w:color w:val="000000"/>
              </w:rPr>
            </w:pPr>
            <w:r>
              <w:rPr>
                <w:color w:val="000000"/>
              </w:rPr>
              <w:t>—</w:t>
            </w:r>
          </w:p>
        </w:tc>
        <w:tc>
          <w:tcPr>
            <w:tcW w:w="243"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center"/>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CFF0FC" w:val="clear"/>
            <w:vAlign w:val="center"/>
          </w:tcPr>
          <w:p>
            <w:pPr>
              <w:pStyle w:val="TableContents"/>
              <w:bidi w:val="0"/>
              <w:spacing w:before="0" w:after="283"/>
              <w:jc w:val="center"/>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Other expense, net decreased $1 million during the three months ended June 30, 2024, when compared to the same period in 2023, primarily due to net foreign exchange gains and losses incurred as a result of foreign currency movements. Other expense, net increased $2 million during the six months ended June 30, 2024, when compared to the same period in 2023, primarily due to a loss on disposal of certain assets, partially offset by net foreign exchange gains and losses incurred as a result of foreign currency movements.</w:t>
      </w:r>
    </w:p>
    <w:p>
      <w:pPr>
        <w:pStyle w:val="TextBody"/>
        <w:bidi w:val="0"/>
        <w:spacing w:before="360" w:after="120"/>
        <w:jc w:val="left"/>
        <w:rPr>
          <w:rFonts w:ascii="Times New Roman" w:hAnsi="Times New Roman"/>
          <w:sz w:val="20"/>
        </w:rPr>
      </w:pPr>
      <w:r>
        <w:rPr>
          <w:rFonts w:ascii="Times New Roman" w:hAnsi="Times New Roman"/>
          <w:b/>
          <w:i/>
          <w:color w:val="000000"/>
          <w:sz w:val="20"/>
        </w:rPr>
        <w:t>(Provision) Benefit for Income Taxes</w:t>
      </w:r>
      <w:r>
        <w:rPr>
          <w:rFonts w:ascii="Times New Roman" w:hAnsi="Times New Roman"/>
          <w:color w:val="000000"/>
          <w:sz w:val="20"/>
        </w:rPr>
        <w:t xml:space="preserve"> </w:t>
      </w:r>
    </w:p>
    <w:tbl>
      <w:tblPr>
        <w:tblW w:w="8828" w:type="dxa"/>
        <w:jc w:val="left"/>
        <w:tblInd w:w="0" w:type="dxa"/>
        <w:tblLayout w:type="fixed"/>
        <w:tblCellMar>
          <w:top w:w="28" w:type="dxa"/>
          <w:left w:w="28" w:type="dxa"/>
          <w:bottom w:w="28" w:type="dxa"/>
          <w:right w:w="28" w:type="dxa"/>
        </w:tblCellMar>
      </w:tblPr>
      <w:tblGrid>
        <w:gridCol w:w="3016"/>
        <w:gridCol w:w="346"/>
        <w:gridCol w:w="215"/>
        <w:gridCol w:w="476"/>
        <w:gridCol w:w="481"/>
        <w:gridCol w:w="353"/>
        <w:gridCol w:w="215"/>
        <w:gridCol w:w="476"/>
        <w:gridCol w:w="471"/>
        <w:gridCol w:w="346"/>
        <w:gridCol w:w="215"/>
        <w:gridCol w:w="583"/>
        <w:gridCol w:w="277"/>
        <w:gridCol w:w="149"/>
        <w:gridCol w:w="215"/>
        <w:gridCol w:w="583"/>
        <w:gridCol w:w="411"/>
      </w:tblGrid>
      <w:tr>
        <w:trPr/>
        <w:tc>
          <w:tcPr>
            <w:tcW w:w="3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3"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7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0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11" w:type="dxa"/>
            <w:tcBorders/>
            <w:shd w:fill="FFFFFF" w:val="cle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3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3" w:type="dxa"/>
            <w:tcBorders/>
            <w:shd w:fill="CFF0FC" w:val="clear"/>
            <w:vAlign w:val="center"/>
          </w:tcPr>
          <w:p>
            <w:pPr>
              <w:pStyle w:val="TableContents"/>
              <w:bidi w:val="0"/>
              <w:spacing w:before="0" w:after="283"/>
              <w:jc w:val="center"/>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center"/>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center"/>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tax rate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48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53" w:type="dxa"/>
            <w:tcBorders/>
            <w:shd w:fill="FFFFFF" w:val="clear"/>
            <w:vAlign w:val="center"/>
          </w:tcPr>
          <w:p>
            <w:pPr>
              <w:pStyle w:val="TableContents"/>
              <w:bidi w:val="0"/>
              <w:spacing w:before="0" w:after="283"/>
              <w:ind w:left="200" w:right="0" w:firstLine="200"/>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47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 for the three months ended June 30, 2024 differs from the U.S. federal statutory rate of 21%, primarily due to state taxes and unfavorable stock-based compensation tax effects. Our effective tax rate for the six months ended June 30, 2024 differs from the U.S. federal statutory rate of 21%, primarily as a result of a discrete item recorded during the first quarter of 2024, as described below.</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recorded an income tax provision of $14 million and $57 million for the three and six months ended June 30, 2024, respectively. The change in our income tax provision and our effective tax rate during the six months ended June 30, 2024, when compared to the same period in 2023, was primarily the result of an IRS audit settlement, which we recorded additional income tax expense as a discrete item, inclusive of interest, of $45 million related to this settlement on our unaudited condensed consolidated statement of operations, including $46 million recorded during the first quarter of 2024. In addition, we reviewed the impact of the acceptance of this settlement position against our existing transfer pricing income tax reserves for the subsequent open tax years during the first quarter of 2024, which resulted in an income tax benefit, inclusive of estimated interest, of $4 million. During the three months ended March 31, 2023, we recorded a net income tax expense of $55 million related to an IRS audit settlement and related adjustment to existing transfer pricing income tax reserves for subsequent tax years. Refer to “Note 8: </w:t>
      </w:r>
      <w:r>
        <w:rPr>
          <w:rFonts w:ascii="Times New Roman" w:hAnsi="Times New Roman"/>
          <w:i/>
          <w:color w:val="000000"/>
          <w:sz w:val="20"/>
        </w:rPr>
        <w:t>Income Taxes”</w:t>
      </w:r>
      <w:r>
        <w:rPr>
          <w:rFonts w:ascii="Times New Roman" w:hAnsi="Times New Roman"/>
          <w:color w:val="000000"/>
          <w:sz w:val="20"/>
        </w:rPr>
        <w:t xml:space="preserve"> in the notes to our unaudited condensed consolidated financial statements in Item 1 in this Quarterly Report for further information. </w:t>
      </w:r>
    </w:p>
    <w:p>
      <w:pPr>
        <w:pStyle w:val="TextBody"/>
        <w:bidi w:val="0"/>
        <w:spacing w:before="360" w:after="120"/>
        <w:jc w:val="left"/>
        <w:rPr>
          <w:rFonts w:ascii="Times New Roman" w:hAnsi="Times New Roman"/>
          <w:sz w:val="20"/>
        </w:rPr>
      </w:pPr>
      <w:r>
        <w:rPr>
          <w:rFonts w:ascii="Times New Roman" w:hAnsi="Times New Roman"/>
          <w:b/>
          <w:color w:val="000000"/>
          <w:sz w:val="20"/>
        </w:rPr>
        <w:t>Net income (loss)</w:t>
      </w:r>
      <w:r>
        <w:rPr>
          <w:rFonts w:ascii="Times New Roman" w:hAnsi="Times New Roman"/>
          <w:color w:val="000000"/>
          <w:sz w:val="20"/>
        </w:rPr>
        <w:t xml:space="preserve"> </w:t>
      </w:r>
    </w:p>
    <w:tbl>
      <w:tblPr>
        <w:tblW w:w="7560" w:type="dxa"/>
        <w:jc w:val="left"/>
        <w:tblInd w:w="0" w:type="dxa"/>
        <w:tblLayout w:type="fixed"/>
        <w:tblCellMar>
          <w:top w:w="28" w:type="dxa"/>
          <w:left w:w="28" w:type="dxa"/>
          <w:bottom w:w="28" w:type="dxa"/>
          <w:right w:w="28" w:type="dxa"/>
        </w:tblCellMar>
      </w:tblPr>
      <w:tblGrid>
        <w:gridCol w:w="2346"/>
        <w:gridCol w:w="146"/>
        <w:gridCol w:w="300"/>
        <w:gridCol w:w="513"/>
        <w:gridCol w:w="385"/>
        <w:gridCol w:w="207"/>
        <w:gridCol w:w="300"/>
        <w:gridCol w:w="513"/>
        <w:gridCol w:w="271"/>
        <w:gridCol w:w="146"/>
        <w:gridCol w:w="245"/>
        <w:gridCol w:w="489"/>
        <w:gridCol w:w="385"/>
        <w:gridCol w:w="169"/>
        <w:gridCol w:w="245"/>
        <w:gridCol w:w="489"/>
        <w:gridCol w:w="41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center"/>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11" w:type="dxa"/>
            <w:tcBorders/>
            <w:shd w:fill="FFFFFF" w:val="clear"/>
            <w:vAlign w:val="center"/>
          </w:tcPr>
          <w:p>
            <w:pPr>
              <w:pStyle w:val="TableContents"/>
              <w:bidi w:val="0"/>
              <w:spacing w:before="0" w:after="283"/>
              <w:jc w:val="center"/>
              <w:rPr/>
            </w:pPr>
            <w:r>
              <w:rPr/>
              <w:t> </w:t>
            </w:r>
          </w:p>
        </w:tc>
      </w:tr>
      <w:tr>
        <w:trPr/>
        <w:tc>
          <w:tcPr>
            <w:tcW w:w="2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85"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center"/>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vAlign w:val="center"/>
          </w:tcPr>
          <w:p>
            <w:pPr>
              <w:pStyle w:val="TableContents"/>
              <w:bidi w:val="0"/>
              <w:spacing w:before="0" w:after="283"/>
              <w:jc w:val="center"/>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 margin</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Net income did not materially change during the three months ended June 30, 2024 when compared to the same period in 2023. Improvements in net income were largely driven by a decrease in income tax expense of $6 million, as well as a decrease in direct selling and marketing costs and personnel and overhead costs primarily in our Brand Tripadvisor segment, as described in more detail above under “</w:t>
      </w:r>
      <w:r>
        <w:rPr>
          <w:rFonts w:ascii="Times New Roman" w:hAnsi="Times New Roman"/>
          <w:i/>
          <w:color w:val="000000"/>
          <w:sz w:val="20"/>
        </w:rPr>
        <w:t>Consolidated Expenses,</w:t>
      </w:r>
      <w:r>
        <w:rPr>
          <w:rFonts w:ascii="Times New Roman" w:hAnsi="Times New Roman"/>
          <w:color w:val="000000"/>
          <w:sz w:val="20"/>
        </w:rPr>
        <w:t>” and to a lesser extent, an increase in revenue, as described in more detail above under “</w:t>
      </w:r>
      <w:r>
        <w:rPr>
          <w:rFonts w:ascii="Times New Roman" w:hAnsi="Times New Roman"/>
          <w:i/>
          <w:color w:val="000000"/>
          <w:sz w:val="20"/>
        </w:rPr>
        <w:t>Revenue and Segment Information</w:t>
      </w:r>
      <w:r>
        <w:rPr>
          <w:rFonts w:ascii="Times New Roman" w:hAnsi="Times New Roman"/>
          <w:color w:val="000000"/>
          <w:sz w:val="20"/>
        </w:rPr>
        <w:t>”. These improvements were offset by increased direct selling and marketing costs in response to consumer demand and investment to grow market share in our experiences offerings, increased direct revenue generation costs related to data center costs and media production costs in our Brand Tripadvisor segment, as well as, increased direct costs from credit card payment and other revenue-related transaction costs in direct correlation with the increase in experiences revenue, increased personnel and overhead costs to support growth in our Viator segment, and incremental digital service tax costs, all of which is described in more detail above under “</w:t>
      </w:r>
      <w:r>
        <w:rPr>
          <w:rFonts w:ascii="Times New Roman" w:hAnsi="Times New Roman"/>
          <w:i/>
          <w:color w:val="000000"/>
          <w:sz w:val="20"/>
        </w:rPr>
        <w:t>Consolidated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Net loss improved by $14 million during the six months ended June 30, 2024 when compared to the same period in 2023. The improvement in net loss was largely driven by increased revenue, as described in more detail above under “</w:t>
      </w:r>
      <w:r>
        <w:rPr>
          <w:rFonts w:ascii="Times New Roman" w:hAnsi="Times New Roman"/>
          <w:i/>
          <w:color w:val="000000"/>
          <w:sz w:val="20"/>
        </w:rPr>
        <w:t>Revenue and Segment Information</w:t>
      </w:r>
      <w:r>
        <w:rPr>
          <w:rFonts w:ascii="Times New Roman" w:hAnsi="Times New Roman"/>
          <w:color w:val="000000"/>
          <w:sz w:val="20"/>
        </w:rPr>
        <w:t>”, a decrease in income tax expense of $21 million, as described in more detail above under “</w:t>
      </w:r>
      <w:r>
        <w:rPr>
          <w:rFonts w:ascii="Times New Roman" w:hAnsi="Times New Roman"/>
          <w:i/>
          <w:color w:val="000000"/>
          <w:sz w:val="20"/>
        </w:rPr>
        <w:t>(Provision) Benefit for Income Taxes</w:t>
      </w:r>
      <w:r>
        <w:rPr>
          <w:rFonts w:ascii="Times New Roman" w:hAnsi="Times New Roman"/>
          <w:color w:val="000000"/>
          <w:sz w:val="20"/>
        </w:rPr>
        <w:t>”, as well as a decrease in direct selling and marketing costs and personnel and overhead costs primarily in our Brand Tripadvisor segment, as described in more detail above under “</w:t>
      </w:r>
      <w:r>
        <w:rPr>
          <w:rFonts w:ascii="Times New Roman" w:hAnsi="Times New Roman"/>
          <w:i/>
          <w:color w:val="000000"/>
          <w:sz w:val="20"/>
        </w:rPr>
        <w:t>Consolidated Expenses</w:t>
      </w:r>
      <w:r>
        <w:rPr>
          <w:rFonts w:ascii="Times New Roman" w:hAnsi="Times New Roman"/>
          <w:color w:val="000000"/>
          <w:sz w:val="20"/>
        </w:rPr>
        <w:t>”. These improvements were largely offset by increased direct selling and marketing costs in response to consumer demand and investment to grow market share in our experiences offerings, increased direct revenue generation costs related to data center costs and media production costs in our Brand Tripadvisor segment, as well as, increased direct costs from credit card payment and other revenue-related transaction costs in direct correlation with the increase in experiences revenue, increased personnel and overhead costs to support growth in our Viator segment, and an estimated accrual for the potential settlement of a regulatory related matter of $10 million during the first quarter of 2024, all of which is described in more detail above under “</w:t>
      </w:r>
      <w:r>
        <w:rPr>
          <w:rFonts w:ascii="Times New Roman" w:hAnsi="Times New Roman"/>
          <w:i/>
          <w:color w:val="000000"/>
          <w:sz w:val="20"/>
        </w:rPr>
        <w:t>Consolidated Expenses.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 (5) goodwill, long-lived asset, and intangible assets impairments; (6) legal reserves and settlements, including indirect tax reserves related to audit settlements and the impact of one-time changes resulting from enacted tax legislation; (7) restructuring and other related reorganization costs; and (8) non-recurring expenses and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these limitations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our cash expenditures or future requirements for capital expenditures or contractual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changes in, or cash requirements for, our working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interest expense, or cash requirements necessary to service interest or principal payments on our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consider the potentially dilutive impact of stock-based compensation or other stock-settled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certain income and expenses not directly tied to the ongoing core operations of our business, such as legal reserves and settlements, restructuring and other related reorganization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tax payments that may represent a reduction in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unaudited and does not conform to SEC Regulation S-X, and as a result such information may be presented differently in our future filings with the SEC;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including companies in our own industry, may calculate Adjusted EBITDA differently than we do, limiting its usefulness as a comparative measure.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presents a reconciliation of Adjusted EBITDA to Net income (loss), the most directly comparable financial measure calculated and presented in accordance with GAAP, for the periods presented:</w:t>
      </w:r>
    </w:p>
    <w:tbl>
      <w:tblPr>
        <w:tblW w:w="9661" w:type="dxa"/>
        <w:jc w:val="left"/>
        <w:tblInd w:w="0" w:type="dxa"/>
        <w:tblLayout w:type="fixed"/>
        <w:tblCellMar>
          <w:top w:w="28" w:type="dxa"/>
          <w:left w:w="28" w:type="dxa"/>
          <w:bottom w:w="28" w:type="dxa"/>
          <w:right w:w="28" w:type="dxa"/>
        </w:tblCellMar>
      </w:tblPr>
      <w:tblGrid>
        <w:gridCol w:w="4771"/>
        <w:gridCol w:w="146"/>
        <w:gridCol w:w="328"/>
        <w:gridCol w:w="538"/>
        <w:gridCol w:w="258"/>
        <w:gridCol w:w="227"/>
        <w:gridCol w:w="328"/>
        <w:gridCol w:w="538"/>
        <w:gridCol w:w="146"/>
        <w:gridCol w:w="146"/>
        <w:gridCol w:w="271"/>
        <w:gridCol w:w="541"/>
        <w:gridCol w:w="213"/>
        <w:gridCol w:w="187"/>
        <w:gridCol w:w="271"/>
        <w:gridCol w:w="541"/>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vAlign w:val="center"/>
          </w:tcPr>
          <w:p>
            <w:pPr>
              <w:pStyle w:val="TableContents"/>
              <w:bidi w:val="0"/>
              <w:spacing w:before="0" w:after="283"/>
              <w:jc w:val="center"/>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3"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8"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258"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38"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w:t>
            </w:r>
          </w:p>
        </w:tc>
        <w:tc>
          <w:tcPr>
            <w:tcW w:w="2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Provision (benefit) for income taxes</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58"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Other expense (income), net</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Non-recurring expense (income) </w:t>
            </w: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58"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Restructuring and other related reorganization costs</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258"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Legal reserves and settlements </w:t>
            </w: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58"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Stock-based compensation</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58"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Depreciation and amortization</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Company expensed certain transaction costs of $2 million and $3 million during the three and six months ended June 30, 2024, respectively, to general and administrative expenses on our unaudited condensed consolidated statements of operations. The Company expensed $3 million of previously capitalized transaction costs during the first quarter of 2023 to general and administrative expenses on our unaudited condensed consolidated statement of operations. The Company considers such costs to be non-recurring in nature.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Includes a one-time charge of $4 million during the second quarter of 2024, resulting from enacted tax legislation in Canada during June 2024 related to digital services taxes, which requires retrospective application back to January 1, 2022. This amount represents the one-time retrospective liability for the periods prior to April 1, 2024, while the liability for the three months ended June 30, 2024 and all prospective periods are and will be included within adjusted EBITDA. In addition, this amount includes an estimated accrual for the potential settlement of a regulatory related matter of $10 million, expensed during the first quarter of 2024. These costs are reflected in general and administrative expenses on our unaudited condensed consolidated statements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information on our relationship with LTRIP, which may be deemed to beneficially own equity securities representing approximately 57% of our voting power as of June 30, 2024, refer to “Note 1: </w:t>
      </w:r>
      <w:r>
        <w:rPr>
          <w:rFonts w:ascii="Times New Roman" w:hAnsi="Times New Roman"/>
          <w:i/>
          <w:color w:val="000000"/>
          <w:sz w:val="20"/>
        </w:rPr>
        <w:t>Basis of Presentation</w:t>
      </w:r>
      <w:r>
        <w:rPr>
          <w:rFonts w:ascii="Times New Roman" w:hAnsi="Times New Roman"/>
          <w:color w:val="000000"/>
          <w:sz w:val="20"/>
        </w:rPr>
        <w:t>” in the notes to our unaudited condensed consolidated financial statements in Item 1 in this Quarterly Report. We had no related party transactions with LTRIP during both of the three and six months ended June 30, 2024 and 2023.</w:t>
      </w:r>
    </w:p>
    <w:p>
      <w:pPr>
        <w:pStyle w:val="TextBody"/>
        <w:bidi w:val="0"/>
        <w:spacing w:before="360" w:after="283"/>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10: </w:t>
      </w:r>
      <w:r>
        <w:rPr>
          <w:rFonts w:ascii="Times New Roman" w:hAnsi="Times New Roman"/>
          <w:i/>
          <w:color w:val="000000"/>
          <w:sz w:val="20"/>
        </w:rPr>
        <w:t>Stock Based Awards and Other Equity Instruments</w:t>
      </w:r>
      <w:r>
        <w:rPr>
          <w:rFonts w:ascii="Times New Roman" w:hAnsi="Times New Roman"/>
          <w:color w:val="000000"/>
          <w:sz w:val="20"/>
        </w:rPr>
        <w:t xml:space="preserve">” in the notes to our unaudited condensed consolidated financial statements in Item 1 in this Quarterly Report for further information on current year equity award activity, including the issuance of approximately 5.3 million service-based RSUs with a weighted average grant-date fair value of $26.49 during the six months ended June 30, 2024.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principal source of liquidity is cash flow generated from operations and our existing cash and cash equivalents balance. Our liquidity needs can also be met through drawdowns under the Credit Facility. As of June 30, 2024 and December 31, 2023, we had approximately $1.2 billion and $1.1 billion, respectively, of cash and cash equivalents, and $497 million of available borrowing capacity under the Credit Facility. As of June 30, 2024, $226 million of our cash and cash equivalents were held by our international subsidiaries outside of the U.S., of which approximately 41% was held in the U.K. As of June 30, 2024, the significant majority of our cash was denominated in U.S. dollars.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2024, we had $537 million of cumulative undistributed earnings in foreign subsidiaries that are no longer considered to be indefinitely reinvested. As of June 30, 2024,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2024, we are party to a credit agreement, which, among other things, provides for a $500 million revolving Credit Facility with a maturity date of June 29, 2028 (unless, on any date that is 91 days prior to the final scheduled maturity date in respect of any indebtedness outstanding under certain “specified debt,” the aggregate outstanding principal amount of such specified debt is $200 million or more, then the maturity date will be such business day). As of June 30, 2024 and December 31, 2023, we had no outstanding borrowings under the Credit Facility. We are required to pay a quarterly commitment fee, at an applicable rate ranging from 0.25% to 0.40%, on the daily unused portion of the Credit Facility for each fiscal quarter and in connection with the issuance of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letters of credit. As of June 30, 2024, our unused revolver capacity was subject to a commitment fee of 0.25%, given the Company’s total net leverage ratio. The Credit Facility, among other things, requires us to maintain a maximum total net leverage ratio and contains certain customary affirmative and negative covenants and events of default, including for a change of control. As of June 30, 2024 and December 31, 2023, we were in compliance with our covenant requirements in effect under the Credit Facility. While there can be no assurance that we will be able to meet the total net leverage ratio covenant in the future, based on our current projections, we do not believe there is a material risk that we will not remain in compliance throughout the next twelve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the Company had an aggregate outstanding principal amount of $845 million in long-term debt, as a result of the 2025 Senior Notes and 2026 Senior Notes, as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2020, the Company completed the sale of $500 million in 2025 Senior Notes. The 2025 Senior Notes provide, among other things, that interest, at an interest rate of 7.0% per annum, is payable on January 15 and July 15 of each year, until their maturity on July 15, 2025. The 2025 Senior Notes are senior unsecured obligations of the Company, although unconditionally guaranteed on a joint and several basis by certain of the Company’s domestic subsidiaries. In March 2021, the Company completed the sale of $345 million of the 2026 Senior Notes. The 2026 Senior Notes provide, among other things, that interest, at an interest rate of 0.25% per annum, is payable on April 1 and October 1 of each year, until their maturity on April 1, 2026. The 2026 Senior Notes are senior unsecured obligations of the Company, although unconditionally guaranteed on a joint and several basis, by certain of the Company’s domestic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2025 Senior Notes and 2026 Senior Notes are not registered securities and there are currently no plans to register these notes as securities in the future. We may from time to time repurchase the 2025 Senior Notes or 2026 Senior Notes through tender offers, open market purchases, privately negotiated transactions or otherwise. Such repurchases, if any, will depend on prevailing market conditions, liquidity requirements, contractual restrictions and other factors.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July 8, 2024, the Company entered into the Amendment to its Credit Agreement and closed on the Term Loan B Facility. The Amendment provides for the new $500 million the term Loan B Facility maturing July 8, 2031, with an interest rate based on SOFR plus 2.75%. The Term Loan B Facility was offered at 99.75% of par and is required to be paid down at 1.00% of the aggregate principal amount per year. Subsequently, on July 15, 2024, the Company used proceeds from the Term Loan B Facility, to redeem the $500 million aggregate principal amount of the Company’s outstanding 2025 Senior Notes. Refer to “Note 14: </w:t>
      </w:r>
      <w:r>
        <w:rPr>
          <w:rFonts w:ascii="Times New Roman" w:hAnsi="Times New Roman"/>
          <w:i/>
          <w:color w:val="000000"/>
          <w:sz w:val="20"/>
        </w:rPr>
        <w:t>Subsequent Events</w:t>
      </w:r>
      <w:r>
        <w:rPr>
          <w:rFonts w:ascii="Times New Roman" w:hAnsi="Times New Roman"/>
          <w:color w:val="000000"/>
          <w:sz w:val="20"/>
        </w:rPr>
        <w:t>” in the notes to our unaudited condensed consolidated financial statements in Item 1 in this Quarterly Report for further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further information on the Credit Agreement, the Credit Facility, the Term Loan B Facility, the 2025 Senior Notes and 2026 Senior Notes, refer to “Note 6: </w:t>
      </w:r>
      <w:r>
        <w:rPr>
          <w:rFonts w:ascii="Times New Roman" w:hAnsi="Times New Roman"/>
          <w:i/>
          <w:color w:val="000000"/>
          <w:sz w:val="20"/>
        </w:rPr>
        <w:t>Debt</w:t>
      </w:r>
      <w:r>
        <w:rPr>
          <w:rFonts w:ascii="Times New Roman" w:hAnsi="Times New Roman"/>
          <w:color w:val="000000"/>
          <w:sz w:val="20"/>
        </w:rPr>
        <w:t>” in the notes to our unaudited condensed consolidated financial statements in Item 1 in this Quarterly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7, 2023, our Board of Directors authorized the repurchase of $250 million in shares of our common stock under a share repurchase program. This share repurchase program, which has a term of two years, does not obligate the Company to acquire any particular number of shares and may be modified, suspended or discontinued at any time. During the three months ended June 30, 2024, we repurchased 1,366,385 shares of our outstanding common stock at an average price of $18.28 per share, exclusive of fees and commissions, or $25 million in the aggregate. As of June 30, 2024, we had $200 million remaining available to repurchase shares of our common stock under this share repurchase program. During the three months ended June 30, 2023, we repurchased 4,724,729 shares of our outstanding common stock at an average price of $15.85 per share, exclusive of fees and commissions, or $75 million in the aggregate, which completed a previous share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typically experiences seasonal fluctuations that affect the timing of our annual cash flows during the year related to working capital. As a result of our experience bookings, we generally receive cash from travelers at the time of booking or prior to the occurrence of an experience, and we record these amounts, net of commissions, on our consolidated balance sheet as deferred merchant payables. We pay the experience operator, or the supplier, after the travelers’ use. Therefore, we generally receive cash from the traveler prior to paying the experience operator and this operating cycle represents a source or use of cash to us. During the first half of the year, experiences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 that could result in future seasonal patterns that are different from historical trends. In addition, new or different payment options offered to our customers could impact the timing of cash flows. For example, our “Reserve Now, Pay Later” payment option, which allows our travelers the option to reserve certain experiences and defer payment until a date no later than two days before the experience date. Usage of this payment option may continue to increase, though it is still not used in a majority of bookings to date, and affect the timing of our future cash flows and working capital.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discussed in “Note 8: </w:t>
      </w:r>
      <w:r>
        <w:rPr>
          <w:rFonts w:ascii="Times New Roman" w:hAnsi="Times New Roman"/>
          <w:i/>
          <w:color w:val="000000"/>
          <w:sz w:val="20"/>
        </w:rPr>
        <w:t>Income Taxes</w:t>
      </w:r>
      <w:r>
        <w:rPr>
          <w:rFonts w:ascii="Times New Roman" w:hAnsi="Times New Roman"/>
          <w:color w:val="000000"/>
          <w:sz w:val="20"/>
        </w:rPr>
        <w:t>” in the notes to our unaudited condensed consolidated financial statements in Item 1 in this Quarterly Report, we received a final notice regarding a MAP resolution agreement for the 2014 through 2016 tax years in January 2024, which we subsequently accepted in February 2024. During the three months ended June 30, 2024, we made a payment to the IRS of $141 million, inclusive of estimated interest, to satisfy this audit settlement. We anticipate a competent authority refund from a foreign jurisdiction and certain federal tax benefits, net of state tax payments due, associated with this IRS audit settlement which will be substantially settled in the next twelve months, resulting in an estimated net cash inflow of $25 million to $35 million, inclusive of related interest.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Additionally, as discussed in “Note 8: </w:t>
      </w:r>
      <w:r>
        <w:rPr>
          <w:rFonts w:ascii="Times New Roman" w:hAnsi="Times New Roman"/>
          <w:i/>
          <w:color w:val="000000"/>
          <w:sz w:val="20"/>
        </w:rPr>
        <w:t>Income Taxes</w:t>
      </w:r>
      <w:r>
        <w:rPr>
          <w:rFonts w:ascii="Times New Roman" w:hAnsi="Times New Roman"/>
          <w:color w:val="000000"/>
          <w:sz w:val="20"/>
        </w:rPr>
        <w:t xml:space="preserve">” in the notes to our unaudited condensed consolidated financial statements in Item 1 in this Quarterly Report, we received a final notice regarding a MAP settlement for the 2009 through 2011 tax years in January 2023, which the Company subsequently accepted in February 2023. During the three months ended June 30, 2023, we made a U.S. federal tax payment of $113 million, inclusive of interest, to Expedia related to this IRS audit settlement, pursuant to the Tax Sharing Agreement with Expedia.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January 2021, we received an issue closure notice from HMRC in the U.K. relating to adjustments for the 2012 through 2016 tax years. These proposed adjustments are related to certain transfer pricing arrangements with our foreign subsidiaries and would result in an increase to income tax expense in an estimated range of $25 million to $35 million, exclusive of interest expense, at the close of the audit if HMRC prevails. Although the ultimate timing for resolution of this matter is uncertain, any future payments required would negatively impact our operating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 </w:t>
      </w:r>
    </w:p>
    <w:p>
      <w:pPr>
        <w:pStyle w:val="TextBody"/>
        <w:bidi w:val="0"/>
        <w:jc w:val="left"/>
        <w:rPr>
          <w:rFonts w:ascii="Times New Roman" w:hAnsi="Times New Roman"/>
          <w:color w:val="000000"/>
          <w:sz w:val="20"/>
        </w:rPr>
      </w:pPr>
      <w:r>
        <w:rPr>
          <w:rFonts w:ascii="Times New Roman" w:hAnsi="Times New Roman"/>
          <w:color w:val="000000"/>
          <w:sz w:val="20"/>
        </w:rPr>
        <w:t>Our cash flows for the six months ended June 30, 2024 and 2023, as reflected in our unaudited condensed consolidated statements of cash flows, are summarized in the following table:</w:t>
      </w:r>
    </w:p>
    <w:p>
      <w:pPr>
        <w:pStyle w:val="TextBody"/>
        <w:bidi w:val="0"/>
        <w:jc w:val="left"/>
        <w:rPr/>
      </w:pPr>
      <w:r>
        <w:rPr/>
        <w:t> </w:t>
      </w:r>
    </w:p>
    <w:tbl>
      <w:tblPr>
        <w:tblW w:w="5037" w:type="dxa"/>
        <w:jc w:val="left"/>
        <w:tblInd w:w="0" w:type="dxa"/>
        <w:tblLayout w:type="fixed"/>
        <w:tblCellMar>
          <w:top w:w="28" w:type="dxa"/>
          <w:left w:w="28" w:type="dxa"/>
          <w:bottom w:w="28" w:type="dxa"/>
          <w:right w:w="28" w:type="dxa"/>
        </w:tblCellMar>
      </w:tblPr>
      <w:tblGrid>
        <w:gridCol w:w="2656"/>
        <w:gridCol w:w="146"/>
        <w:gridCol w:w="271"/>
        <w:gridCol w:w="541"/>
        <w:gridCol w:w="213"/>
        <w:gridCol w:w="187"/>
        <w:gridCol w:w="271"/>
        <w:gridCol w:w="541"/>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center"/>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1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six months ended June 30, 2024, our primary source of cash was from operations, while our primary use of cash was from financing activities (including repurchases of our outstanding common stock at an aggregate cost of $25 million under our existing share repurchase program and payment of withholding taxes on net share settlements of our equity awards of $14 million) and investing activities (including capital expenditures of $31 million incurred during the six months ended June 30, 2024). This use of cash was funded with cash and cash equivalents and operating cash flows during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2023, our primary source of cash was from operations, while our primary use of cash was from financing activities (including repurchases of our outstanding common stock at an aggregate cost of $75 million under a previous share repurchase program and payment of withholding taxes on net share settlements of our equity awards of $12 million) and investing activities (including capital expenditures of $31 million incurred during the six months ended June 30, 2023). This use of cash was funded with cash and cash equivalents and operating cash flows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for the six months ended June 30, 2024, decreased by $50 million when compared to the same period in 2023, primarily due to a decrease in working capital of $82 million, partially offset by an improvement in net losses of $14 million and an increase in non-cash items of $18 million, primarily due to an increase in stock-based compensation expense. The decrease in working capital was majority driven by a net increase in U.S. federal tax payments of $28 million during the second quarter of 2024, combined with a decrease of $14 million in our income tax provision, both related to the IRS audit settlements, discussed above, when compared to the same period in 2023. Also contributing to the decrease in working capital was a decrease in deferred revenue and deferred merchant payables, reflecting a combination of experiences bookings growth and the timing of when cash is received from travelers and then remitted to experience operators, in addition to the timing of collection of cash from customers and timing of vendor payments.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six months ended June 30, 2024 was materially consistent when compared to the same period in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financing activities for the six months ended June 30, 2024 decreased by $50 million when compared to the same period in 2023, primarily due to a decrease in net cash used to purchase shares of our common stock under our existing share repurchase program of $50 million.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Commercial Commitments and 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There have been no material changes outside the normal course of business to our contractual obligations and commercial commitments since December 31, 2023. As of June 30, 2024, other than our contractual obligations and commercial commitments, we did not have any off-balance sheet arrangements, as defined in Item 303(a)(4)(ii) of Regulation S-K promulgated by the SEC. Refer to “</w:t>
      </w:r>
      <w:r>
        <w:rPr>
          <w:rFonts w:ascii="Times New Roman" w:hAnsi="Times New Roman"/>
          <w:i/>
          <w:color w:val="000000"/>
          <w:sz w:val="20"/>
        </w:rPr>
        <w:t>Liquidity and Capital Resources</w:t>
      </w:r>
      <w:r>
        <w:rPr>
          <w:rFonts w:ascii="Times New Roman" w:hAnsi="Times New Roman"/>
          <w:color w:val="000000"/>
          <w:sz w:val="20"/>
        </w:rPr>
        <w:t>” in Part II, Item 7. —Management’s Discussion and Analysis of Financial Condition and Results of Operations of our 2023 Annual Report for a discussion of our contractual obligations and commercial commitments.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Contingencies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below. However, the final outcome of these matters could vary significantly from our estimates. Finally, there may be claims or actions pending or threatened against us of which we are currently not aware and the ultimate disposition of which could have a material adverse effect on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8: </w:t>
      </w:r>
      <w:r>
        <w:rPr>
          <w:rFonts w:ascii="Times New Roman" w:hAnsi="Times New Roman"/>
          <w:i/>
          <w:color w:val="000000"/>
          <w:sz w:val="20"/>
        </w:rPr>
        <w:t>Income Taxes</w:t>
      </w:r>
      <w:r>
        <w:rPr>
          <w:rFonts w:ascii="Times New Roman" w:hAnsi="Times New Roman"/>
          <w:color w:val="000000"/>
          <w:sz w:val="20"/>
        </w:rPr>
        <w:t xml:space="preserve">” and “Note 9: </w:t>
      </w:r>
      <w:r>
        <w:rPr>
          <w:rFonts w:ascii="Times New Roman" w:hAnsi="Times New Roman"/>
          <w:i/>
          <w:color w:val="000000"/>
          <w:sz w:val="20"/>
        </w:rPr>
        <w:t>Commitments and Contingencies</w:t>
      </w:r>
      <w:r>
        <w:rPr>
          <w:rFonts w:ascii="Times New Roman" w:hAnsi="Times New Roman"/>
          <w:color w:val="000000"/>
          <w:sz w:val="20"/>
        </w:rPr>
        <w:t>” in the notes to our unaudited condensed consolidated financial statements in Item 1 in this Quarterly Report for further information on other potential contingencies, including ongoing audits by the IRS and various other domestic and foreign tax authorities, and other tax and legal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 the last several years, the Organization for Economic Cooperation and Development (“OECD”) has been developing its “two pillar” project to address certain perceived tax challenges arising from digitalization of the economy. This OECD project, if and however implemented by all participating countries, will result in significant changes to the international taxation system under which our current income tax obligations are determined. Pillar Two of this project calls for a minimum income tax rate on corporations of 15% and has begun to be implemented by an increasing number of countries starting in 2024. The OECD and implementing countries are expected to continue to offer further guidance on the impact of Pillar Two on their respective local corporate income tax rules, however, such impact for the Company is not expected to be material at this time. The Company will continue to monitor developments to determine any potential impact of Pillar Two in the countries in which we operate.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Pillar One, which would reallocate profits from the largest and most profitable businesses to countries where the customers of those businesses are located, remains under discussion at the OECD, and its implementation remains uncertain. If implemented, Pillar One would potentially result in the removal of unilateral digital services tax initiatives, such as those enacted in France, Italy, Spain, and the U.K. In July 2023, more than 138 countries and jurisdictions agreed to refrain from imposing newly enacted digital service tax initiatives or similar measures before December 31, 2024, provided the Pillar One negotiations have made sufficient progress by the end of 2023. In December 2023, the OECD Inclusive Framework reaffirmed their commitment to achieve a consensus-based solution and to complete the multilateral agreement by June 2024, thereby extending the standstill on new digital service tax initiatives. The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June 2024 extended deadline has since expired, thereby enabling countries to introduce new unilateral digital service taxes. For example, in June 2024, Canada enacted tax legislation related to digital services taxes, which requires retrospective application back to January 1, 2022, resulting in a one-time charge of $4 million during the second quarter of 2024, reflected in general and administrative expenses on our unaudited condensed consolidated statement of operations. Furthermore, certain U.S. states, such as Maryland, have deployed comparable digital services tax initiatives. We will continue to monitor these developments to determine the financial impact to the Company. During the three and six months ended June 30, 2024, we recorded $9 million and $11 million, respectively, of digital service tax, while during the three and six months ended June 30, 2023, we recorded $5 million and $7 million, respectively, of digital service tax to general and administrative expense on our unaudited condensed consolidated statements of operations. </w:t>
      </w:r>
    </w:p>
    <w:p>
      <w:pPr>
        <w:pStyle w:val="TextBody"/>
        <w:bidi w:val="0"/>
        <w:spacing w:before="240" w:after="283"/>
        <w:jc w:val="left"/>
        <w:rPr>
          <w:rFonts w:ascii="Times New Roman" w:hAnsi="Times New Roman"/>
          <w:sz w:val="20"/>
        </w:rPr>
      </w:pPr>
      <w:r>
        <w:rPr>
          <w:rFonts w:ascii="Times New Roman" w:hAnsi="Times New Roman"/>
          <w:color w:val="000000"/>
          <w:sz w:val="20"/>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June 30, 2024. As of June 30, 2024, $537 million of our cumulative undistributed foreign earnings were no longer considered to be indefinitely reinvested</w:t>
      </w:r>
      <w:r>
        <w:rPr>
          <w:rFonts w:ascii="Times New Roman" w:hAnsi="Times New Roman"/>
          <w:color w:val="000000"/>
          <w:sz w:val="24"/>
        </w:rPr>
        <w:t>.</w:t>
      </w:r>
    </w:p>
    <w:p>
      <w:pPr>
        <w:pStyle w:val="TextBody"/>
        <w:bidi w:val="0"/>
        <w:spacing w:before="360" w:after="283"/>
        <w:jc w:val="left"/>
        <w:rPr>
          <w:rFonts w:ascii="Times New Roman" w:hAnsi="Times New Roman"/>
          <w:sz w:val="20"/>
        </w:rPr>
      </w:pPr>
      <w:bookmarkStart w:id="9" w:name="item3_quantitative_and_qualitative_dis"/>
      <w:bookmarkEnd w:id="9"/>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has been no material change in our market risk profile during the six months ended June 30, 2024 since December 31, 2023. For additional information about our market risk profile, refer to “Quantitative and Qualitative Disclosures About Market Risk” in Item 7A. in Part II of our Annual Report on Form 10-K for the year ended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outstanding debt related to the 2025 Senior Notes and 2026 Senior Notes,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we will continue to increase our operations internationally. Our exposure to potentially volatile movements in foreign currency exchange rates will increase as we increase our operations in international markets. The economic impact of foreign currency exchange rate movement is linked to variability in the macroeconomic environment such as inflation and interest rates, governmental actions, and geopolitical events such as regional conflicts. We regularly monitor the macroeconomic environment, which has seen some volatility as a result of geopolitical tensions resulting from Russia’s invasion of Ukraine, the escalating conflict in the Middle East, as well as increased cyberattacks, military conflicts and sanctions. Developments in the macroeconomic environment could cause us to adjust our foreign currency risk strategies. Continued uncertainty regarding our international operations and U.K. and E.U. relations may result in future currency exchange rate volatility which may impact our business and results of operations.</w:t>
      </w:r>
    </w:p>
    <w:p>
      <w:pPr>
        <w:pStyle w:val="TextBody"/>
        <w:bidi w:val="0"/>
        <w:spacing w:before="360" w:after="283"/>
        <w:jc w:val="left"/>
        <w:rPr>
          <w:rFonts w:ascii="Times New Roman" w:hAnsi="Times New Roman"/>
          <w:sz w:val="20"/>
        </w:rPr>
      </w:pPr>
      <w:bookmarkStart w:id="10" w:name="item4_controls_and_procedures"/>
      <w:bookmarkEnd w:id="10"/>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our management, with the participation of our Chief Executive Officer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our Chief Financial Officer concluded that, as of June 30, 2024,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our Chief Financial Officer, as appropriate to allow timely decisions regarding required disclosure.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to our internal control over financial reporting that occurred during the quarter ended June 30, 2024 that have materially affected, or are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1" w:name="item1_legal_proceedings"/>
      <w:bookmarkEnd w:id="11"/>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and alleged infringement of third-party intellectual property rights), tax matters (including value-added, excise, transient occupancy and accommodation taxes), regulatory compliance (including competition, consumer protection matters and data privacy or cybersecurity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as discussed in “Note 8: </w:t>
      </w:r>
      <w:r>
        <w:rPr>
          <w:rFonts w:ascii="Times New Roman" w:hAnsi="Times New Roman"/>
          <w:i/>
          <w:color w:val="000000"/>
          <w:sz w:val="20"/>
        </w:rPr>
        <w:t>Income Taxes</w:t>
      </w:r>
      <w:r>
        <w:rPr>
          <w:rFonts w:ascii="Times New Roman" w:hAnsi="Times New Roman"/>
          <w:color w:val="000000"/>
          <w:sz w:val="20"/>
        </w:rPr>
        <w:t>” in the notes to our unaudited condensed consolidated financial statements in Item 1 in this Quarterly Report.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pStyle w:val="TextBody"/>
        <w:bidi w:val="0"/>
        <w:spacing w:before="360" w:after="283"/>
        <w:jc w:val="left"/>
        <w:rPr>
          <w:rFonts w:ascii="Times New Roman" w:hAnsi="Times New Roman"/>
          <w:sz w:val="20"/>
        </w:rPr>
      </w:pPr>
      <w:bookmarkStart w:id="12" w:name="item_1a_risk_factors"/>
      <w:bookmarkEnd w:id="12"/>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attempt to identify, manage and mitigate risks and uncertainties associated with our business to the extent practical under the circumstances, some level of risk and uncertainty will always be present. Refer to Part I, Item 1A, “Risk Factors” in our Annual Report on Form 10-K for the year ended December 31, 2023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June 30, 2024, there were no material changes in our risk factors from those disclosed in Part 1, Item 1A., “Risk Factors” in our Annual Report on Form 10-K for the fiscal year ended December 31, 2023. </w:t>
      </w:r>
    </w:p>
    <w:p>
      <w:pPr>
        <w:pStyle w:val="TextBody"/>
        <w:bidi w:val="0"/>
        <w:spacing w:before="360" w:after="283"/>
        <w:jc w:val="left"/>
        <w:rPr>
          <w:rFonts w:ascii="Times New Roman" w:hAnsi="Times New Roman"/>
          <w:sz w:val="20"/>
        </w:rPr>
      </w:pPr>
      <w:bookmarkStart w:id="13" w:name="item2_unregistered_sales_of_equity_sec"/>
      <w:bookmarkEnd w:id="13"/>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Unregistered Sales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June 30, 2024, we did not issue or sell any shares of our common stock, Class B common stock or other equity securities pursuant to unregistered transactions in reliance upon an exemption from the registration requirements of the Securities Act of 1933, as amended. </w:t>
      </w:r>
    </w:p>
    <w:p>
      <w:pPr>
        <w:pStyle w:val="TextBody"/>
        <w:bidi w:val="0"/>
        <w:spacing w:before="360" w:after="283"/>
        <w:jc w:val="left"/>
        <w:rPr>
          <w:rFonts w:ascii="Times New Roman" w:hAnsi="Times New Roman"/>
          <w:sz w:val="20"/>
        </w:rPr>
      </w:pPr>
      <w:r>
        <w:rPr>
          <w:rFonts w:ascii="Times New Roman" w:hAnsi="Times New Roman"/>
          <w:b/>
          <w:color w:val="000000"/>
          <w:sz w:val="20"/>
        </w:rPr>
        <w:t>Share Repurchases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information regarding our common stock repurchases during the second quarter of 2024 is set forth in the table below:</w:t>
      </w:r>
    </w:p>
    <w:tbl>
      <w:tblPr>
        <w:tblW w:w="10205" w:type="dxa"/>
        <w:jc w:val="left"/>
        <w:tblInd w:w="0" w:type="dxa"/>
        <w:tblLayout w:type="fixed"/>
        <w:tblCellMar>
          <w:top w:w="28" w:type="dxa"/>
          <w:left w:w="28" w:type="dxa"/>
          <w:bottom w:w="28" w:type="dxa"/>
          <w:right w:w="28" w:type="dxa"/>
        </w:tblCellMar>
      </w:tblPr>
      <w:tblGrid>
        <w:gridCol w:w="1077"/>
        <w:gridCol w:w="146"/>
        <w:gridCol w:w="188"/>
        <w:gridCol w:w="1204"/>
        <w:gridCol w:w="146"/>
        <w:gridCol w:w="146"/>
        <w:gridCol w:w="200"/>
        <w:gridCol w:w="200"/>
        <w:gridCol w:w="785"/>
        <w:gridCol w:w="146"/>
        <w:gridCol w:w="146"/>
        <w:gridCol w:w="280"/>
        <w:gridCol w:w="1788"/>
        <w:gridCol w:w="146"/>
        <w:gridCol w:w="146"/>
        <w:gridCol w:w="403"/>
        <w:gridCol w:w="279"/>
        <w:gridCol w:w="2182"/>
        <w:gridCol w:w="597"/>
      </w:tblGrid>
      <w:tr>
        <w:trPr/>
        <w:tc>
          <w:tcPr>
            <w:tcW w:w="1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07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shd w:fill="FFFFFF" w:val="clear"/>
            <w:vAlign w:val="center"/>
          </w:tcPr>
          <w:p>
            <w:pPr>
              <w:pStyle w:val="TableContents"/>
              <w:bidi w:val="0"/>
              <w:spacing w:before="0" w:after="283"/>
              <w:jc w:val="left"/>
              <w:rPr/>
            </w:pPr>
            <w:r>
              <w:rPr/>
              <w:t> </w:t>
            </w:r>
          </w:p>
        </w:tc>
        <w:tc>
          <w:tcPr>
            <w:tcW w:w="13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3"/>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 as Part of Publicly Announced Plans or Programs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64" w:type="dxa"/>
            <w:gridSpan w:val="3"/>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Number (or Approximate Dollar Value) of Shares that May Yet Be Purchased Under the Plans or Programs</w:t>
            </w:r>
          </w:p>
        </w:tc>
        <w:tc>
          <w:tcPr>
            <w:tcW w:w="597" w:type="dxa"/>
            <w:tcBorders/>
            <w:shd w:fill="FFFFFF" w:val="clear"/>
            <w:vAlign w:val="center"/>
          </w:tcPr>
          <w:p>
            <w:pPr>
              <w:pStyle w:val="TableContents"/>
              <w:bidi w:val="0"/>
              <w:spacing w:before="0" w:after="283"/>
              <w:ind w:left="0" w:right="0" w:firstLine="100"/>
              <w:jc w:val="center"/>
              <w:rPr/>
            </w:pPr>
            <w:r>
              <w:rPr/>
              <w:t> </w:t>
            </w:r>
          </w:p>
        </w:tc>
      </w:tr>
      <w:tr>
        <w:trPr/>
        <w:tc>
          <w:tcPr>
            <w:tcW w:w="1077"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April 1 to April 30</w:t>
            </w:r>
          </w:p>
        </w:tc>
        <w:tc>
          <w:tcPr>
            <w:tcW w:w="146"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788"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 w:type="dxa"/>
            <w:tcBorders/>
            <w:shd w:fill="CCEEFF" w:val="clear"/>
            <w:vAlign w:val="center"/>
          </w:tcPr>
          <w:p>
            <w:pPr>
              <w:pStyle w:val="TableContents"/>
              <w:bidi w:val="0"/>
              <w:spacing w:before="0" w:after="283"/>
              <w:jc w:val="left"/>
              <w:rPr/>
            </w:pPr>
            <w:r>
              <w:rPr/>
              <w:t> </w:t>
            </w:r>
          </w:p>
        </w:tc>
        <w:tc>
          <w:tcPr>
            <w:tcW w:w="218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225,000,000</w:t>
            </w:r>
          </w:p>
        </w:tc>
        <w:tc>
          <w:tcPr>
            <w:tcW w:w="597" w:type="dxa"/>
            <w:tcBorders/>
            <w:shd w:fill="CCEEFF" w:val="clear"/>
            <w:vAlign w:val="center"/>
          </w:tcPr>
          <w:p>
            <w:pPr>
              <w:pStyle w:val="TableContents"/>
              <w:bidi w:val="0"/>
              <w:spacing w:before="0" w:after="283"/>
              <w:ind w:left="0" w:right="0" w:firstLine="100"/>
              <w:jc w:val="left"/>
              <w:rPr/>
            </w:pPr>
            <w:r>
              <w:rPr/>
              <w:t> </w:t>
            </w:r>
          </w:p>
        </w:tc>
      </w:tr>
      <w:tr>
        <w:trPr/>
        <w:tc>
          <w:tcPr>
            <w:tcW w:w="107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May 1 to May 31</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7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 w:type="dxa"/>
            <w:tcBorders/>
            <w:shd w:fill="FFFFFF" w:val="clear"/>
            <w:vAlign w:val="center"/>
          </w:tcPr>
          <w:p>
            <w:pPr>
              <w:pStyle w:val="TableContents"/>
              <w:bidi w:val="0"/>
              <w:spacing w:before="0" w:after="283"/>
              <w:jc w:val="left"/>
              <w:rPr/>
            </w:pPr>
            <w:r>
              <w:rPr/>
              <w:t> </w:t>
            </w:r>
          </w:p>
        </w:tc>
        <w:tc>
          <w:tcPr>
            <w:tcW w:w="21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225,000,000</w:t>
            </w:r>
          </w:p>
        </w:tc>
        <w:tc>
          <w:tcPr>
            <w:tcW w:w="597" w:type="dxa"/>
            <w:tcBorders/>
            <w:shd w:fill="FFFFFF" w:val="clear"/>
            <w:vAlign w:val="center"/>
          </w:tcPr>
          <w:p>
            <w:pPr>
              <w:pStyle w:val="TableContents"/>
              <w:bidi w:val="0"/>
              <w:spacing w:before="0" w:after="283"/>
              <w:ind w:left="0" w:right="0" w:firstLine="100"/>
              <w:jc w:val="left"/>
              <w:rPr/>
            </w:pPr>
            <w:r>
              <w:rPr/>
              <w:t> </w:t>
            </w:r>
          </w:p>
        </w:tc>
      </w:tr>
      <w:tr>
        <w:trPr/>
        <w:tc>
          <w:tcPr>
            <w:tcW w:w="1077"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June 1 to June 30</w:t>
            </w:r>
          </w:p>
        </w:tc>
        <w:tc>
          <w:tcPr>
            <w:tcW w:w="146" w:type="dxa"/>
            <w:tcBorders/>
            <w:shd w:fill="CCEEFF" w:val="clear"/>
            <w:vAlign w:val="center"/>
          </w:tcPr>
          <w:p>
            <w:pPr>
              <w:pStyle w:val="TableContents"/>
              <w:bidi w:val="0"/>
              <w:spacing w:before="0" w:after="283"/>
              <w:jc w:val="left"/>
              <w:rPr/>
            </w:pPr>
            <w:r>
              <w:rPr/>
              <w:t> </w:t>
            </w:r>
          </w:p>
        </w:tc>
        <w:tc>
          <w:tcPr>
            <w:tcW w:w="1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1,366,385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1,366,385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 w:type="dxa"/>
            <w:tcBorders/>
            <w:shd w:fill="CCEEFF" w:val="clear"/>
            <w:vAlign w:val="center"/>
          </w:tcPr>
          <w:p>
            <w:pPr>
              <w:pStyle w:val="TableContents"/>
              <w:bidi w:val="0"/>
              <w:spacing w:before="0" w:after="283"/>
              <w:jc w:val="left"/>
              <w:rPr/>
            </w:pPr>
            <w:r>
              <w:rPr/>
              <w:t> </w:t>
            </w:r>
          </w:p>
        </w:tc>
        <w:tc>
          <w:tcPr>
            <w:tcW w:w="2182"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200,000,000</w:t>
            </w:r>
          </w:p>
        </w:tc>
        <w:tc>
          <w:tcPr>
            <w:tcW w:w="597" w:type="dxa"/>
            <w:tcBorders/>
            <w:shd w:fill="CCEEFF" w:val="clear"/>
            <w:vAlign w:val="center"/>
          </w:tcPr>
          <w:p>
            <w:pPr>
              <w:pStyle w:val="TableContents"/>
              <w:bidi w:val="0"/>
              <w:spacing w:before="0" w:after="283"/>
              <w:ind w:left="0" w:right="0" w:firstLine="400"/>
              <w:jc w:val="left"/>
              <w:rPr/>
            </w:pPr>
            <w:r>
              <w:rPr/>
              <w:t> </w:t>
            </w:r>
          </w:p>
        </w:tc>
      </w:tr>
      <w:tr>
        <w:trPr/>
        <w:tc>
          <w:tcPr>
            <w:tcW w:w="107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8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2461" w:type="dxa"/>
            <w:gridSpan w:val="2"/>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 Exclusive of fees and commissions.</w:t>
      </w:r>
    </w:p>
    <w:p>
      <w:pPr>
        <w:pStyle w:val="TextBody"/>
        <w:bidi w:val="0"/>
        <w:spacing w:before="360" w:after="283"/>
        <w:jc w:val="left"/>
        <w:rPr>
          <w:rFonts w:ascii="Times New Roman" w:hAnsi="Times New Roman"/>
          <w:b/>
          <w:color w:val="000000"/>
          <w:sz w:val="20"/>
        </w:rPr>
      </w:pPr>
      <w:bookmarkStart w:id="14" w:name="item3_defaults_upon_senior_securities"/>
      <w:bookmarkEnd w:id="14"/>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5" w:name="item4_mine_safety_disclosures"/>
      <w:bookmarkEnd w:id="15"/>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16" w:name="item5_other_information"/>
      <w:bookmarkEnd w:id="16"/>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2024, none of the Company’s directors or officers adopted or terminated a Rule 10b5-1 trading arrangement or a non-Rule 10b5-1 trading arrangement (as defined in Item 408(c) of Regulation S-K).</w:t>
      </w:r>
    </w:p>
    <w:p>
      <w:pPr>
        <w:pStyle w:val="TextBody"/>
        <w:bidi w:val="0"/>
        <w:spacing w:before="360" w:after="283"/>
        <w:jc w:val="left"/>
        <w:rPr>
          <w:rFonts w:ascii="Times New Roman" w:hAnsi="Times New Roman"/>
          <w:sz w:val="20"/>
        </w:rPr>
      </w:pPr>
      <w:bookmarkStart w:id="17" w:name="item6_exhibits"/>
      <w:bookmarkEnd w:id="17"/>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listed below are filed as part of this Quarterly Report. </w:t>
      </w:r>
    </w:p>
    <w:tbl>
      <w:tblPr>
        <w:tblW w:w="10205" w:type="dxa"/>
        <w:jc w:val="left"/>
        <w:tblInd w:w="0" w:type="dxa"/>
        <w:tblLayout w:type="fixed"/>
        <w:tblCellMar>
          <w:top w:w="28" w:type="dxa"/>
          <w:left w:w="28" w:type="dxa"/>
          <w:bottom w:w="28" w:type="dxa"/>
          <w:right w:w="28" w:type="dxa"/>
        </w:tblCellMar>
      </w:tblPr>
      <w:tblGrid>
        <w:gridCol w:w="680"/>
        <w:gridCol w:w="146"/>
        <w:gridCol w:w="5248"/>
        <w:gridCol w:w="146"/>
        <w:gridCol w:w="293"/>
        <w:gridCol w:w="488"/>
        <w:gridCol w:w="146"/>
        <w:gridCol w:w="146"/>
        <w:gridCol w:w="511"/>
        <w:gridCol w:w="146"/>
        <w:gridCol w:w="696"/>
        <w:gridCol w:w="146"/>
        <w:gridCol w:w="631"/>
        <w:gridCol w:w="146"/>
        <w:gridCol w:w="636"/>
      </w:tblGrid>
      <w:tr>
        <w:trPr/>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left"/>
              <w:rPr>
                <w:sz w:val="4"/>
                <w:szCs w:val="4"/>
              </w:rPr>
            </w:pPr>
            <w:r>
              <w:rPr>
                <w:sz w:val="4"/>
                <w:szCs w:val="4"/>
              </w:rPr>
            </w:r>
          </w:p>
        </w:tc>
        <w:tc>
          <w:tcPr>
            <w:tcW w:w="5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68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48"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 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68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5248"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First Amendment, dated July 8, 2024, to the Amendment and Restatement Agreement, dated as of June 29, 2023 by and among Tripadvisor, Inc., Tripadvisor Holdings, LLC, Tripadvisor, LLC, the other Borrowers party thereto, the Lenders party thereto and JPMorgan Chase Bank, N.A., as Administrative Agent.</w:t>
              </w:r>
            </w:hyperlink>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6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center"/>
              <w:rPr/>
            </w:pPr>
            <w:r>
              <w:rPr/>
              <w:t> </w:t>
            </w:r>
          </w:p>
        </w:tc>
        <w:tc>
          <w:tcPr>
            <w:tcW w:w="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7/8/24</w:t>
            </w:r>
          </w:p>
        </w:tc>
      </w:tr>
      <w:tr>
        <w:trPr/>
        <w:tc>
          <w:tcPr>
            <w:tcW w:w="680"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5248" w:type="dxa"/>
            <w:tcBorders/>
            <w:vAlign w:val="center"/>
          </w:tcPr>
          <w:p>
            <w:pPr>
              <w:pStyle w:val="TableContents"/>
              <w:bidi w:val="0"/>
              <w:spacing w:before="0" w:after="20"/>
              <w:jc w:val="left"/>
              <w:rPr/>
            </w:pPr>
            <w:hyperlink w:anchor="trip-ex31_1.htm">
              <w:r>
                <w:rPr>
                  <w:rStyle w:val="InternetLink"/>
                  <w:rFonts w:ascii="Times New Roman" w:hAnsi="Times New Roman"/>
                  <w:color w:val="0000FF"/>
                  <w:sz w:val="20"/>
                  <w:u w:val="single"/>
                </w:rPr>
                <w:t>Certification of the Chief Executive Officer pursuant to Section 302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5248" w:type="dxa"/>
            <w:tcBorders/>
            <w:vAlign w:val="center"/>
          </w:tcPr>
          <w:p>
            <w:pPr>
              <w:pStyle w:val="TableContents"/>
              <w:bidi w:val="0"/>
              <w:spacing w:before="0" w:after="20"/>
              <w:jc w:val="left"/>
              <w:rPr/>
            </w:pPr>
            <w:hyperlink w:anchor="trip-ex31_2.htm">
              <w:r>
                <w:rPr>
                  <w:rStyle w:val="InternetLink"/>
                  <w:rFonts w:ascii="Times New Roman" w:hAnsi="Times New Roman"/>
                  <w:color w:val="0000FF"/>
                  <w:sz w:val="20"/>
                  <w:u w:val="single"/>
                </w:rPr>
                <w:t>Certification of the Chief Financial Officer pursuant to Section 302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5248" w:type="dxa"/>
            <w:tcBorders/>
            <w:vAlign w:val="center"/>
          </w:tcPr>
          <w:p>
            <w:pPr>
              <w:pStyle w:val="TableContents"/>
              <w:bidi w:val="0"/>
              <w:spacing w:before="0" w:after="20"/>
              <w:jc w:val="left"/>
              <w:rPr/>
            </w:pPr>
            <w:hyperlink w:anchor="trip-ex32_1.htm">
              <w:r>
                <w:rPr>
                  <w:rStyle w:val="InternetLink"/>
                  <w:rFonts w:ascii="Times New Roman" w:hAnsi="Times New Roman"/>
                  <w:color w:val="0000FF"/>
                  <w:sz w:val="20"/>
                  <w:u w:val="single"/>
                </w:rPr>
                <w:t>Certification of the Chief Executive Officer pursuant to Section 906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5248" w:type="dxa"/>
            <w:tcBorders/>
            <w:vAlign w:val="center"/>
          </w:tcPr>
          <w:p>
            <w:pPr>
              <w:pStyle w:val="TableContents"/>
              <w:bidi w:val="0"/>
              <w:spacing w:before="0" w:after="20"/>
              <w:jc w:val="left"/>
              <w:rPr/>
            </w:pPr>
            <w:hyperlink w:anchor="trip-ex32_2.htm">
              <w:r>
                <w:rPr>
                  <w:rStyle w:val="InternetLink"/>
                  <w:rFonts w:ascii="Times New Roman" w:hAnsi="Times New Roman"/>
                  <w:color w:val="0000FF"/>
                  <w:sz w:val="20"/>
                  <w:u w:val="single"/>
                </w:rPr>
                <w:t>Certification of the Chief Financial Officer pursuant to Section 906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5248"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5248"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248"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certifications furnished in Exhibits 32.1 and 32.2 are deemed to be furnished with this Quarterly Report on Form 10-Q and will not be deemed “filed” for purposes of Section 18 of the Securities Exchange Act of 1934, as amended, except to the extent that the Registrant specifically incorporates it by reference. </w:t>
      </w:r>
    </w:p>
    <w:p>
      <w:pPr>
        <w:pStyle w:val="TextBody"/>
        <w:bidi w:val="0"/>
        <w:jc w:val="left"/>
        <w:rPr>
          <w:rFonts w:ascii="Times New Roman" w:hAnsi="Times New Roman"/>
          <w:sz w:val="20"/>
        </w:rPr>
      </w:pPr>
      <w:r>
        <w:rPr>
          <w:rFonts w:ascii="Times New Roman" w:hAnsi="Times New Roman"/>
          <w:i/>
          <w:color w:val="000000"/>
          <w:sz w:val="20"/>
        </w:rPr>
        <w:br/>
      </w:r>
      <w:r>
        <w:rPr>
          <w:rFonts w:ascii="Times New Roman" w:hAnsi="Times New Roman"/>
          <w:color w:val="000000"/>
          <w:sz w:val="20"/>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2758" w:type="dxa"/>
        <w:jc w:val="left"/>
        <w:tblInd w:w="0" w:type="dxa"/>
        <w:tblLayout w:type="fixed"/>
        <w:tblCellMar>
          <w:top w:w="28" w:type="dxa"/>
          <w:left w:w="28" w:type="dxa"/>
          <w:bottom w:w="28" w:type="dxa"/>
          <w:right w:w="28" w:type="dxa"/>
        </w:tblCellMar>
      </w:tblPr>
      <w:tblGrid>
        <w:gridCol w:w="361"/>
        <w:gridCol w:w="146"/>
        <w:gridCol w:w="225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2758" w:type="dxa"/>
            <w:gridSpan w:val="3"/>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Tripadvisor, Inc.</w:t>
            </w:r>
          </w:p>
        </w:tc>
      </w:tr>
      <w:tr>
        <w:trPr/>
        <w:tc>
          <w:tcPr>
            <w:tcW w:w="36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Noonan</w:t>
            </w:r>
          </w:p>
        </w:tc>
      </w:tr>
      <w:tr>
        <w:trPr/>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Noonan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36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Geoffrey Gouvalaris</w:t>
            </w:r>
          </w:p>
        </w:tc>
      </w:tr>
      <w:tr>
        <w:trPr/>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Geoffrey Gouvalaris</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August 6, 2024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19" w:name="trip-ex31_1.htm"/>
      <w:bookmarkStart w:id="20" w:name="kstripex31_1"/>
      <w:bookmarkEnd w:id="19"/>
      <w:bookmarkEnd w:id="20"/>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Matt Goldberg, Chief Executive Officer of TripAdvisor, Inc.,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period ended June 30, 2024 of TripAdvisor,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229" w:type="dxa"/>
        <w:jc w:val="left"/>
        <w:tblInd w:w="0" w:type="dxa"/>
        <w:tblLayout w:type="fixed"/>
        <w:tblCellMar>
          <w:top w:w="28" w:type="dxa"/>
          <w:left w:w="28" w:type="dxa"/>
          <w:bottom w:w="28" w:type="dxa"/>
          <w:right w:w="28" w:type="dxa"/>
        </w:tblCellMar>
      </w:tblPr>
      <w:tblGrid>
        <w:gridCol w:w="1846"/>
        <w:gridCol w:w="109"/>
        <w:gridCol w:w="109"/>
        <w:gridCol w:w="109"/>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 GOLDBERG</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 Goldberg</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1" w:name="trip-ex31_2.htm"/>
      <w:bookmarkStart w:id="22" w:name="kstripex31_2"/>
      <w:bookmarkEnd w:id="21"/>
      <w:bookmarkEnd w:id="22"/>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Noonan, Chief Financial Officer of TripAdvisor, Inc.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period ended June 30, 2024 of TripAdvisor,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304" w:type="dxa"/>
        <w:jc w:val="left"/>
        <w:tblInd w:w="0" w:type="dxa"/>
        <w:tblLayout w:type="fixed"/>
        <w:tblCellMar>
          <w:top w:w="28" w:type="dxa"/>
          <w:left w:w="28" w:type="dxa"/>
          <w:bottom w:w="28" w:type="dxa"/>
          <w:right w:w="28" w:type="dxa"/>
        </w:tblCellMar>
      </w:tblPr>
      <w:tblGrid>
        <w:gridCol w:w="1846"/>
        <w:gridCol w:w="109"/>
        <w:gridCol w:w="109"/>
        <w:gridCol w:w="109"/>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NOONAN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Noonan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trip-ex32_1.htm"/>
      <w:bookmarkStart w:id="24" w:name="kstripex32_1"/>
      <w:bookmarkEnd w:id="23"/>
      <w:bookmarkEnd w:id="24"/>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TripAdvisor, Inc. (the “Company”) for the quarter ended June 30, 2024, as filed with the Securities and Exchange Commission on the date hereof (the “Report”), I, Matt Goldberg, Chief Executive Officer of the Company, certify, pursuant to Section 906 of the Sarbanes-Oxley Act of 2002, 18 U.S.C. Section 1350,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which this statement accompanies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4229" w:type="dxa"/>
        <w:jc w:val="left"/>
        <w:tblInd w:w="0" w:type="dxa"/>
        <w:tblLayout w:type="fixed"/>
        <w:tblCellMar>
          <w:top w:w="28" w:type="dxa"/>
          <w:left w:w="28" w:type="dxa"/>
          <w:bottom w:w="28" w:type="dxa"/>
          <w:right w:w="28" w:type="dxa"/>
        </w:tblCellMar>
      </w:tblPr>
      <w:tblGrid>
        <w:gridCol w:w="1846"/>
        <w:gridCol w:w="109"/>
        <w:gridCol w:w="109"/>
        <w:gridCol w:w="109"/>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 GOLDBERG</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 Goldberg</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trip-ex32_2.htm"/>
      <w:bookmarkStart w:id="26" w:name="kstripex32_2"/>
      <w:bookmarkEnd w:id="25"/>
      <w:bookmarkEnd w:id="26"/>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TripAdvisor, Inc. (the “Company”) for the quarter ended June 30, 2024, as filed with the Securities and Exchange Commission on the date hereof (the “Report”), I, Michael Noonan, Chief Financial Officer of the Company, certify, pursuant to Section 906 of the Sarbanes-Oxley Act of 2002, 18 U.S.C. Section 1350,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which this statement accompanies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4304" w:type="dxa"/>
        <w:jc w:val="left"/>
        <w:tblInd w:w="0" w:type="dxa"/>
        <w:tblLayout w:type="fixed"/>
        <w:tblCellMar>
          <w:top w:w="28" w:type="dxa"/>
          <w:left w:w="28" w:type="dxa"/>
          <w:bottom w:w="28" w:type="dxa"/>
          <w:right w:w="28" w:type="dxa"/>
        </w:tblCellMar>
      </w:tblPr>
      <w:tblGrid>
        <w:gridCol w:w="1846"/>
        <w:gridCol w:w="109"/>
        <w:gridCol w:w="109"/>
        <w:gridCol w:w="109"/>
        <w:gridCol w:w="21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NOONAN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Noonan</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6520/000095017024082086/trip-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28901</Words>
  <Characters>155049</Characters>
  <CharactersWithSpaces>186755</CharactersWithSpaces>
  <Paragraphs>9020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