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62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ind w:left="4960"/>
        <w:spacing w:after="0"/>
        <w:rPr>
          <w:sz w:val="20"/>
          <w:szCs w:val="20"/>
          <w:color w:val="auto"/>
        </w:rPr>
      </w:pPr>
      <w:r>
        <w:rPr>
          <w:rFonts w:ascii="Arial" w:cs="Arial" w:eastAsia="Arial" w:hAnsi="Arial"/>
          <w:sz w:val="18"/>
          <w:szCs w:val="18"/>
          <w:b w:val="1"/>
          <w:bCs w:val="1"/>
          <w:color w:val="auto"/>
        </w:rPr>
        <w:t>141 Needham Street</w:t>
      </w:r>
    </w:p>
    <w:p>
      <w:pPr>
        <w:spacing w:after="0" w:line="21"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Newton, MA 02464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 (Zip Code)</w:t>
      </w:r>
    </w:p>
    <w:p>
      <w:pPr>
        <w:sectPr>
          <w:pgSz w:w="11900" w:h="16838" w:orient="portrait"/>
          <w:cols w:equalWidth="0" w:num="1">
            <w:col w:w="11420"/>
          </w:cols>
          <w:pgMar w:left="240" w:top="230" w:right="239" w:bottom="1440" w:gutter="0" w:footer="0" w:header="0"/>
          <w:type w:val="continuous"/>
        </w:sectPr>
      </w:pP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670-6300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5980" w:type="dxa"/>
            <w:vAlign w:val="bottom"/>
            <w:gridSpan w:val="3"/>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gridSpan w:val="2"/>
          </w:tcPr>
          <w:p>
            <w:pPr>
              <w:ind w:left="1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598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280" w:type="dxa"/>
            <w:vAlign w:val="bottom"/>
            <w:gridSpan w:val="2"/>
          </w:tcPr>
          <w:p>
            <w:pPr>
              <w:ind w:left="1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6"/>
          </w:tcPr>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20"/>
        </w:trPr>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28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85"/>
              </w:rPr>
              <w:t>Outstanding Shares at</w:t>
            </w:r>
          </w:p>
        </w:tc>
        <w:tc>
          <w:tcPr>
            <w:tcW w:w="400" w:type="dxa"/>
            <w:vAlign w:val="bottom"/>
          </w:tcPr>
          <w:p>
            <w:pPr>
              <w:spacing w:after="0"/>
              <w:rPr>
                <w:sz w:val="24"/>
                <w:szCs w:val="24"/>
                <w:color w:val="auto"/>
              </w:rPr>
            </w:pPr>
          </w:p>
        </w:tc>
      </w:tr>
      <w:tr>
        <w:trPr>
          <w:trHeight w:val="181"/>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446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July 20, 2012</w:t>
            </w:r>
          </w:p>
        </w:tc>
        <w:tc>
          <w:tcPr>
            <w:tcW w:w="19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5"/>
        </w:trPr>
        <w:tc>
          <w:tcPr>
            <w:tcW w:w="7740" w:type="dxa"/>
            <w:vAlign w:val="bottom"/>
            <w:gridSpan w:val="4"/>
          </w:tcPr>
          <w:p>
            <w:pPr>
              <w:ind w:left="460"/>
              <w:spacing w:after="0" w:line="195" w:lineRule="exact"/>
              <w:rPr>
                <w:sz w:val="20"/>
                <w:szCs w:val="20"/>
                <w:color w:val="auto"/>
              </w:rPr>
            </w:pPr>
            <w:r>
              <w:rPr>
                <w:rFonts w:ascii="Arial" w:cs="Arial" w:eastAsia="Arial" w:hAnsi="Arial"/>
                <w:sz w:val="18"/>
                <w:szCs w:val="18"/>
                <w:color w:val="auto"/>
              </w:rPr>
              <w:t>Common Stock, $0.001 par value per share</w:t>
            </w:r>
          </w:p>
        </w:tc>
        <w:tc>
          <w:tcPr>
            <w:tcW w:w="3280" w:type="dxa"/>
            <w:vAlign w:val="bottom"/>
            <w:gridSpan w:val="2"/>
          </w:tcPr>
          <w:p>
            <w:pPr>
              <w:jc w:val="center"/>
              <w:ind w:right="1920"/>
              <w:spacing w:after="0" w:line="195" w:lineRule="exact"/>
              <w:rPr>
                <w:sz w:val="20"/>
                <w:szCs w:val="20"/>
                <w:color w:val="auto"/>
              </w:rPr>
            </w:pPr>
            <w:r>
              <w:rPr>
                <w:rFonts w:ascii="Arial" w:cs="Arial" w:eastAsia="Arial" w:hAnsi="Arial"/>
                <w:sz w:val="18"/>
                <w:szCs w:val="18"/>
                <w:color w:val="auto"/>
                <w:w w:val="85"/>
              </w:rPr>
              <w:t>129,532,102 shares</w:t>
            </w:r>
          </w:p>
        </w:tc>
        <w:tc>
          <w:tcPr>
            <w:tcW w:w="400" w:type="dxa"/>
            <w:vAlign w:val="bottom"/>
          </w:tcPr>
          <w:p>
            <w:pPr>
              <w:spacing w:after="0"/>
              <w:rPr>
                <w:sz w:val="16"/>
                <w:szCs w:val="16"/>
                <w:color w:val="auto"/>
              </w:rPr>
            </w:pPr>
          </w:p>
        </w:tc>
      </w:tr>
      <w:tr>
        <w:trPr>
          <w:trHeight w:val="222"/>
        </w:trPr>
        <w:tc>
          <w:tcPr>
            <w:tcW w:w="7740" w:type="dxa"/>
            <w:vAlign w:val="bottom"/>
            <w:gridSpan w:val="4"/>
          </w:tcPr>
          <w:p>
            <w:pPr>
              <w:ind w:left="460"/>
              <w:spacing w:after="0"/>
              <w:rPr>
                <w:sz w:val="20"/>
                <w:szCs w:val="20"/>
                <w:color w:val="auto"/>
              </w:rPr>
            </w:pPr>
            <w:r>
              <w:rPr>
                <w:rFonts w:ascii="Arial" w:cs="Arial" w:eastAsia="Arial" w:hAnsi="Arial"/>
                <w:sz w:val="18"/>
                <w:szCs w:val="18"/>
                <w:color w:val="auto"/>
              </w:rPr>
              <w:t>Class B common stock, $0.001 par value per share</w:t>
            </w:r>
          </w:p>
        </w:tc>
        <w:tc>
          <w:tcPr>
            <w:tcW w:w="3280" w:type="dxa"/>
            <w:vAlign w:val="bottom"/>
            <w:gridSpan w:val="2"/>
          </w:tcPr>
          <w:p>
            <w:pPr>
              <w:jc w:val="center"/>
              <w:ind w:right="1920"/>
              <w:spacing w:after="0"/>
              <w:rPr>
                <w:sz w:val="20"/>
                <w:szCs w:val="20"/>
                <w:color w:val="auto"/>
              </w:rPr>
            </w:pPr>
            <w:r>
              <w:rPr>
                <w:rFonts w:ascii="Arial" w:cs="Arial" w:eastAsia="Arial" w:hAnsi="Arial"/>
                <w:sz w:val="18"/>
                <w:szCs w:val="18"/>
                <w:color w:val="auto"/>
                <w:w w:val="85"/>
              </w:rPr>
              <w:t>12,799,999 shares</w:t>
            </w:r>
          </w:p>
        </w:tc>
        <w:tc>
          <w:tcPr>
            <w:tcW w:w="400" w:type="dxa"/>
            <w:vAlign w:val="bottom"/>
          </w:tcPr>
          <w:p>
            <w:pPr>
              <w:spacing w:after="0"/>
              <w:rPr>
                <w:sz w:val="19"/>
                <w:szCs w:val="19"/>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2012</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1040" w:type="dxa"/>
            <w:vAlign w:val="bottom"/>
            <w:gridSpan w:val="1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1040" w:type="dxa"/>
            <w:vAlign w:val="bottom"/>
            <w:gridSpan w:val="16"/>
          </w:tcPr>
          <w:p>
            <w:pPr>
              <w:spacing w:after="0"/>
              <w:rPr>
                <w:sz w:val="20"/>
                <w:szCs w:val="20"/>
                <w:color w:val="auto"/>
              </w:rPr>
            </w:pPr>
            <w:r>
              <w:rPr>
                <w:rFonts w:ascii="Arial" w:cs="Arial" w:eastAsia="Arial" w:hAnsi="Arial"/>
                <w:sz w:val="18"/>
                <w:szCs w:val="18"/>
                <w:color w:val="auto"/>
              </w:rPr>
              <w:t>Item 1. Unaudited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90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and Combined Statements of Operations (Unaudited) for the Three and Six Months Ended June 30, 2012 and 2011</w:t>
              </w:r>
            </w:hyperlink>
          </w:p>
        </w:tc>
        <w:tc>
          <w:tcPr>
            <w:tcW w:w="15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and Combined Statements (Unaudited) of Comprehensive Income for the Three and Six Months Ended June 30, 2012 and 2011</w:t>
              </w:r>
            </w:hyperlink>
          </w:p>
        </w:tc>
        <w:tc>
          <w:tcPr>
            <w:tcW w:w="6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84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Balance Sheets (Unaudited) at June 30, 2012 and December 31, 2011</w:t>
              </w:r>
            </w:hyperlink>
          </w:p>
        </w:tc>
        <w:tc>
          <w:tcPr>
            <w:tcW w:w="47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 of Changes in Stockholders’ Equity (Unaudited) for the Six Months Ended June 30, 2012</w:t>
              </w:r>
            </w:hyperlink>
          </w:p>
        </w:tc>
        <w:tc>
          <w:tcPr>
            <w:tcW w:w="26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3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and Combined Statements of Cash Flows (Unaudited) for the Six Months Ended June 30, 2012 and 2011</w:t>
              </w:r>
            </w:hyperlink>
          </w:p>
        </w:tc>
        <w:tc>
          <w:tcPr>
            <w:tcW w:w="22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and Combined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3. 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42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Item 4. Controls and Procedures</w:t>
              </w:r>
            </w:hyperlink>
          </w:p>
        </w:tc>
        <w:tc>
          <w:tcPr>
            <w:tcW w:w="87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43"/>
        </w:trPr>
        <w:tc>
          <w:tcPr>
            <w:tcW w:w="11040" w:type="dxa"/>
            <w:vAlign w:val="bottom"/>
            <w:gridSpan w:val="16"/>
          </w:tcPr>
          <w:p>
            <w:pPr>
              <w:spacing w:after="0"/>
              <w:rPr>
                <w:sz w:val="20"/>
                <w:szCs w:val="20"/>
                <w:color w:val="auto"/>
              </w:rPr>
            </w:pPr>
            <w:r>
              <w:rPr>
                <w:rFonts w:ascii="Arial" w:cs="Arial" w:eastAsia="Arial" w:hAnsi="Arial"/>
                <w:sz w:val="18"/>
                <w:szCs w:val="18"/>
                <w:b w:val="1"/>
                <w:bCs w:val="1"/>
                <w:color w:val="auto"/>
              </w:rPr>
              <w:t>Part II—Other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8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Item 1. Legal Proceedings</w:t>
              </w:r>
            </w:hyperlink>
          </w:p>
        </w:tc>
        <w:tc>
          <w:tcPr>
            <w:tcW w:w="918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1A. Risk Factors</w:t>
              </w:r>
            </w:hyperlink>
          </w:p>
        </w:tc>
        <w:tc>
          <w:tcPr>
            <w:tcW w:w="948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Item 2. Unregistered Sales of Equity Securities and Use of Proceeds</w:t>
              </w:r>
            </w:hyperlink>
          </w:p>
        </w:tc>
        <w:tc>
          <w:tcPr>
            <w:tcW w:w="62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4. Mine Safety Disclosures</w:t>
              </w:r>
            </w:hyperlink>
          </w:p>
        </w:tc>
        <w:tc>
          <w:tcPr>
            <w:tcW w:w="87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6. Exhibits</w:t>
              </w:r>
            </w:hyperlink>
          </w:p>
        </w:tc>
        <w:tc>
          <w:tcPr>
            <w:tcW w:w="99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2"/>
          </w:tcPr>
          <w:p>
            <w:pPr>
              <w:spacing w:after="0"/>
              <w:rPr>
                <w:rFonts w:ascii="Arial" w:cs="Arial" w:eastAsia="Arial" w:hAnsi="Arial"/>
                <w:sz w:val="18"/>
                <w:szCs w:val="18"/>
                <w:b w:val="1"/>
                <w:bCs w:val="1"/>
                <w:color w:val="0000EE"/>
                <w:w w:val="86"/>
              </w:rPr>
            </w:pPr>
            <w:hyperlink w:anchor="page37">
              <w:r>
                <w:rPr>
                  <w:rFonts w:ascii="Arial" w:cs="Arial" w:eastAsia="Arial" w:hAnsi="Arial"/>
                  <w:sz w:val="18"/>
                  <w:szCs w:val="18"/>
                  <w:b w:val="1"/>
                  <w:bCs w:val="1"/>
                  <w:color w:val="0000EE"/>
                  <w:w w:val="86"/>
                </w:rPr>
                <w:t>Signature</w:t>
              </w:r>
            </w:hyperlink>
          </w:p>
        </w:tc>
        <w:tc>
          <w:tcPr>
            <w:tcW w:w="1030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83"/>
        </w:trPr>
        <w:tc>
          <w:tcPr>
            <w:tcW w:w="6280" w:type="dxa"/>
            <w:vAlign w:val="bottom"/>
            <w:gridSpan w:val="10"/>
          </w:tcPr>
          <w:p>
            <w:pPr>
              <w:ind w:left="568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AND 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00"/>
              <w:spacing w:after="0"/>
              <w:rPr>
                <w:sz w:val="20"/>
                <w:szCs w:val="20"/>
                <w:color w:val="auto"/>
              </w:rPr>
            </w:pPr>
            <w:r>
              <w:rPr>
                <w:rFonts w:ascii="Arial" w:cs="Arial" w:eastAsia="Arial" w:hAnsi="Arial"/>
                <w:sz w:val="14"/>
                <w:szCs w:val="14"/>
                <w:color w:val="auto"/>
                <w:w w:val="99"/>
              </w:rPr>
              <w:t>Three months ended</w:t>
            </w:r>
          </w:p>
        </w:tc>
        <w:tc>
          <w:tcPr>
            <w:tcW w:w="80" w:type="dxa"/>
            <w:vAlign w:val="bottom"/>
          </w:tcPr>
          <w:p>
            <w:pPr>
              <w:spacing w:after="0"/>
              <w:rPr>
                <w:sz w:val="14"/>
                <w:szCs w:val="14"/>
                <w:color w:val="auto"/>
              </w:rPr>
            </w:pPr>
          </w:p>
        </w:tc>
        <w:tc>
          <w:tcPr>
            <w:tcW w:w="1680" w:type="dxa"/>
            <w:vAlign w:val="bottom"/>
            <w:gridSpan w:val="5"/>
          </w:tcPr>
          <w:p>
            <w:pPr>
              <w:jc w:val="right"/>
              <w:ind w:right="4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spacing w:after="0" w:line="159" w:lineRule="exact"/>
              <w:rPr>
                <w:sz w:val="20"/>
                <w:szCs w:val="20"/>
                <w:color w:val="auto"/>
              </w:rPr>
            </w:pPr>
            <w:r>
              <w:rPr>
                <w:rFonts w:ascii="Arial" w:cs="Arial" w:eastAsia="Arial" w:hAnsi="Arial"/>
                <w:sz w:val="14"/>
                <w:szCs w:val="14"/>
                <w:color w:val="auto"/>
              </w:rPr>
              <w:t>June 30,</w:t>
            </w:r>
          </w:p>
        </w:tc>
        <w:tc>
          <w:tcPr>
            <w:tcW w:w="5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June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2011</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2012</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141,408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110,043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273,535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Related-party revenue from Expedia</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55,740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59,199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107,328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197,148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169,242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380,863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318,464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Selling and marketing(2)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64,243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52,685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131,632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content(2)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13,379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General and administrative(2)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7,944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34,506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Related-party shared services fee to Expedia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4,715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4,514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8,996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Spin-off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113,470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85,423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223,808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83,678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83,819</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157,055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Other interest (expense) income, net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(5,337)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(3,843)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 income,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(6,944)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(9,180)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84,493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147,875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(23,569)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(30,383)</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(46,539)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(57,389)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54,110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101,336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TripAdvisor,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101,130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 attributable to TripAdvisor, Inc.: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139,278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133,461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136,516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141,737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133,461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138,947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(1) Excludes amortization as follows: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technology included in amortization of intangibles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3,029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 Includes stock-based compensation as follows: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Technology and content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AND COMBINED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4"/>
                <w:szCs w:val="14"/>
                <w:color w:val="auto"/>
              </w:rPr>
            </w:pPr>
          </w:p>
        </w:tc>
        <w:tc>
          <w:tcPr>
            <w:tcW w:w="1680" w:type="dxa"/>
            <w:vAlign w:val="bottom"/>
            <w:gridSpan w:val="5"/>
          </w:tcPr>
          <w:p>
            <w:pPr>
              <w:ind w:left="5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7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5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$53,165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$54,110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$101,336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$101,481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1"/>
        </w:trPr>
        <w:tc>
          <w:tcPr>
            <w:tcW w:w="7820" w:type="dxa"/>
            <w:vAlign w:val="bottom"/>
          </w:tcPr>
          <w:p>
            <w:pPr>
              <w:spacing w:after="0"/>
              <w:rPr>
                <w:sz w:val="20"/>
                <w:szCs w:val="20"/>
                <w:color w:val="auto"/>
              </w:rPr>
            </w:pPr>
            <w:r>
              <w:rPr>
                <w:rFonts w:ascii="Arial" w:cs="Arial" w:eastAsia="Arial" w:hAnsi="Arial"/>
                <w:sz w:val="18"/>
                <w:szCs w:val="18"/>
                <w:color w:val="auto"/>
              </w:rPr>
              <w:t>Comprehensive income</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Comprehensive income attributable to TripAdvisor, Inc.</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51,823</w:t>
            </w:r>
          </w:p>
        </w:tc>
        <w:tc>
          <w:tcPr>
            <w:tcW w:w="2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53,937</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101,361</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102,000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478,241</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183,532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w w:val="96"/>
              </w:rPr>
              <w:t>Accounts receivable, net of allowance of $3,298 and $5,370 at June 30, 2012 and December 31, 2011, respectively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96,873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 from Expedia,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630,421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278,322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466,892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Total long-term assets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556,832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557,564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1,187,253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835,886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28,405</w:t>
            </w:r>
          </w:p>
        </w:tc>
        <w:tc>
          <w:tcPr>
            <w:tcW w:w="26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Credit facility borrowings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current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169,844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Borrowings, net of current portion</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411,956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560,285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542,349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$0.001 par value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Authorized shares: 100,000,000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issued and outstanding: 0 and 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Common Stock $0.001 par value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Authorized shares: 1,600,000,000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Shares issued and outstanding: 129,511,937 and 120,661,808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 $0.001 par value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Authorized shares 400,000,000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issued and outstanding: 12,799,999 and 12,799,999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525,806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293,744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(2,479)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626,968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293,537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1,187,253</w:t>
            </w:r>
          </w:p>
        </w:tc>
        <w:tc>
          <w:tcPr>
            <w:tcW w:w="26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835,886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CONSOLIDATED STATEMENTS OF CHANGES IN STOCKHOLDERS’ EQUITY</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SIX MONTHS ENDED JUNE 30,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0</wp:posOffset>
            </wp:positionV>
            <wp:extent cx="1080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2011</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120,661,808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Net income attributable to TripAdvisor, Inc.</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Tax benefits on equity awards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3"/>
              </w:rPr>
              <w:t>Issuance of common stock related to exercise of</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20"/>
              <w:spacing w:after="0"/>
              <w:rPr>
                <w:sz w:val="20"/>
                <w:szCs w:val="20"/>
                <w:color w:val="auto"/>
              </w:rPr>
            </w:pPr>
            <w:r>
              <w:rPr>
                <w:rFonts w:ascii="Arial" w:cs="Arial" w:eastAsia="Arial" w:hAnsi="Arial"/>
                <w:sz w:val="18"/>
                <w:szCs w:val="18"/>
                <w:color w:val="auto"/>
              </w:rPr>
              <w:t>options and warrants and vesting of RSUs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8,850,129</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Minimum withholding tax on vesting of RSUs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0" w:right="2300" w:hanging="215"/>
        <w:spacing w:after="0" w:line="250" w:lineRule="auto"/>
        <w:rPr>
          <w:sz w:val="20"/>
          <w:szCs w:val="20"/>
          <w:color w:val="auto"/>
        </w:rPr>
      </w:pPr>
      <w:r>
        <w:rPr>
          <w:rFonts w:ascii="Arial" w:cs="Arial" w:eastAsia="Arial" w:hAnsi="Arial"/>
          <w:sz w:val="18"/>
          <w:szCs w:val="18"/>
          <w:color w:val="auto"/>
        </w:rPr>
        <w:t>Adjustment to the fair value of redeemable noncontrolling interest</w:t>
      </w:r>
    </w:p>
    <w:p>
      <w:pPr>
        <w:spacing w:after="0" w:line="1" w:lineRule="exact"/>
        <w:rPr>
          <w:sz w:val="20"/>
          <w:szCs w:val="20"/>
          <w:color w:val="auto"/>
        </w:rPr>
      </w:pPr>
    </w:p>
    <w:p>
      <w:pPr>
        <w:ind w:left="220" w:right="1920" w:hanging="215"/>
        <w:spacing w:after="0" w:line="250" w:lineRule="auto"/>
        <w:rPr>
          <w:sz w:val="20"/>
          <w:szCs w:val="20"/>
          <w:color w:val="auto"/>
        </w:rPr>
      </w:pPr>
      <w:r>
        <w:rPr>
          <w:rFonts w:ascii="Arial" w:cs="Arial" w:eastAsia="Arial" w:hAnsi="Arial"/>
          <w:sz w:val="18"/>
          <w:szCs w:val="18"/>
          <w:color w:val="auto"/>
        </w:rPr>
        <w:t>Reclassification of non-employee equity awards to liability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jc w:val="center"/>
              <w:ind w:left="427"/>
              <w:spacing w:after="0"/>
              <w:rPr>
                <w:sz w:val="20"/>
                <w:szCs w:val="20"/>
                <w:color w:val="auto"/>
              </w:rPr>
            </w:pPr>
            <w:r>
              <w:rPr>
                <w:rFonts w:ascii="Arial" w:cs="Arial" w:eastAsia="Arial" w:hAnsi="Arial"/>
                <w:sz w:val="14"/>
                <w:szCs w:val="14"/>
                <w:b w:val="1"/>
                <w:bCs w:val="1"/>
                <w:color w:val="auto"/>
                <w:w w:val="85"/>
              </w:rPr>
              <w:t>Class B</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Additional</w:t>
            </w:r>
          </w:p>
        </w:tc>
        <w:tc>
          <w:tcPr>
            <w:tcW w:w="0" w:type="dxa"/>
            <w:vAlign w:val="bottom"/>
          </w:tcPr>
          <w:p>
            <w:pPr>
              <w:spacing w:after="0"/>
              <w:rPr>
                <w:sz w:val="1"/>
                <w:szCs w:val="1"/>
                <w:color w:val="auto"/>
              </w:rPr>
            </w:pPr>
          </w:p>
        </w:tc>
      </w:tr>
      <w:tr>
        <w:trPr>
          <w:trHeight w:val="68"/>
        </w:trPr>
        <w:tc>
          <w:tcPr>
            <w:tcW w:w="17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4"/>
              </w:rPr>
              <w:t>common stock</w:t>
            </w: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78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paid-in</w:t>
            </w:r>
          </w:p>
        </w:tc>
        <w:tc>
          <w:tcPr>
            <w:tcW w:w="0" w:type="dxa"/>
            <w:vAlign w:val="bottom"/>
          </w:tcPr>
          <w:p>
            <w:pPr>
              <w:spacing w:after="0"/>
              <w:rPr>
                <w:sz w:val="1"/>
                <w:szCs w:val="1"/>
                <w:color w:val="auto"/>
              </w:rPr>
            </w:pPr>
          </w:p>
        </w:tc>
      </w:tr>
      <w:tr>
        <w:trPr>
          <w:trHeight w:val="35"/>
        </w:trPr>
        <w:tc>
          <w:tcPr>
            <w:tcW w:w="86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capital</w:t>
            </w:r>
          </w:p>
        </w:tc>
        <w:tc>
          <w:tcPr>
            <w:tcW w:w="0" w:type="dxa"/>
            <w:vAlign w:val="bottom"/>
          </w:tcPr>
          <w:p>
            <w:pPr>
              <w:spacing w:after="0"/>
              <w:rPr>
                <w:sz w:val="1"/>
                <w:szCs w:val="1"/>
                <w:color w:val="auto"/>
              </w:rPr>
            </w:pPr>
          </w:p>
        </w:tc>
      </w:tr>
      <w:tr>
        <w:trPr>
          <w:trHeight w:val="210"/>
        </w:trPr>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12,799,999</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293,744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146050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-153670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2,172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25400</wp:posOffset>
            </wp:positionV>
            <wp:extent cx="72466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2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225,761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6985</wp:posOffset>
            </wp:positionV>
            <wp:extent cx="72466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(1,174)</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-129540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Accumulated</w:t>
      </w:r>
    </w:p>
    <w:p>
      <w:pPr>
        <w:jc w:val="center"/>
        <w:ind w:right="60"/>
        <w:spacing w:after="0" w:line="223" w:lineRule="auto"/>
        <w:rPr>
          <w:sz w:val="20"/>
          <w:szCs w:val="20"/>
          <w:color w:val="auto"/>
        </w:rPr>
      </w:pPr>
      <w:r>
        <w:rPr>
          <w:rFonts w:ascii="Arial" w:cs="Arial" w:eastAsia="Arial" w:hAnsi="Arial"/>
          <w:sz w:val="14"/>
          <w:szCs w:val="14"/>
          <w:b w:val="1"/>
          <w:bCs w:val="1"/>
          <w:color w:val="auto"/>
        </w:rPr>
        <w:t>other</w:t>
      </w:r>
    </w:p>
    <w:p>
      <w:pPr>
        <w:ind w:left="80"/>
        <w:spacing w:after="0" w:line="222" w:lineRule="auto"/>
        <w:tabs>
          <w:tab w:leader="none" w:pos="960" w:val="left"/>
        </w:tabs>
        <w:rPr>
          <w:sz w:val="20"/>
          <w:szCs w:val="20"/>
          <w:color w:val="auto"/>
        </w:rPr>
      </w:pPr>
      <w:r>
        <w:rPr>
          <w:rFonts w:ascii="Arial" w:cs="Arial" w:eastAsia="Arial" w:hAnsi="Arial"/>
          <w:sz w:val="14"/>
          <w:szCs w:val="14"/>
          <w:b w:val="1"/>
          <w:bCs w:val="1"/>
          <w:color w:val="auto"/>
        </w:rPr>
        <w:t>Retained</w:t>
      </w:r>
      <w:r>
        <w:rPr>
          <w:sz w:val="20"/>
          <w:szCs w:val="20"/>
          <w:color w:val="auto"/>
        </w:rPr>
        <w:tab/>
      </w:r>
      <w:r>
        <w:rPr>
          <w:rFonts w:ascii="Arial" w:cs="Arial" w:eastAsia="Arial" w:hAnsi="Arial"/>
          <w:sz w:val="14"/>
          <w:szCs w:val="14"/>
          <w:b w:val="1"/>
          <w:bCs w:val="1"/>
          <w:color w:val="auto"/>
        </w:rPr>
        <w:t>comprehensive</w:t>
      </w:r>
    </w:p>
    <w:p>
      <w:pPr>
        <w:ind w:left="100"/>
        <w:spacing w:after="0"/>
        <w:tabs>
          <w:tab w:leader="none" w:pos="1020" w:val="left"/>
          <w:tab w:leader="none" w:pos="2300" w:val="left"/>
        </w:tabs>
        <w:rPr>
          <w:sz w:val="20"/>
          <w:szCs w:val="20"/>
          <w:color w:val="auto"/>
        </w:rPr>
      </w:pPr>
      <w:r>
        <w:rPr>
          <w:rFonts w:ascii="Arial" w:cs="Arial" w:eastAsia="Arial" w:hAnsi="Arial"/>
          <w:sz w:val="14"/>
          <w:szCs w:val="14"/>
          <w:b w:val="1"/>
          <w:bCs w:val="1"/>
          <w:color w:val="auto"/>
        </w:rPr>
        <w:t>earnings</w:t>
      </w:r>
      <w:r>
        <w:rPr>
          <w:sz w:val="20"/>
          <w:szCs w:val="20"/>
          <w:color w:val="auto"/>
        </w:rPr>
        <w:tab/>
      </w:r>
      <w:r>
        <w:rPr>
          <w:rFonts w:ascii="Arial" w:cs="Arial" w:eastAsia="Arial" w:hAnsi="Arial"/>
          <w:sz w:val="14"/>
          <w:szCs w:val="14"/>
          <w:b w:val="1"/>
          <w:bCs w:val="1"/>
          <w:color w:val="auto"/>
        </w:rPr>
        <w:t>(loss) income</w:t>
      </w:r>
      <w:r>
        <w:rPr>
          <w:sz w:val="20"/>
          <w:szCs w:val="20"/>
          <w:color w:val="auto"/>
        </w:rPr>
        <w:tab/>
      </w:r>
      <w:r>
        <w:rPr>
          <w:rFonts w:ascii="Arial" w:cs="Arial" w:eastAsia="Arial" w:hAnsi="Arial"/>
          <w:sz w:val="12"/>
          <w:szCs w:val="12"/>
          <w:b w:val="1"/>
          <w:bCs w:val="1"/>
          <w:color w:val="auto"/>
        </w:rPr>
        <w:t>Total</w:t>
      </w:r>
    </w:p>
    <w:p>
      <w:pPr>
        <w:ind w:left="280" w:hanging="277"/>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2,369   $    (2,710)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293,537</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101,130</w:t>
            </w:r>
          </w:p>
        </w:tc>
        <w:tc>
          <w:tcPr>
            <w:tcW w:w="3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101,130</w:t>
            </w:r>
          </w:p>
        </w:tc>
        <w:tc>
          <w:tcPr>
            <w:tcW w:w="60" w:type="dxa"/>
            <w:vAlign w:val="bottom"/>
          </w:tcPr>
          <w:p>
            <w:pPr>
              <w:spacing w:after="0"/>
              <w:rPr>
                <w:sz w:val="18"/>
                <w:szCs w:val="18"/>
                <w:color w:val="auto"/>
              </w:rPr>
            </w:pPr>
          </w:p>
        </w:tc>
      </w:tr>
      <w:tr>
        <w:trPr>
          <w:trHeight w:val="216"/>
        </w:trPr>
        <w:tc>
          <w:tcPr>
            <w:tcW w:w="2140" w:type="dxa"/>
            <w:vAlign w:val="bottom"/>
            <w:gridSpan w:val="4"/>
          </w:tcPr>
          <w:p>
            <w:pPr>
              <w:jc w:val="right"/>
              <w:ind w:right="300"/>
              <w:spacing w:after="0"/>
              <w:rPr>
                <w:sz w:val="20"/>
                <w:szCs w:val="20"/>
                <w:color w:val="auto"/>
              </w:rPr>
            </w:pPr>
            <w:r>
              <w:rPr>
                <w:rFonts w:ascii="Arial" w:cs="Arial" w:eastAsia="Arial" w:hAnsi="Arial"/>
                <w:sz w:val="18"/>
                <w:szCs w:val="18"/>
                <w:color w:val="auto"/>
              </w:rPr>
              <w:t>231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r>
      <w:tr>
        <w:trPr>
          <w:trHeight w:val="222"/>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2,172</w:t>
            </w:r>
          </w:p>
        </w:tc>
      </w:tr>
      <w:tr>
        <w:trPr>
          <w:trHeight w:val="426"/>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225,769</w:t>
            </w:r>
          </w:p>
        </w:tc>
      </w:tr>
      <w:tr>
        <w:trPr>
          <w:trHeight w:val="222"/>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(3,035)</w:t>
            </w:r>
          </w:p>
        </w:tc>
      </w:tr>
      <w:tr>
        <w:trPr>
          <w:trHeight w:val="432"/>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(758)</w:t>
            </w:r>
          </w:p>
        </w:tc>
      </w:tr>
      <w:tr>
        <w:trPr>
          <w:trHeight w:val="426"/>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(1,174)</w:t>
            </w: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9,153</w:t>
            </w:r>
          </w:p>
        </w:tc>
      </w:tr>
      <w:tr>
        <w:trPr>
          <w:trHeight w:val="222"/>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p>
    <w:p>
      <w:pPr>
        <w:sectPr>
          <w:pgSz w:w="11900" w:h="16838" w:orient="portrait"/>
          <w:cols w:equalWidth="0" w:num="3">
            <w:col w:w="5320" w:space="280"/>
            <w:col w:w="2660" w:space="240"/>
            <w:col w:w="2880"/>
          </w:cols>
          <w:pgMar w:left="240" w:top="459" w:right="27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05"/>
        </w:trPr>
        <w:tc>
          <w:tcPr>
            <w:tcW w:w="3620" w:type="dxa"/>
            <w:vAlign w:val="bottom"/>
          </w:tcPr>
          <w:p>
            <w:pPr>
              <w:spacing w:after="0" w:line="205" w:lineRule="exact"/>
              <w:rPr>
                <w:sz w:val="20"/>
                <w:szCs w:val="20"/>
                <w:color w:val="auto"/>
              </w:rPr>
            </w:pPr>
            <w:r>
              <w:rPr>
                <w:rFonts w:ascii="Arial" w:cs="Arial" w:eastAsia="Arial" w:hAnsi="Arial"/>
                <w:sz w:val="18"/>
                <w:szCs w:val="18"/>
                <w:b w:val="1"/>
                <w:bCs w:val="1"/>
                <w:color w:val="auto"/>
              </w:rPr>
              <w:t>Balance as of June 30, 2012</w:t>
            </w:r>
          </w:p>
        </w:tc>
        <w:tc>
          <w:tcPr>
            <w:tcW w:w="920" w:type="dxa"/>
            <w:vAlign w:val="bottom"/>
          </w:tcPr>
          <w:p>
            <w:pPr>
              <w:jc w:val="right"/>
              <w:spacing w:after="0" w:line="205" w:lineRule="exact"/>
              <w:rPr>
                <w:sz w:val="20"/>
                <w:szCs w:val="20"/>
                <w:color w:val="auto"/>
              </w:rPr>
            </w:pPr>
            <w:r>
              <w:rPr>
                <w:rFonts w:ascii="Arial" w:cs="Arial" w:eastAsia="Arial" w:hAnsi="Arial"/>
                <w:sz w:val="18"/>
                <w:szCs w:val="18"/>
                <w:b w:val="1"/>
                <w:bCs w:val="1"/>
                <w:color w:val="auto"/>
                <w:w w:val="89"/>
              </w:rPr>
              <w:t>129,511,937</w:t>
            </w:r>
          </w:p>
        </w:tc>
        <w:tc>
          <w:tcPr>
            <w:tcW w:w="28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w w:val="95"/>
              </w:rPr>
              <w:t>$  129</w:t>
            </w:r>
          </w:p>
        </w:tc>
        <w:tc>
          <w:tcPr>
            <w:tcW w:w="28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w w:val="93"/>
              </w:rPr>
              <w:t>12,799,999</w:t>
            </w:r>
          </w:p>
        </w:tc>
        <w:tc>
          <w:tcPr>
            <w:tcW w:w="28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   13</w:t>
            </w:r>
          </w:p>
        </w:tc>
        <w:tc>
          <w:tcPr>
            <w:tcW w:w="140" w:type="dxa"/>
            <w:vAlign w:val="bottom"/>
          </w:tcPr>
          <w:p>
            <w:pPr>
              <w:spacing w:after="0"/>
              <w:rPr>
                <w:sz w:val="17"/>
                <w:szCs w:val="17"/>
                <w:color w:val="auto"/>
              </w:rPr>
            </w:pPr>
          </w:p>
        </w:tc>
        <w:tc>
          <w:tcPr>
            <w:tcW w:w="820" w:type="dxa"/>
            <w:vAlign w:val="bottom"/>
            <w:gridSpan w:val="2"/>
          </w:tcPr>
          <w:p>
            <w:pPr>
              <w:jc w:val="right"/>
              <w:spacing w:after="0" w:line="205"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525,806</w:t>
            </w:r>
          </w:p>
        </w:tc>
      </w:tr>
      <w:tr>
        <w:trPr>
          <w:trHeight w:val="20"/>
        </w:trPr>
        <w:tc>
          <w:tcPr>
            <w:tcW w:w="3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103,499</w:t>
            </w:r>
          </w:p>
        </w:tc>
        <w:tc>
          <w:tcPr>
            <w:tcW w:w="540" w:type="dxa"/>
            <w:vAlign w:val="bottom"/>
            <w:gridSpan w:val="2"/>
          </w:tcPr>
          <w:p>
            <w:pPr>
              <w:jc w:val="right"/>
              <w:ind w:right="160"/>
              <w:spacing w:after="0" w:line="205" w:lineRule="exact"/>
              <w:rPr>
                <w:sz w:val="20"/>
                <w:szCs w:val="20"/>
                <w:color w:val="auto"/>
              </w:rPr>
            </w:pPr>
            <w:r>
              <w:rPr>
                <w:rFonts w:ascii="Arial" w:cs="Arial" w:eastAsia="Arial" w:hAnsi="Arial"/>
                <w:sz w:val="18"/>
                <w:szCs w:val="18"/>
                <w:b w:val="1"/>
                <w:bCs w:val="1"/>
                <w:color w:val="auto"/>
              </w:rPr>
              <w:t>$</w:t>
            </w:r>
          </w:p>
        </w:tc>
        <w:tc>
          <w:tcPr>
            <w:tcW w:w="1600" w:type="dxa"/>
            <w:vAlign w:val="bottom"/>
            <w:gridSpan w:val="3"/>
          </w:tcPr>
          <w:p>
            <w:pPr>
              <w:jc w:val="right"/>
              <w:spacing w:after="0" w:line="205" w:lineRule="exact"/>
              <w:rPr>
                <w:sz w:val="20"/>
                <w:szCs w:val="20"/>
                <w:color w:val="auto"/>
              </w:rPr>
            </w:pPr>
            <w:r>
              <w:rPr>
                <w:rFonts w:ascii="Arial" w:cs="Arial" w:eastAsia="Arial" w:hAnsi="Arial"/>
                <w:sz w:val="18"/>
                <w:szCs w:val="18"/>
                <w:b w:val="1"/>
                <w:bCs w:val="1"/>
                <w:color w:val="auto"/>
              </w:rPr>
              <w:t xml:space="preserve">(2,479)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626,968</w:t>
            </w: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8200" w:space="300"/>
            <w:col w:w="2880"/>
          </w:cols>
          <w:pgMar w:left="240" w:top="459" w:right="27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The accompanying notes are an integral part of these consolidated and combined financial statements.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AND 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8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$101,336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101,481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Depreciation of property and equipment, including internal-use software and website development</w:t>
            </w:r>
          </w:p>
        </w:tc>
        <w:tc>
          <w:tcPr>
            <w:tcW w:w="680" w:type="dxa"/>
            <w:vAlign w:val="bottom"/>
          </w:tcPr>
          <w:p>
            <w:pPr>
              <w:jc w:val="right"/>
              <w:spacing w:after="0"/>
              <w:rPr>
                <w:sz w:val="20"/>
                <w:szCs w:val="20"/>
                <w:color w:val="auto"/>
              </w:rPr>
            </w:pPr>
            <w:r>
              <w:rPr>
                <w:rFonts w:ascii="Arial" w:cs="Arial" w:eastAsia="Arial" w:hAnsi="Arial"/>
                <w:sz w:val="18"/>
                <w:szCs w:val="18"/>
                <w:color w:val="auto"/>
              </w:rPr>
              <w:t>8,996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3,599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Deferred tax benefit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 loss on cash and cash equivalents, net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509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(27,455)</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Related parties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(34,356)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Taxes payable</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net of cash acquired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(13,249)</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proceeds from Expedia related to Spin-Off</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Transfers to Expedia, net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(90,125)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(105,442)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funded by Expedia</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Proceeds from credit facilities</w:t>
            </w:r>
          </w:p>
        </w:tc>
        <w:tc>
          <w:tcPr>
            <w:tcW w:w="680" w:type="dxa"/>
            <w:vAlign w:val="bottom"/>
          </w:tcPr>
          <w:p>
            <w:pPr>
              <w:jc w:val="right"/>
              <w:spacing w:after="0"/>
              <w:rPr>
                <w:sz w:val="20"/>
                <w:szCs w:val="20"/>
                <w:color w:val="auto"/>
              </w:rPr>
            </w:pPr>
            <w:r>
              <w:rPr>
                <w:rFonts w:ascii="Arial" w:cs="Arial" w:eastAsia="Arial" w:hAnsi="Arial"/>
                <w:sz w:val="18"/>
                <w:szCs w:val="18"/>
                <w:color w:val="auto"/>
              </w:rPr>
              <w:t>7,627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credit facilities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 and warrants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Payment of minimum withholding taxes on RSU vesting</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680" w:type="dxa"/>
            <w:vAlign w:val="bottom"/>
          </w:tcPr>
          <w:p>
            <w:pPr>
              <w:jc w:val="right"/>
              <w:spacing w:after="0"/>
              <w:rPr>
                <w:sz w:val="20"/>
                <w:szCs w:val="20"/>
                <w:color w:val="auto"/>
              </w:rPr>
            </w:pPr>
            <w:r>
              <w:rPr>
                <w:rFonts w:ascii="Arial" w:cs="Arial" w:eastAsia="Arial" w:hAnsi="Arial"/>
                <w:sz w:val="18"/>
                <w:szCs w:val="18"/>
                <w:color w:val="auto"/>
              </w:rPr>
              <w:t>212,372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294,709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183,532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478,241</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111,724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CONSOLIDATED AND COMBINED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refer to TripAdvisor, Inc. and our wholly-owned subsidiaries as “TripAdvisor,” “us,” “we” and “our” in these notes to the consolidated and combined financial statements.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TripAdvisor is an online travel company, empowering users to plan and have the perfect trip. TripAdvisor’s travel research platform aggregates reviews and opinions of members about destinations, accommodations (hotels, bed and breakfasts, specialty lodging and vacation rentals), restaurants and activities throughout the world through our flagship TripAdvisor brand. TripAdvisor-branded websites include tripadvisor.com in the United States and localized versions of the website in 29 other countries, including in China under the brand daodao.com. Beyond travel-related content, TripAdvisor websites also include links to the websites of our travel advertisers allowing travelers to directly book their travel arrangements. In addition to the flagship TripAdvisor brand, we manage and operate websites under 19 other travel brands, connected by the common goal of providing comprehensive travel planning resources across the travel sector. We derive substantially all of our revenue from advertising, primarily through click-based advertising and display-based advertising sales. In addition, we earn revenue through a combination of subscription-based offerings, transaction revenue from our flash sale website, SniqueAway, and from our recently-launched hotel booking site, Tingo, and other revenue including content licensing.</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 from Expedia</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On April 7, 2011, Expedia, Inc. (“Expedia”) announced its plan to separate into two independent public companies in order to better achieve certain strategic objectives of its various businesses. We refer to this transaction as the “Spin-Off.”</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20, 2011, following the close of trading on the NASDAQ Global Select Market (“NASDAQ”), the Spin-Off was completed, and TripAdvisor began trading as independent public company on December 21, 2011. Expedia effected the Spin-Off by means of a reclassification of its capital stock that resulted in the holders of Expedia capital stock immediately prior to the time of effectiveness of the reclassification having the right to receive a proportionate amount of TripAdvisor capital stock. A one-for-two reverse stock split of outstanding Expedia capital stock occurred immediately prior to the Spin-Off, with cash paid in lieu of fractional shares.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Spin-Off, Expedia contributed or transferred all of the subsidiaries and assets relating to Expedia’s TripAdvisor Media Group, which were comprised of the TripAdvisor Holdings, LLC combined financial statements, to TripAdvisor and TripAdvisor or one of its subsidiaries assumed all of the liabilities relating to Expedia’s TripAdvisor Media Group. TripAdvisor now trades on the NASDAQ under the symbol “TRIP”.</w:t>
      </w:r>
    </w:p>
    <w:p>
      <w:pPr>
        <w:spacing w:after="0" w:line="10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December 20, 2011, TripAdvisor Holdings, LLC, distributed approximately $406 million in cash to Expedia in the form of a dividend, prior to completion of the Spin-Off. This distribution was funded through borrowings under a new credit agreement, dated as of December 20, 2011, among TripAdvisor, TripAdvisor Holdings, LLC, TripAdvisor LLC, the lenders party thereto, JPMorgan Chase Bank, N.A., as administrative agent, and J.P. Morgan Europe Limited, as London agent. Such credit agreement together with all exhibits, schedules, annexes, certificates, assignments and related documents contemplated thereby is referred to herein as the “Credit Agreement.” The Credit Agreement provided for a five-year term loan (the “Term Loan”) to TripAdvisor Holdings, LLC in a principal amount of $400 million, repayable in quarterly installments equal to 1.25% of the original principal amount in year 2012 and 2.5% of the original principal amount in each year thereafter, with the balance payable on the final maturity date. The Credit Agreement also provides for a revolving credit facility (the “Revolving Credit Facility”) with a maximum borrowing capacity of $200 million. All outstanding principal and interest under the Term Loan and the Revolving Credit Facility will be due and payable, and the Revolving Credit Facility will terminate, on December 20, 2016.</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unaudited consolidated and combined financial statements have been prepared by us in accordance with generally accepted accounting principles, or GAAP, for interim financial reporting and the instructions to Form 10-Q and Rule 10-01 of Regulation S-X. Accordingly, certain information and footnote disclosures normally included in financial statements prepared under generally accepted accounting principles for complete periods have been condensed or omitted pursuant to such regulations. In the opinion of management, all adjustments considered necessary for a fair presentation of our financial position, results of operations and cash flows have been included. All such adjustments are of a normal recurring nature. These unaudited condensed consolidated financial statements should be read in conjunction with our audited consolidated and combined financial statements for the year ended December 31, 2011 filed with the Securities and Exchange Commission (“SEC”) in our Annual Report on Form 10-K on March 15, 2012. The results for interim periods are not necessarily indicative of the results to be expected for the full year.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financial statements and related financial information pertaining to the period preceding the Spin-Off have been presented on a combined basis and reflect the results of TripAdvisor that were ultimately transferred to us as part of the Spin-Off. The financial statements and related financial information pertaining to the period subsequent to the Spin-Off have been presented on a consolidated basis. Prior to the Spin-Off, certain functions, including accounting, legal, tax, corporate development, treasury, employee benefits, financial reporting and real estate management, were historically managed by the corporate division of Expedia on behalf of its subsidiaries. The assets, liabilities and expenses related to the support of these centralized corporate functions have been allocated to us on a specific identification basis to the extent possible. Otherwise, allocations related to these services, in the form of a related-party services fee, were primarily based upon an estimate of the proportion of corporate amounts applicable to us. These allocations were determined on a basis that Expedia and we considered to be a reasonable reflection of the cost of services provided or the benefit received by us. These expenses were allocated based on a number of factors including headcount, estimated time spent and operating expenses. In the opinion of management, the assumptions and allocations have been made on a reasonable basis. Management believes that amounts allocated to TripAdvisor reflect a reasonable representation of the types of costs that would have been incurred if we had performed these functions as a stand-alone company. However, as estimation is inherent within the aforementioned allocation process, these combined financial statements do not include all of the actual amounts that would have been incurred had we been a stand-alone entity during the periods presented and also do not necessarily reflect our future financial position, results of operations and cash flows.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consolidated and combined financial statements include the accounts of TripAdvisor, our wholly owned subsidiaries, and entities we control, or in which we have a variable interest and are the primary beneficiary of expected cash profits or losses. We record our investments in entities that we do not control, but over which we have the ability to exercise significant influence, using the equity method. We record noncontrolling interest in our consolidated and combined financial statements to recognize the minority ownership interest in our consolidated subsidiaries. Noncontrolling interest in the earnings and losses of consolidated subsidiaries represent the share of net income or loss allocated to members or partners in our consolidated entities. Significant intercompany transactions between the TripAdvisor consolidated entities and accounts have been eliminated.</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Our variable interest entities are not material for all periods presented.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estimates and assumptions in the preparation of our consolidated and combined financial statements in accordance with GAAP. Our estimates and assumptions affect the reported amounts of assets and liabilities and disclosure of contingent assets and liabilities as of the date of our consolidated and combined financial statements. These estimates and assumptions also affect the reported amount of net income or loss during any period. Our actual financial results could differ significantly from these estimates. The significant estimates underlying our consolidated and combined financial statements include revenue recognition; recoverability of long-lived assets, intangible assets and goodwill; income taxes; useful lives of property and equipment; purchase accounting and stock-based compensation.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reclassified certain amounts related to our prior period results to conform to our current period presentation.</w:t>
      </w:r>
    </w:p>
    <w:p>
      <w:pPr>
        <w:spacing w:after="0" w:line="17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During the fourth quarter of 2011, our management changed our non-GAAP financial measure that we use to measure our operating performance from Operating Income Before Amortization, or OIBA, to Adjusted Earnings Before Interest, Taxes, Depreciation, and Amortization, or Adjusted EBITDA. Consequently we have reclassified all of our depreciation expense, which previously had resided in technology and content expense and general and administrative expense, and have presented it as a separate line item on the consolidated and combined statement of operations. This reclassification had no net effect on either total operating expenses or total operating income. The table below provides a summary of that reclassification for the periods presented.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Three Months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Six Months</w:t>
            </w:r>
          </w:p>
        </w:tc>
      </w:tr>
      <w:tr>
        <w:trPr>
          <w:trHeight w:val="149"/>
        </w:trPr>
        <w:tc>
          <w:tcPr>
            <w:tcW w:w="58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Ended June 30,</w:t>
            </w:r>
          </w:p>
        </w:tc>
        <w:tc>
          <w:tcPr>
            <w:tcW w:w="1900" w:type="dxa"/>
            <w:vAlign w:val="bottom"/>
            <w:gridSpan w:val="4"/>
          </w:tcPr>
          <w:p>
            <w:pPr>
              <w:ind w:left="900"/>
              <w:spacing w:after="0" w:line="149" w:lineRule="exact"/>
              <w:rPr>
                <w:sz w:val="20"/>
                <w:szCs w:val="20"/>
                <w:color w:val="auto"/>
              </w:rPr>
            </w:pPr>
            <w:r>
              <w:rPr>
                <w:rFonts w:ascii="Arial" w:cs="Arial" w:eastAsia="Arial" w:hAnsi="Arial"/>
                <w:sz w:val="14"/>
                <w:szCs w:val="14"/>
                <w:b w:val="1"/>
                <w:bCs w:val="1"/>
                <w:color w:val="auto"/>
                <w:w w:val="95"/>
              </w:rPr>
              <w:t>Ended June 30,</w:t>
            </w:r>
          </w:p>
        </w:tc>
      </w:tr>
      <w:tr>
        <w:trPr>
          <w:trHeight w:val="161"/>
        </w:trPr>
        <w:tc>
          <w:tcPr>
            <w:tcW w:w="5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Technology and content</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(3,679)</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(6,969)</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(1,647)</w:t>
            </w:r>
          </w:p>
        </w:tc>
      </w:tr>
      <w:tr>
        <w:trPr>
          <w:trHeight w:val="20"/>
        </w:trPr>
        <w:tc>
          <w:tcPr>
            <w:tcW w:w="5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58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September 2011, the FASB issued ASU 2011-08. ASU 2011-08 was issued to amend FASB Accounting Standards Codification (“ASC”) (Topic</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350): Intangibles—Goodwill and Other. The guidance in ASU 2011-08 is intended to reduce complexity and costs by allowing an entity the option to first make a qualitative evaluation about the likelihood of goodwill impairment to determine whether it should calculate the fair value of a reporting unit. If entities determine, on the basis of qualitative factors, that it is more likely than not that the fair value of a reporting unit is less than the carrying amount, the two-step impairment test would be required. Otherwise, further testing would not be needed. The amendments in this update are effective for annual and interim goodwill impairment tests performed for fiscal years beginning after December 15, 2011. Early adoption is permitted, and we adopted ASU 2011-08 on October 1, 2011 for the fiscal year 2011 goodwill impairment test. The adoption of ASU 2011-08 did not have a material impact on our consolidated and combined financial statements.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2011, the FASB issued ASU 2011-05, Comprehensive Income (Topic 220): Presentation on Comprehensive Income (“ASU 2011-05”). Under ASU 2011-05, there will no longer be the option to present items of other comprehensive income in the statement of stockholders’ equity. ASU 2011-05 requires entities to present net income and other comprehensive income in either a single continuous statement or in two separate, but consecutive, statements of net income and other comprehensive income. ASU 2011-05 is effective for fiscal years and interim periods beginning after December 15, 2011 on a retrospective basis, with early adoption permitted. Accordingly, we have adopted the presentation requirements of ASU 2011-05 on December 31, 2011. The adoption of ASU 2011-05 did not have a material impact on our consolidated and combined financial statements.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For information about our critical accounting policies and estimates,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included in our Annual Report on Form 10-K filed on March 15, 2012 for the year ended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 BASED AWARDS AND OTHER EQUITY INSTRUMENTS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Stock-based compensation expense relates primarily to expense for restricted stock units (“RSUs”) and stock options. Our outstanding RSUs and stock options generally vest over five years and four years, respectively.</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the three and six months ended June 30, 2012, we recognized total stock-based compensation expense of $6.8 million and $11.5 million, respectively. The total income tax benefit related to stock-based compensation expense was $2.5 million and $4.0 million for the three and six months ended June 30, 2012, respectively. For the three and six months ended June 30, 2011, we recognized total stock-based compensation expense of $2.0 million and $4.4 million, respectively. The total income tax benefit related to stock-based compensation expense was $0.8 million and $1.7 million for the three and six months ended June 30, 2011,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Awards and Other Equity Instruments Assumed at Spin-Off</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the Spin-Off, we participated in the Amended and Restated Expedia, Inc. 2005 Stock and Annual Incentive Plan, under which we, through Expedia, granted RSUs, stock options, and other stock-based awards to our directors, officers, employees and consultants. Following the Spin-Off, these existing Expedia stock-based awards were primarily converted as follows:</w:t>
      </w:r>
    </w:p>
    <w:p>
      <w:pPr>
        <w:spacing w:after="0" w:line="59" w:lineRule="exact"/>
        <w:rPr>
          <w:sz w:val="20"/>
          <w:szCs w:val="20"/>
          <w:color w:val="auto"/>
        </w:rPr>
      </w:pPr>
    </w:p>
    <w:p>
      <w:pPr>
        <w:ind w:left="900" w:right="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vested stock option to purchase shares of Expedia common stock converted into an option to purchase shares of Expedia common stock and an option to purchase shares of TripAdvisor common stock;</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unvested stock option to purchase shares of Expedia common stock converted into a stock option to purchase shares of common stock of the applicable company for which the employee was employed following the Spin-Off;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RSUs converted into RSUs of the applicable company for which the employee was employed following the Spin-Off.</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In addition, upon Spin-Off, we entered into a warrant agreement (the “Warrant Agreement”) with Mellon Investor Services LLC and issued warrants exercisable for TripAdvisor common stock in respect of previously outstanding warrants exercisable for Expedia common stock that were adjusted on account of Expedia’s reverse stock split and the Spin-Off. The warrants, which totaled 32,186,792 at Spin-Off, were subsequently converted into 7,952,456 shares of our common stock during the six months ended June 30, 2012, prior to their expiration date of May 7, 2012. Refer to our discussion below in this Note 3— </w:t>
      </w:r>
      <w:r>
        <w:rPr>
          <w:rFonts w:ascii="Arial" w:cs="Arial" w:eastAsia="Arial" w:hAnsi="Arial"/>
          <w:sz w:val="16"/>
          <w:szCs w:val="16"/>
          <w:i w:val="1"/>
          <w:iCs w:val="1"/>
          <w:color w:val="auto"/>
        </w:rPr>
        <w:t>2012</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Warrant Activity </w:t>
      </w:r>
      <w:r>
        <w:rPr>
          <w:rFonts w:ascii="Arial" w:cs="Arial" w:eastAsia="Arial" w:hAnsi="Arial"/>
          <w:sz w:val="16"/>
          <w:szCs w:val="16"/>
          <w:color w:val="auto"/>
        </w:rPr>
        <w:t>for a discussion of warrant activity during the six months ended June 30, 2012.</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One tranche of warrants (issued in respect of Expedia warrants that had featured an exercise price of $12.23 per warrant prior to adjustment) were exercisable for 0.25 (one-quarter) of a share of TripAdvisor common stock at an exercise price equal to $6.48 per warrant, and the other tranche of warrants (issued in respect of Expedia warrants that had featured an exercise price of $14.45 per warrant prior to adjustment) were exercisable for 0.25 (one-quarter) of a share of TripAdvisor common stock at an exercise price equal to $7.66 per warrant. The exercise price could have been paid in cash or via “cashless exercise” as set forth in the Warrant Agreement. In total, at Spin-Off, the warrants could be converted into a maximum of 8,046,698 shares of our common stock without any further adjustments to the Warrant Agreement.</w:t>
      </w:r>
    </w:p>
    <w:p>
      <w:pPr>
        <w:spacing w:after="0" w:line="16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Below is a summary of our stock-based awards and warrants issued upon completion of the conversion of existing Expedia stock-based awards and warrants into TripAdvisor stock-based awards and warrants on December 20, 2011 and the related weighted-average grant date exercise price for options and warrants and the weighted-average grant date fair value for RSUs: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Stock Warrants: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Potential Shares of</w:t>
            </w:r>
          </w:p>
        </w:tc>
        <w:tc>
          <w:tcPr>
            <w:tcW w:w="2140" w:type="dxa"/>
            <w:vAlign w:val="bottom"/>
            <w:gridSpan w:val="4"/>
          </w:tcPr>
          <w:p>
            <w:pPr>
              <w:ind w:left="980"/>
              <w:spacing w:after="0"/>
              <w:rPr>
                <w:sz w:val="20"/>
                <w:szCs w:val="20"/>
                <w:color w:val="auto"/>
              </w:rPr>
            </w:pPr>
            <w:r>
              <w:rPr>
                <w:rFonts w:ascii="Arial" w:cs="Arial" w:eastAsia="Arial" w:hAnsi="Arial"/>
                <w:sz w:val="14"/>
                <w:szCs w:val="14"/>
                <w:b w:val="1"/>
                <w:bCs w:val="1"/>
                <w:color w:val="auto"/>
                <w:w w:val="93"/>
              </w:rPr>
              <w:t>Weighted Average</w:t>
            </w:r>
          </w:p>
        </w:tc>
      </w:tr>
      <w:tr>
        <w:trPr>
          <w:trHeight w:val="149"/>
        </w:trPr>
        <w:tc>
          <w:tcPr>
            <w:tcW w:w="1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Common Stock (in</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1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Exercise Price</w:t>
            </w:r>
          </w:p>
        </w:tc>
      </w:tr>
      <w:tr>
        <w:trPr>
          <w:trHeight w:val="210"/>
        </w:trPr>
        <w:tc>
          <w:tcPr>
            <w:tcW w:w="138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w:t>
            </w:r>
          </w:p>
        </w:tc>
        <w:tc>
          <w:tcPr>
            <w:tcW w:w="1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center"/>
              <w:ind w:left="627"/>
              <w:spacing w:after="0"/>
              <w:rPr>
                <w:sz w:val="20"/>
                <w:szCs w:val="20"/>
                <w:color w:val="auto"/>
              </w:rPr>
            </w:pPr>
            <w:r>
              <w:rPr>
                <w:rFonts w:ascii="Arial" w:cs="Arial" w:eastAsia="Arial" w:hAnsi="Arial"/>
                <w:sz w:val="18"/>
                <w:szCs w:val="18"/>
                <w:color w:val="auto"/>
                <w:w w:val="88"/>
              </w:rPr>
              <w:t>6,575</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Warrants—$6.48 TripAdvisor Warrants</w:t>
            </w:r>
          </w:p>
        </w:tc>
        <w:tc>
          <w:tcPr>
            <w:tcW w:w="2460" w:type="dxa"/>
            <w:vAlign w:val="bottom"/>
            <w:gridSpan w:val="4"/>
          </w:tcPr>
          <w:p>
            <w:pPr>
              <w:jc w:val="center"/>
              <w:ind w:left="1982"/>
              <w:spacing w:after="0"/>
              <w:rPr>
                <w:sz w:val="20"/>
                <w:szCs w:val="20"/>
                <w:color w:val="auto"/>
              </w:rPr>
            </w:pPr>
            <w:r>
              <w:rPr>
                <w:rFonts w:ascii="Arial" w:cs="Arial" w:eastAsia="Arial" w:hAnsi="Arial"/>
                <w:sz w:val="18"/>
                <w:szCs w:val="18"/>
                <w:color w:val="auto"/>
                <w:w w:val="88"/>
              </w:rPr>
              <w:t>6,047</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Warrants—$7.66 TripAdvisor Warrants</w:t>
            </w:r>
          </w:p>
        </w:tc>
        <w:tc>
          <w:tcPr>
            <w:tcW w:w="2460" w:type="dxa"/>
            <w:vAlign w:val="bottom"/>
            <w:gridSpan w:val="4"/>
            <w:shd w:val="clear" w:color="auto" w:fill="CCEEFF"/>
          </w:tcPr>
          <w:p>
            <w:pPr>
              <w:jc w:val="center"/>
              <w:ind w:left="1982"/>
              <w:spacing w:after="0"/>
              <w:rPr>
                <w:sz w:val="20"/>
                <w:szCs w:val="20"/>
                <w:color w:val="auto"/>
              </w:rPr>
            </w:pPr>
            <w:r>
              <w:rPr>
                <w:rFonts w:ascii="Arial" w:cs="Arial" w:eastAsia="Arial" w:hAnsi="Arial"/>
                <w:sz w:val="18"/>
                <w:szCs w:val="18"/>
                <w:color w:val="auto"/>
                <w:w w:val="88"/>
              </w:rPr>
              <w:t>2,000</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 w:type="dxa"/>
            <w:vAlign w:val="bottom"/>
            <w:shd w:val="clear" w:color="auto" w:fill="CCEEFF"/>
          </w:tcPr>
          <w:p>
            <w:pPr>
              <w:spacing w:after="0"/>
              <w:rPr>
                <w:sz w:val="18"/>
                <w:szCs w:val="18"/>
                <w:color w:val="auto"/>
              </w:rPr>
            </w:pPr>
          </w:p>
        </w:tc>
      </w:tr>
      <w:tr>
        <w:trPr>
          <w:trHeight w:val="457"/>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RSUs: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60" w:type="dxa"/>
            <w:vAlign w:val="bottom"/>
            <w:gridSpan w:val="4"/>
          </w:tcPr>
          <w:p>
            <w:pPr>
              <w:jc w:val="center"/>
              <w:ind w:left="1142"/>
              <w:spacing w:after="0"/>
              <w:rPr>
                <w:sz w:val="20"/>
                <w:szCs w:val="20"/>
                <w:color w:val="auto"/>
              </w:rPr>
            </w:pPr>
            <w:r>
              <w:rPr>
                <w:rFonts w:ascii="Arial" w:cs="Arial" w:eastAsia="Arial" w:hAnsi="Arial"/>
                <w:sz w:val="14"/>
                <w:szCs w:val="14"/>
                <w:b w:val="1"/>
                <w:bCs w:val="1"/>
                <w:color w:val="auto"/>
                <w:w w:val="85"/>
              </w:rPr>
              <w:t>Potential Shares of</w:t>
            </w:r>
          </w:p>
        </w:tc>
        <w:tc>
          <w:tcPr>
            <w:tcW w:w="2140" w:type="dxa"/>
            <w:vAlign w:val="bottom"/>
            <w:gridSpan w:val="4"/>
          </w:tcPr>
          <w:p>
            <w:pPr>
              <w:ind w:left="980"/>
              <w:spacing w:after="0"/>
              <w:rPr>
                <w:sz w:val="20"/>
                <w:szCs w:val="20"/>
                <w:color w:val="auto"/>
              </w:rPr>
            </w:pPr>
            <w:r>
              <w:rPr>
                <w:rFonts w:ascii="Arial" w:cs="Arial" w:eastAsia="Arial" w:hAnsi="Arial"/>
                <w:sz w:val="14"/>
                <w:szCs w:val="14"/>
                <w:b w:val="1"/>
                <w:bCs w:val="1"/>
                <w:color w:val="auto"/>
                <w:w w:val="93"/>
              </w:rPr>
              <w:t>Weighted Average</w:t>
            </w:r>
          </w:p>
        </w:tc>
      </w:tr>
      <w:tr>
        <w:trPr>
          <w:trHeight w:val="149"/>
        </w:trPr>
        <w:tc>
          <w:tcPr>
            <w:tcW w:w="1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60" w:type="dxa"/>
            <w:vAlign w:val="bottom"/>
            <w:gridSpan w:val="4"/>
          </w:tcPr>
          <w:p>
            <w:pPr>
              <w:jc w:val="center"/>
              <w:ind w:left="1142"/>
              <w:spacing w:after="0" w:line="149" w:lineRule="exact"/>
              <w:rPr>
                <w:sz w:val="20"/>
                <w:szCs w:val="20"/>
                <w:color w:val="auto"/>
              </w:rPr>
            </w:pPr>
            <w:r>
              <w:rPr>
                <w:rFonts w:ascii="Arial" w:cs="Arial" w:eastAsia="Arial" w:hAnsi="Arial"/>
                <w:sz w:val="14"/>
                <w:szCs w:val="14"/>
                <w:b w:val="1"/>
                <w:bCs w:val="1"/>
                <w:color w:val="auto"/>
                <w:w w:val="87"/>
              </w:rPr>
              <w:t>Common Stock (in</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1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138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RSUs</w:t>
            </w:r>
          </w:p>
        </w:tc>
        <w:tc>
          <w:tcPr>
            <w:tcW w:w="1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center"/>
              <w:ind w:left="722"/>
              <w:spacing w:after="0"/>
              <w:rPr>
                <w:sz w:val="20"/>
                <w:szCs w:val="20"/>
                <w:color w:val="auto"/>
              </w:rPr>
            </w:pPr>
            <w:r>
              <w:rPr>
                <w:rFonts w:ascii="Arial" w:cs="Arial" w:eastAsia="Arial" w:hAnsi="Arial"/>
                <w:sz w:val="18"/>
                <w:szCs w:val="18"/>
                <w:color w:val="auto"/>
                <w:w w:val="86"/>
              </w:rPr>
              <w:t>893</w:t>
            </w: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Inc. 2011 Stock and Annual Incentive Plan (“2011 Incentive Plan”)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On December 20, 2011, the 2011 Incentive Plan became effective. A summary of certain important features of the 2011 Incentive Plan can be found in “Note 7— </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in the Notes to our Consolidated and Combined Financial Statements in Item 8 of our Annual Report on Form 10-K filed on March 15, 2012 for the year ended December 31, 2011. The summary of the material terms of the 2011 Incentive Plan is qualified in its entirety by the full text of the 2011 Incentive Plan which is incorporated by reference in our Annual Report on Form 10-K as Exhibit 4.3.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Stock Option Activity</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exercise price for all stock options granted by us to date has been equal to the market price of the underlying shares of common stock at the date of grant. In this regard, when making stock option awards, our practice is to determine the applicable grant date and to specify that the exercise price shall be the closing price of our common stock on the date of grant. Stock options granted during the first six months of 2012 have a term of ten years from the date of grant and vest over a four-year period.</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six months ended June 30, 2012, we have issued 2,995,725 stock options under the 2011 Incentive Plan with a grant-date fair value per option of $20.51. We will amortize the fair value, net of estimated forfeitures, as stock-based compensation expense over the vesting term of four years on a straight-line basis. We use historical data to estimate pre-vesting option forfeitures and record share-based compensation expense only for those awards that are expected to vest. Changes in estimated forfeitures will be recognized through a cumulative catch-up adjustment in the period of change and will also impact the amount of stock compensation expense to be recognized in future periods.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and activity for stock option awards relating to our common stock for the six months ended June 30, 2012, is presented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Weighted</w:t>
            </w: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Average</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Exercise</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Remaining</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700" w:type="dxa"/>
            <w:vAlign w:val="bottom"/>
          </w:tcPr>
          <w:p>
            <w:pPr>
              <w:spacing w:after="0"/>
              <w:rPr>
                <w:sz w:val="12"/>
                <w:szCs w:val="12"/>
                <w:color w:val="auto"/>
              </w:rPr>
            </w:pPr>
          </w:p>
        </w:tc>
        <w:tc>
          <w:tcPr>
            <w:tcW w:w="1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Price Per</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70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Share</w:t>
            </w: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Life</w:t>
            </w: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6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$ 23.65</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2,996</w:t>
            </w: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40.20</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15.94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Cancelled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25.49</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June 30, 2012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1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$ 29.95</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June 30, 2012</w:t>
            </w:r>
          </w:p>
        </w:tc>
        <w:tc>
          <w:tcPr>
            <w:tcW w:w="840" w:type="dxa"/>
            <w:vAlign w:val="bottom"/>
            <w:tcBorders>
              <w:bottom w:val="single" w:sz="8" w:color="auto"/>
            </w:tcBorders>
          </w:tcPr>
          <w:p>
            <w:pPr>
              <w:spacing w:after="0" w:line="20" w:lineRule="exact"/>
              <w:rPr>
                <w:sz w:val="1"/>
                <w:szCs w:val="1"/>
                <w:color w:val="auto"/>
              </w:rPr>
            </w:pPr>
          </w:p>
        </w:tc>
        <w:tc>
          <w:tcPr>
            <w:tcW w:w="1940" w:type="dxa"/>
            <w:vAlign w:val="bottom"/>
            <w:gridSpan w:val="3"/>
            <w:vMerge w:val="restart"/>
          </w:tcPr>
          <w:p>
            <w:pPr>
              <w:jc w:val="right"/>
              <w:ind w:right="700"/>
              <w:spacing w:after="0"/>
              <w:rPr>
                <w:sz w:val="20"/>
                <w:szCs w:val="20"/>
                <w:color w:val="auto"/>
              </w:rPr>
            </w:pPr>
            <w:r>
              <w:rPr>
                <w:rFonts w:ascii="Arial" w:cs="Arial" w:eastAsia="Arial" w:hAnsi="Arial"/>
                <w:sz w:val="18"/>
                <w:szCs w:val="18"/>
                <w:color w:val="auto"/>
              </w:rPr>
              <w:t>$ 25.04</w:t>
            </w:r>
          </w:p>
        </w:tc>
        <w:tc>
          <w:tcPr>
            <w:tcW w:w="138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3.4</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69,523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gridSpan w:val="2"/>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w:t>
            </w:r>
          </w:p>
        </w:tc>
        <w:tc>
          <w:tcPr>
            <w:tcW w:w="1940" w:type="dxa"/>
            <w:vAlign w:val="bottom"/>
            <w:gridSpan w:val="3"/>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after June 30, 2012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$ 28.92</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20" w:firstLine="456"/>
        <w:spacing w:after="0" w:line="268"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June 29, 2012 was $44.69.</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estimated fair value of the options granted under the 2011 Incentive Plan was calculated using a Black-Scholes Merton option-pricing model (“Black-Scholes model”). The Black-Scholes model incorporates assumptions to value stock-based awards, which includes the risk-free rate of return, volatility, expected term and expected dividend yield.</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risk-free interest rate is based on the rates currently available on zero-coupon U.S. Treasury issues, in effect at the time of the grant, whose remaining maturity period most closely approximates the stock option’s expected term assumption. We estimated the volatility of our common stock by using an average of historical stock price volatility of publicly traded companies that we consider peers based on daily price observations over a period equivalent or approximate to the expected term of the stock option grants. The decision to use a weighted average volatility factor of a peer group was based upon the relatively short period of availability of data on our common stock. We estimated our expected term using the simplified method for all stock options as we do not have sufficient historical exercise data on our common stock. Our expected dividend yield is zero, as we have not paid and do not anticipate paying dividends on our common stock in the foreseeable future.</w:t>
      </w:r>
    </w:p>
    <w:p>
      <w:pPr>
        <w:spacing w:after="0" w:line="3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Black-Scholes assumptions used in calculating the estimated fair value of stock options granted under the 2011 Incentive Plan are as follows:</w:t>
      </w:r>
    </w:p>
    <w:p>
      <w:pPr>
        <w:spacing w:after="0" w:line="2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Three and</w:t>
            </w:r>
          </w:p>
        </w:tc>
      </w:tr>
      <w:tr>
        <w:trPr>
          <w:trHeight w:val="149"/>
        </w:trPr>
        <w:tc>
          <w:tcPr>
            <w:tcW w:w="2760" w:type="dxa"/>
            <w:vAlign w:val="bottom"/>
          </w:tcPr>
          <w:p>
            <w:pPr>
              <w:spacing w:after="0"/>
              <w:rPr>
                <w:sz w:val="12"/>
                <w:szCs w:val="12"/>
                <w:color w:val="auto"/>
              </w:rPr>
            </w:pPr>
          </w:p>
        </w:tc>
        <w:tc>
          <w:tcPr>
            <w:tcW w:w="5000" w:type="dxa"/>
            <w:vAlign w:val="bottom"/>
            <w:gridSpan w:val="3"/>
          </w:tcPr>
          <w:p>
            <w:pPr>
              <w:jc w:val="center"/>
              <w:ind w:left="3536"/>
              <w:spacing w:after="0" w:line="149" w:lineRule="exact"/>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276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2012</w:t>
            </w:r>
          </w:p>
        </w:tc>
        <w:tc>
          <w:tcPr>
            <w:tcW w:w="160" w:type="dxa"/>
            <w:vAlign w:val="bottom"/>
            <w:tcBorders>
              <w:bottom w:val="single" w:sz="8" w:color="CCEEFF"/>
            </w:tcBorders>
          </w:tcPr>
          <w:p>
            <w:pPr>
              <w:spacing w:after="0"/>
              <w:rPr>
                <w:sz w:val="14"/>
                <w:szCs w:val="14"/>
                <w:color w:val="auto"/>
              </w:rPr>
            </w:pPr>
          </w:p>
        </w:tc>
      </w:tr>
      <w:tr>
        <w:trPr>
          <w:trHeight w:val="210"/>
        </w:trPr>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 free interest rate</w:t>
            </w:r>
          </w:p>
        </w:tc>
        <w:tc>
          <w:tcPr>
            <w:tcW w:w="37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53.34%</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00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r>
        <w:trPr>
          <w:trHeight w:val="356"/>
        </w:trPr>
        <w:tc>
          <w:tcPr>
            <w:tcW w:w="2760" w:type="dxa"/>
            <w:vAlign w:val="bottom"/>
          </w:tcPr>
          <w:p>
            <w:pPr>
              <w:spacing w:after="0"/>
              <w:rPr>
                <w:sz w:val="24"/>
                <w:szCs w:val="24"/>
                <w:color w:val="auto"/>
              </w:rPr>
            </w:pPr>
          </w:p>
        </w:tc>
        <w:tc>
          <w:tcPr>
            <w:tcW w:w="3780" w:type="dxa"/>
            <w:vAlign w:val="bottom"/>
          </w:tcPr>
          <w:p>
            <w:pPr>
              <w:jc w:val="right"/>
              <w:ind w:right="2496"/>
              <w:spacing w:after="0"/>
              <w:rPr>
                <w:sz w:val="20"/>
                <w:szCs w:val="20"/>
                <w:color w:val="auto"/>
              </w:rPr>
            </w:pPr>
            <w:r>
              <w:rPr>
                <w:rFonts w:ascii="Arial" w:cs="Arial" w:eastAsia="Arial" w:hAnsi="Arial"/>
                <w:sz w:val="18"/>
                <w:szCs w:val="18"/>
                <w:color w:val="auto"/>
              </w:rPr>
              <w:t>12</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RSU Activity</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During the six months ended June 30, 2012, we issued 59,951 RSUs under the 2011 Incentive Plan for which the fair value was measured based on the quoted price of our common stock at the date of grant of $33.27. We will amortize the fair value, net of estimated forfeitures, as stock-based compensation expense over the vesting term of two years on a straight-line basis.</w:t>
      </w:r>
    </w:p>
    <w:p>
      <w:pPr>
        <w:spacing w:after="0" w:line="3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RSU activity on our common stock:</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r>
      <w:tr>
        <w:trPr>
          <w:trHeight w:val="174"/>
        </w:trPr>
        <w:tc>
          <w:tcPr>
            <w:tcW w:w="5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Average</w:t>
            </w:r>
          </w:p>
        </w:tc>
      </w:tr>
      <w:tr>
        <w:trPr>
          <w:trHeight w:val="216"/>
        </w:trPr>
        <w:tc>
          <w:tcPr>
            <w:tcW w:w="5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Grant-</w:t>
            </w:r>
          </w:p>
        </w:tc>
      </w:tr>
      <w:tr>
        <w:trPr>
          <w:trHeight w:val="150"/>
        </w:trPr>
        <w:tc>
          <w:tcPr>
            <w:tcW w:w="5980" w:type="dxa"/>
            <w:vAlign w:val="bottom"/>
          </w:tcPr>
          <w:p>
            <w:pPr>
              <w:spacing w:after="0"/>
              <w:rPr>
                <w:sz w:val="13"/>
                <w:szCs w:val="13"/>
                <w:color w:val="auto"/>
              </w:rPr>
            </w:pPr>
          </w:p>
        </w:tc>
        <w:tc>
          <w:tcPr>
            <w:tcW w:w="1360" w:type="dxa"/>
            <w:vAlign w:val="bottom"/>
            <w:gridSpan w:val="2"/>
          </w:tcPr>
          <w:p>
            <w:pPr>
              <w:jc w:val="center"/>
              <w:ind w:right="360"/>
              <w:spacing w:after="0" w:line="150" w:lineRule="exact"/>
              <w:rPr>
                <w:sz w:val="20"/>
                <w:szCs w:val="20"/>
                <w:color w:val="auto"/>
              </w:rPr>
            </w:pPr>
            <w:r>
              <w:rPr>
                <w:rFonts w:ascii="Arial" w:cs="Arial" w:eastAsia="Arial" w:hAnsi="Arial"/>
                <w:sz w:val="14"/>
                <w:szCs w:val="14"/>
                <w:b w:val="1"/>
                <w:bCs w:val="1"/>
                <w:color w:val="auto"/>
                <w:w w:val="85"/>
              </w:rPr>
              <w:t>RSUs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0" w:lineRule="exact"/>
              <w:rPr>
                <w:sz w:val="20"/>
                <w:szCs w:val="20"/>
                <w:color w:val="auto"/>
              </w:rPr>
            </w:pPr>
            <w:r>
              <w:rPr>
                <w:rFonts w:ascii="Arial" w:cs="Arial" w:eastAsia="Arial" w:hAnsi="Arial"/>
                <w:sz w:val="14"/>
                <w:szCs w:val="14"/>
                <w:b w:val="1"/>
                <w:bCs w:val="1"/>
                <w:color w:val="auto"/>
                <w:w w:val="90"/>
              </w:rPr>
              <w:t>Date Fair</w:t>
            </w:r>
          </w:p>
        </w:tc>
      </w:tr>
      <w:tr>
        <w:trPr>
          <w:trHeight w:val="161"/>
        </w:trPr>
        <w:tc>
          <w:tcPr>
            <w:tcW w:w="598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Outstanding</w:t>
            </w:r>
          </w:p>
        </w:tc>
        <w:tc>
          <w:tcPr>
            <w:tcW w:w="13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Value Per Share</w:t>
            </w: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(In thousands)</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Unvested RSUs outstanding as of January 1, 2012</w:t>
            </w:r>
          </w:p>
        </w:tc>
        <w:tc>
          <w:tcPr>
            <w:tcW w:w="1020" w:type="dxa"/>
            <w:vAlign w:val="bottom"/>
          </w:tcPr>
          <w:p>
            <w:pPr>
              <w:jc w:val="right"/>
              <w:spacing w:after="0"/>
              <w:rPr>
                <w:sz w:val="20"/>
                <w:szCs w:val="20"/>
                <w:color w:val="auto"/>
              </w:rPr>
            </w:pPr>
            <w:r>
              <w:rPr>
                <w:rFonts w:ascii="Arial" w:cs="Arial" w:eastAsia="Arial" w:hAnsi="Arial"/>
                <w:sz w:val="18"/>
                <w:szCs w:val="18"/>
                <w:color w:val="auto"/>
              </w:rPr>
              <w:t>926</w:t>
            </w:r>
          </w:p>
        </w:tc>
        <w:tc>
          <w:tcPr>
            <w:tcW w:w="3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Vested and released (1)</w:t>
            </w:r>
          </w:p>
        </w:tc>
        <w:tc>
          <w:tcPr>
            <w:tcW w:w="1020" w:type="dxa"/>
            <w:vAlign w:val="bottom"/>
          </w:tcPr>
          <w:p>
            <w:pPr>
              <w:jc w:val="right"/>
              <w:spacing w:after="0"/>
              <w:rPr>
                <w:sz w:val="20"/>
                <w:szCs w:val="20"/>
                <w:color w:val="auto"/>
              </w:rPr>
            </w:pPr>
            <w:r>
              <w:rPr>
                <w:rFonts w:ascii="Arial" w:cs="Arial" w:eastAsia="Arial" w:hAnsi="Arial"/>
                <w:sz w:val="18"/>
                <w:szCs w:val="18"/>
                <w:color w:val="auto"/>
              </w:rPr>
              <w:t>292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00" w:type="dxa"/>
            <w:vAlign w:val="bottom"/>
            <w:shd w:val="clear" w:color="auto" w:fill="CCEEFF"/>
          </w:tcPr>
          <w:p>
            <w:pPr>
              <w:spacing w:after="0"/>
              <w:rPr>
                <w:sz w:val="18"/>
                <w:szCs w:val="18"/>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Unvested RSUs outstanding as of June 30, 2012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34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Inclusive of 96,951 RSUs withheld to satisfy minimum tax withholding requirements.</w:t>
      </w:r>
    </w:p>
    <w:p>
      <w:pPr>
        <w:spacing w:after="0" w:line="15"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RSUs outstanding at June 30, 2012 are 400,000 RSUs awarded to one of our non-employee Directors, for which vesting is tied to achievement of performance targets and a requisite service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Stock Warrant Activity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six months ended June 30, 2012, there were a total of 32,186,791warrants exercised which resulted in a total of 7,952,456 shares of our common stock being issued during that period, which included 31,641,337 warrants for which the exercise price was paid in cash at a weighted average price of $27.11. We received total exercise proceeds of $214.5 million related to these warrant exercises. In addition there were 545,454 cashless warrants exercised with a weighted average exercise price of $25.92 of which we did not receive any exercise proceeds. As of June 30, 2012, we had no outstanding warrants available which could be convertible to shares of our common stock.</w:t>
      </w:r>
    </w:p>
    <w:p>
      <w:pPr>
        <w:spacing w:after="0" w:line="34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summary of the unrecognized compensation expense, net of estimated forfeitures and the weighted average period remaining at June 30, 2012 related to our non-vested stock options and RSU awards is presented below (in thousands, except per year information):</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Options</w:t>
            </w:r>
          </w:p>
        </w:tc>
        <w:tc>
          <w:tcPr>
            <w:tcW w:w="4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RSUs</w:t>
            </w:r>
          </w:p>
        </w:tc>
      </w:tr>
      <w:tr>
        <w:trPr>
          <w:trHeight w:val="210"/>
        </w:trPr>
        <w:tc>
          <w:tcPr>
            <w:tcW w:w="5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compensation expense (net of forfeitures)</w:t>
            </w:r>
          </w:p>
        </w:tc>
        <w:tc>
          <w:tcPr>
            <w:tcW w:w="1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$59,166</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Each interim period is considered an integral part of the annual period and, accordingly, we measure our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effective tax rate for the three and six months ended June 30, 2012 was 30.7% and 31.5%, respectively. Our effective tax rate for the three and six months ended June 30, 2011 was 36.0% and 36.1%, respectively. For the three and six months ended June 30, 2012, the effective tax rate is less than the federal statutory rate primarily due to earnings in jurisdictions outside the United States, where our effective tax rate is lower, which was partially offset by state income taxes, non-deductible stock compensation and accruals on uncertain tax positions. The change in the effective tax rate for 2012 compared to the 2011 rate was primarily due to an increase in earnings in jurisdictions outside the United States.</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June 30, 2012, accrued interest is $0.4 million, net of federal benefit, and no penalties have been accrued. We do not anticipate any material releases in the next twelve months.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are subject to taxation in the United States and various States and foreign jurisdictions. As of June 30, 2012, the Company’s tax years for 2008, 2009, 2010 and 2011 are subject to examination by the tax authorities. The Company is currently under an IRS audit for 2009 and 2010, and has various ongoing state income tax audits. As of June 30, 2012 no material assessments have resulted from these audits.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There have been no material changes to our commitments and contingencies since December 31, 2011. (Refer to “Note 10—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in the Notes to our Consolidated and Combined Financial Statements in Item 8 of our Annual Report on Form 10-K filed on March 15, 2012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2011.)</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20, 2011, in connection with the Spin-Off, we entered into the Credit Agreement, which provides $600 million of borrowing including:</w:t>
      </w:r>
    </w:p>
    <w:p>
      <w:pPr>
        <w:spacing w:after="0" w:line="113"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Term Loan Facility, or Term Loan, in an aggregate principal amount of $400 million with a term of five years due December 2016;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175 basis points, or the Eurocurrency Spread, or the alternate base rate (“ABR”) plus 75 basis points, and undrawn amounts are currently subject to a commitment fee of 30 basis points.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June 30, 2012 we are using a one-month interest period Eurocurrency Spread which is approximately 2.0% per annum. Interest is currently payable on a monthly basis while we are borrowing under the one-month interest rate period. The current interest rates are based on current assumptions, leverage and LIBOR rates and do not take into account that rates will reset periodically.</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Term Loan principal will be repayable in quarterly installments on the last day of each calendar quarter equal to 1.25%, with $10 million paid during the six months ended June 30, 2012. The payments for the year ending December 31, 2012 will be equal to 1.25% of the original principal amount and will be equal to 2.5% of the original principal amount in each year thereafter, with the balance due on the final maturity date.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Revolving Credit Facility includes $40 million of borrowing capacity available for letters of credit and $40 million for borrowings on same-day notice. Immediately following the Spin-Off, $10 million was drawn down under the Revolving Credit Facility, which was repaid during the three months ended March 31, 2012.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outstanding borrowings under the Credit Agreement consist of the following (in thousands):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61"/>
        </w:trPr>
        <w:tc>
          <w:tcPr>
            <w:tcW w:w="20" w:type="dxa"/>
            <w:vAlign w:val="bottom"/>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Short-Term Debt:</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Revolving Credit Facility</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w:t>
            </w:r>
          </w:p>
        </w:tc>
        <w:tc>
          <w:tcPr>
            <w:tcW w:w="2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Total Short-Term Borrowings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2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360,000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Borrowings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360,000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remaining future minimum principal payment obligations due under the Credit Agreement related to our Term Loan is as follows as of June 30, 2012 (in thousands):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jc w:val="right"/>
              <w:ind w:right="6112"/>
              <w:spacing w:after="0" w:line="202" w:lineRule="exact"/>
              <w:rPr>
                <w:sz w:val="20"/>
                <w:szCs w:val="20"/>
                <w:color w:val="auto"/>
              </w:rPr>
            </w:pPr>
            <w:r>
              <w:rPr>
                <w:rFonts w:ascii="Arial" w:cs="Arial" w:eastAsia="Arial" w:hAnsi="Arial"/>
                <w:sz w:val="18"/>
                <w:szCs w:val="18"/>
                <w:color w:val="auto"/>
              </w:rPr>
              <w:t>2012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jc w:val="right"/>
              <w:ind w:right="6112"/>
              <w:spacing w:after="0"/>
              <w:rPr>
                <w:sz w:val="20"/>
                <w:szCs w:val="20"/>
                <w:color w:val="auto"/>
              </w:rPr>
            </w:pPr>
            <w:r>
              <w:rPr>
                <w:rFonts w:ascii="Arial" w:cs="Arial" w:eastAsia="Arial" w:hAnsi="Arial"/>
                <w:sz w:val="18"/>
                <w:szCs w:val="18"/>
                <w:color w:val="auto"/>
              </w:rPr>
              <w:t>2013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jc w:val="right"/>
              <w:ind w:right="6112"/>
              <w:spacing w:after="0"/>
              <w:rPr>
                <w:sz w:val="20"/>
                <w:szCs w:val="20"/>
                <w:color w:val="auto"/>
              </w:rPr>
            </w:pPr>
            <w:r>
              <w:rPr>
                <w:rFonts w:ascii="Arial" w:cs="Arial" w:eastAsia="Arial" w:hAnsi="Arial"/>
                <w:sz w:val="18"/>
                <w:szCs w:val="18"/>
                <w:color w:val="auto"/>
              </w:rPr>
              <w:t>2014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jc w:val="right"/>
              <w:ind w:right="6112"/>
              <w:spacing w:after="0"/>
              <w:rPr>
                <w:sz w:val="20"/>
                <w:szCs w:val="20"/>
                <w:color w:val="auto"/>
              </w:rPr>
            </w:pPr>
            <w:r>
              <w:rPr>
                <w:rFonts w:ascii="Arial" w:cs="Arial" w:eastAsia="Arial" w:hAnsi="Arial"/>
                <w:sz w:val="18"/>
                <w:szCs w:val="18"/>
                <w:color w:val="auto"/>
              </w:rPr>
              <w:t>2015</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jc w:val="right"/>
              <w:ind w:right="6112"/>
              <w:spacing w:after="0"/>
              <w:rPr>
                <w:sz w:val="20"/>
                <w:szCs w:val="20"/>
                <w:color w:val="auto"/>
              </w:rPr>
            </w:pPr>
            <w:r>
              <w:rPr>
                <w:rFonts w:ascii="Arial" w:cs="Arial" w:eastAsia="Arial" w:hAnsi="Arial"/>
                <w:sz w:val="18"/>
                <w:szCs w:val="18"/>
                <w:color w:val="auto"/>
              </w:rPr>
              <w:t>2016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jc w:val="right"/>
              <w:ind w:right="6532"/>
              <w:spacing w:after="0"/>
              <w:rPr>
                <w:sz w:val="20"/>
                <w:szCs w:val="20"/>
                <w:color w:val="auto"/>
              </w:rPr>
            </w:pPr>
            <w:r>
              <w:rPr>
                <w:rFonts w:ascii="Arial" w:cs="Arial" w:eastAsia="Arial" w:hAnsi="Arial"/>
                <w:sz w:val="18"/>
                <w:szCs w:val="18"/>
                <w:color w:val="auto"/>
                <w:w w:val="84"/>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obligations under the Credit Agreement are unconditionally guaranteed by us and each of our existing and subsequently acquired or organized direct or indirect wholly-owned domestic and foreign restricted subsidiaries, subject to certain exceptions for controlled foreign corporations, foreign subsidiaries where applicable law would otherwise be violated or non-material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or repurchase our capital stock,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we believe we are in compliance with all of our debt covenants.</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full text of the Credit Agreement is incorporated by reference into our Annual Report on Form 10-K filed on March 15, 2012 for the year ending December 31, 2011 as Exhibit 4.2.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June 30, 2012 and December 31, 2011, we had $24.4 million and $16.7 million of short term borrowings outstanding, respectively.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of our Chinese subsidiaries are entered into a RMB 138,600,000 (approximately $22 million), one-year revolving credit facility with Bank of America (the “Chinese Credit Facility—BOA”) that has a current termination date of December 2012. We currently have $21.3 million of outstanding borrowings from this credit facility as of June 30, 2012. Our Chinese Credit Facility—BOA currently bears interest based at 110% of the People’s Bank of China’s base rate and was 6.44% as of June 30, 2012.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addition, during April 2012, certain of our Chinese subsidiaries entered into a RMB 125,000,000 (approximately $20 million) one-year revolving credit facility with J.P. Morgan Chase Bank (“Chinese Credit Facility-JPM”). We currently have $ 3.1 million of outstanding borrowings from this credit facility as of June 30, 2012. The current rate of interest we are paying on our outstanding borrowings from our Chinese Credit Facility—JPM is 6.31% at June 30,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INFORMATION</w:t>
      </w:r>
    </w:p>
    <w:p>
      <w:pPr>
        <w:spacing w:after="0" w:line="96"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We have one reportable segment: TripAdvisor. We determined our segment based on how our chief operating decision maker manages our business, makes operating decisions and evaluates operating performance. Our primary operating metric for evaluating segment performance is Adjusted EBITDA. Adjusted EBITDA is defined as operating income plus: (1) depreciation of property and equipment, including internal use software and website development;</w:t>
      </w:r>
    </w:p>
    <w:p>
      <w:pPr>
        <w:spacing w:after="0" w:line="1" w:lineRule="exact"/>
        <w:rPr>
          <w:sz w:val="20"/>
          <w:szCs w:val="20"/>
          <w:color w:val="auto"/>
        </w:rPr>
      </w:pPr>
    </w:p>
    <w:p>
      <w:pPr>
        <w:ind w:right="300" w:firstLine="8"/>
        <w:spacing w:after="0" w:line="302"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amortization of intangible assets; (3) stock-based compensation; and (4) non-recurring expenses incurred to effect the Spin-Off during the year ended December 31, 2011. Such amounts are detailed in our segment reconciliation below. In addition, please see our discussion of Adjusted EBITDA in the section entitled “Management’s Discussion and Analysis of Financial Condition and Results of Operations” below.</w:t>
      </w: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reconciliation of Adjusted EBITDA to operating income and net income for the periods presented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94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$ 96,921</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$ 92,487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$ 181,110</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$174,494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Depreciation (1)</w:t>
            </w:r>
          </w:p>
        </w:tc>
        <w:tc>
          <w:tcPr>
            <w:tcW w:w="1140" w:type="dxa"/>
            <w:vAlign w:val="bottom"/>
            <w:gridSpan w:val="2"/>
          </w:tcPr>
          <w:p>
            <w:pPr>
              <w:jc w:val="right"/>
              <w:ind w:right="352"/>
              <w:spacing w:after="0"/>
              <w:rPr>
                <w:sz w:val="20"/>
                <w:szCs w:val="20"/>
                <w:color w:val="auto"/>
              </w:rPr>
            </w:pPr>
            <w:r>
              <w:rPr>
                <w:rFonts w:ascii="Arial" w:cs="Arial" w:eastAsia="Arial" w:hAnsi="Arial"/>
                <w:sz w:val="18"/>
                <w:szCs w:val="18"/>
                <w:color w:val="auto"/>
              </w:rPr>
              <w:t>(4,715)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(4,514)</w:t>
            </w:r>
          </w:p>
        </w:tc>
        <w:tc>
          <w:tcPr>
            <w:tcW w:w="1380" w:type="dxa"/>
            <w:vAlign w:val="bottom"/>
            <w:gridSpan w:val="3"/>
          </w:tcPr>
          <w:p>
            <w:pPr>
              <w:jc w:val="right"/>
              <w:ind w:right="372"/>
              <w:spacing w:after="0"/>
              <w:rPr>
                <w:sz w:val="20"/>
                <w:szCs w:val="20"/>
                <w:color w:val="auto"/>
              </w:rPr>
            </w:pPr>
            <w:r>
              <w:rPr>
                <w:rFonts w:ascii="Arial" w:cs="Arial" w:eastAsia="Arial" w:hAnsi="Arial"/>
                <w:sz w:val="18"/>
                <w:szCs w:val="18"/>
                <w:color w:val="auto"/>
              </w:rPr>
              <w:t>(8,996)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OIBA (2)</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92,206</w:t>
            </w:r>
          </w:p>
        </w:tc>
        <w:tc>
          <w:tcPr>
            <w:tcW w:w="4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172,114</w:t>
            </w:r>
          </w:p>
        </w:tc>
        <w:tc>
          <w:tcPr>
            <w:tcW w:w="4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gridSpan w:val="2"/>
          </w:tcPr>
          <w:p>
            <w:pPr>
              <w:jc w:val="right"/>
              <w:ind w:right="352"/>
              <w:spacing w:after="0"/>
              <w:rPr>
                <w:sz w:val="20"/>
                <w:szCs w:val="20"/>
                <w:color w:val="auto"/>
              </w:rPr>
            </w:pPr>
            <w:r>
              <w:rPr>
                <w:rFonts w:ascii="Arial" w:cs="Arial" w:eastAsia="Arial" w:hAnsi="Arial"/>
                <w:sz w:val="18"/>
                <w:szCs w:val="18"/>
                <w:color w:val="auto"/>
              </w:rPr>
              <w:t>(1,760)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(1,132)</w:t>
            </w:r>
          </w:p>
        </w:tc>
        <w:tc>
          <w:tcPr>
            <w:tcW w:w="1380" w:type="dxa"/>
            <w:vAlign w:val="bottom"/>
            <w:gridSpan w:val="3"/>
          </w:tcPr>
          <w:p>
            <w:pPr>
              <w:jc w:val="right"/>
              <w:ind w:right="372"/>
              <w:spacing w:after="0"/>
              <w:rPr>
                <w:sz w:val="20"/>
                <w:szCs w:val="20"/>
                <w:color w:val="auto"/>
              </w:rPr>
            </w:pPr>
            <w:r>
              <w:rPr>
                <w:rFonts w:ascii="Arial" w:cs="Arial" w:eastAsia="Arial" w:hAnsi="Arial"/>
                <w:sz w:val="18"/>
                <w:szCs w:val="18"/>
                <w:color w:val="auto"/>
              </w:rPr>
              <w:t>(3,599)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(6,768)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(1,968)</w:t>
            </w:r>
          </w:p>
        </w:tc>
        <w:tc>
          <w:tcPr>
            <w:tcW w:w="13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(11,460)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Spin-off costs</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(1,054)</w:t>
            </w:r>
          </w:p>
        </w:tc>
        <w:tc>
          <w:tcPr>
            <w:tcW w:w="220" w:type="dxa"/>
            <w:vAlign w:val="bottom"/>
          </w:tcPr>
          <w:p>
            <w:pPr>
              <w:spacing w:after="0"/>
              <w:rPr>
                <w:sz w:val="19"/>
                <w:szCs w:val="19"/>
                <w:color w:val="auto"/>
              </w:rPr>
            </w:pPr>
          </w:p>
        </w:tc>
        <w:tc>
          <w:tcPr>
            <w:tcW w:w="11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83,678</w:t>
            </w:r>
          </w:p>
        </w:tc>
        <w:tc>
          <w:tcPr>
            <w:tcW w:w="4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83,819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157,055</w:t>
            </w:r>
          </w:p>
        </w:tc>
        <w:tc>
          <w:tcPr>
            <w:tcW w:w="4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interest (expense) income, net</w:t>
            </w:r>
          </w:p>
        </w:tc>
        <w:tc>
          <w:tcPr>
            <w:tcW w:w="1140" w:type="dxa"/>
            <w:vAlign w:val="bottom"/>
            <w:gridSpan w:val="2"/>
          </w:tcPr>
          <w:p>
            <w:pPr>
              <w:jc w:val="right"/>
              <w:ind w:right="352"/>
              <w:spacing w:after="0"/>
              <w:rPr>
                <w:sz w:val="20"/>
                <w:szCs w:val="20"/>
                <w:color w:val="auto"/>
              </w:rPr>
            </w:pPr>
            <w:r>
              <w:rPr>
                <w:rFonts w:ascii="Arial" w:cs="Arial" w:eastAsia="Arial" w:hAnsi="Arial"/>
                <w:sz w:val="18"/>
                <w:szCs w:val="18"/>
                <w:color w:val="auto"/>
              </w:rPr>
              <w:t>(2,405)</w:t>
            </w:r>
          </w:p>
        </w:tc>
        <w:tc>
          <w:tcPr>
            <w:tcW w:w="640" w:type="dxa"/>
            <w:vAlign w:val="bottom"/>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8"/>
                <w:szCs w:val="18"/>
                <w:color w:val="auto"/>
              </w:rPr>
            </w:pPr>
          </w:p>
        </w:tc>
        <w:tc>
          <w:tcPr>
            <w:tcW w:w="1380" w:type="dxa"/>
            <w:vAlign w:val="bottom"/>
            <w:gridSpan w:val="3"/>
          </w:tcPr>
          <w:p>
            <w:pPr>
              <w:jc w:val="right"/>
              <w:ind w:right="372"/>
              <w:spacing w:after="0"/>
              <w:rPr>
                <w:sz w:val="20"/>
                <w:szCs w:val="20"/>
                <w:color w:val="auto"/>
              </w:rPr>
            </w:pPr>
            <w:r>
              <w:rPr>
                <w:rFonts w:ascii="Arial" w:cs="Arial" w:eastAsia="Arial" w:hAnsi="Arial"/>
                <w:sz w:val="18"/>
                <w:szCs w:val="18"/>
                <w:color w:val="auto"/>
              </w:rPr>
              <w:t>(5,337)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1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(4,539)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(3,843)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gridSpan w:val="2"/>
          </w:tcPr>
          <w:p>
            <w:pPr>
              <w:jc w:val="right"/>
              <w:ind w:right="352"/>
              <w:spacing w:after="0"/>
              <w:rPr>
                <w:sz w:val="20"/>
                <w:szCs w:val="20"/>
                <w:color w:val="auto"/>
              </w:rPr>
            </w:pPr>
            <w:r>
              <w:rPr>
                <w:rFonts w:ascii="Arial" w:cs="Arial" w:eastAsia="Arial" w:hAnsi="Arial"/>
                <w:sz w:val="18"/>
                <w:szCs w:val="18"/>
                <w:color w:val="auto"/>
              </w:rPr>
              <w:t>(23,569)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(30,383)</w:t>
            </w:r>
          </w:p>
        </w:tc>
        <w:tc>
          <w:tcPr>
            <w:tcW w:w="1380" w:type="dxa"/>
            <w:vAlign w:val="bottom"/>
            <w:gridSpan w:val="3"/>
          </w:tcPr>
          <w:p>
            <w:pPr>
              <w:jc w:val="right"/>
              <w:ind w:right="372"/>
              <w:spacing w:after="0"/>
              <w:rPr>
                <w:sz w:val="20"/>
                <w:szCs w:val="20"/>
                <w:color w:val="auto"/>
              </w:rPr>
            </w:pPr>
            <w:r>
              <w:rPr>
                <w:rFonts w:ascii="Arial" w:cs="Arial" w:eastAsia="Arial" w:hAnsi="Arial"/>
                <w:sz w:val="18"/>
                <w:szCs w:val="18"/>
                <w:color w:val="auto"/>
              </w:rPr>
              <w:t>(46,539)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(57,389)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53,165</w:t>
            </w:r>
          </w:p>
        </w:tc>
        <w:tc>
          <w:tcPr>
            <w:tcW w:w="4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101,336</w:t>
            </w:r>
          </w:p>
        </w:tc>
        <w:tc>
          <w:tcPr>
            <w:tcW w:w="4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140" w:type="dxa"/>
            <w:vAlign w:val="bottom"/>
            <w:gridSpan w:val="2"/>
          </w:tcPr>
          <w:p>
            <w:pPr>
              <w:jc w:val="right"/>
              <w:ind w:right="352"/>
              <w:spacing w:after="0"/>
              <w:rPr>
                <w:sz w:val="20"/>
                <w:szCs w:val="20"/>
                <w:color w:val="auto"/>
              </w:rPr>
            </w:pPr>
            <w:r>
              <w:rPr>
                <w:rFonts w:ascii="Arial" w:cs="Arial" w:eastAsia="Arial" w:hAnsi="Arial"/>
                <w:sz w:val="18"/>
                <w:szCs w:val="18"/>
                <w:color w:val="auto"/>
              </w:rPr>
              <w:t>(146)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380" w:type="dxa"/>
            <w:vAlign w:val="bottom"/>
            <w:gridSpan w:val="3"/>
          </w:tcPr>
          <w:p>
            <w:pPr>
              <w:jc w:val="right"/>
              <w:ind w:right="372"/>
              <w:spacing w:after="0"/>
              <w:rPr>
                <w:sz w:val="20"/>
                <w:szCs w:val="20"/>
                <w:color w:val="auto"/>
              </w:rPr>
            </w:pPr>
            <w:r>
              <w:rPr>
                <w:rFonts w:ascii="Arial" w:cs="Arial" w:eastAsia="Arial" w:hAnsi="Arial"/>
                <w:sz w:val="18"/>
                <w:szCs w:val="18"/>
                <w:color w:val="auto"/>
              </w:rPr>
              <w:t>(206)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TripAdvisor, Inc.</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$ 53,019</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$ 54,064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101,130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101,342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internal use software and website development.</w:t>
      </w:r>
    </w:p>
    <w:p>
      <w:pPr>
        <w:spacing w:after="0" w:line="15" w:lineRule="exact"/>
        <w:rPr>
          <w:rFonts w:ascii="Arial" w:cs="Arial" w:eastAsia="Arial" w:hAnsi="Arial"/>
          <w:sz w:val="18"/>
          <w:szCs w:val="18"/>
          <w:color w:val="auto"/>
        </w:rPr>
      </w:pPr>
    </w:p>
    <w:p>
      <w:pPr>
        <w:ind w:left="460" w:right="12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primary operating metric prior to the Spin-Off for evaluating operating performance was OIBA, as reported on our Registration Statement. OIBA is defined as operating income plus: (1) amortization of intangible assets and any related impairment; (2) stock-based compensation expense; and (3) non-recurring expenses incurred to effect the Spin-Off during the year ended December 31, 2011. This operating metric is no longer being used by our management to measure operating performance and is only being shown above to illustrate the financial impact as we converted to a new operating metric post Spin-Off.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on most matters. Holders of TripAdvisor common stock, acting as a single class, are entitled to elect a number of directors equal to 25% percent of the total number of directors, rounded up to the next whole number, which is currently three directors.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As discussed in our Annual Report on Form 10-K filed March 15, 2012 (“Note 1— </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in connection with the Spin-Off a one-for-two reverse stock split of outstanding Expedia capital stock occurred immediately prior to the Spin-Off, which resulted in 120,661,020 shares of Common Stock and 12,799,999 shares of Class B common stock outstanding immediately following the Spin-Off.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to common stock, we are authorized to issue up to 100 million preferred shares, with $ 0.001 par value per share, with terms determined by our Board of Directors, without further action by our stockholders. At June 30, 2012, no preferred shares had been issued.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During the period January 1, 2012 through June 30, 2012, our Board of Directors did not authorize any share buyback program and we have not repurchased any shares of outstanding common stock.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January 1, 2012 through June 30, 2012, our Board of Directors did not declare any dividends on our outstanding common stock.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9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Accumulated other comprehensive income (loss) for the six months ended June 30, 2012 and the year ended December 31, 2011 is comprised of accumulated foreign currency translation adjustments.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CASH AND CASH EQUIVALENTS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cash and cash equivalents consist primarily of cash and liquid financial instruments, including money market funds, with maturities of 90 days or less when purchased.</w:t>
      </w:r>
    </w:p>
    <w:p>
      <w:pPr>
        <w:spacing w:after="0" w:line="3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by security type at June 30, 2012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51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6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5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Gains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99"/>
              </w:rPr>
              <w:t>Losses</w:t>
            </w:r>
          </w:p>
        </w:tc>
        <w:tc>
          <w:tcPr>
            <w:tcW w:w="560" w:type="dxa"/>
            <w:vAlign w:val="bottom"/>
          </w:tcPr>
          <w:p>
            <w:pPr>
              <w:spacing w:after="0"/>
              <w:rPr>
                <w:sz w:val="14"/>
                <w:szCs w:val="14"/>
                <w:color w:val="auto"/>
              </w:rPr>
            </w:pPr>
          </w:p>
        </w:tc>
        <w:tc>
          <w:tcPr>
            <w:tcW w:w="7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5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$409,120</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$409,120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Money market funds—cash equivalent</w:t>
            </w: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69,121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69,121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478,241</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478,241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w w:val="89"/>
              </w:rPr>
              <w:t>Cash and cash equivalents by security type at December 31, 2011 were as follows:</w:t>
            </w: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9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51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6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5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Gains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99"/>
              </w:rPr>
              <w:t>Losses</w:t>
            </w:r>
          </w:p>
        </w:tc>
        <w:tc>
          <w:tcPr>
            <w:tcW w:w="560" w:type="dxa"/>
            <w:vAlign w:val="bottom"/>
          </w:tcPr>
          <w:p>
            <w:pPr>
              <w:spacing w:after="0"/>
              <w:rPr>
                <w:sz w:val="14"/>
                <w:szCs w:val="14"/>
                <w:color w:val="auto"/>
              </w:rPr>
            </w:pPr>
          </w:p>
        </w:tc>
        <w:tc>
          <w:tcPr>
            <w:tcW w:w="7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5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$ 114,532</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$ 114,532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Money market funds—cash equivalent</w:t>
            </w: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69,000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183,532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measure assets and liabilities at fair value based on the expected exit price, which is the amount that would be received on the sale of an asset or amount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1—Valuations based on quoted prices for identical assets and liabilities in active markets.</w:t>
      </w:r>
    </w:p>
    <w:p>
      <w:pPr>
        <w:spacing w:after="0" w:line="90" w:lineRule="exact"/>
        <w:rPr>
          <w:sz w:val="20"/>
          <w:szCs w:val="20"/>
          <w:color w:val="auto"/>
        </w:rPr>
      </w:pPr>
    </w:p>
    <w:p>
      <w:pPr>
        <w:ind w:left="460" w:right="160" w:firstLine="438"/>
        <w:spacing w:after="0" w:line="259" w:lineRule="auto"/>
        <w:rPr>
          <w:sz w:val="20"/>
          <w:szCs w:val="20"/>
          <w:color w:val="auto"/>
        </w:rPr>
      </w:pPr>
      <w:r>
        <w:rPr>
          <w:rFonts w:ascii="Arial" w:cs="Arial" w:eastAsia="Arial" w:hAnsi="Arial"/>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sz w:val="20"/>
          <w:szCs w:val="20"/>
          <w:color w:val="auto"/>
        </w:rPr>
      </w:pPr>
    </w:p>
    <w:p>
      <w:pPr>
        <w:ind w:left="460" w:right="100" w:firstLine="438"/>
        <w:spacing w:after="0" w:line="268" w:lineRule="auto"/>
        <w:rPr>
          <w:sz w:val="20"/>
          <w:szCs w:val="20"/>
          <w:color w:val="auto"/>
        </w:rPr>
      </w:pPr>
      <w:r>
        <w:rPr>
          <w:rFonts w:ascii="Arial" w:cs="Arial" w:eastAsia="Arial" w:hAnsi="Arial"/>
          <w:sz w:val="18"/>
          <w:szCs w:val="18"/>
          <w:color w:val="auto"/>
        </w:rPr>
        <w:t>Level 3—Valuations based on unobservable inputs reflecting our own assumptions, consistent with reasonably available assumptions made by other market participants. These valuations require significant judgment.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summary of the fair value measurements of our assets as of June 30, 2012 and December 31, 2011:</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Assets at</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54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Level 1</w:t>
            </w:r>
          </w:p>
        </w:tc>
        <w:tc>
          <w:tcPr>
            <w:tcW w:w="420" w:type="dxa"/>
            <w:vAlign w:val="bottom"/>
          </w:tcPr>
          <w:p>
            <w:pPr>
              <w:spacing w:after="0" w:line="148" w:lineRule="exact"/>
              <w:rPr>
                <w:sz w:val="20"/>
                <w:szCs w:val="20"/>
                <w:color w:val="auto"/>
              </w:rPr>
            </w:pPr>
            <w:r>
              <w:rPr>
                <w:rFonts w:ascii="Arial" w:cs="Arial" w:eastAsia="Arial" w:hAnsi="Arial"/>
                <w:sz w:val="14"/>
                <w:szCs w:val="14"/>
                <w:b w:val="1"/>
                <w:bCs w:val="1"/>
                <w:color w:val="auto"/>
                <w:w w:val="84"/>
              </w:rPr>
              <w:t>Level 2</w:t>
            </w:r>
          </w:p>
        </w:tc>
        <w:tc>
          <w:tcPr>
            <w:tcW w:w="540" w:type="dxa"/>
            <w:vAlign w:val="bottom"/>
          </w:tcPr>
          <w:p>
            <w:pPr>
              <w:spacing w:after="0"/>
              <w:rPr>
                <w:sz w:val="14"/>
                <w:szCs w:val="14"/>
                <w:color w:val="auto"/>
              </w:rPr>
            </w:pPr>
          </w:p>
        </w:tc>
        <w:tc>
          <w:tcPr>
            <w:tcW w:w="420" w:type="dxa"/>
            <w:vAlign w:val="bottom"/>
          </w:tcPr>
          <w:p>
            <w:pPr>
              <w:spacing w:after="0" w:line="148" w:lineRule="exact"/>
              <w:rPr>
                <w:sz w:val="20"/>
                <w:szCs w:val="20"/>
                <w:color w:val="auto"/>
              </w:rPr>
            </w:pPr>
            <w:r>
              <w:rPr>
                <w:rFonts w:ascii="Arial" w:cs="Arial" w:eastAsia="Arial" w:hAnsi="Arial"/>
                <w:sz w:val="14"/>
                <w:szCs w:val="14"/>
                <w:b w:val="1"/>
                <w:bCs w:val="1"/>
                <w:color w:val="auto"/>
                <w:w w:val="84"/>
              </w:rPr>
              <w:t>Level 3</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June 30, 2012</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funds—cash equivalent (1)</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69,121</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w:t>
            </w: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69,121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69,121</w:t>
            </w:r>
          </w:p>
        </w:tc>
        <w:tc>
          <w:tcPr>
            <w:tcW w:w="5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3"/>
              </w:rPr>
              <w:t>Assets at</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54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Level 1</w:t>
            </w:r>
          </w:p>
        </w:tc>
        <w:tc>
          <w:tcPr>
            <w:tcW w:w="420" w:type="dxa"/>
            <w:vAlign w:val="bottom"/>
          </w:tcPr>
          <w:p>
            <w:pPr>
              <w:spacing w:after="0" w:line="148" w:lineRule="exact"/>
              <w:rPr>
                <w:sz w:val="20"/>
                <w:szCs w:val="20"/>
                <w:color w:val="auto"/>
              </w:rPr>
            </w:pPr>
            <w:r>
              <w:rPr>
                <w:rFonts w:ascii="Arial" w:cs="Arial" w:eastAsia="Arial" w:hAnsi="Arial"/>
                <w:sz w:val="14"/>
                <w:szCs w:val="14"/>
                <w:b w:val="1"/>
                <w:bCs w:val="1"/>
                <w:color w:val="auto"/>
                <w:w w:val="84"/>
              </w:rPr>
              <w:t>Level 2</w:t>
            </w:r>
          </w:p>
        </w:tc>
        <w:tc>
          <w:tcPr>
            <w:tcW w:w="540" w:type="dxa"/>
            <w:vAlign w:val="bottom"/>
          </w:tcPr>
          <w:p>
            <w:pPr>
              <w:spacing w:after="0"/>
              <w:rPr>
                <w:sz w:val="14"/>
                <w:szCs w:val="14"/>
                <w:color w:val="auto"/>
              </w:rPr>
            </w:pPr>
          </w:p>
        </w:tc>
        <w:tc>
          <w:tcPr>
            <w:tcW w:w="420" w:type="dxa"/>
            <w:vAlign w:val="bottom"/>
          </w:tcPr>
          <w:p>
            <w:pPr>
              <w:spacing w:after="0" w:line="148" w:lineRule="exact"/>
              <w:rPr>
                <w:sz w:val="20"/>
                <w:szCs w:val="20"/>
                <w:color w:val="auto"/>
              </w:rPr>
            </w:pPr>
            <w:r>
              <w:rPr>
                <w:rFonts w:ascii="Arial" w:cs="Arial" w:eastAsia="Arial" w:hAnsi="Arial"/>
                <w:sz w:val="14"/>
                <w:szCs w:val="14"/>
                <w:b w:val="1"/>
                <w:bCs w:val="1"/>
                <w:color w:val="auto"/>
                <w:w w:val="84"/>
              </w:rPr>
              <w:t>Level 3</w:t>
            </w:r>
          </w:p>
        </w:tc>
        <w:tc>
          <w:tcPr>
            <w:tcW w:w="540" w:type="dxa"/>
            <w:vAlign w:val="bottom"/>
          </w:tcPr>
          <w:p>
            <w:pPr>
              <w:spacing w:after="0"/>
              <w:rPr>
                <w:sz w:val="14"/>
                <w:szCs w:val="14"/>
                <w:color w:val="auto"/>
              </w:rPr>
            </w:pPr>
          </w:p>
        </w:tc>
        <w:tc>
          <w:tcPr>
            <w:tcW w:w="118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funds—cash equivalent (1)</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69,000</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w:t>
            </w: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69,000</w:t>
            </w:r>
          </w:p>
        </w:tc>
        <w:tc>
          <w:tcPr>
            <w:tcW w:w="5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Cash equivalents include money market investment accounts that hold excess liquid funds. The fair value measurement of these assets is based on quoted market prices in active markets and, therefore, is recorded at fair value on a recurring basis and classified as Level 1 assets.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Level 2 or 3 assets for the period ended June 30, 2012 or December 31, 2011.</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One of our acquisitions made during 2008 includes noncontrolling interests with certain rights whereby we may acquire, and the minority shareholders may sell to us, the additional shares of the subsidiary, at fair value or at adjusted fair values at our discretion, beginning in the fourth quarter of 2012. Fair value determinations are based on various internal valuation techniques, including market comparables and discounted cash flow projections and are considered a Level 3 liability at June 30, 2012 and December 31, 2011. Certain assumptions are used in determining fair value, including revenue growth rates and discount rates. Changes in these assumptions would impact the fair value. In addition, under certain circumstances the parties may be required to submit to arbitration in order to determine the final fair value of the noncontrolling interests. Changes in the fair value of the shares for which the minority holders may sell to us are recorded to the redeemable noncontrolling interest with charges or credits to additional paid in capital. Our redeemable noncontrolling interest is not material for all periods presented and is included in other current liabilities.</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currently invest excess cash balances primarily in cash deposits and money market investment accounts at major banks. The carrying amount of cash deposits, cash equivalents, trade receivables, related party receivables, prepaid expenses and other current assets, trade payables, accrued and other current liabilities and deferred revenue as reported on the unaudited consolidated and combined balance sheet as of June 30, 2012 and December 31, 2011, approximate their fair value because of the short maturity of those instruments. The carrying value of the borrowings outstanding on our Credit Agreement bear interest at a variable rate and are considered to approximate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As discussed in our Annual Report on Form 10-K filed March 15, 2012 (“Note 1— </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in connection with the Spin-Off a one-for-two reverse stock split of outstanding Expedia capital stock occurred immediately prior to the Spin-Off, which resulted in 120,661,020 shares of common stock and 12,799,999 shares of Class B common stock outstanding immediately following the Spin-Off.</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For the three and six months ended June 30, 2012, we computed basic earnings per share using the number of shares of common stock and Class B common stock outstanding as of December 31, 2011 plus the weighted average of any additional shares issued and outstanding during the three and six months ended June 30, 2012.</w:t>
      </w:r>
    </w:p>
    <w:p>
      <w:pPr>
        <w:spacing w:after="0" w:line="14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For the three and six months ended June 30, 2011, we computed basic earnings per share using the number of shares of common stock and Class B common stock outstanding immediately following the Spin-Off, as if such shares were outstanding for the entire period.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96"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For the three and six months ended June 30, 2012, we computed diluted earnings per share using (i) the number of shares of common stock and Class B common stock outstanding at December 31, 2011, (ii) the weighted average of any additional shares issued and outstanding for the three and six months ended June 30, 2012, and (iii) if dilutive, the incremental weighted average common stock that we would issue upon the assumed exercise of common equivalent shares related to stock options and stock warrants and the vesting of restricted stock units using the treasury stock method during the three and six months ended</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June 30, 2012, and (iv) if dilutive, performance based awards based on the number of shares that would be issuable as of the end of the reporting period assuming the end of the reporting period was also the end of the contingency period.</w:t>
      </w:r>
    </w:p>
    <w:p>
      <w:pPr>
        <w:spacing w:after="0" w:line="13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2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For the three and six months ended June 30, 2011, we computed diluted earnings per share using (i) the number of shares of common stock and Class B common stock outstanding immediately following the Spin-Off, as no TripAdvisor equity awards were outstanding prior to the Spin-Off.</w:t>
      </w:r>
    </w:p>
    <w:p>
      <w:pPr>
        <w:spacing w:after="0" w:line="28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earnings per share (in thousands, except for per share information):</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ind w:left="26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ind w:left="3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w w:val="81"/>
              </w:rPr>
              <w:t>June 30,</w:t>
            </w: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100"/>
              <w:spacing w:after="0" w:line="159" w:lineRule="exact"/>
              <w:rPr>
                <w:sz w:val="20"/>
                <w:szCs w:val="20"/>
                <w:color w:val="auto"/>
              </w:rPr>
            </w:pPr>
            <w:r>
              <w:rPr>
                <w:rFonts w:ascii="Arial" w:cs="Arial" w:eastAsia="Arial" w:hAnsi="Arial"/>
                <w:sz w:val="14"/>
                <w:szCs w:val="14"/>
                <w:color w:val="auto"/>
                <w:w w:val="81"/>
              </w:rPr>
              <w:t>June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2012</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2011</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2012</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28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Net income attributable to TripAdvisor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53,019</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54,064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101,130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2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Weighted average shares used to compute Basic EPS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139,278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133,461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136,516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Weighted average effect of dilutive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ind w:left="88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RSUs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gridSpan w:val="3"/>
          </w:tcPr>
          <w:p>
            <w:pPr>
              <w:ind w:left="880"/>
              <w:spacing w:after="0"/>
              <w:rPr>
                <w:sz w:val="20"/>
                <w:szCs w:val="20"/>
                <w:color w:val="auto"/>
              </w:rPr>
            </w:pPr>
            <w:r>
              <w:rPr>
                <w:rFonts w:ascii="Arial" w:cs="Arial" w:eastAsia="Arial" w:hAnsi="Arial"/>
                <w:sz w:val="18"/>
                <w:szCs w:val="18"/>
                <w:color w:val="auto"/>
              </w:rPr>
              <w:t>Stock warrants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Weighted average shares used to compute Diluted EPS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141,737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133,461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138,947</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color w:val="auto"/>
              </w:rPr>
              <w:t>Basic EPS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8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potential common shares related to stock options and RSUs were excluded from the calculation of diluted net income per share because their effect would have been anti-dilutive for the periods presented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380" w:type="dxa"/>
            <w:vAlign w:val="bottom"/>
          </w:tcPr>
          <w:p>
            <w:pPr>
              <w:spacing w:after="0"/>
              <w:rPr>
                <w:sz w:val="14"/>
                <w:szCs w:val="14"/>
                <w:color w:val="auto"/>
              </w:rPr>
            </w:pPr>
          </w:p>
        </w:tc>
        <w:tc>
          <w:tcPr>
            <w:tcW w:w="140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28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362"/>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RSUs (1)</w:t>
            </w: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4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r>
      <w:tr>
        <w:trPr>
          <w:trHeight w:val="27"/>
        </w:trPr>
        <w:tc>
          <w:tcPr>
            <w:tcW w:w="7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2,891</w:t>
            </w:r>
          </w:p>
        </w:tc>
        <w:tc>
          <w:tcPr>
            <w:tcW w:w="4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r>
      <w:tr>
        <w:trPr>
          <w:trHeight w:val="20"/>
        </w:trPr>
        <w:tc>
          <w:tcPr>
            <w:tcW w:w="7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00" w:hanging="452"/>
        <w:spacing w:after="0" w:line="306"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totals do not include performance based RSUs representing the right to acquire 400,000 shares of common stock, for which all targets required to trigger vesting have not been achieved during the three and six months ended June 30, 2012; therefore, such awards were excluded from the calculation of weighted average shares used to compute diluted earnings per share for those reporting periods.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Expedia</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Following the Spin-Off, TripAdvisor and Expedia are related parties since they are under common control. Revenue we derived from related party transactions with Expedia was $55.7 million and $107.3 million for the three and six months ended June 30, 2012 and was $59.2 million and $113.1 million for the three and six months ended June 30, 2011, respectively, which primarily consisted of click-based advertising and other advertising services provided to Expedia and its subsidiaries and is recorded at contract value, which we believe is a reasonable reflection of the value of the services provided. This related-party revenue represented 28.3% and 28.2% of our total revenue for the three and six months ended June 30, 2012 and for the three and six months ended June 30, 2011, related-party revenue represented 35.0% and 35.5% of our total revenue, respectively.</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operating expenses for the three and six months ended June 30, 2011 included a related-party shared services fee of $2.0 million and $4.0 million, which was comprised of allocations from Expedia for accounting, legal, tax, corporate development, treasury, financial reporting, real estate management and included an allocation of employee compensation within these functions. This related-party shared service fee ended in connection with the Spin-Off. These allocations were determined on a basis that Expedia and we considered to be a reasonable reflection of the cost of services provided or the benefit received by us. These expenses were allocated based on a number of factors including headcount, estimated time spent and operating expenses. It was not practicable to determine the amounts of these expenses that would have been incurred had we operated as an unaffiliated entity. In the opinion of our management, the allocation method was reasonable.</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Other related-party operating expenses which were included within Selling and Marketing expense were $1.8 million and $3.5 million for the three and six months ended June 30, 2012, respectively, which primarily consisted of marketing expense for exit windows. For the three and six months ended June 30, 2011, other related-party operating expenses which were included within Selling and Marketing expense were approximately $1.2 million and $2.0 million.</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net related party receivable with Expedia and its subsidiaries reflected in our consolidated and combined balance sheets as of June 30, 2012 and December 31, 2011 were $40.2 million and $14.1 million, respectively. We received $7.0 million from Expedia during the first fiscal quarter of 2012, which was owed to us as a result of the subsequent reconciliation process allowed in the Separation Agreement related to the approximate $406 million distribution paid to Expedia immediately prior to the Spin-Off. This balance was included in our related party receivable balance at December 31, 2011.</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purposes of governing certain of the ongoing relationships between us and Expedia at and after the Spin-Off, and to provide for an orderly transition, we and Expedia entered into various agreements, including, among others, the Separation Agreement, the Tax Sharing Agreement, the Employee Matters agreement, the Transition Services Agreement, and commercial agreements. The various commercial agreements, including click-based advertising agreements, content sharing agreements and display-based and other advertising agreements, have terms of one to three years.</w:t>
      </w:r>
    </w:p>
    <w:p>
      <w:pPr>
        <w:spacing w:after="0" w:line="11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full texts of the Separation Agreement, the Tax Sharing Agreement, the Employee Matters Agreement, the Transition Services Agreement and the Master Advertising Agreement (CPC) are incorporated by reference into our Annual Report on Form 10-K filed on March 15, 2012 for the year ended December 31, 2011 as Exhibits 2.1, 10.2, 10.3, 10.4 and 10.6 (10.6 filed in redacted form pursuant to confidential treatment request),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Interactive Corporation and Barry Diller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Diller, our Chairman of the Board of Directors and Senior Executive, through shares he owns beneficially as well as those subject to an irrevocable proxy granted by Liberty Interactive Corporation, or Liberty, controls approximately 57.1% of the combined voting power of the outstanding TripAdvisor capital stock as of June 30, 2012. As such, Mr. Diller effectively controls the outcome of all matters submitted to a vote or for the consent of our stockholders (other than with respect to the election by the holders of common stock of 25% of the members of our Board of Directors and matters as to which Delaware law requires a separate class vote). Upon Mr. Diller’s permanent departure from TripAdvisor, the irrevocable proxy would terminate and depending on the capitalization of TripAdvisor at such time, Liberty could effectively control the voting power of our capital stock. On May 3, 2012, Liberty Interactive Corporation, or Liberty, sold 8,450,000 shares of our common stock pursuant to Rule 144 under the Securities Act of 1933, as amended at an average per share price of $40.</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2011, Part I, Item 1A, “Risk Factors,” 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Securities and Exchange Commission (“SEC”) that attempt to advise interested parties of the risks and factors that may affect our business, prospects and results of operations.</w:t>
      </w:r>
    </w:p>
    <w:p>
      <w:pPr>
        <w:spacing w:after="0" w:line="12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information included in this management’s discussion and analysis of financial condition and results of operations should be read in conjunction with our consolidated and combined financial statements and the notes included in this Quarterly Report on Form 10-Q, and the audited consolidated and combined financial statements and notes and Management’s Discussion and Analysis of Financial Condition and Results of Operations contained in our Annual Report on Form 10-K filed March 15, 2012 for the year ended December 31,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are the world’s largest online travel company, empowering users to plan and have the perfect trip. Our travel research platform aggregates reviews and opinions from our community about destinations, accommodations (including hotels, resorts, motels, B&amp;Bs, specialty lodging and vacation rentals), restaurants and activities throughout the world through our flagship TripAdvisor brand. Our branded websites include tripadvisor.com in the United States and localized versions of the website in 29 other countries, including in China under the brand daodao.com. Our TripAdvisor branded websites globally received an average of more than 54 million monthly unique visitors for the quarter ended June 2012, according to comScore, and we have built a base of more than 32 million marketable members, which are members we have permission to email on a regular basis, and we feature over 75 million reviews and opinions. Beyond travel-related content, our websites also include links to the websites of our advertisers, including travel advertisers, allowing travelers to directly book their travel arrangements. In addition to the flagship TripAdvisor brand, we now manage and operate websites under 19 other travel brands, connected by the common goal of providing comprehensive travel planning resources across the travel sector. On March 21, 2012, we announced the launch of a new travel brand, Tingo, the first hotel booking site that automatically rebooks hotel rooms at a lower price if the rate drops and then refunds the difference to the travelers’ credit cards when the traveler books a “Money Back” room.</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to our flagship TripAdvisor-branded websites, our portfolio of managed and operated websites include whereivebeen.com, everytrail.com, holidaylettings.co.uk, kuxun.cn, flipkey.com, onetime.com, virtualtourist.com, airfarewatchdog.com, holidaywatchdog.com, cruisecritic.com, independenttraveler.com, seatguru.com, bookingbuddy.com, smartertravel.com, travelpod.com, travel-library.com, sniqueaway.com, familyvactioncritic.com and tingo.com. For additional information about our portfolio of brands, see “Other Travel Brands and Websites” in Part I, Item 1, “Business,” in our Annual Report on Form 10-K filed on March 15, 2012 for the year ended December 31,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derive substantially all of our revenue from the sale of advertising, primarily through click-based advertising and, to a lesser extent, display-based advertising. The remainder of our revenue is generated through a combination of subscription-based offerings, transactions conducted via our flash sale website, SniqueAway, and our recently-launched Tingo hotel booking site, and other revenue including content licensing.</w:t>
      </w:r>
    </w:p>
    <w:p>
      <w:pPr>
        <w:spacing w:after="0" w:line="26" w:lineRule="exact"/>
        <w:rPr>
          <w:sz w:val="20"/>
          <w:szCs w:val="20"/>
          <w:color w:val="auto"/>
        </w:rPr>
      </w:pPr>
    </w:p>
    <w:p>
      <w:pPr>
        <w:ind w:left="900" w:right="160" w:hanging="325"/>
        <w:spacing w:after="0" w:line="289"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Click-Based Advertising Revenue </w:t>
      </w:r>
      <w:r>
        <w:rPr>
          <w:rFonts w:ascii="Arial" w:cs="Arial" w:eastAsia="Arial" w:hAnsi="Arial"/>
          <w:sz w:val="16"/>
          <w:szCs w:val="16"/>
          <w:color w:val="auto"/>
        </w:rPr>
        <w:t>. Our largest source of revenue is click-based advertising, which includes our “check rates” feature as well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contextually-relevant branded and unbranded textlinks. Our click-based advertising partners are predominantly online travel agencies and direct suppliers in the hotel, airline and cruise product categories. The “check rates” feature enables users to compare pricing and availability for a particular hotel across different on-line travel agents’ and hotel partners’ booking engines and thereby delivers a highly-targeted audience deep into the booking paths of their websites. Click-based advertising is generally priced on a cost-per-click, or CPC, basis, with payments from advertisers based on the number of users who click on each type of link. Advertisers who increase their CPC rates generally get an increased number of clicks from their click-based advertising on our websites. Most of our click-based advertising contracts can be terminated by the advertisers at will or on short notice.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Display-Based Advertising Revenue </w:t>
      </w:r>
      <w:r>
        <w:rPr>
          <w:rFonts w:ascii="Arial" w:cs="Arial" w:eastAsia="Arial" w:hAnsi="Arial"/>
          <w:sz w:val="16"/>
          <w:szCs w:val="16"/>
          <w:color w:val="auto"/>
        </w:rPr>
        <w:t>. We also earn revenue from a variety of display-based advertising placements on our websites through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advertising partners can promote their brands in a contextually-relevant manner. While our display-based advertising clients include direct suppliers in the hotel, airline and cruise categories and online travel agencies, we have also broadened our advertiser base to include destination marketing organizations, casinos, resorts and attractions, as well as advertisers from non-travel categories. We generally sell our display-based advertising on a cost per thousand impressions, or CPM, basis. Our display-based advertising products also include a number of custom-built products including the sponsorship of certain site features and functionality, as well as certain customized co-branded features.</w:t>
      </w:r>
    </w:p>
    <w:p>
      <w:pPr>
        <w:spacing w:after="0" w:line="39" w:lineRule="exact"/>
        <w:rPr>
          <w:rFonts w:ascii="Arial" w:cs="Arial" w:eastAsia="Arial" w:hAnsi="Arial"/>
          <w:sz w:val="16"/>
          <w:szCs w:val="16"/>
          <w:color w:val="auto"/>
        </w:rPr>
      </w:pPr>
    </w:p>
    <w:p>
      <w:pPr>
        <w:ind w:left="900" w:right="20" w:hanging="325"/>
        <w:spacing w:after="0" w:line="25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Subscription-Based, Transaction and Other Revenue </w:t>
      </w:r>
      <w:r>
        <w:rPr>
          <w:rFonts w:ascii="Arial" w:cs="Arial" w:eastAsia="Arial" w:hAnsi="Arial"/>
          <w:sz w:val="18"/>
          <w:szCs w:val="18"/>
          <w:color w:val="auto"/>
        </w:rPr>
        <w:t>. We also offer advertising via a subscription model that is sold for a flat fee per time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Managed by our Trip for Business division, this advertising product, Business Listings, is currently offered to hotels, B&amp;Bs and other specialty lodging properties and allows subscribers to list a website URL, email address and phone number on TripAdvisor-branded websites as well as to post special offers for travelers. Our Vacation Rentals division allows individual vacation property owners or managers to pay a subscription fee to list properties on our Holiday Lettings and FlipKey websites, as well as on select TripAdvisor-branded websites. Other sources of revenue include selling discounted hotel room nights and coupons on our flash sale website, SniqueAway, transactions via our Tingo website and licensing our content to third-party sites.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financial results are dependent on our ability to drive our click-based advertising revenue and continue to invest in areas of potential growth, including our social, mobile and global initiatives as well as our subscription-based businesses, which include vacation rentals and business listings, and our transaction – based businesses, which include SniqueAway and Tingo. We have leveraged our position as the largest online travel company to become a critical partner for online advertisers – including hotels, online travel agencies and other travel-related service providers – by providing our customers with access to our large audience of highly-qualified, highly-engaged users. The key drivers of our click-based advertising revenue are described below, as well as a summary of our key growth areas and the current trends impacting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Click-Based Advertising Revenue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the three and six months ended June 30, 2012, respectively, 77% and 78% of our total revenue came from our core cost-per-click, or CPC, based lead generation product. For the three and six months ended June 30, 2011, respectively, 79% and 80% of our total revenue came from our core cost-per-click, or CPC, based lead generation product. Revenues derived from CPC based lead generation represented 79% of our total revenue for the year ending December 31, 2011. The key drivers of our click-based advertising revenue include the growth in hotel shoppers, user conversion and lead pricing. Total traffic growth, or growth in monthly visits from unique IP addresses is reflective of our overall brand growth. We continue to refine our ability to track and analyze sub-segments of traffic and its correlation to revenue generation and we believe that hotel shoppers is a more useful indicator of revenue growth. We use the term “hotel shoppers” to refer to users who view a listing of hotels in a city or visitors who view a specific hotel page.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After hotel shoppers, the second driver of our business is user conversion, which is a measure of how many hotel shoppers ultimately click on a CPC link that generates revenue for us. User conversion on our site is primarily driven by three factors: merchandising, commerce coverage and choice. We think of merchandising as the number and location of ads that are available on a page; commerce coverage is whether we have a client who can take an online booking for a particular property; and choice is the number of clients available for any given property, allowing the user to shop for the best price. In summary, our CPC revenue depends on the number of hotel shoppers that we can get interested in a property, whether there is a commerce link available for that hotel shopper to click on for that property and whether there are several commerce choices available for that property, so the hotel shopper can shop around. The other key driver that we look at is the CPC price that online travel agencies and hoteliers are willing to pay us for our leads.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Growth Areas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continue to invest in areas of potential growth, including our social, mobile and global initiatives as well as our subscription-based businesses, which include vacation rentals and business listings.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Social</w:t>
      </w:r>
      <w:r>
        <w:rPr>
          <w:rFonts w:ascii="Arial" w:cs="Arial" w:eastAsia="Arial" w:hAnsi="Arial"/>
          <w:sz w:val="16"/>
          <w:szCs w:val="16"/>
          <w:color w:val="auto"/>
        </w:rPr>
        <w:t>. Our Wisdom of Friends initiative is a core component of our strategic growth plan; 76% of respondents to a recent Nielsen study cited</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“recommendations from people I know” as the information source that they trust most. We believe that having a strong social presence drives traffic to and engagement on our sites and improves the sites’ “stickiness” amongst the users. As a result, we continue to deepen our integration with Facebook’s Friend Graph. As of June 30, 2012, and according to AppData, an independent application tracking traffic service, TripAdvisor has reached 32 million Facebook users via it’s TripAdvisor Facebook application id. We offer these Facebook users a personalized and social travel planning experience that enables travelers to engage first with their own Facebook friends’ reviews and opinions when planning their perfect trip on TripAdvisor.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Mobile</w:t>
      </w:r>
      <w:r>
        <w:rPr>
          <w:rFonts w:ascii="Arial" w:cs="Arial" w:eastAsia="Arial" w:hAnsi="Arial"/>
          <w:sz w:val="16"/>
          <w:szCs w:val="16"/>
          <w:color w:val="auto"/>
        </w:rPr>
        <w:t>. Mobile is an investment area that is geared towards creating a more complete user experience by reinforcing the TripAdvisor brand when users are</w:t>
      </w:r>
      <w:r>
        <w:rPr>
          <w:rFonts w:ascii="Arial" w:cs="Arial" w:eastAsia="Arial" w:hAnsi="Arial"/>
          <w:sz w:val="16"/>
          <w:szCs w:val="16"/>
          <w:i w:val="1"/>
          <w:iCs w:val="1"/>
          <w:color w:val="auto"/>
        </w:rPr>
        <w:t xml:space="preserve"> </w:t>
      </w:r>
      <w:r>
        <w:rPr>
          <w:rFonts w:ascii="Arial" w:cs="Arial" w:eastAsia="Arial" w:hAnsi="Arial"/>
          <w:sz w:val="16"/>
          <w:szCs w:val="16"/>
          <w:color w:val="auto"/>
        </w:rPr>
        <w:t>in-market. In the year ended December 31, 2011, we saw strong user uptake, reaching an aggregate of 13 million mobile downloads and approximately 16 million monthly unique users, as measured by our own log files, and as of June 30, 2012, we reached over 22 million mobile downloads of our TripAdvisor, City Guides, and SeatGuru apps and over 27 million monthly unique users. We believe that mobile devices, including smartphones and tablet devices, are increasingly used when travelers begin to plan trips. In order to capture an increasing percentage of these users, we have designed our mobile product to be user-friendly and have chosen not to monetize that platform to its full potential at this time. We expect the long-term benefits of a more engaged mobile audience to outweigh the short-term revenue that we could generate from, for example, an increased number of advertisements.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Vacation Rentals</w:t>
      </w:r>
      <w:r>
        <w:rPr>
          <w:rFonts w:ascii="Arial" w:cs="Arial" w:eastAsia="Arial" w:hAnsi="Arial"/>
          <w:sz w:val="16"/>
          <w:szCs w:val="16"/>
          <w:color w:val="auto"/>
        </w:rPr>
        <w:t>. This product addresses a highly-fragmented $85 billion per-year industry, according to a 2010 Radius Global Market study. Historically,</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built our supply content through acquisitions, namely our U.S.-based FlipKey and U.K.-based Holiday Lettings businesses, but during the fourth quarter of 2011 we announced partnerships aimed at increasing our supply content. We believe that our nearly 200,000 properties, as of December 31, 2011, and our highly-engaged and motivated community, position us extremely well for success.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Business Listings</w:t>
      </w:r>
      <w:r>
        <w:rPr>
          <w:rFonts w:ascii="Arial" w:cs="Arial" w:eastAsia="Arial" w:hAnsi="Arial"/>
          <w:sz w:val="16"/>
          <w:szCs w:val="16"/>
          <w:color w:val="auto"/>
        </w:rPr>
        <w:t>. This product was created in early 2010 to allow hotel and accommodation owners to list pertinent information on TripAdvisor, bringing</w:t>
      </w:r>
      <w:r>
        <w:rPr>
          <w:rFonts w:ascii="Arial" w:cs="Arial" w:eastAsia="Arial" w:hAnsi="Arial"/>
          <w:sz w:val="16"/>
          <w:szCs w:val="16"/>
          <w:i w:val="1"/>
          <w:iCs w:val="1"/>
          <w:color w:val="auto"/>
        </w:rPr>
        <w:t xml:space="preserve"> </w:t>
      </w:r>
      <w:r>
        <w:rPr>
          <w:rFonts w:ascii="Arial" w:cs="Arial" w:eastAsia="Arial" w:hAnsi="Arial"/>
          <w:sz w:val="16"/>
          <w:szCs w:val="16"/>
          <w:color w:val="auto"/>
        </w:rPr>
        <w:t>them closer to the traveler and thereby increasing direct bookings. In the year ended December 31, 2011, we saw nearly 80% subscriber growth, reaching our approximately 35,000 Business Listing customers by the end of the year, which is still only around 6% of our current hotel listings on our TripAdvisor branded sites. We continue to expand our sales force and improve features to attract additional customers from our installed base.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Trends Affecting Our Business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Increasing Competition. </w:t>
      </w:r>
      <w:r>
        <w:rPr>
          <w:rFonts w:ascii="Arial" w:cs="Arial" w:eastAsia="Arial" w:hAnsi="Arial"/>
          <w:sz w:val="16"/>
          <w:szCs w:val="16"/>
          <w:color w:val="auto"/>
        </w:rPr>
        <w:t>The travel review industry and, more generally, the business of collecting and aggregating travel-related resources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have become increasingly competitive. In recent years, an increasing number of companies, such as search companies Google Inc. and Baidu.com, Inc. and several large online travel agencies, have begun to collect and aggregate travel information and resources. We plan to continue to invest in order to remain the leading source of travel reviews as well as continuing to enhance our content and user experience.</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Increasing Use of Internet and Social Media to Access Travel Information. </w:t>
      </w:r>
      <w:r>
        <w:rPr>
          <w:rFonts w:ascii="Arial" w:cs="Arial" w:eastAsia="Arial" w:hAnsi="Arial"/>
          <w:sz w:val="18"/>
          <w:szCs w:val="18"/>
          <w:color w:val="auto"/>
        </w:rPr>
        <w:t>Commerce, information and advertising continue to migrate to the Internet and</w:t>
      </w:r>
      <w:r>
        <w:rPr>
          <w:rFonts w:ascii="Arial" w:cs="Arial" w:eastAsia="Arial" w:hAnsi="Arial"/>
          <w:sz w:val="18"/>
          <w:szCs w:val="18"/>
          <w:i w:val="1"/>
          <w:iCs w:val="1"/>
          <w:color w:val="auto"/>
        </w:rPr>
        <w:t xml:space="preserve"> </w:t>
      </w:r>
      <w:r>
        <w:rPr>
          <w:rFonts w:ascii="Arial" w:cs="Arial" w:eastAsia="Arial" w:hAnsi="Arial"/>
          <w:sz w:val="18"/>
          <w:szCs w:val="18"/>
          <w:color w:val="auto"/>
        </w:rPr>
        <w:t>away from traditional media outlets. We believe that this trend will create strategic growth opportunities, allowing us to attract new consumers and develop unique and effective advertising solutions. Consumers are increasingly using online social media, such as Facebook, as a means to communicate and exchange information, including travel information and opinions. We have made significant efforts related to social networking in order to leverage the expanding use of this channel and enhance traffic diversification and user engagement.</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Increasing Mobile Usage. </w:t>
      </w:r>
      <w:r>
        <w:rPr>
          <w:rFonts w:ascii="Arial" w:cs="Arial" w:eastAsia="Arial" w:hAnsi="Arial"/>
          <w:sz w:val="16"/>
          <w:szCs w:val="16"/>
          <w:color w:val="auto"/>
        </w:rPr>
        <w:t>Consumers are increasingly using mobile and tablet computing devices to access the Internet. To address these demands, we</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extend the platform to develop mobile and tablet applications to allow greater access to our travel information and resources. Although the substantial majority of our mobile users also access and engage with our websites on personal computers where we display advertising, our users could decide to increasingly access our products primarily through mobile devices. Historically we have not displayed graphic advertising on smartphones and our mobile monetization strategies are still developing. Improvement of our mobile offerings is a key company priority which we believe is critical to help us maintain and grow our user base and engagement over the long term and we will continue to invest and innovate in this growing platform.</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Click-Based Advertising Revenue. </w:t>
      </w:r>
      <w:r>
        <w:rPr>
          <w:rFonts w:ascii="Arial" w:cs="Arial" w:eastAsia="Arial" w:hAnsi="Arial"/>
          <w:sz w:val="16"/>
          <w:szCs w:val="16"/>
          <w:color w:val="auto"/>
        </w:rPr>
        <w:t>In recent years, the majority of our revenue growth resulted from higher click-based advertising revenue due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traffic on our websites, an increase in the volume of clicks on advertisers’ placements, and, in 2011, an increase in the average CPC price. Although click-based advertising revenue growth has generally been driven by traffic volume, we remain focused on the various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 We monitor and regularly respond to changes in these factors in order to strategically improve our user experience, customer satisfaction and monetization in this dynamic environment.</w:t>
      </w:r>
    </w:p>
    <w:p>
      <w:pPr>
        <w:spacing w:after="0" w:line="118"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i w:val="1"/>
          <w:iCs w:val="1"/>
          <w:color w:val="auto"/>
        </w:rPr>
        <w:t xml:space="preserve">Global Economic Conditions. </w:t>
      </w:r>
      <w:r>
        <w:rPr>
          <w:rFonts w:ascii="Arial" w:cs="Arial" w:eastAsia="Arial" w:hAnsi="Arial"/>
          <w:sz w:val="15"/>
          <w:szCs w:val="15"/>
          <w:color w:val="auto"/>
        </w:rPr>
        <w:t>In late 2008 and throughout 2009, weak global economic conditions created uncertainty for travelers and suppliers, and put</w:t>
      </w:r>
      <w:r>
        <w:rPr>
          <w:rFonts w:ascii="Arial" w:cs="Arial" w:eastAsia="Arial" w:hAnsi="Arial"/>
          <w:sz w:val="15"/>
          <w:szCs w:val="15"/>
          <w:i w:val="1"/>
          <w:iCs w:val="1"/>
          <w:color w:val="auto"/>
        </w:rPr>
        <w:t xml:space="preserve"> </w:t>
      </w:r>
      <w:r>
        <w:rPr>
          <w:rFonts w:ascii="Arial" w:cs="Arial" w:eastAsia="Arial" w:hAnsi="Arial"/>
          <w:sz w:val="15"/>
          <w:szCs w:val="15"/>
          <w:color w:val="auto"/>
        </w:rPr>
        <w:t>pressure on discretionary spending on travel and advertising. As a result, our revenue growth slowed in 2009, with a corresponding pull back in sales and marketing and a reduction in general and administrative expenses. Since 2010 the travel industry has been gradually improving. However, global economic conditions remain uncertain, and in particular, we anticipate travel expenditures in Europe to continue to be adversely effected by the economic issues overseas.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expanding our global reach, we leverage significant investments in technology, operations, brand-building, and advertiser and other partner relationships. For example, we are able to aggregate a large base of consumer reviews, in a variety of languages, across our global core platform. We expect to continue leveraging this investment when launching additional points of sale in new countries, introducing new product features and adding new business model offerings.</w:t>
      </w:r>
    </w:p>
    <w:p>
      <w:pPr>
        <w:spacing w:after="0" w:line="7" w:lineRule="exact"/>
        <w:rPr>
          <w:sz w:val="20"/>
          <w:szCs w:val="20"/>
          <w:color w:val="auto"/>
        </w:rPr>
      </w:pPr>
    </w:p>
    <w:p>
      <w:pPr>
        <w:ind w:left="900" w:right="1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Investment in Technology</w:t>
      </w:r>
      <w:r>
        <w:rPr>
          <w:rFonts w:ascii="Arial" w:cs="Arial" w:eastAsia="Arial" w:hAnsi="Arial"/>
          <w:sz w:val="18"/>
          <w:szCs w:val="18"/>
          <w:color w:val="auto"/>
        </w:rPr>
        <w:t>. We believe that our ability to continue to innovate by providing additional functionality to our main Internet sites,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same time extending that functionality to various platforms such as mobile and tablets, will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580"/>
        <w:spacing w:after="0" w:line="259" w:lineRule="auto"/>
        <w:rPr>
          <w:sz w:val="20"/>
          <w:szCs w:val="20"/>
          <w:color w:val="auto"/>
        </w:rPr>
      </w:pPr>
      <w:r>
        <w:rPr>
          <w:rFonts w:ascii="Arial" w:cs="Arial" w:eastAsia="Arial" w:hAnsi="Arial"/>
          <w:sz w:val="18"/>
          <w:szCs w:val="18"/>
          <w:color w:val="auto"/>
        </w:rPr>
        <w:t>enable us to continue providing an industry-leading user experience. We have a strong culture of speed-to-market with our innovations. By innovating and releasing updates quickly, we believe that we can continue to grow our site visitors and over 75 million reviews and opinions, increase revenue and effectively compete with our competitors.</w:t>
      </w:r>
    </w:p>
    <w:p>
      <w:pPr>
        <w:spacing w:after="0" w:line="59" w:lineRule="exact"/>
        <w:rPr>
          <w:sz w:val="20"/>
          <w:szCs w:val="20"/>
          <w:color w:val="auto"/>
        </w:rPr>
      </w:pPr>
    </w:p>
    <w:p>
      <w:pPr>
        <w:ind w:left="900" w:hanging="325"/>
        <w:spacing w:after="0" w:line="294"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New Social Sharing Tools</w:t>
      </w:r>
      <w:r>
        <w:rPr>
          <w:rFonts w:ascii="Arial" w:cs="Arial" w:eastAsia="Arial" w:hAnsi="Arial"/>
          <w:sz w:val="16"/>
          <w:szCs w:val="16"/>
          <w:color w:val="auto"/>
        </w:rPr>
        <w:t>. We intend to continue to expand our social integration and member acquisition efforts with social media,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Facebook, Twitter and other social sharing platforms. We believe that this integration will be critical to continuing to grow and maintain engagement with our user base and increase our content. For example, by tapping into Facebook’s rich social data, TripAdvisor connects users to their friends and shares helpful content about where their friends have traveled and where they would like to visit in the future. While on the TripAdvisor website, friends can discuss their travel plans and recommendations and build out personal profiles of places they have been.</w:t>
      </w:r>
    </w:p>
    <w:p>
      <w:pPr>
        <w:spacing w:after="0" w:line="34" w:lineRule="exact"/>
        <w:rPr>
          <w:rFonts w:ascii="Arial" w:cs="Arial" w:eastAsia="Arial" w:hAnsi="Arial"/>
          <w:sz w:val="16"/>
          <w:szCs w:val="16"/>
          <w:color w:val="auto"/>
        </w:rPr>
      </w:pPr>
    </w:p>
    <w:p>
      <w:pPr>
        <w:ind w:left="900" w:hanging="325"/>
        <w:spacing w:after="0" w:line="294"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Investment in Search Engine Marketing</w:t>
      </w:r>
      <w:r>
        <w:rPr>
          <w:rFonts w:ascii="Arial" w:cs="Arial" w:eastAsia="Arial" w:hAnsi="Arial"/>
          <w:sz w:val="16"/>
          <w:szCs w:val="16"/>
          <w:color w:val="auto"/>
        </w:rPr>
        <w:t>. One of the ways that we look to penetrate new markets is to leverage our expertise in search engine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or SEM. SEM is a form of Internet marketing that involves the promotion of websites by increasing their visibility in search engine results pages through the use of paid placement, contextual advertising, and paid inclusion. In certain markets we may bid on keywords to break even or at a loss in order to drive traffic, build our brand, gain more users to our product, collect content and scale more quickly. We think SEM is an important channel because it delivers a significant number of brand impressions and can be a cost-effective method to get people to try our sites.</w:t>
      </w:r>
    </w:p>
    <w:p>
      <w:pPr>
        <w:spacing w:after="0" w:line="34" w:lineRule="exact"/>
        <w:rPr>
          <w:rFonts w:ascii="Arial" w:cs="Arial" w:eastAsia="Arial" w:hAnsi="Arial"/>
          <w:sz w:val="16"/>
          <w:szCs w:val="16"/>
          <w:color w:val="auto"/>
        </w:rPr>
      </w:pPr>
    </w:p>
    <w:p>
      <w:pPr>
        <w:ind w:left="900" w:hanging="325"/>
        <w:spacing w:after="0" w:line="25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International Expansion</w:t>
      </w:r>
      <w:r>
        <w:rPr>
          <w:rFonts w:ascii="Arial" w:cs="Arial" w:eastAsia="Arial" w:hAnsi="Arial"/>
          <w:sz w:val="18"/>
          <w:szCs w:val="18"/>
          <w:color w:val="auto"/>
        </w:rPr>
        <w:t>. We are focused on expanding our footprint globally. We are continuing to expand in Europe, Asia and South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especially in emerging markets, such as Brazil, Russia, India and China. During 2011, we added new points-of-sale in Taiwan, Malaysia and Egypt, bringing our total TripAdvisor-branded websites to 30 countries and 21 languages. These and the other newer sites in Asia-Pacific represent a longer-term opportunity for us. We believe that China represents a large international opportunity for our business. We currently have two lead product offerings in the Chinese market—DaoDao and Kuxun—both headquartered in Beijing. We continue to invest heavily and operate at a loss in the Chinese market.</w:t>
      </w:r>
    </w:p>
    <w:p>
      <w:pPr>
        <w:spacing w:after="0" w:line="63"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Acquisitions</w:t>
      </w:r>
      <w:r>
        <w:rPr>
          <w:rFonts w:ascii="Arial" w:cs="Arial" w:eastAsia="Arial" w:hAnsi="Arial"/>
          <w:sz w:val="16"/>
          <w:szCs w:val="16"/>
          <w:color w:val="auto"/>
        </w:rPr>
        <w:t>. We have a history of successfully acquiring and integrating companies that expand our footprint either geographically or in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sectors that are complementary to our flagship properties. We intend to continue to seek acquisition targets.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have one reportable segment. The segment is determined based on how our chief operating decision maker manages our business, makes operating decisions and evaluates operating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historically being the fourth quarter. However, adverse economic conditions or continued growth of our international operations with differing holiday peaks may influence the typical trend of our seasonality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Critical accounting policies and estimates are those that we believe are important in the preparation of our consolidated and combined financial statements because they require that we use judgment and estimates in applying those policies. We prepare our consolidated and combined financial statements and accompanying notes in accordance with generally accepted accounting principles in the United States (“GAAP”). Preparation of the consolidated and combined financial statements and accompanying notes requires that we make estimates and assumptions that affect the reported amounts of assets and liabilities and the disclosure of contingent assets and liabilities as of the date of the consolidated and combined financial statements as well as revenue and expenses during the periods reported. We base our estimates on historical experience, where applicable, and other assumptions that we believe are reasonable under the circumstances. Actual results may differ from our estimates under different assumptions or conditions.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certain critical estimates that we believe require significant judgment in the preparation of our consolidated and combined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consider an accounting estimate to be critical if:</w:t>
      </w:r>
    </w:p>
    <w:p>
      <w:pPr>
        <w:spacing w:after="0" w:line="84" w:lineRule="exact"/>
        <w:rPr>
          <w:sz w:val="20"/>
          <w:szCs w:val="20"/>
          <w:color w:val="auto"/>
        </w:rPr>
      </w:pPr>
    </w:p>
    <w:p>
      <w:pPr>
        <w:ind w:left="900" w:right="2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additional information about our critical accounting policies and estimates, see the disclosure included in our Annual Report on Form 10-K filed on March 15, 2012 for the year ended December 31,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For a discussion of new accounting pronouncements, see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the notes to the consolidated and combined financial statements on this Quarterly Report on Form 10-Q. We are an “issuer” (as defined in Section 2(a) of the Sarbanes-Oxley Act of 2002), and, as such, are required to comply with all new and revised accounting standards applicable to public companies.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1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8"/>
              </w:rPr>
              <w:t>Three months ended June 30,</w:t>
            </w: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 Change</w:t>
            </w:r>
          </w:p>
        </w:tc>
        <w:tc>
          <w:tcPr>
            <w:tcW w:w="100" w:type="dxa"/>
            <w:vAlign w:val="bottom"/>
          </w:tcPr>
          <w:p>
            <w:pPr>
              <w:spacing w:after="0"/>
              <w:rPr>
                <w:sz w:val="14"/>
                <w:szCs w:val="14"/>
                <w:color w:val="auto"/>
              </w:rPr>
            </w:pPr>
          </w:p>
        </w:tc>
        <w:tc>
          <w:tcPr>
            <w:tcW w:w="19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87"/>
              </w:rPr>
              <w:t>Six months ended June 30,</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373"/>
              <w:spacing w:after="0" w:line="142" w:lineRule="exact"/>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5"/>
          </w:tcPr>
          <w:p>
            <w:pPr>
              <w:jc w:val="right"/>
              <w:ind w:right="293"/>
              <w:spacing w:after="0" w:line="142" w:lineRule="exact"/>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141,408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110,043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$ 273,535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205,321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Related-party revenue from Expedia</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55,740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59,199</w:t>
            </w: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107,328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113,143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197,148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169,242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380,863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318,464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Selling and marketing(2)</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64,243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52,685</w:t>
            </w: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131,632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96,880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content(2)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26,468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General and administrative(2)</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18,252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7,944</w:t>
            </w: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16,138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Related-party shared services fee to Expedia</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4,514</w:t>
            </w: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8,616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Spin-off costs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1,054</w:t>
            </w: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1,054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113,470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223,808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161,331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83,678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83,819</w:t>
            </w:r>
          </w:p>
        </w:tc>
        <w:tc>
          <w:tcPr>
            <w:tcW w:w="3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157,055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157,133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Other interest (expense) income, net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(2,405)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 income, net</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(6,944)</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674</w:t>
            </w:r>
          </w:p>
        </w:tc>
        <w:tc>
          <w:tcPr>
            <w:tcW w:w="3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(9,180)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1,737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147,875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158,870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(23,569)</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(30,383)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(46,539)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(57,389)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101,336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101,481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TripAdvisor, Inc.</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101,342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 attributable to TripAdvisor, Inc.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0.41</w:t>
            </w: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0.76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139,278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133,461</w:t>
            </w: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136,516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133,461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141,737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133,461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138,947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133,461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$ 181,110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174,494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(1) Excludes amortization as follows: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Amortization of acquired technology included in amortization</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of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Amortization of website development costs included in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00" w:type="dxa"/>
            <w:vAlign w:val="bottom"/>
          </w:tcPr>
          <w:p>
            <w:pPr>
              <w:ind w:left="106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6,048</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 Includes stock-based compensation as follows: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1,394</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Technology and content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639</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1,527</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1,521</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38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“Adjusted EBITDA” below for more information and for a reconciliation of Adjusted EBITDA to operating income, the most directly comparable financial measure calculated and presented in accordance with GAAP.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in our Quarterly Report on Form 10-Q, a non-GAAP financial measure. We have provided reconciliations below of Adjusted EBITDA to operating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define “Adjusted EBITDA” as operating income (loss), excluding depreciation of property and equipment, which includes internal use software and website development, amortization of intangible assets, stock-based compensation and non-recurring expenses incurred to effect the Spin-Off from Expedia during the year ended December 31, 2011.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Adjusted EBITDA eliminates items that are either not part of our core operations such as the costs incurred to spin-off from Expedia or those costs that do not require a cash outlay, such as stock-based compensation. Adjusted EBITDA also excludes depreciation and amortization expense, which is based on our estimates of the useful life of tangible and intangible assets. These estimates could vary from actual performance of the asset, are based on historical costs and other factors and may not be indicative of current or future capital expenditures. We believe that by excluding certain items, such as stock-based compensation and non-recurring expenses, Adjusted EBITDA corresponds more closely to the cash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w:t>
      </w:r>
    </w:p>
    <w:p>
      <w:pPr>
        <w:spacing w:after="0" w:line="90" w:lineRule="exact"/>
        <w:rPr>
          <w:rFonts w:ascii="Arial" w:cs="Arial" w:eastAsia="Arial" w:hAnsi="Arial"/>
          <w:sz w:val="18"/>
          <w:szCs w:val="18"/>
          <w:color w:val="auto"/>
        </w:rPr>
      </w:pPr>
    </w:p>
    <w:p>
      <w:pPr>
        <w:ind w:left="900" w:right="120" w:hanging="325"/>
        <w:spacing w:after="0" w:line="357" w:lineRule="auto"/>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ind w:left="900" w:right="4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and our other GAAP results.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reconciliation of Adjusted EBITDA to operating income for the periods presented:</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0" w:type="dxa"/>
            <w:vAlign w:val="bottom"/>
            <w:gridSpan w:val="4"/>
          </w:tcPr>
          <w:p>
            <w:pPr>
              <w:jc w:val="right"/>
              <w:ind w:right="460"/>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4"/>
                <w:szCs w:val="14"/>
                <w:color w:val="auto"/>
              </w:rPr>
            </w:pPr>
          </w:p>
        </w:tc>
        <w:tc>
          <w:tcPr>
            <w:tcW w:w="1860" w:type="dxa"/>
            <w:vAlign w:val="bottom"/>
            <w:gridSpan w:val="5"/>
          </w:tcPr>
          <w:p>
            <w:pPr>
              <w:jc w:val="right"/>
              <w:ind w:right="5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0" w:type="dxa"/>
            <w:vAlign w:val="bottom"/>
            <w:gridSpan w:val="4"/>
          </w:tcPr>
          <w:p>
            <w:pPr>
              <w:jc w:val="right"/>
              <w:ind w:right="780"/>
              <w:spacing w:after="0" w:line="159" w:lineRule="exact"/>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3"/>
                <w:szCs w:val="13"/>
                <w:color w:val="auto"/>
              </w:rPr>
            </w:pPr>
          </w:p>
        </w:tc>
        <w:tc>
          <w:tcPr>
            <w:tcW w:w="1860" w:type="dxa"/>
            <w:vAlign w:val="bottom"/>
            <w:gridSpan w:val="5"/>
          </w:tcPr>
          <w:p>
            <w:pPr>
              <w:jc w:val="right"/>
              <w:ind w:right="760"/>
              <w:spacing w:after="0" w:line="15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8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color w:val="auto"/>
              </w:rPr>
              <w:t>2012</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color w:val="auto"/>
              </w:rPr>
              <w:t>2012</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$96,921</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$92,487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$ 181,110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$174,494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Depreciation (1)</w:t>
            </w:r>
          </w:p>
        </w:tc>
        <w:tc>
          <w:tcPr>
            <w:tcW w:w="216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(4,715)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(4,514)</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(8,996)</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OIBA (2)</w:t>
            </w:r>
          </w:p>
        </w:tc>
        <w:tc>
          <w:tcPr>
            <w:tcW w:w="2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92,206</w:t>
            </w: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160" w:type="dxa"/>
            <w:vAlign w:val="bottom"/>
            <w:gridSpan w:val="3"/>
          </w:tcPr>
          <w:p>
            <w:pPr>
              <w:jc w:val="right"/>
              <w:ind w:right="360"/>
              <w:spacing w:after="0"/>
              <w:rPr>
                <w:sz w:val="20"/>
                <w:szCs w:val="20"/>
                <w:color w:val="auto"/>
              </w:rPr>
            </w:pPr>
            <w:r>
              <w:rPr>
                <w:rFonts w:ascii="Arial" w:cs="Arial" w:eastAsia="Arial" w:hAnsi="Arial"/>
                <w:sz w:val="18"/>
                <w:szCs w:val="18"/>
                <w:color w:val="auto"/>
              </w:rPr>
              <w:t>(1,760)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(1,132)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(3,599)</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(6,768)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(1,968)</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(11,460)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Spin-off costs</w:t>
            </w:r>
          </w:p>
        </w:tc>
        <w:tc>
          <w:tcPr>
            <w:tcW w:w="2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(1,054)</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83,678</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83,819</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157,055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157,133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internal use software and website development.</w:t>
      </w:r>
    </w:p>
    <w:p>
      <w:pPr>
        <w:spacing w:after="0" w:line="15" w:lineRule="exact"/>
        <w:rPr>
          <w:rFonts w:ascii="Arial" w:cs="Arial" w:eastAsia="Arial" w:hAnsi="Arial"/>
          <w:sz w:val="18"/>
          <w:szCs w:val="18"/>
          <w:color w:val="auto"/>
        </w:rPr>
      </w:pPr>
    </w:p>
    <w:p>
      <w:pPr>
        <w:ind w:left="460" w:right="40" w:hanging="452"/>
        <w:spacing w:after="0" w:line="29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primary operating metric prior to the Spin-Off for evaluating operating performance was Operating Income Before Amortization, or OIBA, as reported on our Form S-4 filed with the SEC on November 1, 2011. OIBA is defined as operating income plus: (1) amortization of intangible assets and any related impairment; (2) stock-based compensation expense; and (3) non-recurring expenses incurred to effect the Spin-Off during the year ended December 31, 2011. This operating metric is no longer being used by our management to measure operating performance and is only being shown above to illustrate the financial impact of our conversion to a new operating metric post Spin-Off.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have been made to conform the prior period’s data to the current format.</w:t>
      </w:r>
    </w:p>
    <w:p>
      <w:pPr>
        <w:spacing w:after="0" w:line="171"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Our management has changed the non-GAAP financial measure that we use to measure our operating performance from OIBA to Adjusted EBITDA. Consequently we have reclassified depreciation expense, which previously had resided in technology and content expense and general and administrative expense, and have presented it as a separate line item on the consolidated and combined statement of operations. This reclassification had no net effect on either total operating expenses or total operating income for any period. The table below provides a reconciliation of that reclassification for the periods presented.</w:t>
      </w:r>
    </w:p>
    <w:p>
      <w:pPr>
        <w:spacing w:after="0" w:line="12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Three Months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Six Months</w:t>
            </w:r>
          </w:p>
        </w:tc>
      </w:tr>
      <w:tr>
        <w:trPr>
          <w:trHeight w:val="149"/>
        </w:trPr>
        <w:tc>
          <w:tcPr>
            <w:tcW w:w="58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Ended June 30,</w:t>
            </w:r>
          </w:p>
        </w:tc>
        <w:tc>
          <w:tcPr>
            <w:tcW w:w="1900" w:type="dxa"/>
            <w:vAlign w:val="bottom"/>
            <w:gridSpan w:val="4"/>
          </w:tcPr>
          <w:p>
            <w:pPr>
              <w:ind w:left="900"/>
              <w:spacing w:after="0" w:line="149" w:lineRule="exact"/>
              <w:rPr>
                <w:sz w:val="20"/>
                <w:szCs w:val="20"/>
                <w:color w:val="auto"/>
              </w:rPr>
            </w:pPr>
            <w:r>
              <w:rPr>
                <w:rFonts w:ascii="Arial" w:cs="Arial" w:eastAsia="Arial" w:hAnsi="Arial"/>
                <w:sz w:val="14"/>
                <w:szCs w:val="14"/>
                <w:b w:val="1"/>
                <w:bCs w:val="1"/>
                <w:color w:val="auto"/>
                <w:w w:val="95"/>
              </w:rPr>
              <w:t>Ended June 30,</w:t>
            </w:r>
          </w:p>
        </w:tc>
      </w:tr>
      <w:tr>
        <w:trPr>
          <w:trHeight w:val="161"/>
        </w:trPr>
        <w:tc>
          <w:tcPr>
            <w:tcW w:w="5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Technology and content</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(3,679)</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(6,969)</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(1,647)</w:t>
            </w:r>
          </w:p>
        </w:tc>
      </w:tr>
      <w:tr>
        <w:trPr>
          <w:trHeight w:val="20"/>
        </w:trPr>
        <w:tc>
          <w:tcPr>
            <w:tcW w:w="5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58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derive substantially all of our revenue through the sale of advertising, primarily through click-based advertising and, to a lesser extent, display-based advertising. In addition, we earn revenue through a combination of subscription-based offerings, transaction revenue from our flash sale website, SniqueAway, our recently-launched hotel booking site, Tingo, and other revenue including content licensing.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8"/>
              </w:rPr>
              <w:t>% Change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86"/>
              </w:rPr>
              <w:t>Six months ended June 30,</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89"/>
              </w:rPr>
              <w:t>2011</w:t>
            </w:r>
          </w:p>
        </w:tc>
        <w:tc>
          <w:tcPr>
            <w:tcW w:w="4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2011</w:t>
            </w:r>
          </w:p>
        </w:tc>
        <w:tc>
          <w:tcPr>
            <w:tcW w:w="5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 in millions)</w:t>
            </w:r>
          </w:p>
        </w:tc>
        <w:tc>
          <w:tcPr>
            <w:tcW w:w="5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4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Click-based advertising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Subscription, transaction and 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4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222"/>
        </w:trPr>
        <w:tc>
          <w:tcPr>
            <w:tcW w:w="47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169</w:t>
            </w:r>
          </w:p>
        </w:tc>
        <w:tc>
          <w:tcPr>
            <w:tcW w:w="960" w:type="dxa"/>
            <w:vAlign w:val="bottom"/>
            <w:gridSpan w:val="2"/>
            <w:vMerge w:val="continue"/>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381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318</w:t>
            </w: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Revenue increased $28 million or 16%, and $62 million or 20%, during the three and six months ended June 30, 2012, respectively, when compared to the same period in 2011, primarily due to an increase in click-based advertising revenue of $17 million or 13%, and $42 million or 16%, respectively. The primary driver of the increase in click-based advertising revenue was an increase in hotel shoppers during the three and six months ended June 30, 2012 when compared to the same period in 2011, of approximately 30% and over 30%, respectively, partially offset during the three and six months ended June 30, 2012 by lower clicks per hotel shopper due to our site redesign in the third quarter of 2011 and lower revenue per click. Subscription, transaction and other revenue increased by $7 million or 59%, and $15 million or 63%, in the three and six months ended June 30, 2012, respectively, primarily due to growth in Business Listings.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product revenue discussion, related-party revenue from Expedia, which consists primarily of click-based advertising,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7"/>
              </w:rPr>
              <w:t>Three months ended June 30,</w:t>
            </w: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5"/>
              </w:rPr>
              <w:t>% Change</w:t>
            </w:r>
          </w:p>
        </w:tc>
        <w:tc>
          <w:tcPr>
            <w:tcW w:w="200" w:type="dxa"/>
            <w:vAlign w:val="bottom"/>
          </w:tcPr>
          <w:p>
            <w:pPr>
              <w:spacing w:after="0"/>
              <w:rPr>
                <w:sz w:val="14"/>
                <w:szCs w:val="14"/>
                <w:color w:val="auto"/>
              </w:rPr>
            </w:pPr>
          </w:p>
        </w:tc>
        <w:tc>
          <w:tcPr>
            <w:tcW w:w="238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524"/>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89"/>
              </w:rPr>
              <w:t>2011</w:t>
            </w:r>
          </w:p>
        </w:tc>
        <w:tc>
          <w:tcPr>
            <w:tcW w:w="5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5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Borders>
              <w:top w:val="single" w:sz="8" w:color="auto"/>
            </w:tcBorders>
            <w:gridSpan w:val="2"/>
          </w:tcPr>
          <w:p>
            <w:pPr>
              <w:ind w:left="520"/>
              <w:spacing w:after="0" w:line="142" w:lineRule="exact"/>
              <w:rPr>
                <w:sz w:val="20"/>
                <w:szCs w:val="20"/>
                <w:color w:val="auto"/>
              </w:rPr>
            </w:pPr>
            <w:r>
              <w:rPr>
                <w:rFonts w:ascii="Arial" w:cs="Arial" w:eastAsia="Arial" w:hAnsi="Arial"/>
                <w:sz w:val="14"/>
                <w:szCs w:val="14"/>
                <w:b w:val="1"/>
                <w:bCs w:val="1"/>
                <w:color w:val="auto"/>
                <w:w w:val="90"/>
              </w:rPr>
              <w:t>($ in millions)</w:t>
            </w:r>
          </w:p>
        </w:tc>
        <w:tc>
          <w:tcPr>
            <w:tcW w:w="5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revenue from Expedia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4"/>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1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   107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 of revenue</w:t>
            </w:r>
          </w:p>
        </w:tc>
        <w:tc>
          <w:tcPr>
            <w:tcW w:w="120" w:type="dxa"/>
            <w:vAlign w:val="bottom"/>
          </w:tcPr>
          <w:p>
            <w:pPr>
              <w:spacing w:after="0"/>
              <w:rPr>
                <w:sz w:val="19"/>
                <w:szCs w:val="19"/>
                <w:color w:val="auto"/>
              </w:rPr>
            </w:pPr>
          </w:p>
        </w:tc>
        <w:tc>
          <w:tcPr>
            <w:tcW w:w="960" w:type="dxa"/>
            <w:vAlign w:val="bottom"/>
          </w:tcPr>
          <w:p>
            <w:pPr>
              <w:jc w:val="right"/>
              <w:ind w:right="184"/>
              <w:spacing w:after="0"/>
              <w:rPr>
                <w:sz w:val="20"/>
                <w:szCs w:val="20"/>
                <w:color w:val="auto"/>
              </w:rPr>
            </w:pPr>
            <w:r>
              <w:rPr>
                <w:rFonts w:ascii="Arial" w:cs="Arial" w:eastAsia="Arial" w:hAnsi="Arial"/>
                <w:sz w:val="18"/>
                <w:szCs w:val="18"/>
                <w:color w:val="auto"/>
              </w:rPr>
              <w:t>28.3%</w:t>
            </w:r>
          </w:p>
        </w:tc>
        <w:tc>
          <w:tcPr>
            <w:tcW w:w="4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35.0%</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172"/>
              <w:spacing w:after="0"/>
              <w:rPr>
                <w:sz w:val="20"/>
                <w:szCs w:val="20"/>
                <w:color w:val="auto"/>
              </w:rPr>
            </w:pPr>
            <w:r>
              <w:rPr>
                <w:rFonts w:ascii="Arial" w:cs="Arial" w:eastAsia="Arial" w:hAnsi="Arial"/>
                <w:sz w:val="18"/>
                <w:szCs w:val="18"/>
                <w:color w:val="auto"/>
              </w:rPr>
              <w:t>28.2%</w:t>
            </w:r>
          </w:p>
        </w:tc>
        <w:tc>
          <w:tcPr>
            <w:tcW w:w="3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35.5%</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TripAdvisor and Expedia entered into certain commercial arrangements in connection with the Spin-Off. The arrangements generally have terms one to three years and are described in “Note 9—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xml:space="preserve"> “ in the notes to our consolidated and combined financial statements in our Annual Report on Form 10-K filed on March 15, 2012 for the year ended December 31, 2011. In connection with the Spin-Off, Expedia expected to lower its CPC pricing by 10-15%. This change was rolled out throughout the fourth quarter of 2011, and trended towards the upper end of the expected discount range. We expect the decrease in CPC pricing paid by Expedia to continue to negatively impact total revenue for the year ended 2012 by approximately 5%.</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Cost of revenue consists of expenses that are closely correlated or directly related to revenue generation, including ad serving fees, flight search fees, credit card fees and data center costs.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4"/>
              </w:rPr>
              <w:t>Three months ended June 30,</w:t>
            </w: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5"/>
              </w:rPr>
              <w:t>% Change</w:t>
            </w:r>
          </w:p>
        </w:tc>
        <w:tc>
          <w:tcPr>
            <w:tcW w:w="120" w:type="dxa"/>
            <w:vAlign w:val="bottom"/>
          </w:tcPr>
          <w:p>
            <w:pPr>
              <w:spacing w:after="0"/>
              <w:rPr>
                <w:sz w:val="14"/>
                <w:szCs w:val="14"/>
                <w:color w:val="auto"/>
              </w:rPr>
            </w:pPr>
          </w:p>
        </w:tc>
        <w:tc>
          <w:tcPr>
            <w:tcW w:w="22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86"/>
              </w:rPr>
              <w:t>Six months ended June 30,</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52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2011</w:t>
            </w:r>
          </w:p>
        </w:tc>
        <w:tc>
          <w:tcPr>
            <w:tcW w:w="5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84"/>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2011</w:t>
            </w:r>
          </w:p>
        </w:tc>
        <w:tc>
          <w:tcPr>
            <w:tcW w:w="5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left="32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4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24"/>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 of revenue</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204"/>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84"/>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Cost of revenue remained relatively unchanged during the three months ended June 30, 2012 when compared to the same period in 2011. Cost of revenue increased $1 million or 14.0% during the six months ended June 30, 2012 when compared to the same period in 2011, primarily due to increased ad serving fees and increased credit card merchant fees.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Sales and marketing expenses primarily consist of direct costs, including search engine marketing, or SEM, other traffic acquisition costs, syndication costs and affiliate program commissions, brand advertising and public relations. In addition, our indirect sales and marketing expense consists of personnel and overhead expenses, including salaries, commissions, benefits, stock-based compensation expense and bonuses for sales, sales support, customer support and marketing employees.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86"/>
              </w:rPr>
              <w:t>Three months ended June 30,</w:t>
            </w: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2011</w:t>
            </w:r>
          </w:p>
        </w:tc>
        <w:tc>
          <w:tcPr>
            <w:tcW w:w="5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5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ind w:left="400"/>
              <w:spacing w:after="0" w:line="142" w:lineRule="exact"/>
              <w:rPr>
                <w:sz w:val="20"/>
                <w:szCs w:val="20"/>
                <w:color w:val="auto"/>
              </w:rPr>
            </w:pPr>
            <w:r>
              <w:rPr>
                <w:rFonts w:ascii="Arial" w:cs="Arial" w:eastAsia="Arial" w:hAnsi="Arial"/>
                <w:sz w:val="14"/>
                <w:szCs w:val="14"/>
                <w:b w:val="1"/>
                <w:bCs w:val="1"/>
                <w:color w:val="auto"/>
                <w:w w:val="90"/>
              </w:rPr>
              <w:t>($ in millions)</w:t>
            </w:r>
          </w:p>
        </w:tc>
        <w:tc>
          <w:tcPr>
            <w:tcW w:w="5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Personnel and overhead</w:t>
            </w:r>
          </w:p>
        </w:tc>
        <w:tc>
          <w:tcPr>
            <w:tcW w:w="12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selling and marketing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30.4%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Direct selling and marketing costs increased $8 million or 24%, and $28 million or 46%, during the three and six months ended June 30, 2012 when compared to the same period in 2011, primarily due to increased search engine marketing costs, brand advertising costs and investments in social media costs. We increased our spending on social media in the three and six months ended June 30, 2012 compared to the same period in 2011, in order to increase social engagement `on our websites. Personnel and overhead costs increased $3 million or 18%, and $7 million or 19%, during the three and six months ended June 30, 2012 when compared to the same period in 2011, primarily due to an increase in headcount to support business growth, including international expansion.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Technology and content expenses consist of personnel and overhead expenses, including salaries and benefits, stock-based compensation expense and bonuses for salaried employees and contractors engaged in the design, development, testing and maintenance of our website. Other costs include licensing and maintenance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87"/>
              </w:rPr>
              <w:t>Three months ended June 30,</w:t>
            </w: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5"/>
              </w:rPr>
              <w:t>% Change</w:t>
            </w:r>
          </w:p>
        </w:tc>
        <w:tc>
          <w:tcPr>
            <w:tcW w:w="12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86"/>
              </w:rPr>
              <w:t>Six months ended June 30,</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2011</w:t>
            </w:r>
          </w:p>
        </w:tc>
        <w:tc>
          <w:tcPr>
            <w:tcW w:w="5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right"/>
              <w:ind w:right="12"/>
              <w:spacing w:after="0" w:line="142" w:lineRule="exact"/>
              <w:rPr>
                <w:sz w:val="20"/>
                <w:szCs w:val="20"/>
                <w:color w:val="auto"/>
              </w:rPr>
            </w:pPr>
            <w:r>
              <w:rPr>
                <w:rFonts w:ascii="Arial" w:cs="Arial" w:eastAsia="Arial" w:hAnsi="Arial"/>
                <w:sz w:val="14"/>
                <w:szCs w:val="14"/>
                <w:b w:val="1"/>
                <w:bCs w:val="1"/>
                <w:color w:val="auto"/>
              </w:rPr>
              <w:t>($ in millions)</w:t>
            </w:r>
          </w:p>
        </w:tc>
        <w:tc>
          <w:tcPr>
            <w:tcW w:w="5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4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technology and content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7.9%</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Technology and content costs increased $9 million or 61%, and $13 million or 49%, during the three and six months ended June 30, 2012 when compared to the same periods in 2011, primarily due to increased personnel costs from increased headcount to support business growth, including international expansion, enhanced site features and mobile initiatives, as well as an increase in stock based compensation.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discussed in our Annual Report on Form 10-K filed on March 15, 2012 for the year ended December 31, 2011, all depreciation costs of technology assets, including web servers and purchased and capitalized website and development activities for all prior periods have been reclassified to depreciation expense on our consolidated and combined statement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General and administrative expense consists primarily of personnel and related overhead costs, including executive leadership, finance, legal and human resource functions and stock-based compensation as well as professional service fees and other fees including audit, legal, tax and accounting, and other costs including bad debt expense and our charitable foundation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87"/>
              </w:rPr>
              <w:t>Three months ended June 30,</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8"/>
              </w:rPr>
              <w:t>% Change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2011</w:t>
            </w:r>
          </w:p>
        </w:tc>
        <w:tc>
          <w:tcPr>
            <w:tcW w:w="5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2011</w:t>
            </w:r>
          </w:p>
        </w:tc>
        <w:tc>
          <w:tcPr>
            <w:tcW w:w="5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 in millions)</w:t>
            </w:r>
          </w:p>
        </w:tc>
        <w:tc>
          <w:tcPr>
            <w:tcW w:w="5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ind w:left="400"/>
              <w:spacing w:after="0" w:line="142" w:lineRule="exact"/>
              <w:rPr>
                <w:sz w:val="20"/>
                <w:szCs w:val="20"/>
                <w:color w:val="auto"/>
              </w:rPr>
            </w:pPr>
            <w:r>
              <w:rPr>
                <w:rFonts w:ascii="Arial" w:cs="Arial" w:eastAsia="Arial" w:hAnsi="Arial"/>
                <w:sz w:val="14"/>
                <w:szCs w:val="14"/>
                <w:b w:val="1"/>
                <w:bCs w:val="1"/>
                <w:color w:val="auto"/>
                <w:w w:val="90"/>
              </w:rPr>
              <w:t>($ in millions)</w:t>
            </w:r>
          </w:p>
        </w:tc>
        <w:tc>
          <w:tcPr>
            <w:tcW w:w="4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Professional service fees and other</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General and administrative costs increased $10 million or 130%, and $19 million or 114%, during the three and six months ended June 30, 2012, when compared to the same periods in 2011, primarily due to increased personnel costs related to an increase in stock based compensation, as well as increased headcount as a result of the Spin-Off and to support business growth, as well as additional professional service fees in order to support our operations as a standalone public company. In addition, in connection with the Spin-Off, we assumed Expedia’s obligation to fund a charitable foundation. Our expense related to the funding of this charitable foundation was $2 million and $4 million for the three and six months ended, respectively, as of June 30, 2012.</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discussed above, all depreciation costs of capitalized assets, primarily consisting of furniture and office equipment for prior periods have been reclassified in our Annual Report on Form 10-K filed on March 15, 2012 for the year ended December 31, 2011 to depreciation expense on our consolidated and combined statement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Related-Party Shared Services Fee</w:t>
      </w:r>
    </w:p>
    <w:p>
      <w:pPr>
        <w:spacing w:after="0" w:line="9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Prior to the Spin-Off, our related-party shared services fee was comprised of allocations from Expedia for accounting, legal, tax, corporate development, treasury, financial reporting, real estate management and included an allocation of employee compensation within these functions. These allocations were determined based on what we and Expedia considered being reasonable reflections of the utilization of services provided or the benefit received by us.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6"/>
              </w:rPr>
              <w:t>Three months ended June 30,</w:t>
            </w: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8"/>
              </w:rPr>
              <w:t>% Change</w:t>
            </w:r>
          </w:p>
        </w:tc>
        <w:tc>
          <w:tcPr>
            <w:tcW w:w="120" w:type="dxa"/>
            <w:vAlign w:val="bottom"/>
          </w:tcPr>
          <w:p>
            <w:pPr>
              <w:spacing w:after="0"/>
              <w:rPr>
                <w:sz w:val="14"/>
                <w:szCs w:val="14"/>
                <w:color w:val="auto"/>
              </w:rPr>
            </w:pPr>
          </w:p>
        </w:tc>
        <w:tc>
          <w:tcPr>
            <w:tcW w:w="22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6"/>
              </w:rPr>
              <w:t>Six months ended June 30,</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2011</w:t>
            </w:r>
          </w:p>
        </w:tc>
        <w:tc>
          <w:tcPr>
            <w:tcW w:w="5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504"/>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2011</w:t>
            </w:r>
          </w:p>
        </w:tc>
        <w:tc>
          <w:tcPr>
            <w:tcW w:w="5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420"/>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4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Related-party shared services fee</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 of revenue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Related-party shared services fee costs incurred for the use of Expedia shared services ceased in connection with the Spin-Off. Refer to “Note 12— </w:t>
      </w:r>
      <w:r>
        <w:rPr>
          <w:rFonts w:ascii="Arial" w:cs="Arial" w:eastAsia="Arial" w:hAnsi="Arial"/>
          <w:sz w:val="18"/>
          <w:szCs w:val="18"/>
          <w:i w:val="1"/>
          <w:iCs w:val="1"/>
          <w:color w:val="auto"/>
        </w:rPr>
        <w:t>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Party Transactions</w:t>
      </w:r>
      <w:r>
        <w:rPr>
          <w:rFonts w:ascii="Arial" w:cs="Arial" w:eastAsia="Arial" w:hAnsi="Arial"/>
          <w:sz w:val="18"/>
          <w:szCs w:val="18"/>
          <w:color w:val="auto"/>
        </w:rPr>
        <w:t>” in this Quarterly Report on Form 10-Q for further information on our relationship with Expedia.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4"/>
              </w:rPr>
              <w:t>Three months ended June 30,</w:t>
            </w: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5"/>
              </w:rPr>
              <w:t>% Change</w:t>
            </w:r>
          </w:p>
        </w:tc>
        <w:tc>
          <w:tcPr>
            <w:tcW w:w="120" w:type="dxa"/>
            <w:vAlign w:val="bottom"/>
          </w:tcPr>
          <w:p>
            <w:pPr>
              <w:spacing w:after="0"/>
              <w:rPr>
                <w:sz w:val="14"/>
                <w:szCs w:val="14"/>
                <w:color w:val="auto"/>
              </w:rPr>
            </w:pPr>
          </w:p>
        </w:tc>
        <w:tc>
          <w:tcPr>
            <w:tcW w:w="22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86"/>
              </w:rPr>
              <w:t>Six months ended June 30,</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52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2011</w:t>
            </w:r>
          </w:p>
        </w:tc>
        <w:tc>
          <w:tcPr>
            <w:tcW w:w="5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84"/>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2011</w:t>
            </w:r>
          </w:p>
        </w:tc>
        <w:tc>
          <w:tcPr>
            <w:tcW w:w="5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left="32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4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24"/>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 of revenue</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204"/>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84"/>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was no significant change in depreciation expense for the three and six months ended June 30, 2012 compared to the same periods in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6"/>
              </w:rPr>
              <w:t>Three months ended June 30,</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52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2011</w:t>
            </w:r>
          </w:p>
        </w:tc>
        <w:tc>
          <w:tcPr>
            <w:tcW w:w="5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2011</w:t>
            </w:r>
          </w:p>
        </w:tc>
        <w:tc>
          <w:tcPr>
            <w:tcW w:w="5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left="32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4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4"/>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 of revenue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84"/>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84"/>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Amortization of intangible assets increased slightly during the three and six months ended June 30, 2012 when compared to the same periods in 2011, primarily due to a decrease in the estimated amount of contingent purchase consideration in the three months ended June 30, 2011 related to the acquisition of Holiday Lettings in June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87"/>
              </w:rPr>
              <w:t>Three months ended June 30,</w:t>
            </w: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240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524"/>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2011</w:t>
            </w:r>
          </w:p>
        </w:tc>
        <w:tc>
          <w:tcPr>
            <w:tcW w:w="5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2011</w:t>
            </w:r>
          </w:p>
        </w:tc>
        <w:tc>
          <w:tcPr>
            <w:tcW w:w="5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5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tcBorders>
              <w:top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24"/>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304"/>
              <w:spacing w:after="0"/>
              <w:rPr>
                <w:sz w:val="20"/>
                <w:szCs w:val="20"/>
                <w:color w:val="auto"/>
              </w:rPr>
            </w:pPr>
            <w:r>
              <w:rPr>
                <w:rFonts w:ascii="Arial" w:cs="Arial" w:eastAsia="Arial" w:hAnsi="Arial"/>
                <w:sz w:val="18"/>
                <w:szCs w:val="18"/>
                <w:color w:val="auto"/>
              </w:rPr>
              <w:t>$   157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 of revenue</w:t>
            </w:r>
          </w:p>
        </w:tc>
        <w:tc>
          <w:tcPr>
            <w:tcW w:w="120" w:type="dxa"/>
            <w:vAlign w:val="bottom"/>
          </w:tcPr>
          <w:p>
            <w:pPr>
              <w:spacing w:after="0"/>
              <w:rPr>
                <w:sz w:val="19"/>
                <w:szCs w:val="19"/>
                <w:color w:val="auto"/>
              </w:rPr>
            </w:pPr>
          </w:p>
        </w:tc>
        <w:tc>
          <w:tcPr>
            <w:tcW w:w="960" w:type="dxa"/>
            <w:vAlign w:val="bottom"/>
          </w:tcPr>
          <w:p>
            <w:pPr>
              <w:jc w:val="right"/>
              <w:ind w:right="184"/>
              <w:spacing w:after="0"/>
              <w:rPr>
                <w:sz w:val="20"/>
                <w:szCs w:val="20"/>
                <w:color w:val="auto"/>
              </w:rPr>
            </w:pPr>
            <w:r>
              <w:rPr>
                <w:rFonts w:ascii="Arial" w:cs="Arial" w:eastAsia="Arial" w:hAnsi="Arial"/>
                <w:sz w:val="18"/>
                <w:szCs w:val="18"/>
                <w:color w:val="auto"/>
              </w:rPr>
              <w:t>42.4%</w:t>
            </w:r>
          </w:p>
        </w:tc>
        <w:tc>
          <w:tcPr>
            <w:tcW w:w="4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49.5%</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144"/>
              <w:spacing w:after="0"/>
              <w:rPr>
                <w:sz w:val="20"/>
                <w:szCs w:val="20"/>
                <w:color w:val="auto"/>
              </w:rPr>
            </w:pPr>
            <w:r>
              <w:rPr>
                <w:rFonts w:ascii="Arial" w:cs="Arial" w:eastAsia="Arial" w:hAnsi="Arial"/>
                <w:sz w:val="18"/>
                <w:szCs w:val="18"/>
                <w:color w:val="auto"/>
              </w:rPr>
              <w:t>41.2%</w:t>
            </w:r>
          </w:p>
        </w:tc>
        <w:tc>
          <w:tcPr>
            <w:tcW w:w="3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49.3%</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Operating income decreased slightly for the three and six months ended June 30, 2012 when compared to the same periods in 2011, primarily due to an increase in revenue of $28 million or 16%, and 62 million or 20%, respectively, which was offset by a corresponding increase to operating expenses of $28 million or 33%, and $62 million or 39%, respectively, particularly in personnel costs to support business growth and operations as a standalone public company, as well as stock based compensation, and traffic acquisition costs to drive higher revenue.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Interest ( Expense )Income,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6"/>
              </w:rPr>
              <w:t>Three months ended June 30,</w:t>
            </w: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8"/>
              </w:rPr>
              <w:t>% Change</w:t>
            </w:r>
          </w:p>
        </w:tc>
        <w:tc>
          <w:tcPr>
            <w:tcW w:w="120" w:type="dxa"/>
            <w:vAlign w:val="bottom"/>
          </w:tcPr>
          <w:p>
            <w:pPr>
              <w:spacing w:after="0"/>
              <w:rPr>
                <w:sz w:val="14"/>
                <w:szCs w:val="14"/>
                <w:color w:val="auto"/>
              </w:rPr>
            </w:pPr>
          </w:p>
        </w:tc>
        <w:tc>
          <w:tcPr>
            <w:tcW w:w="21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5"/>
              </w:rPr>
              <w:t>Six months ended June 30,</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544"/>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2011</w:t>
            </w:r>
          </w:p>
        </w:tc>
        <w:tc>
          <w:tcPr>
            <w:tcW w:w="4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504"/>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2011</w:t>
            </w:r>
          </w:p>
        </w:tc>
        <w:tc>
          <w:tcPr>
            <w:tcW w:w="4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left="30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center"/>
              <w:ind w:left="26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(expense) income, net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4"/>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 of revenue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144"/>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44"/>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Other interest expense, increased $2 million and $5 million during the three and six months ended June 30, 2012 when compared to the same periods in 2011, primarily due to interest expense on our term loan and revolving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net is primarily comprised of net foreign exchange gains and losses for the periods presented.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87"/>
              </w:rPr>
              <w:t>Three months ended June 30,</w:t>
            </w: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8"/>
              </w:rPr>
              <w:t>% Change</w:t>
            </w:r>
          </w:p>
        </w:tc>
        <w:tc>
          <w:tcPr>
            <w:tcW w:w="140" w:type="dxa"/>
            <w:vAlign w:val="bottom"/>
          </w:tcPr>
          <w:p>
            <w:pPr>
              <w:spacing w:after="0"/>
              <w:rPr>
                <w:sz w:val="14"/>
                <w:szCs w:val="14"/>
                <w:color w:val="auto"/>
              </w:rPr>
            </w:pPr>
          </w:p>
        </w:tc>
        <w:tc>
          <w:tcPr>
            <w:tcW w:w="2240" w:type="dxa"/>
            <w:vAlign w:val="bottom"/>
            <w:gridSpan w:val="4"/>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504"/>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2011</w:t>
            </w:r>
          </w:p>
        </w:tc>
        <w:tc>
          <w:tcPr>
            <w:tcW w:w="5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5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w w:val="90"/>
              </w:rPr>
              <w:t>($ in millions)</w:t>
            </w:r>
          </w:p>
        </w:tc>
        <w:tc>
          <w:tcPr>
            <w:tcW w:w="4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4"/>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4"/>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Effective tax rate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64"/>
              <w:spacing w:after="0"/>
              <w:rPr>
                <w:sz w:val="20"/>
                <w:szCs w:val="20"/>
                <w:color w:val="auto"/>
              </w:rPr>
            </w:pPr>
            <w:r>
              <w:rPr>
                <w:rFonts w:ascii="Arial" w:cs="Arial" w:eastAsia="Arial" w:hAnsi="Arial"/>
                <w:sz w:val="18"/>
                <w:szCs w:val="18"/>
                <w:color w:val="auto"/>
              </w:rPr>
              <w:t>30.7%</w:t>
            </w:r>
          </w:p>
        </w:tc>
        <w:tc>
          <w:tcPr>
            <w:tcW w:w="4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36.0%</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64"/>
              <w:spacing w:after="0"/>
              <w:rPr>
                <w:sz w:val="20"/>
                <w:szCs w:val="20"/>
                <w:color w:val="auto"/>
              </w:rPr>
            </w:pPr>
            <w:r>
              <w:rPr>
                <w:rFonts w:ascii="Arial" w:cs="Arial" w:eastAsia="Arial" w:hAnsi="Arial"/>
                <w:sz w:val="18"/>
                <w:szCs w:val="18"/>
                <w:color w:val="auto"/>
              </w:rPr>
              <w:t>31.5%</w:t>
            </w:r>
          </w:p>
        </w:tc>
        <w:tc>
          <w:tcPr>
            <w:tcW w:w="3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36.1%</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the three and six months ended June 30, 2012, the effective tax rate is less than the federal statutory tax rate primarily due to earnings in jurisdictions outside the United States, where our effective tax rate is lower, which was partially offset by state income taxes, non-deductible stock compensation and accruals on uncertain tax positions. The change in the effective tax rate for 2012 compared to the 2011 rate was primarily due to an increase in earnings in jurisdictions outside the United States.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Position, Liquidity and Capital Resources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the six months ended June 30, 2012 we had $478 million of cash and cash equivalents, and at December 31, 2011 we had $184 million of cash and cash equivalents. The cash and cash equivalent balances consisted of cash and a money market account held in the United Kingdom ($193 million and $165 million for the period ended June 30, 2012 and December 31, 2011, respectively) related to earnings we intend to reinvest permanently outside the United States. Should we distribute earnings of foreign subsidiaries in the form of dividends or otherwise, we may be subject to U.S. income taxes. Cumulative undistributed earnings of foreign subsidiaries that we intend to indefinitely reinvest outside of the United States totaled approximately $312 million as of June 30, 2012. Should we distribute, or be treated under certain U.S. tax rules as having distributed, the earnings of foreign subsidiaries in the form of dividends or otherwise, we may be subject to U.S. income taxes. Determination of the amount of any unrecognized deferred income tax liability on this temporary difference is not practicable because of the complexities of the hypothetical calculation. Cash held is primarily denominated in U.S. dollars and British pound sterling.</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 connection with the Spin-Off, we entered into our Revolving Credit Facility with a borrowing capacity of $200 million and have also entered into our five-year, $400 million Term Loan, as discussed in “Note 6— </w:t>
      </w:r>
      <w:r>
        <w:rPr>
          <w:rFonts w:ascii="Arial" w:cs="Arial" w:eastAsia="Arial" w:hAnsi="Arial"/>
          <w:sz w:val="18"/>
          <w:szCs w:val="18"/>
          <w:i w:val="1"/>
          <w:iCs w:val="1"/>
          <w:color w:val="auto"/>
        </w:rPr>
        <w:t>Debt,</w:t>
      </w:r>
      <w:r>
        <w:rPr>
          <w:rFonts w:ascii="Arial" w:cs="Arial" w:eastAsia="Arial" w:hAnsi="Arial"/>
          <w:sz w:val="18"/>
          <w:szCs w:val="18"/>
          <w:color w:val="auto"/>
        </w:rPr>
        <w:t>” in this Quarterly Report on Form 10-Q. Immediately prior to the Spin-Off, we transferred approximately $406 million in the form of a dividend to Expedia, which included an estimate of our cash in excess of $165 million. This distribution included the proceeds from our $400 million Term Loan.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Historically, the cash we generate has been sufficient to fund our working capital and capital expenditure requirements. Management believes that our cash and cash equivalents, combined with expected cash flows generated by operating activities and the our Revolving Credit Facility will be sufficient to fund our ongoing working capital needs, capital expenditure requirements and business growth initiatives and to meet our long term debt obligations and commitments and fund acquisitions for at least the next 12 months.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flows are as follows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2"/>
              </w:rPr>
              <w:t>Six Months Ended</w:t>
            </w:r>
          </w:p>
        </w:tc>
      </w:tr>
      <w:tr>
        <w:trPr>
          <w:trHeight w:val="161"/>
        </w:trPr>
        <w:tc>
          <w:tcPr>
            <w:tcW w:w="4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2"/>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8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4680" w:type="dxa"/>
            <w:vAlign w:val="bottom"/>
            <w:shd w:val="clear" w:color="auto" w:fill="CCEEFF"/>
          </w:tcPr>
          <w:p>
            <w:pPr>
              <w:jc w:val="center"/>
              <w:ind w:right="2392"/>
              <w:spacing w:after="0" w:line="196" w:lineRule="exact"/>
              <w:rPr>
                <w:sz w:val="20"/>
                <w:szCs w:val="20"/>
                <w:color w:val="auto"/>
              </w:rPr>
            </w:pPr>
            <w:r>
              <w:rPr>
                <w:rFonts w:ascii="Arial" w:cs="Arial" w:eastAsia="Arial" w:hAnsi="Arial"/>
                <w:sz w:val="18"/>
                <w:szCs w:val="18"/>
                <w:color w:val="auto"/>
                <w:w w:val="88"/>
              </w:rPr>
              <w:t>Net cash provided by (used in):</w:t>
            </w:r>
          </w:p>
        </w:tc>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80" w:type="dxa"/>
            <w:vAlign w:val="bottom"/>
          </w:tcPr>
          <w:p>
            <w:pPr>
              <w:jc w:val="center"/>
              <w:ind w:right="2332"/>
              <w:spacing w:after="0"/>
              <w:rPr>
                <w:sz w:val="20"/>
                <w:szCs w:val="20"/>
                <w:color w:val="auto"/>
              </w:rPr>
            </w:pPr>
            <w:r>
              <w:rPr>
                <w:rFonts w:ascii="Arial" w:cs="Arial" w:eastAsia="Arial" w:hAnsi="Arial"/>
                <w:sz w:val="18"/>
                <w:szCs w:val="18"/>
                <w:color w:val="auto"/>
                <w:w w:val="90"/>
              </w:rPr>
              <w:t>Operating activities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jc w:val="center"/>
              <w:ind w:right="2392"/>
              <w:spacing w:after="0"/>
              <w:rPr>
                <w:sz w:val="20"/>
                <w:szCs w:val="20"/>
                <w:color w:val="auto"/>
              </w:rPr>
            </w:pPr>
            <w:r>
              <w:rPr>
                <w:rFonts w:ascii="Arial" w:cs="Arial" w:eastAsia="Arial" w:hAnsi="Arial"/>
                <w:sz w:val="18"/>
                <w:szCs w:val="18"/>
                <w:color w:val="auto"/>
                <w:w w:val="90"/>
              </w:rPr>
              <w:t>Investing activities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r>
      <w:tr>
        <w:trPr>
          <w:trHeight w:val="222"/>
        </w:trPr>
        <w:tc>
          <w:tcPr>
            <w:tcW w:w="4680" w:type="dxa"/>
            <w:vAlign w:val="bottom"/>
          </w:tcPr>
          <w:p>
            <w:pPr>
              <w:jc w:val="center"/>
              <w:ind w:right="2332"/>
              <w:spacing w:after="0"/>
              <w:rPr>
                <w:sz w:val="20"/>
                <w:szCs w:val="20"/>
                <w:color w:val="auto"/>
              </w:rPr>
            </w:pPr>
            <w:r>
              <w:rPr>
                <w:rFonts w:ascii="Arial" w:cs="Arial" w:eastAsia="Arial" w:hAnsi="Arial"/>
                <w:sz w:val="18"/>
                <w:szCs w:val="18"/>
                <w:color w:val="auto"/>
                <w:w w:val="90"/>
              </w:rPr>
              <w:t>Financing activities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212</w:t>
            </w:r>
          </w:p>
        </w:tc>
        <w:tc>
          <w:tcPr>
            <w:tcW w:w="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For the six months ended June 30, 2012, net cash provided by operating activities decreased by $23 million or 20% when compared to the same period in 2011, primarily due to a decrease in working capital movements which is driven by related party activity with Expedia of $34 million subsequent to the Spin-Off being classified in operating activities as compared to investing activities in the prior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For the six months ended June 30, 2012, net cash provided by investing activities increased by $99 million when compared to the same period in 2011 primarily due to lower net cash transfers to Expedia related to business operations of $90 million which occurred regularly up through the Spin-Off. In addition, we received $7 million during the six months ended June 30, 2012, from Expedia which was owed to us.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six months ended June 30, 2012, net cash provided by financing activities increased by $203 million when compared to the same period in 2011 primarily due to proceeds from the exercise of our stock options and warrants of $223 million, net of payment of minimum withholding taxes related to the vesting of our RSUs of $3 million during the six months ended June 30, 2012. This was partially offset by $10 million in year to date principal payments on our term loan and a $10 million repayment of our outstanding borrowing on our Revolving Credit Facility for the six months ended June 30, 2012. In addition, during the six months ended June 30, 2011, we received $5 million of funding from Expedia related to an external acquisition, which did not reoccur in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 and Off-Balance Sheet Arrangements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There have been no material changes to our commitments and contingencies and off-balance sheet arrangements since December 31, 2011. (See “Commitments, Contingencies and Off-Balance Sheet Arrangements” in the Management’s Discussion and Analysis of Financial Condition and Results of Operations in Item 7 of our Annual Report on Form 10-K filed on March 15, 2012 for the year ended December 31, 2011.) Other than our contractual obligations and commercial commitments, we did not have any off-balance sheet arrangements as of June 30, 2012 or December 31,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Interactive Corporation and Barry Diller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Diller, our Chairman of the Board of Directors and Senior Executive, through shares he owns beneficially as well as those subject to an irrevocable proxy granted by Liberty Interactive Corporation, or Liberty, controls approximately 57.1% of the combined voting power of the outstanding TripAdvisor capital stock as of June 30, 2012. As such, Mr. Diller effectively controls the outcome of all matters submitted to a vote or for the consent of our stockholders (other than with respect to the election by the holders of common stock of 25% of the members of our Board of Directors and matters as to which Delaware law requires a separate class vote). Upon Mr. Diller’s permanent departure from TripAdvisor, the irrevocable proxy would terminate and depending on the capitalization of TripAdvisor at such time, Liberty could effectively control the voting power of our capital stock. On May 3, 2012, Liberty Interactive Corporation, or Liberty, sold 8,450,000 shares of our common stock pursuant to Rule 144 under the Securities Act of 1933, as amended at an average per share price of $40.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Refer to “Note 12—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above for further information on related party transactions.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We adopted the TripAdvisor, Inc. 2011 Stock and Annual Incentive Plan, or the 2011 Incentive Plan, as of December 21, 2011, under which we may grant restricted stock, restricted stock awards, RSUs, stock options and other stock-based awards to our directors, officers, employees and consultants. Refer to “Note 3 — </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above for further information on the 2011 Incentive Plan.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 Activity</w:t>
      </w:r>
    </w:p>
    <w:p>
      <w:pPr>
        <w:spacing w:after="0" w:line="90"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The exercise price for all stock options granted by us to date has been equal to the market price of the underlying shares of common stock at the date of grant. In this regard, when making stock option awards, our practice is to determine the applicable grant date and to specify that the exercise price shall be the closing price of our common stock on the date of grant. Stock options granted during the first six months of 2012 have had a term of ten years from the date of grant and vest over a four-year period.</w:t>
      </w:r>
    </w:p>
    <w:p>
      <w:pPr>
        <w:spacing w:after="0" w:line="143"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During the three and six months ended June 30, 2012, we have issued 2,995,725 stock options under the 2011 Incentive Plan with a grant-date fair value per option of $20.51. We will amortize the fair value, net of estimated forfeitures, as stock-based compensation expense over the vesting term of four years on a straight-line basis. We use historical data to estimate pre-vesting option forfeitures and record share-based compensation expense only for those awards that are expected to vest. Changes in estimated forfeitures will be recognized through a cumulative catch-up adjustment in the period of change and will also impact the amount of stock compensation expense to be recognized in future periods.</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estimated fair value of the options granted under the 2011 Incentive Plan was calculated using a Black-Scholes Merton option-pricing model (“Black-Scholes model”). The Black-Scholes model incorporates assumptions to value stock-based awards, which includes the risk-free rate of return, volatility, expected term and expected dividend yield.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risk-free interest rate is based on the rates currently available on zero-coupon U.S. Treasury issues, in effect at the time of the grant, whose remaining maturity period most closely approximates the stock option’s expected term assumption. We estimated the volatility of our common stock by using an average of historical stock price volatility of publicly traded companies that we consider peers based on daily price observations over a period equivalent or approximate to the expected term of the stock option grants. The decision to use a weighted average volatility factor of a peer group was based upon the relatively short period of availability of data on our common stock. We estimated our expected term using the simplified method for all stock options as we do not have sufficient historical exercise data on our common stock. Our expected dividend yield is zero, as we have not paid and do not anticipate paying dividends on our common stock in the foreseeable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Warrant Activity</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six months ended June 30, 2012, there were a total of 32,186,791 warrants exercised which resulted in a total of 7,952,456 shares of our common stock being issued during that period, which included 31,641,337 warrants for which the exercise price was paid in cash at a weighted average price of $27.11. We received total exercise proceeds of $214.5 million related to these warrant exercises. In addition there were 545,454 cashless warrants exercised with a weighted average exercise price of $25.92 of which we did not receive any exercise proceeds. As of June 30, 2012, we had no outstanding warrants available which could be convertible to shares of our common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above for further information on current year equity award activity.</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There has been no material change in our market risk during the three and six months ended June 30, 2012. For additional information, see Item 7A, Quantitative and Qualitative Disclosures About Market Risk, in Part II of our Annual Report on Form 10-K for the year ended December 31, 2011.</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As of June 30, 2012,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June 30, 2012,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June 30, 2012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in Part I—Item 1A., “Risk Factors” in our Annual Report on Form 10-K for the year ended December 31, 2011 which could materially affect our business, financial condition or future results. During the quarter ended June 30, 2012, there have been no material changes in our risk factors from those disclosed in Part 1, Item 1A., “Risk Factors” in our Annual Report on Form 10-K for the fiscal year ended December 31, 2011.</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During the quarter ended June 30, 2012,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4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680" w:type="dxa"/>
            <w:vAlign w:val="bottom"/>
            <w:tcBorders>
              <w:bottom w:val="single" w:sz="8" w:color="auto"/>
            </w:tcBorders>
          </w:tcPr>
          <w:p>
            <w:pPr>
              <w:spacing w:after="0"/>
              <w:rPr>
                <w:sz w:val="14"/>
                <w:szCs w:val="14"/>
                <w:color w:val="auto"/>
              </w:rPr>
            </w:pPr>
          </w:p>
        </w:tc>
      </w:tr>
      <w:tr>
        <w:trPr>
          <w:trHeight w:val="149"/>
        </w:trPr>
        <w:tc>
          <w:tcPr>
            <w:tcW w:w="460" w:type="dxa"/>
            <w:vAlign w:val="bottom"/>
            <w:tcBorders>
              <w:bottom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No.</w:t>
            </w:r>
          </w:p>
        </w:tc>
        <w:tc>
          <w:tcPr>
            <w:tcW w:w="2700" w:type="dxa"/>
            <w:vAlign w:val="bottom"/>
          </w:tcPr>
          <w:p>
            <w:pPr>
              <w:spacing w:after="0"/>
              <w:rPr>
                <w:sz w:val="12"/>
                <w:szCs w:val="12"/>
                <w:color w:val="auto"/>
              </w:rPr>
            </w:pPr>
          </w:p>
        </w:tc>
        <w:tc>
          <w:tcPr>
            <w:tcW w:w="120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89"/>
              </w:rPr>
              <w:t>Exhibit Description</w:t>
            </w:r>
          </w:p>
        </w:tc>
        <w:tc>
          <w:tcPr>
            <w:tcW w:w="266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Herewith</w:t>
            </w:r>
          </w:p>
        </w:tc>
        <w:tc>
          <w:tcPr>
            <w:tcW w:w="420" w:type="dxa"/>
            <w:vAlign w:val="bottom"/>
          </w:tcPr>
          <w:p>
            <w:pPr>
              <w:spacing w:after="0"/>
              <w:rPr>
                <w:sz w:val="12"/>
                <w:szCs w:val="12"/>
                <w:color w:val="auto"/>
              </w:rPr>
            </w:pPr>
          </w:p>
        </w:tc>
        <w:tc>
          <w:tcPr>
            <w:tcW w:w="3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1"/>
              </w:rPr>
              <w:t>Form</w:t>
            </w:r>
          </w:p>
        </w:tc>
        <w:tc>
          <w:tcPr>
            <w:tcW w:w="380" w:type="dxa"/>
            <w:vAlign w:val="bottom"/>
          </w:tcPr>
          <w:p>
            <w:pPr>
              <w:spacing w:after="0"/>
              <w:rPr>
                <w:sz w:val="12"/>
                <w:szCs w:val="12"/>
                <w:color w:val="auto"/>
              </w:rPr>
            </w:pPr>
          </w:p>
        </w:tc>
        <w:tc>
          <w:tcPr>
            <w:tcW w:w="78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8"/>
              </w:rPr>
              <w:t>SEC File No.</w:t>
            </w:r>
          </w:p>
        </w:tc>
        <w:tc>
          <w:tcPr>
            <w:tcW w:w="380" w:type="dxa"/>
            <w:vAlign w:val="bottom"/>
          </w:tcPr>
          <w:p>
            <w:pPr>
              <w:spacing w:after="0"/>
              <w:rPr>
                <w:sz w:val="12"/>
                <w:szCs w:val="12"/>
                <w:color w:val="auto"/>
              </w:rPr>
            </w:pPr>
          </w:p>
        </w:tc>
        <w:tc>
          <w:tcPr>
            <w:tcW w:w="4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9"/>
              </w:rPr>
              <w:t>Exhibit</w:t>
            </w:r>
          </w:p>
        </w:tc>
        <w:tc>
          <w:tcPr>
            <w:tcW w:w="380" w:type="dxa"/>
            <w:vAlign w:val="bottom"/>
          </w:tcPr>
          <w:p>
            <w:pPr>
              <w:spacing w:after="0"/>
              <w:rPr>
                <w:sz w:val="12"/>
                <w:szCs w:val="12"/>
                <w:color w:val="auto"/>
              </w:rPr>
            </w:pPr>
          </w:p>
        </w:tc>
        <w:tc>
          <w:tcPr>
            <w:tcW w:w="68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9"/>
              </w:rPr>
              <w:t>Filing Date</w:t>
            </w:r>
          </w:p>
        </w:tc>
      </w:tr>
      <w:tr>
        <w:trPr>
          <w:trHeight w:val="195"/>
        </w:trPr>
        <w:tc>
          <w:tcPr>
            <w:tcW w:w="460" w:type="dxa"/>
            <w:vAlign w:val="bottom"/>
          </w:tcPr>
          <w:p>
            <w:pPr>
              <w:spacing w:after="0" w:line="195" w:lineRule="exact"/>
              <w:rPr>
                <w:sz w:val="20"/>
                <w:szCs w:val="20"/>
                <w:color w:val="auto"/>
              </w:rPr>
            </w:pPr>
            <w:r>
              <w:rPr>
                <w:rFonts w:ascii="Arial" w:cs="Arial" w:eastAsia="Arial" w:hAnsi="Arial"/>
                <w:sz w:val="18"/>
                <w:szCs w:val="18"/>
                <w:color w:val="auto"/>
              </w:rPr>
              <w:t>31.1</w:t>
            </w:r>
          </w:p>
        </w:tc>
        <w:tc>
          <w:tcPr>
            <w:tcW w:w="6560" w:type="dxa"/>
            <w:vAlign w:val="bottom"/>
            <w:gridSpan w:val="3"/>
          </w:tcPr>
          <w:p>
            <w:pPr>
              <w:ind w:left="460"/>
              <w:spacing w:after="0" w:line="195" w:lineRule="exact"/>
              <w:rPr>
                <w:sz w:val="20"/>
                <w:szCs w:val="20"/>
                <w:color w:val="auto"/>
              </w:rPr>
            </w:pPr>
            <w:r>
              <w:rPr>
                <w:rFonts w:ascii="Arial" w:cs="Arial" w:eastAsia="Arial" w:hAnsi="Arial"/>
                <w:sz w:val="18"/>
                <w:szCs w:val="18"/>
                <w:color w:val="auto"/>
                <w:w w:val="98"/>
              </w:rPr>
              <w:t>Certification of the Chairman and Senior Executive Pursuant to Section 302 of</w:t>
            </w: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2"/>
        </w:trPr>
        <w:tc>
          <w:tcPr>
            <w:tcW w:w="460" w:type="dxa"/>
            <w:vAlign w:val="bottom"/>
          </w:tcPr>
          <w:p>
            <w:pPr>
              <w:spacing w:after="0"/>
              <w:rPr>
                <w:sz w:val="19"/>
                <w:szCs w:val="19"/>
                <w:color w:val="auto"/>
              </w:rPr>
            </w:pPr>
          </w:p>
        </w:tc>
        <w:tc>
          <w:tcPr>
            <w:tcW w:w="6560" w:type="dxa"/>
            <w:vAlign w:val="bottom"/>
            <w:gridSpan w:val="3"/>
          </w:tcPr>
          <w:p>
            <w:pPr>
              <w:ind w:left="460"/>
              <w:spacing w:after="0"/>
              <w:rPr>
                <w:sz w:val="20"/>
                <w:szCs w:val="20"/>
                <w:color w:val="auto"/>
              </w:rPr>
            </w:pPr>
            <w:r>
              <w:rPr>
                <w:rFonts w:ascii="Arial" w:cs="Arial" w:eastAsia="Arial" w:hAnsi="Arial"/>
                <w:sz w:val="18"/>
                <w:szCs w:val="18"/>
                <w:color w:val="auto"/>
              </w:rPr>
              <w:t>the Sarbanes-Oxley Act of 2002</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6560" w:type="dxa"/>
            <w:vAlign w:val="bottom"/>
            <w:gridSpan w:val="3"/>
          </w:tcPr>
          <w:p>
            <w:pPr>
              <w:ind w:left="460"/>
              <w:spacing w:after="0"/>
              <w:rPr>
                <w:sz w:val="20"/>
                <w:szCs w:val="20"/>
                <w:color w:val="auto"/>
              </w:rPr>
            </w:pPr>
            <w:r>
              <w:rPr>
                <w:rFonts w:ascii="Arial" w:cs="Arial" w:eastAsia="Arial" w:hAnsi="Arial"/>
                <w:sz w:val="18"/>
                <w:szCs w:val="18"/>
                <w:color w:val="auto"/>
              </w:rPr>
              <w:t>Certification of the Chief Executive Officer Pursuant to Section 302 of the</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6560" w:type="dxa"/>
            <w:vAlign w:val="bottom"/>
            <w:gridSpan w:val="3"/>
          </w:tcPr>
          <w:p>
            <w:pPr>
              <w:ind w:left="460"/>
              <w:spacing w:after="0"/>
              <w:rPr>
                <w:sz w:val="20"/>
                <w:szCs w:val="20"/>
                <w:color w:val="auto"/>
              </w:rPr>
            </w:pPr>
            <w:r>
              <w:rPr>
                <w:rFonts w:ascii="Arial" w:cs="Arial" w:eastAsia="Arial" w:hAnsi="Arial"/>
                <w:sz w:val="18"/>
                <w:szCs w:val="18"/>
                <w:color w:val="auto"/>
              </w:rPr>
              <w:t>Sarbanes-Oxley Act of 2002</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31.3</w:t>
            </w:r>
          </w:p>
        </w:tc>
        <w:tc>
          <w:tcPr>
            <w:tcW w:w="6560" w:type="dxa"/>
            <w:vAlign w:val="bottom"/>
            <w:gridSpan w:val="3"/>
          </w:tcPr>
          <w:p>
            <w:pPr>
              <w:ind w:left="460"/>
              <w:spacing w:after="0"/>
              <w:rPr>
                <w:sz w:val="20"/>
                <w:szCs w:val="20"/>
                <w:color w:val="auto"/>
              </w:rPr>
            </w:pPr>
            <w:r>
              <w:rPr>
                <w:rFonts w:ascii="Arial" w:cs="Arial" w:eastAsia="Arial" w:hAnsi="Arial"/>
                <w:sz w:val="18"/>
                <w:szCs w:val="18"/>
                <w:color w:val="auto"/>
              </w:rPr>
              <w:t>Certification of the Chief Financial Officer pursuant Section 302 of the</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6560" w:type="dxa"/>
            <w:vAlign w:val="bottom"/>
            <w:gridSpan w:val="3"/>
          </w:tcPr>
          <w:p>
            <w:pPr>
              <w:ind w:left="460"/>
              <w:spacing w:after="0"/>
              <w:rPr>
                <w:sz w:val="20"/>
                <w:szCs w:val="20"/>
                <w:color w:val="auto"/>
              </w:rPr>
            </w:pPr>
            <w:r>
              <w:rPr>
                <w:rFonts w:ascii="Arial" w:cs="Arial" w:eastAsia="Arial" w:hAnsi="Arial"/>
                <w:sz w:val="18"/>
                <w:szCs w:val="18"/>
                <w:color w:val="auto"/>
              </w:rPr>
              <w:t>Sarbanes-Oxley Act of 2002</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6560" w:type="dxa"/>
            <w:vAlign w:val="bottom"/>
            <w:gridSpan w:val="3"/>
          </w:tcPr>
          <w:p>
            <w:pPr>
              <w:ind w:left="460"/>
              <w:spacing w:after="0"/>
              <w:rPr>
                <w:sz w:val="20"/>
                <w:szCs w:val="20"/>
                <w:color w:val="auto"/>
              </w:rPr>
            </w:pPr>
            <w:r>
              <w:rPr>
                <w:rFonts w:ascii="Arial" w:cs="Arial" w:eastAsia="Arial" w:hAnsi="Arial"/>
                <w:sz w:val="18"/>
                <w:szCs w:val="18"/>
                <w:color w:val="auto"/>
                <w:w w:val="96"/>
              </w:rPr>
              <w:t>Certification of the Chairman and Senior Executive pursuant Section 906 of the</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6560" w:type="dxa"/>
            <w:vAlign w:val="bottom"/>
            <w:gridSpan w:val="3"/>
          </w:tcPr>
          <w:p>
            <w:pPr>
              <w:ind w:left="460"/>
              <w:spacing w:after="0"/>
              <w:rPr>
                <w:sz w:val="20"/>
                <w:szCs w:val="20"/>
                <w:color w:val="auto"/>
              </w:rPr>
            </w:pPr>
            <w:r>
              <w:rPr>
                <w:rFonts w:ascii="Arial" w:cs="Arial" w:eastAsia="Arial" w:hAnsi="Arial"/>
                <w:sz w:val="18"/>
                <w:szCs w:val="18"/>
                <w:color w:val="auto"/>
              </w:rPr>
              <w:t>Sarbanes-Oxley Act of 2002</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6560" w:type="dxa"/>
            <w:vAlign w:val="bottom"/>
            <w:gridSpan w:val="3"/>
          </w:tcPr>
          <w:p>
            <w:pPr>
              <w:ind w:left="460"/>
              <w:spacing w:after="0"/>
              <w:rPr>
                <w:sz w:val="20"/>
                <w:szCs w:val="20"/>
                <w:color w:val="auto"/>
              </w:rPr>
            </w:pPr>
            <w:r>
              <w:rPr>
                <w:rFonts w:ascii="Arial" w:cs="Arial" w:eastAsia="Arial" w:hAnsi="Arial"/>
                <w:sz w:val="18"/>
                <w:szCs w:val="18"/>
                <w:color w:val="auto"/>
              </w:rPr>
              <w:t>Certification of the Chief Executive Officer pursuant Section 906 of the</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6560" w:type="dxa"/>
            <w:vAlign w:val="bottom"/>
            <w:gridSpan w:val="3"/>
          </w:tcPr>
          <w:p>
            <w:pPr>
              <w:ind w:left="460"/>
              <w:spacing w:after="0"/>
              <w:rPr>
                <w:sz w:val="20"/>
                <w:szCs w:val="20"/>
                <w:color w:val="auto"/>
              </w:rPr>
            </w:pPr>
            <w:r>
              <w:rPr>
                <w:rFonts w:ascii="Arial" w:cs="Arial" w:eastAsia="Arial" w:hAnsi="Arial"/>
                <w:sz w:val="18"/>
                <w:szCs w:val="18"/>
                <w:color w:val="auto"/>
              </w:rPr>
              <w:t>Sarbanes-Oxley Act of 2002</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32.3</w:t>
            </w:r>
          </w:p>
        </w:tc>
        <w:tc>
          <w:tcPr>
            <w:tcW w:w="6560" w:type="dxa"/>
            <w:vAlign w:val="bottom"/>
            <w:gridSpan w:val="3"/>
          </w:tcPr>
          <w:p>
            <w:pPr>
              <w:ind w:left="460"/>
              <w:spacing w:after="0"/>
              <w:rPr>
                <w:sz w:val="20"/>
                <w:szCs w:val="20"/>
                <w:color w:val="auto"/>
              </w:rPr>
            </w:pPr>
            <w:r>
              <w:rPr>
                <w:rFonts w:ascii="Arial" w:cs="Arial" w:eastAsia="Arial" w:hAnsi="Arial"/>
                <w:sz w:val="18"/>
                <w:szCs w:val="18"/>
                <w:color w:val="auto"/>
              </w:rPr>
              <w:t>Certification of the Chief Financial Officer pursuant Section 906 of the</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6560" w:type="dxa"/>
            <w:vAlign w:val="bottom"/>
            <w:gridSpan w:val="3"/>
          </w:tcPr>
          <w:p>
            <w:pPr>
              <w:ind w:left="460"/>
              <w:spacing w:after="0"/>
              <w:rPr>
                <w:sz w:val="20"/>
                <w:szCs w:val="20"/>
                <w:color w:val="auto"/>
              </w:rPr>
            </w:pPr>
            <w:r>
              <w:rPr>
                <w:rFonts w:ascii="Arial" w:cs="Arial" w:eastAsia="Arial" w:hAnsi="Arial"/>
                <w:sz w:val="18"/>
                <w:szCs w:val="18"/>
                <w:color w:val="auto"/>
              </w:rPr>
              <w:t>Sarbanes-Oxley Act of 2002</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65"/>
        </w:trPr>
        <w:tc>
          <w:tcPr>
            <w:tcW w:w="460" w:type="dxa"/>
            <w:vAlign w:val="bottom"/>
          </w:tcPr>
          <w:p>
            <w:pPr>
              <w:spacing w:after="0"/>
              <w:rPr>
                <w:sz w:val="24"/>
                <w:szCs w:val="24"/>
                <w:color w:val="auto"/>
              </w:rPr>
            </w:pPr>
          </w:p>
        </w:tc>
        <w:tc>
          <w:tcPr>
            <w:tcW w:w="6560" w:type="dxa"/>
            <w:vAlign w:val="bottom"/>
            <w:gridSpan w:val="3"/>
          </w:tcPr>
          <w:p>
            <w:pPr>
              <w:ind w:left="5160"/>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492"/>
              <w:spacing w:after="0"/>
              <w:rPr>
                <w:sz w:val="20"/>
                <w:szCs w:val="20"/>
                <w:color w:val="auto"/>
              </w:rPr>
            </w:pPr>
            <w:r>
              <w:rPr>
                <w:rFonts w:ascii="Arial" w:cs="Arial" w:eastAsia="Arial" w:hAnsi="Arial"/>
                <w:sz w:val="18"/>
                <w:szCs w:val="18"/>
                <w:color w:val="auto"/>
                <w:w w:val="91"/>
              </w:rPr>
              <w:t>101*</w:t>
            </w:r>
          </w:p>
        </w:tc>
        <w:tc>
          <w:tcPr>
            <w:tcW w:w="7620" w:type="dxa"/>
            <w:vAlign w:val="bottom"/>
          </w:tcPr>
          <w:p>
            <w:pPr>
              <w:ind w:left="580"/>
              <w:spacing w:after="0"/>
              <w:rPr>
                <w:sz w:val="20"/>
                <w:szCs w:val="20"/>
                <w:color w:val="auto"/>
              </w:rPr>
            </w:pPr>
            <w:r>
              <w:rPr>
                <w:rFonts w:ascii="Arial" w:cs="Arial" w:eastAsia="Arial" w:hAnsi="Arial"/>
                <w:sz w:val="18"/>
                <w:szCs w:val="18"/>
                <w:color w:val="auto"/>
                <w:w w:val="90"/>
              </w:rPr>
              <w:t>The following financial statements from the Company’s Quarterly Report on Form 10-Q for the six</w:t>
            </w:r>
          </w:p>
        </w:tc>
      </w:tr>
      <w:tr>
        <w:trPr>
          <w:trHeight w:val="216"/>
        </w:trPr>
        <w:tc>
          <w:tcPr>
            <w:tcW w:w="940" w:type="dxa"/>
            <w:vAlign w:val="bottom"/>
          </w:tcPr>
          <w:p>
            <w:pPr>
              <w:spacing w:after="0"/>
              <w:rPr>
                <w:sz w:val="18"/>
                <w:szCs w:val="18"/>
                <w:color w:val="auto"/>
              </w:rPr>
            </w:pPr>
          </w:p>
        </w:tc>
        <w:tc>
          <w:tcPr>
            <w:tcW w:w="7620" w:type="dxa"/>
            <w:vAlign w:val="bottom"/>
          </w:tcPr>
          <w:p>
            <w:pPr>
              <w:ind w:left="580"/>
              <w:spacing w:after="0"/>
              <w:rPr>
                <w:sz w:val="20"/>
                <w:szCs w:val="20"/>
                <w:color w:val="auto"/>
              </w:rPr>
            </w:pPr>
            <w:r>
              <w:rPr>
                <w:rFonts w:ascii="Arial" w:cs="Arial" w:eastAsia="Arial" w:hAnsi="Arial"/>
                <w:sz w:val="18"/>
                <w:szCs w:val="18"/>
                <w:color w:val="auto"/>
                <w:w w:val="95"/>
              </w:rPr>
              <w:t>months ended June 30, 2012, formatted in XBRL: (i) Unaudited Consolidated and Combined</w:t>
            </w:r>
          </w:p>
        </w:tc>
      </w:tr>
      <w:tr>
        <w:trPr>
          <w:trHeight w:val="216"/>
        </w:trPr>
        <w:tc>
          <w:tcPr>
            <w:tcW w:w="940" w:type="dxa"/>
            <w:vAlign w:val="bottom"/>
          </w:tcPr>
          <w:p>
            <w:pPr>
              <w:spacing w:after="0"/>
              <w:rPr>
                <w:sz w:val="18"/>
                <w:szCs w:val="18"/>
                <w:color w:val="auto"/>
              </w:rPr>
            </w:pPr>
          </w:p>
        </w:tc>
        <w:tc>
          <w:tcPr>
            <w:tcW w:w="7620" w:type="dxa"/>
            <w:vAlign w:val="bottom"/>
          </w:tcPr>
          <w:p>
            <w:pPr>
              <w:ind w:left="580"/>
              <w:spacing w:after="0"/>
              <w:rPr>
                <w:sz w:val="20"/>
                <w:szCs w:val="20"/>
                <w:color w:val="auto"/>
              </w:rPr>
            </w:pPr>
            <w:r>
              <w:rPr>
                <w:rFonts w:ascii="Arial" w:cs="Arial" w:eastAsia="Arial" w:hAnsi="Arial"/>
                <w:sz w:val="18"/>
                <w:szCs w:val="18"/>
                <w:color w:val="auto"/>
                <w:w w:val="87"/>
              </w:rPr>
              <w:t>Statements of Operations, (ii) Unaudited Consolidated and Combined Statements of Comprehensive</w:t>
            </w:r>
          </w:p>
        </w:tc>
      </w:tr>
      <w:tr>
        <w:trPr>
          <w:trHeight w:val="222"/>
        </w:trPr>
        <w:tc>
          <w:tcPr>
            <w:tcW w:w="940" w:type="dxa"/>
            <w:vAlign w:val="bottom"/>
          </w:tcPr>
          <w:p>
            <w:pPr>
              <w:spacing w:after="0"/>
              <w:rPr>
                <w:sz w:val="19"/>
                <w:szCs w:val="19"/>
                <w:color w:val="auto"/>
              </w:rPr>
            </w:pPr>
          </w:p>
        </w:tc>
        <w:tc>
          <w:tcPr>
            <w:tcW w:w="7620" w:type="dxa"/>
            <w:vAlign w:val="bottom"/>
          </w:tcPr>
          <w:p>
            <w:pPr>
              <w:ind w:left="580"/>
              <w:spacing w:after="0"/>
              <w:rPr>
                <w:sz w:val="20"/>
                <w:szCs w:val="20"/>
                <w:color w:val="auto"/>
              </w:rPr>
            </w:pPr>
            <w:r>
              <w:rPr>
                <w:rFonts w:ascii="Arial" w:cs="Arial" w:eastAsia="Arial" w:hAnsi="Arial"/>
                <w:sz w:val="18"/>
                <w:szCs w:val="18"/>
                <w:color w:val="auto"/>
                <w:w w:val="92"/>
              </w:rPr>
              <w:t>Income, (iii) Unaudited Consolidated Balance Sheets, (iv) Unaudited Consolidated Statement of</w:t>
            </w:r>
          </w:p>
        </w:tc>
      </w:tr>
    </w:tbl>
    <w:p>
      <w:pPr>
        <w:jc w:val="both"/>
        <w:ind w:left="1520" w:right="3060"/>
        <w:spacing w:after="0" w:line="255" w:lineRule="auto"/>
        <w:rPr>
          <w:sz w:val="20"/>
          <w:szCs w:val="20"/>
          <w:color w:val="auto"/>
        </w:rPr>
      </w:pPr>
      <w:r>
        <w:rPr>
          <w:rFonts w:ascii="Arial" w:cs="Arial" w:eastAsia="Arial" w:hAnsi="Arial"/>
          <w:sz w:val="18"/>
          <w:szCs w:val="18"/>
          <w:color w:val="auto"/>
        </w:rPr>
        <w:t>Changes in Stockholders’ Equity, (v) Unaudited Consolidated and Combined Statements of Cash Flows, and (vi) Unaudited Notes to Consolidated and Combined Financial Statements, tagged as blocks of text.</w:t>
      </w:r>
    </w:p>
    <w:p>
      <w:pPr>
        <w:spacing w:after="0" w:line="185" w:lineRule="exact"/>
        <w:rPr>
          <w:sz w:val="20"/>
          <w:szCs w:val="20"/>
          <w:color w:val="auto"/>
        </w:rPr>
      </w:pPr>
    </w:p>
    <w:p>
      <w:pPr>
        <w:ind w:left="220" w:hanging="212"/>
        <w:spacing w:after="0" w:line="259"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Inc.</w:t>
      </w:r>
    </w:p>
    <w:p>
      <w:pPr>
        <w:spacing w:after="0" w:line="225" w:lineRule="exact"/>
        <w:rPr>
          <w:sz w:val="20"/>
          <w:szCs w:val="20"/>
          <w:color w:val="auto"/>
        </w:rPr>
      </w:pPr>
    </w:p>
    <w:p>
      <w:pPr>
        <w:ind w:left="6860"/>
        <w:spacing w:after="0"/>
        <w:tabs>
          <w:tab w:leader="none" w:pos="822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J</w:t>
      </w:r>
      <w:r>
        <w:rPr>
          <w:rFonts w:ascii="Arial" w:cs="Arial" w:eastAsia="Arial" w:hAnsi="Arial"/>
          <w:sz w:val="14"/>
          <w:szCs w:val="14"/>
          <w:color w:val="auto"/>
        </w:rPr>
        <w:t>ULIE</w:t>
      </w:r>
      <w:r>
        <w:rPr>
          <w:rFonts w:ascii="Arial" w:cs="Arial" w:eastAsia="Arial" w:hAnsi="Arial"/>
          <w:sz w:val="18"/>
          <w:szCs w:val="18"/>
          <w:color w:val="auto"/>
        </w:rPr>
        <w:t xml:space="preserve"> M.B. B</w:t>
      </w:r>
      <w:r>
        <w:rPr>
          <w:rFonts w:ascii="Arial" w:cs="Arial" w:eastAsia="Arial" w:hAnsi="Arial"/>
          <w:sz w:val="14"/>
          <w:szCs w:val="14"/>
          <w:color w:val="auto"/>
        </w:rPr>
        <w:t>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4"/>
          <w:szCs w:val="14"/>
          <w:b w:val="1"/>
          <w:bCs w:val="1"/>
          <w:color w:val="auto"/>
        </w:rPr>
        <w:t>Julie M.B. Bradley</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July 26, 2012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40"/>
          </w:cols>
          <w:pgMar w:left="240" w:top="459" w:right="11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Barry Diller, Chairman and Senior Executive of TripAdvisor, Inc.,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2012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July 26,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BARRY DILLER</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Barry Diller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Chairman and Senior Executive</w:t>
            </w:r>
          </w:p>
        </w:tc>
      </w:tr>
    </w:tbl>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2012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July 26,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STEPHEN KAUFER</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Stephen Kaufer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Julie M.B. Bradley, Chief Financial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2012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July 26,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JULIE M.B. BRADLEY</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Julie M.B. Bradley</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2012, as filed with the Securities and Exchange Commission on the date hereof (the “Report”), I, Barry Diller, Chairman and Senior Executive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July 26,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BARRY DILLER</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Barry Diller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Chairman and Senior Executive</w:t>
            </w: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2012, as filed with the Securities and Exchange Commission on the date hereof (the “Report”), I, Stephen Kaufer, Chief Executive Officer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July 26,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STEPHEN KAUFER</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Stephen Kaufer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2012, as filed with the Securities and Exchange Commission on the date hereof (the “Report”), I, Julie M.B. Bradley, Chief Financial Officer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July 26,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JULIE M.B. BRADLEY</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Julie M.B. Bradley</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2019-12-09T20:11:25Z</dcterms:created>
  <dcterms:modified xsi:type="dcterms:W3CDTF">2019-12-09T20:11:25Z</dcterms:modified>
</cp:coreProperties>
</file>