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t>UNITED STATES</w:t>
      </w:r>
    </w:p>
    <w:p>
      <w:pPr>
        <w:jc w:val="center"/>
        <w:ind w:right="60"/>
        <w:spacing w:after="0" w:line="211" w:lineRule="auto"/>
        <w:rPr>
          <w:sz w:val="20"/>
          <w:szCs w:val="20"/>
          <w:color w:val="auto"/>
        </w:rPr>
      </w:pPr>
      <w:r>
        <w:rPr>
          <w:rFonts w:ascii="Arial" w:cs="Arial" w:eastAsia="Arial" w:hAnsi="Arial"/>
          <w:sz w:val="25"/>
          <w:szCs w:val="25"/>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94"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10-K</w:t>
      </w:r>
    </w:p>
    <w:p>
      <w:pPr>
        <w:spacing w:after="0" w:line="239" w:lineRule="exact"/>
        <w:rPr>
          <w:sz w:val="24"/>
          <w:szCs w:val="24"/>
          <w:color w:val="auto"/>
        </w:rPr>
      </w:pPr>
    </w:p>
    <w:p>
      <w:pPr>
        <w:ind w:left="4240" w:right="3920" w:hanging="4232"/>
        <w:spacing w:after="0" w:line="319" w:lineRule="auto"/>
        <w:tabs>
          <w:tab w:leader="none" w:pos="288"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-282575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06"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41" w:lineRule="exact"/>
        <w:rPr>
          <w:sz w:val="24"/>
          <w:szCs w:val="24"/>
          <w:color w:val="auto"/>
        </w:rPr>
      </w:pPr>
    </w:p>
    <w:p>
      <w:pPr>
        <w:ind w:left="4260"/>
        <w:spacing w:after="0"/>
        <w:tabs>
          <w:tab w:leader="none" w:pos="64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5" w:lineRule="exact"/>
        <w:rPr>
          <w:sz w:val="24"/>
          <w:szCs w:val="24"/>
          <w:color w:val="auto"/>
        </w:rPr>
      </w:pPr>
    </w:p>
    <w:p>
      <w:pPr>
        <w:ind w:left="4500"/>
        <w:spacing w:after="0"/>
        <w:rPr>
          <w:sz w:val="20"/>
          <w:szCs w:val="20"/>
          <w:color w:val="auto"/>
        </w:rPr>
      </w:pPr>
      <w:r>
        <w:rPr>
          <w:rFonts w:ascii="Arial" w:cs="Arial" w:eastAsia="Arial" w:hAnsi="Arial"/>
          <w:sz w:val="14"/>
          <w:szCs w:val="14"/>
          <w:b w:val="1"/>
          <w:bCs w:val="1"/>
          <w:color w:val="auto"/>
        </w:rPr>
        <w:t>Commission file number: 001-35362</w:t>
      </w:r>
    </w:p>
    <w:p>
      <w:pPr>
        <w:spacing w:after="0" w:line="210" w:lineRule="exact"/>
        <w:rPr>
          <w:sz w:val="24"/>
          <w:szCs w:val="24"/>
          <w:color w:val="auto"/>
        </w:rPr>
      </w:pPr>
    </w:p>
    <w:tbl>
      <w:tblPr>
        <w:tblLayout w:type="fixed"/>
        <w:tblInd w:w="1880" w:type="dxa"/>
        <w:tblCellMar>
          <w:top w:w="0" w:type="dxa"/>
          <w:left w:w="0" w:type="dxa"/>
          <w:bottom w:w="0" w:type="dxa"/>
          <w:right w:w="0" w:type="dxa"/>
        </w:tblCellMar>
      </w:tblPr>
      <w:tr>
        <w:trPr>
          <w:trHeight w:val="368"/>
        </w:trPr>
        <w:tc>
          <w:tcPr>
            <w:tcW w:w="1860" w:type="dxa"/>
            <w:vAlign w:val="bottom"/>
          </w:tcPr>
          <w:p>
            <w:pPr>
              <w:spacing w:after="0"/>
              <w:rPr>
                <w:sz w:val="24"/>
                <w:szCs w:val="24"/>
                <w:color w:val="auto"/>
              </w:rPr>
            </w:pPr>
          </w:p>
        </w:tc>
        <w:tc>
          <w:tcPr>
            <w:tcW w:w="5280" w:type="dxa"/>
            <w:vAlign w:val="bottom"/>
            <w:gridSpan w:val="2"/>
          </w:tcPr>
          <w:p>
            <w:pPr>
              <w:ind w:left="300"/>
              <w:spacing w:after="0"/>
              <w:rPr>
                <w:sz w:val="20"/>
                <w:szCs w:val="20"/>
                <w:color w:val="auto"/>
              </w:rPr>
            </w:pPr>
            <w:r>
              <w:rPr>
                <w:rFonts w:ascii="Arial" w:cs="Arial" w:eastAsia="Arial" w:hAnsi="Arial"/>
                <w:sz w:val="32"/>
                <w:szCs w:val="32"/>
                <w:b w:val="1"/>
                <w:bCs w:val="1"/>
                <w:color w:val="auto"/>
              </w:rPr>
              <w:t>TRIPADVISOR, INC.</w:t>
            </w:r>
          </w:p>
        </w:tc>
      </w:tr>
      <w:tr>
        <w:trPr>
          <w:trHeight w:val="174"/>
        </w:trPr>
        <w:tc>
          <w:tcPr>
            <w:tcW w:w="1860" w:type="dxa"/>
            <w:vAlign w:val="bottom"/>
          </w:tcPr>
          <w:p>
            <w:pPr>
              <w:spacing w:after="0"/>
              <w:rPr>
                <w:sz w:val="15"/>
                <w:szCs w:val="15"/>
                <w:color w:val="auto"/>
              </w:rPr>
            </w:pPr>
          </w:p>
        </w:tc>
        <w:tc>
          <w:tcPr>
            <w:tcW w:w="5280" w:type="dxa"/>
            <w:vAlign w:val="bottom"/>
            <w:gridSpan w:val="2"/>
          </w:tcPr>
          <w:p>
            <w:pPr>
              <w:jc w:val="center"/>
              <w:ind w:right="1473"/>
              <w:spacing w:after="0"/>
              <w:rPr>
                <w:sz w:val="20"/>
                <w:szCs w:val="20"/>
                <w:color w:val="auto"/>
              </w:rPr>
            </w:pPr>
            <w:r>
              <w:rPr>
                <w:rFonts w:ascii="Arial" w:cs="Arial" w:eastAsia="Arial" w:hAnsi="Arial"/>
                <w:sz w:val="13"/>
                <w:szCs w:val="13"/>
                <w:b w:val="1"/>
                <w:bCs w:val="1"/>
                <w:color w:val="auto"/>
                <w:w w:val="93"/>
              </w:rPr>
              <w:t>(Exact name of registrant as specified in its charter)</w:t>
            </w:r>
          </w:p>
        </w:tc>
      </w:tr>
      <w:tr>
        <w:trPr>
          <w:trHeight w:val="203"/>
        </w:trPr>
        <w:tc>
          <w:tcPr>
            <w:tcW w:w="1860" w:type="dxa"/>
            <w:vAlign w:val="bottom"/>
          </w:tcPr>
          <w:p>
            <w:pPr>
              <w:spacing w:after="0"/>
              <w:rPr>
                <w:sz w:val="17"/>
                <w:szCs w:val="17"/>
                <w:color w:val="auto"/>
              </w:rPr>
            </w:pPr>
          </w:p>
        </w:tc>
        <w:tc>
          <w:tcPr>
            <w:tcW w:w="3760" w:type="dxa"/>
            <w:vAlign w:val="bottom"/>
            <w:tcBorders>
              <w:bottom w:val="single" w:sz="8" w:color="auto"/>
            </w:tcBorders>
          </w:tcPr>
          <w:p>
            <w:pPr>
              <w:spacing w:after="0"/>
              <w:rPr>
                <w:sz w:val="17"/>
                <w:szCs w:val="17"/>
                <w:color w:val="auto"/>
              </w:rPr>
            </w:pPr>
          </w:p>
        </w:tc>
        <w:tc>
          <w:tcPr>
            <w:tcW w:w="1520" w:type="dxa"/>
            <w:vAlign w:val="bottom"/>
          </w:tcPr>
          <w:p>
            <w:pPr>
              <w:spacing w:after="0"/>
              <w:rPr>
                <w:sz w:val="17"/>
                <w:szCs w:val="17"/>
                <w:color w:val="auto"/>
              </w:rPr>
            </w:pPr>
          </w:p>
        </w:tc>
      </w:tr>
      <w:tr>
        <w:trPr>
          <w:trHeight w:val="332"/>
        </w:trPr>
        <w:tc>
          <w:tcPr>
            <w:tcW w:w="1860" w:type="dxa"/>
            <w:vAlign w:val="bottom"/>
          </w:tcPr>
          <w:p>
            <w:pPr>
              <w:jc w:val="center"/>
              <w:ind w:right="11"/>
              <w:spacing w:after="0"/>
              <w:rPr>
                <w:sz w:val="20"/>
                <w:szCs w:val="20"/>
                <w:color w:val="auto"/>
              </w:rPr>
            </w:pPr>
            <w:r>
              <w:rPr>
                <w:rFonts w:ascii="Arial" w:cs="Arial" w:eastAsia="Arial" w:hAnsi="Arial"/>
                <w:sz w:val="14"/>
                <w:szCs w:val="14"/>
                <w:b w:val="1"/>
                <w:bCs w:val="1"/>
                <w:color w:val="auto"/>
                <w:w w:val="94"/>
              </w:rPr>
              <w:t>Delaware</w:t>
            </w:r>
          </w:p>
        </w:tc>
        <w:tc>
          <w:tcPr>
            <w:tcW w:w="5280" w:type="dxa"/>
            <w:vAlign w:val="bottom"/>
            <w:gridSpan w:val="2"/>
          </w:tcPr>
          <w:p>
            <w:pPr>
              <w:jc w:val="center"/>
              <w:ind w:left="4132"/>
              <w:spacing w:after="0"/>
              <w:rPr>
                <w:sz w:val="20"/>
                <w:szCs w:val="20"/>
                <w:color w:val="auto"/>
              </w:rPr>
            </w:pPr>
            <w:r>
              <w:rPr>
                <w:rFonts w:ascii="Arial" w:cs="Arial" w:eastAsia="Arial" w:hAnsi="Arial"/>
                <w:sz w:val="14"/>
                <w:szCs w:val="14"/>
                <w:b w:val="1"/>
                <w:bCs w:val="1"/>
                <w:color w:val="auto"/>
                <w:w w:val="93"/>
              </w:rPr>
              <w:t>80-0743202</w:t>
            </w:r>
          </w:p>
        </w:tc>
      </w:tr>
      <w:tr>
        <w:trPr>
          <w:trHeight w:val="134"/>
        </w:trPr>
        <w:tc>
          <w:tcPr>
            <w:tcW w:w="1860" w:type="dxa"/>
            <w:vAlign w:val="bottom"/>
          </w:tcPr>
          <w:p>
            <w:pPr>
              <w:jc w:val="center"/>
              <w:ind w:right="31"/>
              <w:spacing w:after="0" w:line="134" w:lineRule="exact"/>
              <w:rPr>
                <w:sz w:val="20"/>
                <w:szCs w:val="20"/>
                <w:color w:val="auto"/>
              </w:rPr>
            </w:pPr>
            <w:r>
              <w:rPr>
                <w:rFonts w:ascii="Arial" w:cs="Arial" w:eastAsia="Arial" w:hAnsi="Arial"/>
                <w:sz w:val="13"/>
                <w:szCs w:val="13"/>
                <w:b w:val="1"/>
                <w:bCs w:val="1"/>
                <w:color w:val="auto"/>
                <w:w w:val="94"/>
              </w:rPr>
              <w:t>(State or other jurisdiction of</w:t>
            </w:r>
          </w:p>
        </w:tc>
        <w:tc>
          <w:tcPr>
            <w:tcW w:w="3760" w:type="dxa"/>
            <w:vAlign w:val="bottom"/>
          </w:tcPr>
          <w:p>
            <w:pPr>
              <w:spacing w:after="0"/>
              <w:rPr>
                <w:sz w:val="11"/>
                <w:szCs w:val="11"/>
                <w:color w:val="auto"/>
              </w:rPr>
            </w:pPr>
          </w:p>
        </w:tc>
        <w:tc>
          <w:tcPr>
            <w:tcW w:w="1520" w:type="dxa"/>
            <w:vAlign w:val="bottom"/>
          </w:tcPr>
          <w:p>
            <w:pPr>
              <w:jc w:val="center"/>
              <w:ind w:left="393"/>
              <w:spacing w:after="0" w:line="134" w:lineRule="exact"/>
              <w:rPr>
                <w:sz w:val="20"/>
                <w:szCs w:val="20"/>
                <w:color w:val="auto"/>
              </w:rPr>
            </w:pPr>
            <w:r>
              <w:rPr>
                <w:rFonts w:ascii="Arial" w:cs="Arial" w:eastAsia="Arial" w:hAnsi="Arial"/>
                <w:sz w:val="13"/>
                <w:szCs w:val="13"/>
                <w:b w:val="1"/>
                <w:bCs w:val="1"/>
                <w:color w:val="auto"/>
                <w:w w:val="98"/>
              </w:rPr>
              <w:t>(I.R.S. Employer</w:t>
            </w:r>
          </w:p>
        </w:tc>
      </w:tr>
      <w:tr>
        <w:trPr>
          <w:trHeight w:val="147"/>
        </w:trPr>
        <w:tc>
          <w:tcPr>
            <w:tcW w:w="1860" w:type="dxa"/>
            <w:vAlign w:val="bottom"/>
          </w:tcPr>
          <w:p>
            <w:pPr>
              <w:jc w:val="center"/>
              <w:ind w:right="31"/>
              <w:spacing w:after="0" w:line="148" w:lineRule="exact"/>
              <w:rPr>
                <w:sz w:val="20"/>
                <w:szCs w:val="20"/>
                <w:color w:val="auto"/>
              </w:rPr>
            </w:pPr>
            <w:r>
              <w:rPr>
                <w:rFonts w:ascii="Arial" w:cs="Arial" w:eastAsia="Arial" w:hAnsi="Arial"/>
                <w:sz w:val="13"/>
                <w:szCs w:val="13"/>
                <w:b w:val="1"/>
                <w:bCs w:val="1"/>
                <w:color w:val="auto"/>
                <w:w w:val="94"/>
              </w:rPr>
              <w:t>incorporation or organization)</w:t>
            </w:r>
          </w:p>
        </w:tc>
        <w:tc>
          <w:tcPr>
            <w:tcW w:w="3760" w:type="dxa"/>
            <w:vAlign w:val="bottom"/>
          </w:tcPr>
          <w:p>
            <w:pPr>
              <w:spacing w:after="0"/>
              <w:rPr>
                <w:sz w:val="12"/>
                <w:szCs w:val="12"/>
                <w:color w:val="auto"/>
              </w:rPr>
            </w:pPr>
          </w:p>
        </w:tc>
        <w:tc>
          <w:tcPr>
            <w:tcW w:w="1520" w:type="dxa"/>
            <w:vAlign w:val="bottom"/>
          </w:tcPr>
          <w:p>
            <w:pPr>
              <w:jc w:val="center"/>
              <w:ind w:left="393"/>
              <w:spacing w:after="0" w:line="148" w:lineRule="exact"/>
              <w:rPr>
                <w:sz w:val="20"/>
                <w:szCs w:val="20"/>
                <w:color w:val="auto"/>
              </w:rPr>
            </w:pPr>
            <w:r>
              <w:rPr>
                <w:rFonts w:ascii="Arial" w:cs="Arial" w:eastAsia="Arial" w:hAnsi="Arial"/>
                <w:sz w:val="13"/>
                <w:szCs w:val="13"/>
                <w:b w:val="1"/>
                <w:bCs w:val="1"/>
                <w:color w:val="auto"/>
                <w:w w:val="96"/>
              </w:rPr>
              <w:t>Identification No.)</w:t>
            </w:r>
          </w:p>
        </w:tc>
      </w:tr>
      <w:tr>
        <w:trPr>
          <w:trHeight w:val="154"/>
        </w:trPr>
        <w:tc>
          <w:tcPr>
            <w:tcW w:w="1860" w:type="dxa"/>
            <w:vAlign w:val="bottom"/>
          </w:tcPr>
          <w:p>
            <w:pPr>
              <w:spacing w:after="0"/>
              <w:rPr>
                <w:sz w:val="13"/>
                <w:szCs w:val="13"/>
                <w:color w:val="auto"/>
              </w:rPr>
            </w:pPr>
          </w:p>
        </w:tc>
        <w:tc>
          <w:tcPr>
            <w:tcW w:w="5280" w:type="dxa"/>
            <w:vAlign w:val="bottom"/>
            <w:gridSpan w:val="2"/>
          </w:tcPr>
          <w:p>
            <w:pPr>
              <w:jc w:val="center"/>
              <w:ind w:right="1453"/>
              <w:spacing w:after="0" w:line="154" w:lineRule="exact"/>
              <w:rPr>
                <w:sz w:val="20"/>
                <w:szCs w:val="20"/>
                <w:color w:val="auto"/>
              </w:rPr>
            </w:pPr>
            <w:r>
              <w:rPr>
                <w:rFonts w:ascii="Arial" w:cs="Arial" w:eastAsia="Arial" w:hAnsi="Arial"/>
                <w:sz w:val="13"/>
                <w:szCs w:val="13"/>
                <w:b w:val="1"/>
                <w:bCs w:val="1"/>
                <w:color w:val="auto"/>
                <w:w w:val="94"/>
              </w:rPr>
              <w:t>400 1</w:t>
            </w:r>
            <w:r>
              <w:rPr>
                <w:rFonts w:ascii="Arial" w:cs="Arial" w:eastAsia="Arial" w:hAnsi="Arial"/>
                <w:sz w:val="17"/>
                <w:szCs w:val="17"/>
                <w:b w:val="1"/>
                <w:bCs w:val="1"/>
                <w:color w:val="auto"/>
                <w:w w:val="94"/>
                <w:vertAlign w:val="superscript"/>
              </w:rPr>
              <w:t>st</w:t>
            </w:r>
            <w:r>
              <w:rPr>
                <w:rFonts w:ascii="Arial" w:cs="Arial" w:eastAsia="Arial" w:hAnsi="Arial"/>
                <w:sz w:val="13"/>
                <w:szCs w:val="13"/>
                <w:b w:val="1"/>
                <w:bCs w:val="1"/>
                <w:color w:val="auto"/>
                <w:w w:val="94"/>
              </w:rPr>
              <w:t xml:space="preserve"> Avenue</w:t>
            </w:r>
          </w:p>
        </w:tc>
      </w:tr>
      <w:tr>
        <w:trPr>
          <w:trHeight w:val="159"/>
        </w:trPr>
        <w:tc>
          <w:tcPr>
            <w:tcW w:w="1860" w:type="dxa"/>
            <w:vAlign w:val="bottom"/>
          </w:tcPr>
          <w:p>
            <w:pPr>
              <w:spacing w:after="0"/>
              <w:rPr>
                <w:sz w:val="13"/>
                <w:szCs w:val="13"/>
                <w:color w:val="auto"/>
              </w:rPr>
            </w:pPr>
          </w:p>
        </w:tc>
        <w:tc>
          <w:tcPr>
            <w:tcW w:w="5280" w:type="dxa"/>
            <w:vAlign w:val="bottom"/>
            <w:gridSpan w:val="2"/>
          </w:tcPr>
          <w:p>
            <w:pPr>
              <w:jc w:val="center"/>
              <w:ind w:right="1473"/>
              <w:spacing w:after="0" w:line="159" w:lineRule="exact"/>
              <w:rPr>
                <w:sz w:val="20"/>
                <w:szCs w:val="20"/>
                <w:color w:val="auto"/>
              </w:rPr>
            </w:pPr>
            <w:r>
              <w:rPr>
                <w:rFonts w:ascii="Arial" w:cs="Arial" w:eastAsia="Arial" w:hAnsi="Arial"/>
                <w:sz w:val="14"/>
                <w:szCs w:val="14"/>
                <w:b w:val="1"/>
                <w:bCs w:val="1"/>
                <w:color w:val="auto"/>
                <w:w w:val="95"/>
              </w:rPr>
              <w:t>Needham, MA 02494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-1071880</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3"/>
          <w:szCs w:val="13"/>
          <w:b w:val="1"/>
          <w:bCs w:val="1"/>
          <w:color w:val="auto"/>
        </w:rPr>
        <w:t>(Address of principal executive office) (Zip Code)</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jc w:val="center"/>
        <w:ind w:right="20"/>
        <w:spacing w:after="0"/>
        <w:rPr>
          <w:sz w:val="20"/>
          <w:szCs w:val="20"/>
          <w:color w:val="auto"/>
        </w:rPr>
      </w:pPr>
      <w:r>
        <w:rPr>
          <w:rFonts w:ascii="Arial" w:cs="Arial" w:eastAsia="Arial" w:hAnsi="Arial"/>
          <w:sz w:val="14"/>
          <w:szCs w:val="14"/>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125095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6" w:lineRule="exact"/>
        <w:rPr>
          <w:sz w:val="24"/>
          <w:szCs w:val="24"/>
          <w:color w:val="auto"/>
        </w:rPr>
      </w:pPr>
    </w:p>
    <w:tbl>
      <w:tblPr>
        <w:tblLayout w:type="fixed"/>
        <w:tblInd w:w="520" w:type="dxa"/>
        <w:tblCellMar>
          <w:top w:w="0" w:type="dxa"/>
          <w:left w:w="0" w:type="dxa"/>
          <w:bottom w:w="0" w:type="dxa"/>
          <w:right w:w="0" w:type="dxa"/>
        </w:tblCellMar>
      </w:tblPr>
      <w:tr>
        <w:trPr>
          <w:trHeight w:val="209"/>
        </w:trPr>
        <w:tc>
          <w:tcPr>
            <w:tcW w:w="80" w:type="dxa"/>
            <w:vAlign w:val="bottom"/>
            <w:tcBorders>
              <w:right w:val="single" w:sz="8" w:color="auto"/>
            </w:tcBorders>
          </w:tcPr>
          <w:p>
            <w:pPr>
              <w:spacing w:after="0"/>
              <w:rPr>
                <w:sz w:val="18"/>
                <w:szCs w:val="18"/>
                <w:color w:val="auto"/>
              </w:rPr>
            </w:pPr>
          </w:p>
        </w:tc>
        <w:tc>
          <w:tcPr>
            <w:tcW w:w="2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440" w:type="dxa"/>
            <w:vAlign w:val="bottom"/>
            <w:tcBorders>
              <w:top w:val="single" w:sz="8" w:color="auto"/>
              <w:bottom w:val="single" w:sz="8" w:color="auto"/>
            </w:tcBorders>
          </w:tcPr>
          <w:p>
            <w:pPr>
              <w:spacing w:after="0"/>
              <w:rPr>
                <w:sz w:val="18"/>
                <w:szCs w:val="18"/>
                <w:color w:val="auto"/>
              </w:rPr>
            </w:pPr>
          </w:p>
        </w:tc>
        <w:tc>
          <w:tcPr>
            <w:tcW w:w="2220" w:type="dxa"/>
            <w:vAlign w:val="bottom"/>
            <w:tcBorders>
              <w:top w:val="single" w:sz="8" w:color="auto"/>
              <w:bottom w:val="single" w:sz="8" w:color="auto"/>
              <w:right w:val="single" w:sz="8" w:color="auto"/>
            </w:tcBorders>
          </w:tcPr>
          <w:p>
            <w:pPr>
              <w:jc w:val="center"/>
              <w:ind w:right="379"/>
              <w:spacing w:after="0"/>
              <w:rPr>
                <w:sz w:val="20"/>
                <w:szCs w:val="20"/>
                <w:color w:val="auto"/>
              </w:rPr>
            </w:pPr>
            <w:r>
              <w:rPr>
                <w:rFonts w:ascii="Arial" w:cs="Arial" w:eastAsia="Arial" w:hAnsi="Arial"/>
                <w:sz w:val="16"/>
                <w:szCs w:val="16"/>
                <w:color w:val="auto"/>
                <w:w w:val="92"/>
              </w:rPr>
              <w:t>Trading Symbol</w:t>
            </w:r>
          </w:p>
        </w:tc>
        <w:tc>
          <w:tcPr>
            <w:tcW w:w="5080" w:type="dxa"/>
            <w:vAlign w:val="bottom"/>
            <w:tcBorders>
              <w:top w:val="single" w:sz="8" w:color="auto"/>
              <w:bottom w:val="single" w:sz="8" w:color="auto"/>
              <w:right w:val="single" w:sz="8" w:color="auto"/>
            </w:tcBorders>
            <w:gridSpan w:val="4"/>
          </w:tcPr>
          <w:p>
            <w:pPr>
              <w:jc w:val="center"/>
              <w:spacing w:after="0"/>
              <w:rPr>
                <w:sz w:val="20"/>
                <w:szCs w:val="20"/>
                <w:color w:val="auto"/>
              </w:rPr>
            </w:pPr>
            <w:r>
              <w:rPr>
                <w:rFonts w:ascii="Arial" w:cs="Arial" w:eastAsia="Arial" w:hAnsi="Arial"/>
                <w:sz w:val="16"/>
                <w:szCs w:val="16"/>
                <w:color w:val="auto"/>
                <w:w w:val="90"/>
              </w:rPr>
              <w:t>Name of each exchange on which registered</w:t>
            </w:r>
          </w:p>
        </w:tc>
        <w:tc>
          <w:tcPr>
            <w:tcW w:w="0" w:type="dxa"/>
            <w:vAlign w:val="bottom"/>
          </w:tcPr>
          <w:p>
            <w:pPr>
              <w:spacing w:after="0"/>
              <w:rPr>
                <w:sz w:val="1"/>
                <w:szCs w:val="1"/>
                <w:color w:val="auto"/>
              </w:rPr>
            </w:pPr>
          </w:p>
        </w:tc>
      </w:tr>
      <w:tr>
        <w:trPr>
          <w:trHeight w:val="166"/>
        </w:trPr>
        <w:tc>
          <w:tcPr>
            <w:tcW w:w="80" w:type="dxa"/>
            <w:vAlign w:val="bottom"/>
            <w:tcBorders>
              <w:right w:val="single" w:sz="8" w:color="auto"/>
            </w:tcBorders>
          </w:tcPr>
          <w:p>
            <w:pPr>
              <w:spacing w:after="0"/>
              <w:rPr>
                <w:sz w:val="14"/>
                <w:szCs w:val="14"/>
                <w:color w:val="auto"/>
              </w:rPr>
            </w:pPr>
          </w:p>
        </w:tc>
        <w:tc>
          <w:tcPr>
            <w:tcW w:w="270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3"/>
              </w:rPr>
              <w:t>Common stock</w:t>
            </w:r>
          </w:p>
        </w:tc>
        <w:tc>
          <w:tcPr>
            <w:tcW w:w="440" w:type="dxa"/>
            <w:vAlign w:val="bottom"/>
            <w:tcBorders>
              <w:bottom w:val="single" w:sz="8" w:color="auto"/>
            </w:tcBorders>
          </w:tcPr>
          <w:p>
            <w:pPr>
              <w:spacing w:after="0"/>
              <w:rPr>
                <w:sz w:val="14"/>
                <w:szCs w:val="14"/>
                <w:color w:val="auto"/>
              </w:rPr>
            </w:pPr>
          </w:p>
        </w:tc>
        <w:tc>
          <w:tcPr>
            <w:tcW w:w="2220" w:type="dxa"/>
            <w:vAlign w:val="bottom"/>
            <w:tcBorders>
              <w:bottom w:val="single" w:sz="8" w:color="auto"/>
              <w:right w:val="single" w:sz="8" w:color="auto"/>
            </w:tcBorders>
          </w:tcPr>
          <w:p>
            <w:pPr>
              <w:jc w:val="center"/>
              <w:ind w:right="379"/>
              <w:spacing w:after="0" w:line="166" w:lineRule="exact"/>
              <w:rPr>
                <w:sz w:val="20"/>
                <w:szCs w:val="20"/>
                <w:color w:val="auto"/>
              </w:rPr>
            </w:pPr>
            <w:r>
              <w:rPr>
                <w:rFonts w:ascii="Arial" w:cs="Arial" w:eastAsia="Arial" w:hAnsi="Arial"/>
                <w:sz w:val="16"/>
                <w:szCs w:val="16"/>
                <w:color w:val="auto"/>
                <w:w w:val="98"/>
              </w:rPr>
              <w:t>TRIP</w:t>
            </w:r>
          </w:p>
        </w:tc>
        <w:tc>
          <w:tcPr>
            <w:tcW w:w="1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80" w:type="dxa"/>
            <w:vAlign w:val="bottom"/>
            <w:tcBorders>
              <w:bottom w:val="single" w:sz="8" w:color="auto"/>
              <w:right w:val="single" w:sz="8" w:color="auto"/>
            </w:tcBorders>
          </w:tcPr>
          <w:p>
            <w:pPr>
              <w:jc w:val="center"/>
              <w:ind w:right="1945"/>
              <w:spacing w:after="0" w:line="166" w:lineRule="exact"/>
              <w:rPr>
                <w:sz w:val="20"/>
                <w:szCs w:val="20"/>
                <w:color w:val="auto"/>
              </w:rPr>
            </w:pPr>
            <w:r>
              <w:rPr>
                <w:rFonts w:ascii="Arial" w:cs="Arial" w:eastAsia="Arial" w:hAnsi="Arial"/>
                <w:sz w:val="16"/>
                <w:szCs w:val="16"/>
                <w:color w:val="auto"/>
                <w:w w:val="90"/>
              </w:rPr>
              <w:t>Nasdaq</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660" w:type="dxa"/>
            <w:vAlign w:val="bottom"/>
            <w:gridSpan w:val="5"/>
          </w:tcPr>
          <w:p>
            <w:pPr>
              <w:ind w:left="380"/>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220" w:type="dxa"/>
            <w:vAlign w:val="bottom"/>
            <w:gridSpan w:val="3"/>
          </w:tcPr>
          <w:p>
            <w:pPr>
              <w:spacing w:after="0"/>
              <w:rPr>
                <w:sz w:val="16"/>
                <w:szCs w:val="16"/>
                <w:color w:val="auto"/>
              </w:rPr>
            </w:pPr>
          </w:p>
        </w:tc>
        <w:tc>
          <w:tcPr>
            <w:tcW w:w="3660" w:type="dxa"/>
            <w:vAlign w:val="bottom"/>
            <w:tcBorders>
              <w:bottom w:val="single" w:sz="8" w:color="auto"/>
            </w:tcBorders>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3080" w:type="dxa"/>
            <w:vAlign w:val="bottom"/>
            <w:vMerge w:val="restart"/>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7"/>
        </w:trPr>
        <w:tc>
          <w:tcPr>
            <w:tcW w:w="688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60" w:type="dxa"/>
            <w:vAlign w:val="bottom"/>
            <w:gridSpan w:val="2"/>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80" w:type="dxa"/>
            <w:vAlign w:val="bottom"/>
            <w:gridSpan w:val="5"/>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100" w:type="dxa"/>
            <w:vAlign w:val="bottom"/>
          </w:tcPr>
          <w:p>
            <w:pPr>
              <w:spacing w:after="0"/>
              <w:rPr>
                <w:sz w:val="18"/>
                <w:szCs w:val="18"/>
                <w:color w:val="auto"/>
              </w:rPr>
            </w:pPr>
          </w:p>
        </w:tc>
        <w:tc>
          <w:tcPr>
            <w:tcW w:w="460" w:type="dxa"/>
            <w:vAlign w:val="bottom"/>
          </w:tcPr>
          <w:p>
            <w:pPr>
              <w:ind w:left="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308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120" w:firstLine="509"/>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60" w:firstLine="509"/>
        <w:spacing w:after="0" w:line="16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 w:firstLine="509"/>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61"/>
        </w:trPr>
        <w:tc>
          <w:tcPr>
            <w:tcW w:w="33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1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ind w:left="300"/>
              <w:spacing w:after="0"/>
              <w:rPr>
                <w:sz w:val="20"/>
                <w:szCs w:val="20"/>
                <w:color w:val="auto"/>
              </w:rPr>
            </w:pPr>
            <w:r>
              <w:rPr>
                <w:rFonts w:ascii="Arial" w:cs="Arial" w:eastAsia="Arial" w:hAnsi="Arial"/>
                <w:sz w:val="14"/>
                <w:szCs w:val="14"/>
                <w:color w:val="auto"/>
              </w:rPr>
              <w:t>Accelerated filer</w:t>
            </w:r>
          </w:p>
        </w:tc>
        <w:tc>
          <w:tcPr>
            <w:tcW w:w="186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Non-accelerated filer</w:t>
            </w:r>
          </w:p>
        </w:tc>
        <w:tc>
          <w:tcPr>
            <w:tcW w:w="21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ind w:left="300"/>
              <w:spacing w:after="0"/>
              <w:rPr>
                <w:sz w:val="20"/>
                <w:szCs w:val="20"/>
                <w:color w:val="auto"/>
              </w:rPr>
            </w:pPr>
            <w:r>
              <w:rPr>
                <w:rFonts w:ascii="Arial" w:cs="Arial" w:eastAsia="Arial" w:hAnsi="Arial"/>
                <w:sz w:val="14"/>
                <w:szCs w:val="14"/>
                <w:color w:val="auto"/>
              </w:rPr>
              <w:t>Smaller reporting company</w:t>
            </w:r>
          </w:p>
        </w:tc>
        <w:tc>
          <w:tcPr>
            <w:tcW w:w="186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3"/>
        </w:trPr>
        <w:tc>
          <w:tcPr>
            <w:tcW w:w="33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1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spacing w:after="0"/>
              <w:rPr>
                <w:sz w:val="19"/>
                <w:szCs w:val="19"/>
                <w:color w:val="auto"/>
              </w:rPr>
            </w:pPr>
          </w:p>
        </w:tc>
        <w:tc>
          <w:tcPr>
            <w:tcW w:w="1860" w:type="dxa"/>
            <w:vAlign w:val="bottom"/>
          </w:tcPr>
          <w:p>
            <w:pPr>
              <w:spacing w:after="0"/>
              <w:rPr>
                <w:sz w:val="19"/>
                <w:szCs w:val="19"/>
                <w:color w:val="auto"/>
              </w:rPr>
            </w:pPr>
          </w:p>
        </w:tc>
      </w:tr>
    </w:tbl>
    <w:p>
      <w:pPr>
        <w:ind w:right="60" w:firstLine="509"/>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509"/>
        <w:spacing w:after="0" w:line="168" w:lineRule="exact"/>
        <w:rPr>
          <w:sz w:val="20"/>
          <w:szCs w:val="20"/>
          <w:color w:val="auto"/>
        </w:rPr>
      </w:pPr>
      <w:r>
        <w:rPr>
          <w:rFonts w:ascii="Arial" w:cs="Arial" w:eastAsia="Arial" w:hAnsi="Arial"/>
          <w:sz w:val="14"/>
          <w:szCs w:val="14"/>
          <w:color w:val="auto"/>
        </w:rPr>
        <w:t xml:space="preserve">Indicate by check mark whether the registrant has filed a report on and attention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180" w:val="left"/>
          <w:tab w:leader="none" w:pos="77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 w:lineRule="exact"/>
        <w:rPr>
          <w:sz w:val="24"/>
          <w:szCs w:val="24"/>
          <w:color w:val="auto"/>
        </w:rPr>
      </w:pPr>
    </w:p>
    <w:p>
      <w:pPr>
        <w:ind w:right="260" w:firstLine="509"/>
        <w:spacing w:after="0" w:line="232" w:lineRule="auto"/>
        <w:rPr>
          <w:sz w:val="20"/>
          <w:szCs w:val="20"/>
          <w:color w:val="auto"/>
        </w:rPr>
      </w:pPr>
      <w:r>
        <w:rPr>
          <w:rFonts w:ascii="Arial" w:cs="Arial" w:eastAsia="Arial" w:hAnsi="Arial"/>
          <w:sz w:val="14"/>
          <w:szCs w:val="14"/>
          <w:color w:val="auto"/>
        </w:rPr>
        <w:t>The aggregate market value of the common stock of the registrant held by non-affiliates of the registrant as of the last business day of the registrant’s most recently completed second fiscal quarter was $4,251,470,181 based on the closing price on The Nasdaq Global Select Market on such date. For the purpose of the foregoing calculation only, all directors and executive officers of the registrant are assumed to be affiliates of the registrant.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Class</w:t>
            </w:r>
          </w:p>
        </w:tc>
        <w:tc>
          <w:tcPr>
            <w:tcW w:w="220" w:type="dxa"/>
            <w:vAlign w:val="bottom"/>
          </w:tcPr>
          <w:p>
            <w:pPr>
              <w:spacing w:after="0"/>
              <w:rPr>
                <w:sz w:val="14"/>
                <w:szCs w:val="14"/>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Outstanding Shares at February 11, 2022</w:t>
            </w:r>
          </w:p>
        </w:tc>
      </w:tr>
      <w:tr>
        <w:trPr>
          <w:trHeight w:val="137"/>
        </w:trPr>
        <w:tc>
          <w:tcPr>
            <w:tcW w:w="5520" w:type="dxa"/>
            <w:vAlign w:val="bottom"/>
          </w:tcPr>
          <w:p>
            <w:pPr>
              <w:jc w:val="center"/>
              <w:spacing w:after="0" w:line="137" w:lineRule="exact"/>
              <w:rPr>
                <w:sz w:val="20"/>
                <w:szCs w:val="20"/>
                <w:color w:val="auto"/>
              </w:rPr>
            </w:pPr>
            <w:r>
              <w:rPr>
                <w:rFonts w:ascii="Arial" w:cs="Arial" w:eastAsia="Arial" w:hAnsi="Arial"/>
                <w:sz w:val="14"/>
                <w:szCs w:val="14"/>
                <w:color w:val="auto"/>
                <w:w w:val="91"/>
              </w:rPr>
              <w:t>Common Stock, $0.001 par value per share</w:t>
            </w:r>
          </w:p>
        </w:tc>
        <w:tc>
          <w:tcPr>
            <w:tcW w:w="220" w:type="dxa"/>
            <w:vAlign w:val="bottom"/>
          </w:tcPr>
          <w:p>
            <w:pPr>
              <w:spacing w:after="0"/>
              <w:rPr>
                <w:sz w:val="11"/>
                <w:szCs w:val="11"/>
                <w:color w:val="auto"/>
              </w:rPr>
            </w:pPr>
          </w:p>
        </w:tc>
        <w:tc>
          <w:tcPr>
            <w:tcW w:w="5500" w:type="dxa"/>
            <w:vAlign w:val="bottom"/>
          </w:tcPr>
          <w:p>
            <w:pPr>
              <w:jc w:val="center"/>
              <w:spacing w:after="0" w:line="137" w:lineRule="exact"/>
              <w:rPr>
                <w:sz w:val="20"/>
                <w:szCs w:val="20"/>
                <w:color w:val="auto"/>
              </w:rPr>
            </w:pPr>
            <w:r>
              <w:rPr>
                <w:rFonts w:ascii="Arial" w:cs="Arial" w:eastAsia="Arial" w:hAnsi="Arial"/>
                <w:sz w:val="14"/>
                <w:szCs w:val="14"/>
                <w:color w:val="auto"/>
                <w:w w:val="90"/>
              </w:rPr>
              <w:t>125,873,185 shares</w:t>
            </w:r>
          </w:p>
        </w:tc>
      </w:tr>
      <w:tr>
        <w:trPr>
          <w:trHeight w:val="182"/>
        </w:trPr>
        <w:tc>
          <w:tcPr>
            <w:tcW w:w="5520" w:type="dxa"/>
            <w:vAlign w:val="bottom"/>
          </w:tcPr>
          <w:p>
            <w:pPr>
              <w:jc w:val="center"/>
              <w:spacing w:after="0"/>
              <w:rPr>
                <w:sz w:val="20"/>
                <w:szCs w:val="20"/>
                <w:color w:val="auto"/>
              </w:rPr>
            </w:pPr>
            <w:r>
              <w:rPr>
                <w:rFonts w:ascii="Arial" w:cs="Arial" w:eastAsia="Arial" w:hAnsi="Arial"/>
                <w:sz w:val="14"/>
                <w:szCs w:val="14"/>
                <w:color w:val="auto"/>
                <w:w w:val="91"/>
              </w:rPr>
              <w:t>Class B common stock, $0.001 par value per share</w:t>
            </w:r>
          </w:p>
        </w:tc>
        <w:tc>
          <w:tcPr>
            <w:tcW w:w="220" w:type="dxa"/>
            <w:vAlign w:val="bottom"/>
          </w:tcPr>
          <w:p>
            <w:pPr>
              <w:spacing w:after="0"/>
              <w:rPr>
                <w:sz w:val="15"/>
                <w:szCs w:val="15"/>
                <w:color w:val="auto"/>
              </w:rPr>
            </w:pPr>
          </w:p>
        </w:tc>
        <w:tc>
          <w:tcPr>
            <w:tcW w:w="5500" w:type="dxa"/>
            <w:vAlign w:val="bottom"/>
          </w:tcPr>
          <w:p>
            <w:pPr>
              <w:jc w:val="center"/>
              <w:spacing w:after="0"/>
              <w:rPr>
                <w:sz w:val="20"/>
                <w:szCs w:val="20"/>
                <w:color w:val="auto"/>
              </w:rPr>
            </w:pPr>
            <w:r>
              <w:rPr>
                <w:rFonts w:ascii="Arial" w:cs="Arial" w:eastAsia="Arial" w:hAnsi="Arial"/>
                <w:sz w:val="14"/>
                <w:szCs w:val="14"/>
                <w:color w:val="auto"/>
                <w:w w:val="89"/>
              </w:rPr>
              <w:t>12,799,999 shares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135890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5" w:lineRule="exact"/>
        <w:rPr>
          <w:sz w:val="24"/>
          <w:szCs w:val="24"/>
          <w:color w:val="auto"/>
        </w:rPr>
      </w:pPr>
    </w:p>
    <w:p>
      <w:pPr>
        <w:ind w:right="300" w:firstLine="509"/>
        <w:spacing w:after="0" w:line="243" w:lineRule="auto"/>
        <w:rPr>
          <w:sz w:val="20"/>
          <w:szCs w:val="20"/>
          <w:color w:val="auto"/>
        </w:rPr>
      </w:pPr>
      <w:r>
        <w:rPr>
          <w:rFonts w:ascii="Arial" w:cs="Arial" w:eastAsia="Arial" w:hAnsi="Arial"/>
          <w:sz w:val="14"/>
          <w:szCs w:val="14"/>
          <w:color w:val="auto"/>
        </w:rPr>
        <w:t>The registrant intends to file a proxy statement pursuant to Regulation 14A not later than 120 days after the close of the fiscal year ended December 31, 2021. Portions of such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60" w:type="dxa"/>
            <w:vAlign w:val="bottom"/>
            <w:gridSpan w:val="11"/>
          </w:tcPr>
          <w:p>
            <w:pPr>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5"/>
        </w:trPr>
        <w:tc>
          <w:tcPr>
            <w:tcW w:w="540" w:type="dxa"/>
            <w:vAlign w:val="bottom"/>
            <w:vMerge w:val="restart"/>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PART I</w:t>
              </w:r>
            </w:hyperlink>
          </w:p>
        </w:tc>
        <w:tc>
          <w:tcPr>
            <w:tcW w:w="1060" w:type="dxa"/>
            <w:vAlign w:val="bottom"/>
            <w:gridSpan w:val="4"/>
            <w:vMerge w:val="restart"/>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40" w:type="dxa"/>
            <w:vAlign w:val="bottom"/>
            <w:tcBorders>
              <w:bottom w:val="single" w:sz="8" w:color="0000EE"/>
            </w:tcBorders>
            <w:vMerge w:val="continue"/>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18"/>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1.</w:t>
            </w:r>
          </w:p>
        </w:tc>
        <w:tc>
          <w:tcPr>
            <w:tcW w:w="8960" w:type="dxa"/>
            <w:vAlign w:val="bottom"/>
            <w:gridSpan w:val="2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4"/>
          </w:tcPr>
          <w:p>
            <w:pPr>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Risk Factors</w:t>
              </w:r>
            </w:hyperlink>
          </w:p>
        </w:tc>
        <w:tc>
          <w:tcPr>
            <w:tcW w:w="8040" w:type="dxa"/>
            <w:vAlign w:val="bottom"/>
            <w:gridSpan w:val="19"/>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93"/>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9"/>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Unresolved Staff Comments</w:t>
              </w:r>
            </w:hyperlink>
          </w:p>
        </w:tc>
        <w:tc>
          <w:tcPr>
            <w:tcW w:w="6900" w:type="dxa"/>
            <w:vAlign w:val="bottom"/>
            <w:gridSpan w:val="1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93"/>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FF"/>
                <w:w w:val="87"/>
              </w:rPr>
            </w:pPr>
            <w:hyperlink w:anchor="page29">
              <w:r>
                <w:rPr>
                  <w:rFonts w:ascii="Arial" w:cs="Arial" w:eastAsia="Arial" w:hAnsi="Arial"/>
                  <w:sz w:val="18"/>
                  <w:szCs w:val="18"/>
                  <w:color w:val="0000FF"/>
                  <w:w w:val="87"/>
                </w:rPr>
                <w:t>Properties</w:t>
              </w:r>
            </w:hyperlink>
          </w:p>
        </w:tc>
        <w:tc>
          <w:tcPr>
            <w:tcW w:w="8220" w:type="dxa"/>
            <w:vAlign w:val="bottom"/>
            <w:gridSpan w:val="21"/>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93"/>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3.</w:t>
            </w:r>
          </w:p>
        </w:tc>
        <w:tc>
          <w:tcPr>
            <w:tcW w:w="8960" w:type="dxa"/>
            <w:vAlign w:val="bottom"/>
            <w:gridSpan w:val="23"/>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4.</w:t>
            </w:r>
          </w:p>
        </w:tc>
        <w:tc>
          <w:tcPr>
            <w:tcW w:w="8960" w:type="dxa"/>
            <w:vAlign w:val="bottom"/>
            <w:gridSpan w:val="23"/>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Mine Safety Disclosures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600" w:type="dxa"/>
            <w:vAlign w:val="bottom"/>
            <w:tcBorders>
              <w:bottom w:val="single" w:sz="8" w:color="0000EE"/>
            </w:tcBorders>
            <w:gridSpan w:val="2"/>
          </w:tcPr>
          <w:p>
            <w:pPr>
              <w:spacing w:after="0"/>
              <w:rPr>
                <w:rFonts w:ascii="Arial" w:cs="Arial" w:eastAsia="Arial" w:hAnsi="Arial"/>
                <w:sz w:val="18"/>
                <w:szCs w:val="18"/>
                <w:color w:val="0000FF"/>
                <w:w w:val="91"/>
              </w:rPr>
            </w:pPr>
            <w:hyperlink w:anchor="page30">
              <w:r>
                <w:rPr>
                  <w:rFonts w:ascii="Arial" w:cs="Arial" w:eastAsia="Arial" w:hAnsi="Arial"/>
                  <w:sz w:val="18"/>
                  <w:szCs w:val="18"/>
                  <w:color w:val="0000FF"/>
                  <w:w w:val="91"/>
                </w:rPr>
                <w:t>PART II</w:t>
              </w:r>
            </w:hyperlink>
          </w:p>
        </w:tc>
        <w:tc>
          <w:tcPr>
            <w:tcW w:w="100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58"/>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5.</w:t>
            </w:r>
          </w:p>
        </w:tc>
        <w:tc>
          <w:tcPr>
            <w:tcW w:w="8960" w:type="dxa"/>
            <w:vAlign w:val="bottom"/>
            <w:gridSpan w:val="23"/>
            <w:vMerge w:val="restart"/>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Market for Registrant’s Common Equity, Related Stockholder Matters and Issuer Purchases of Equity Securities</w:t>
              </w:r>
            </w:hyperlink>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960" w:type="dxa"/>
            <w:vAlign w:val="bottom"/>
            <w:gridSpan w:val="23"/>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6.</w:t>
            </w:r>
          </w:p>
        </w:tc>
        <w:tc>
          <w:tcPr>
            <w:tcW w:w="8960" w:type="dxa"/>
            <w:vAlign w:val="bottom"/>
            <w:gridSpan w:val="2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[Reserved]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7.</w:t>
            </w:r>
          </w:p>
        </w:tc>
        <w:tc>
          <w:tcPr>
            <w:tcW w:w="8960" w:type="dxa"/>
            <w:vAlign w:val="bottom"/>
            <w:gridSpan w:val="2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93"/>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9"/>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Quantitative and Qualitative Disclosures About Market Risk</w:t>
              </w:r>
            </w:hyperlink>
          </w:p>
        </w:tc>
        <w:tc>
          <w:tcPr>
            <w:tcW w:w="250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93"/>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3"/>
          </w:tcPr>
          <w:p>
            <w:pPr>
              <w:spacing w:after="0"/>
              <w:rPr>
                <w:rFonts w:ascii="Arial" w:cs="Arial" w:eastAsia="Arial" w:hAnsi="Arial"/>
                <w:sz w:val="18"/>
                <w:szCs w:val="18"/>
                <w:color w:val="0000FF"/>
                <w:w w:val="89"/>
              </w:rPr>
            </w:pPr>
            <w:hyperlink w:anchor="page58">
              <w:r>
                <w:rPr>
                  <w:rFonts w:ascii="Arial" w:cs="Arial" w:eastAsia="Arial" w:hAnsi="Arial"/>
                  <w:sz w:val="18"/>
                  <w:szCs w:val="18"/>
                  <w:color w:val="0000FF"/>
                  <w:w w:val="89"/>
                </w:rPr>
                <w:t>Financial Statements and Supplementary Data</w:t>
              </w:r>
            </w:hyperlink>
          </w:p>
        </w:tc>
        <w:tc>
          <w:tcPr>
            <w:tcW w:w="1020" w:type="dxa"/>
            <w:vAlign w:val="bottom"/>
            <w:tcBorders>
              <w:top w:val="single" w:sz="8" w:color="0000EE"/>
            </w:tcBorders>
            <w:gridSpan w:val="2"/>
          </w:tcPr>
          <w:p>
            <w:pPr>
              <w:spacing w:after="0"/>
              <w:rPr>
                <w:sz w:val="24"/>
                <w:szCs w:val="24"/>
                <w:color w:val="auto"/>
              </w:rPr>
            </w:pPr>
          </w:p>
        </w:tc>
        <w:tc>
          <w:tcPr>
            <w:tcW w:w="460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93"/>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9.</w:t>
            </w:r>
          </w:p>
        </w:tc>
        <w:tc>
          <w:tcPr>
            <w:tcW w:w="8960" w:type="dxa"/>
            <w:vAlign w:val="bottom"/>
            <w:gridSpan w:val="23"/>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Changes in and Disagreements with Accountants on Accounting and Financial Disclosure</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493"/>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FF"/>
                <w:w w:val="88"/>
              </w:rPr>
            </w:pPr>
            <w:hyperlink w:anchor="page114">
              <w:r>
                <w:rPr>
                  <w:rFonts w:ascii="Arial" w:cs="Arial" w:eastAsia="Arial" w:hAnsi="Arial"/>
                  <w:sz w:val="18"/>
                  <w:szCs w:val="18"/>
                  <w:color w:val="0000FF"/>
                  <w:w w:val="88"/>
                </w:rPr>
                <w:t>Controls and Procedures</w:t>
              </w:r>
            </w:hyperlink>
          </w:p>
        </w:tc>
        <w:tc>
          <w:tcPr>
            <w:tcW w:w="4700" w:type="dxa"/>
            <w:vAlign w:val="bottom"/>
            <w:tcBorders>
              <w:top w:val="single" w:sz="8" w:color="0000EE"/>
            </w:tcBorders>
            <w:gridSpan w:val="13"/>
          </w:tcPr>
          <w:p>
            <w:pPr>
              <w:spacing w:after="0"/>
              <w:rPr>
                <w:sz w:val="24"/>
                <w:szCs w:val="24"/>
                <w:color w:val="auto"/>
              </w:rPr>
            </w:pPr>
          </w:p>
        </w:tc>
        <w:tc>
          <w:tcPr>
            <w:tcW w:w="248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493"/>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9B.</w:t>
            </w:r>
          </w:p>
        </w:tc>
        <w:tc>
          <w:tcPr>
            <w:tcW w:w="8960" w:type="dxa"/>
            <w:vAlign w:val="bottom"/>
            <w:gridSpan w:val="23"/>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9C.</w:t>
            </w:r>
          </w:p>
        </w:tc>
        <w:tc>
          <w:tcPr>
            <w:tcW w:w="8960" w:type="dxa"/>
            <w:vAlign w:val="bottom"/>
            <w:gridSpan w:val="23"/>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Disclosure Regarding Foreign Jurisdictions that Prevent Inspections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318"/>
        </w:trPr>
        <w:tc>
          <w:tcPr>
            <w:tcW w:w="660" w:type="dxa"/>
            <w:vAlign w:val="bottom"/>
            <w:tcBorders>
              <w:bottom w:val="single" w:sz="8" w:color="0000EE"/>
            </w:tcBorders>
            <w:gridSpan w:val="3"/>
          </w:tcPr>
          <w:p>
            <w:pPr>
              <w:spacing w:after="0"/>
              <w:rPr>
                <w:rFonts w:ascii="Arial" w:cs="Arial" w:eastAsia="Arial" w:hAnsi="Arial"/>
                <w:sz w:val="18"/>
                <w:szCs w:val="18"/>
                <w:color w:val="0000FF"/>
                <w:w w:val="94"/>
              </w:rPr>
            </w:pPr>
            <w:hyperlink w:anchor="page116">
              <w:r>
                <w:rPr>
                  <w:rFonts w:ascii="Arial" w:cs="Arial" w:eastAsia="Arial" w:hAnsi="Arial"/>
                  <w:sz w:val="18"/>
                  <w:szCs w:val="18"/>
                  <w:color w:val="0000FF"/>
                  <w:w w:val="94"/>
                </w:rPr>
                <w:t>PART III</w:t>
              </w:r>
            </w:hyperlink>
          </w:p>
        </w:tc>
        <w:tc>
          <w:tcPr>
            <w:tcW w:w="94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493"/>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10.</w:t>
            </w:r>
          </w:p>
        </w:tc>
        <w:tc>
          <w:tcPr>
            <w:tcW w:w="8960" w:type="dxa"/>
            <w:vAlign w:val="bottom"/>
            <w:gridSpan w:val="23"/>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Directors, Executive Officers and Corporate Governance</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493"/>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8"/>
          </w:tcPr>
          <w:p>
            <w:pPr>
              <w:spacing w:after="0"/>
              <w:rPr>
                <w:rFonts w:ascii="Arial" w:cs="Arial" w:eastAsia="Arial" w:hAnsi="Arial"/>
                <w:sz w:val="18"/>
                <w:szCs w:val="18"/>
                <w:color w:val="0000FF"/>
                <w:w w:val="90"/>
              </w:rPr>
            </w:pPr>
            <w:hyperlink w:anchor="page116">
              <w:r>
                <w:rPr>
                  <w:rFonts w:ascii="Arial" w:cs="Arial" w:eastAsia="Arial" w:hAnsi="Arial"/>
                  <w:sz w:val="18"/>
                  <w:szCs w:val="18"/>
                  <w:color w:val="0000FF"/>
                  <w:w w:val="90"/>
                </w:rPr>
                <w:t>Executive Compensation</w:t>
              </w:r>
            </w:hyperlink>
          </w:p>
        </w:tc>
        <w:tc>
          <w:tcPr>
            <w:tcW w:w="2280" w:type="dxa"/>
            <w:vAlign w:val="bottom"/>
            <w:tcBorders>
              <w:top w:val="single" w:sz="8" w:color="0000EE"/>
            </w:tcBorders>
            <w:gridSpan w:val="6"/>
          </w:tcPr>
          <w:p>
            <w:pPr>
              <w:spacing w:after="0"/>
              <w:rPr>
                <w:sz w:val="24"/>
                <w:szCs w:val="24"/>
                <w:color w:val="auto"/>
              </w:rPr>
            </w:pPr>
          </w:p>
        </w:tc>
        <w:tc>
          <w:tcPr>
            <w:tcW w:w="4860" w:type="dxa"/>
            <w:vAlign w:val="bottom"/>
            <w:gridSpan w:val="9"/>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358"/>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12.</w:t>
            </w:r>
          </w:p>
        </w:tc>
        <w:tc>
          <w:tcPr>
            <w:tcW w:w="7300" w:type="dxa"/>
            <w:vAlign w:val="bottom"/>
            <w:gridSpan w:val="21"/>
            <w:vMerge w:val="restart"/>
          </w:tcPr>
          <w:p>
            <w:pPr>
              <w:spacing w:after="0"/>
              <w:rPr>
                <w:rFonts w:ascii="Arial" w:cs="Arial" w:eastAsia="Arial" w:hAnsi="Arial"/>
                <w:sz w:val="18"/>
                <w:szCs w:val="18"/>
                <w:color w:val="0000FF"/>
                <w:w w:val="90"/>
              </w:rPr>
            </w:pPr>
            <w:hyperlink w:anchor="page116">
              <w:r>
                <w:rPr>
                  <w:rFonts w:ascii="Arial" w:cs="Arial" w:eastAsia="Arial" w:hAnsi="Arial"/>
                  <w:sz w:val="18"/>
                  <w:szCs w:val="18"/>
                  <w:color w:val="0000FF"/>
                  <w:w w:val="90"/>
                </w:rPr>
                <w:t>Security Ownership of Certain Beneficial Owners and Management and Related Stockholder Matters</w:t>
              </w:r>
            </w:hyperlink>
          </w:p>
        </w:tc>
        <w:tc>
          <w:tcPr>
            <w:tcW w:w="1660" w:type="dxa"/>
            <w:vAlign w:val="bottom"/>
            <w:gridSpan w:val="2"/>
            <w:vMerge w:val="restart"/>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40"/>
        </w:trPr>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300" w:type="dxa"/>
            <w:vAlign w:val="bottom"/>
            <w:tcBorders>
              <w:bottom w:val="single" w:sz="8" w:color="0000EE"/>
            </w:tcBorders>
            <w:gridSpan w:val="21"/>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93"/>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8"/>
          </w:tcPr>
          <w:p>
            <w:pPr>
              <w:spacing w:after="0"/>
              <w:rPr>
                <w:rFonts w:ascii="Arial" w:cs="Arial" w:eastAsia="Arial" w:hAnsi="Arial"/>
                <w:sz w:val="18"/>
                <w:szCs w:val="18"/>
                <w:color w:val="0000FF"/>
                <w:w w:val="89"/>
              </w:rPr>
            </w:pPr>
            <w:hyperlink w:anchor="page116">
              <w:r>
                <w:rPr>
                  <w:rFonts w:ascii="Arial" w:cs="Arial" w:eastAsia="Arial" w:hAnsi="Arial"/>
                  <w:sz w:val="18"/>
                  <w:szCs w:val="18"/>
                  <w:color w:val="0000FF"/>
                  <w:w w:val="89"/>
                </w:rPr>
                <w:t>Certain Relationships and Related Transactions, and Director Independence</w:t>
              </w:r>
            </w:hyperlink>
          </w:p>
        </w:tc>
        <w:tc>
          <w:tcPr>
            <w:tcW w:w="350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493"/>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14.</w:t>
            </w:r>
          </w:p>
        </w:tc>
        <w:tc>
          <w:tcPr>
            <w:tcW w:w="8960" w:type="dxa"/>
            <w:vAlign w:val="bottom"/>
            <w:gridSpan w:val="23"/>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Principal Accounting Fees and Services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318"/>
        </w:trPr>
        <w:tc>
          <w:tcPr>
            <w:tcW w:w="1600" w:type="dxa"/>
            <w:vAlign w:val="bottom"/>
            <w:gridSpan w:val="5"/>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PART IV</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6040" w:type="dxa"/>
            <w:vAlign w:val="bottom"/>
            <w:gridSpan w:val="1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15.</w:t>
            </w:r>
          </w:p>
        </w:tc>
        <w:tc>
          <w:tcPr>
            <w:tcW w:w="2920" w:type="dxa"/>
            <w:vAlign w:val="bottom"/>
            <w:tcBorders>
              <w:bottom w:val="single" w:sz="8" w:color="0000EE"/>
            </w:tcBorders>
            <w:gridSpan w:val="11"/>
          </w:tcPr>
          <w:p>
            <w:pPr>
              <w:spacing w:after="0"/>
              <w:rPr>
                <w:rFonts w:ascii="Arial" w:cs="Arial" w:eastAsia="Arial" w:hAnsi="Arial"/>
                <w:sz w:val="18"/>
                <w:szCs w:val="18"/>
                <w:color w:val="0000FF"/>
                <w:w w:val="90"/>
              </w:rPr>
            </w:pPr>
            <w:hyperlink w:anchor="page117">
              <w:r>
                <w:rPr>
                  <w:rFonts w:ascii="Arial" w:cs="Arial" w:eastAsia="Arial" w:hAnsi="Arial"/>
                  <w:sz w:val="18"/>
                  <w:szCs w:val="18"/>
                  <w:color w:val="0000FF"/>
                  <w:w w:val="90"/>
                </w:rPr>
                <w:t>Exhibits; Financial Statement Schedules</w:t>
              </w:r>
            </w:hyperlink>
          </w:p>
        </w:tc>
        <w:tc>
          <w:tcPr>
            <w:tcW w:w="6040" w:type="dxa"/>
            <w:vAlign w:val="bottom"/>
            <w:gridSpan w:val="1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358"/>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16.</w:t>
            </w:r>
          </w:p>
        </w:tc>
        <w:tc>
          <w:tcPr>
            <w:tcW w:w="8960" w:type="dxa"/>
            <w:vAlign w:val="bottom"/>
            <w:gridSpan w:val="23"/>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Form 10-K Summary</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318"/>
        </w:trPr>
        <w:tc>
          <w:tcPr>
            <w:tcW w:w="1600" w:type="dxa"/>
            <w:vAlign w:val="bottom"/>
            <w:gridSpan w:val="5"/>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SIGNATURES</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51" w:right="339" w:bottom="1440" w:gutter="0" w:footer="0" w:header="0"/>
        </w:sectPr>
      </w:pPr>
    </w:p>
    <w:bookmarkStart w:id="2" w:name="page3"/>
    <w:bookmarkEnd w:id="2"/>
    <w:p>
      <w:pPr>
        <w:ind w:firstLine="749"/>
        <w:spacing w:after="0" w:line="261"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this Annual Report on Form 10-K.</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6"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This Annual Report on Form 10-K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Annual Report that are not purely historical are forward-looking statements within the meaning of Section 27A of the Securities Act of 1933, as amended, or the Securities Act, and Section 21E of the Securities Exchange Act of 1934, as amended, or the Exchange Act. The following words, when used, are intended to identify forward-looking statements: “anticipate,” “believe,” “could,” “estimate,” “expect,” “intend,” “may,” “might,” “plan,” “project,” “target,” “result,” “should,” “will,” and similar expressions which do not relate solely to historical matters. We caution investors that any forward-looking statements in this report, or which management may make orally or in writing from time to time, are based on management’s beliefs and on assumptions made by, and information currently available to, management. Such statements are subject to risks, uncertainties and assumptions and are not guarantees of future performance, which may be affected by known and unknown risks, trends, uncertainties and factors that are beyond our control. Some of the risks and uncertainties that may cause our actual results, performance or achievements to differ materially from those expressed or implied by forward-looking statements are more fully described in Part I. Item 1A. "Risk Factors." Moreover, we operate in a rapidly changing environment. New risk factors emerge from time to time and it is not possible for management to predict all such risk factors, nor can we assess the impact of all such risk factors on our business or the extent to which any factor, or combination of factors, may cause actual results to differ materially from those contained in any forward-looking statements. We caution you that, while forward-looking statements reflect our good faith beliefs when we make them, they are not guarantees of future performance and are impacted by actual events when they occur after we make such statements. We expressly disclaim any responsibility to update our forward-looking statements, whether as a result of new information, future events or otherwise.</w:t>
      </w:r>
    </w:p>
    <w:p>
      <w:pPr>
        <w:spacing w:after="0" w:line="169"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Investors should also refer to our quarterly reports on Form 10-Q for future periods and current reports on Form 8-K as we file them with the U.S. Securities and Exchange Commission, or the SEC, and to other materials we may furnish to the public from time to time through Current Reports on Form 8-K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80" w:firstLine="509"/>
        <w:spacing w:after="0" w:line="235" w:lineRule="auto"/>
        <w:rPr>
          <w:sz w:val="20"/>
          <w:szCs w:val="20"/>
          <w:color w:val="auto"/>
        </w:rPr>
      </w:pPr>
      <w:r>
        <w:rPr>
          <w:rFonts w:ascii="Arial" w:cs="Arial" w:eastAsia="Arial" w:hAnsi="Arial"/>
          <w:sz w:val="18"/>
          <w:szCs w:val="18"/>
          <w:color w:val="auto"/>
        </w:rPr>
        <w:t>Tripadvisor operates the world’s largest travel guidance platform, connecting a global audience of prospective travelers with travel partners through rich content, price comparison tools, and online reservation and related services for destinations, accommodations, travel activities and experiences, and restaurants. Our mission is to help people around the world plan, book and experience the perfect trip.</w:t>
      </w:r>
    </w:p>
    <w:p>
      <w:pPr>
        <w:spacing w:after="0" w:line="67" w:lineRule="exact"/>
        <w:rPr>
          <w:sz w:val="20"/>
          <w:szCs w:val="20"/>
          <w:color w:val="auto"/>
        </w:rPr>
      </w:pPr>
    </w:p>
    <w:p>
      <w:pPr>
        <w:ind w:right="40" w:firstLine="509"/>
        <w:spacing w:after="0" w:line="231" w:lineRule="auto"/>
        <w:rPr>
          <w:sz w:val="20"/>
          <w:szCs w:val="20"/>
          <w:color w:val="auto"/>
        </w:rPr>
      </w:pPr>
      <w:r>
        <w:rPr>
          <w:rFonts w:ascii="Arial" w:cs="Arial" w:eastAsia="Arial" w:hAnsi="Arial"/>
          <w:sz w:val="18"/>
          <w:szCs w:val="18"/>
          <w:color w:val="auto"/>
        </w:rPr>
        <w:t>In 2000, under our flagship brand Tripadvisor, we launched www.Tripadvisor.com in the U.S. Since then, we have built a portfolio of travel guidance brands and businesses, seamlessly connecting travelers to destinations, accommodations, travel activities and experiences, and restaurants in over 40 markets and over 20 languages worldwide. As of December 31, 2021, Tripadvisor featured more than 1 billion reviews and opinions on nearly 8 million hotels and other accommodations, restaurants, experiences, airlines and cruises.</w:t>
      </w:r>
    </w:p>
    <w:p>
      <w:pPr>
        <w:spacing w:after="0" w:line="67" w:lineRule="exact"/>
        <w:rPr>
          <w:sz w:val="20"/>
          <w:szCs w:val="20"/>
          <w:color w:val="auto"/>
        </w:rPr>
      </w:pPr>
    </w:p>
    <w:p>
      <w:pPr>
        <w:ind w:right="600" w:firstLine="509"/>
        <w:spacing w:after="0" w:line="231" w:lineRule="auto"/>
        <w:rPr>
          <w:sz w:val="20"/>
          <w:szCs w:val="20"/>
          <w:color w:val="auto"/>
        </w:rPr>
      </w:pPr>
      <w:r>
        <w:rPr>
          <w:rFonts w:ascii="Arial" w:cs="Arial" w:eastAsia="Arial" w:hAnsi="Arial"/>
          <w:sz w:val="18"/>
          <w:szCs w:val="18"/>
          <w:color w:val="auto"/>
        </w:rPr>
        <w:t>In addition to the flagship Tripadvisor brand, we own and operate a portfolio of online travel brands and businesses, operating under various websites, including the following: www.bokun.io, www.cruisecritic.com, www.flipkey.com, www.thefork.com, www.helloreco.com, www.holidaylettings.co.uk, www.housetrip.com, www.jetsetter.com, www.niumba.com, www.seatguru.com, www.singleplatform.com, www.vacationhomerentals.com, and www.viator.com.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and Market Opportunity</w:t>
      </w:r>
    </w:p>
    <w:p>
      <w:pPr>
        <w:spacing w:after="0" w:line="94" w:lineRule="exact"/>
        <w:rPr>
          <w:sz w:val="20"/>
          <w:szCs w:val="20"/>
          <w:color w:val="auto"/>
        </w:rPr>
      </w:pPr>
    </w:p>
    <w:p>
      <w:pPr>
        <w:jc w:val="both"/>
        <w:ind w:right="380" w:firstLine="509"/>
        <w:spacing w:after="0" w:line="235" w:lineRule="auto"/>
        <w:rPr>
          <w:sz w:val="20"/>
          <w:szCs w:val="20"/>
          <w:color w:val="auto"/>
        </w:rPr>
      </w:pPr>
      <w:r>
        <w:rPr>
          <w:rFonts w:ascii="Arial" w:cs="Arial" w:eastAsia="Arial" w:hAnsi="Arial"/>
          <w:sz w:val="18"/>
          <w:szCs w:val="18"/>
          <w:color w:val="auto"/>
        </w:rPr>
        <w:t>We operate in the global travel industry, focusing exclusively on online travel and travel-related activity, and the online advertising market. The global travel market (which excludes dining) is expected to reach $1.4 trillion of bookings in 2022, according to Phocuswright, an independent travel, tourism and hospitality research firm.</w:t>
      </w:r>
    </w:p>
    <w:p>
      <w:pPr>
        <w:spacing w:after="0" w:line="67"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As consumer travel media consumption and travel commerce activity has increasingly moved online, we believe travel and travel-related businesses will continue to allocate greater percentages of their marketing budgets to online channels in order to grow their businesses. We serve the needs of both the consumers and travel partners that operate within this market.</w:t>
      </w:r>
    </w:p>
    <w:p>
      <w:pPr>
        <w:spacing w:after="0" w:line="67" w:lineRule="exact"/>
        <w:rPr>
          <w:sz w:val="20"/>
          <w:szCs w:val="20"/>
          <w:color w:val="auto"/>
        </w:rPr>
      </w:pPr>
    </w:p>
    <w:p>
      <w:pPr>
        <w:ind w:right="40" w:firstLine="509"/>
        <w:spacing w:after="0" w:line="225" w:lineRule="auto"/>
        <w:rPr>
          <w:sz w:val="20"/>
          <w:szCs w:val="20"/>
          <w:color w:val="auto"/>
        </w:rPr>
      </w:pPr>
      <w:r>
        <w:rPr>
          <w:rFonts w:ascii="Arial" w:cs="Arial" w:eastAsia="Arial" w:hAnsi="Arial"/>
          <w:sz w:val="18"/>
          <w:szCs w:val="18"/>
          <w:color w:val="auto"/>
        </w:rPr>
        <w:t>The COVID-19 pandemic has caused a significant negative impact on the travel, hospitality, restaurant, and leisure industries and consequently adversely and materially affected our business, results of operations, liquidity and financial condition during the years ended December 31, 2021 and 2020. Uncertainty continues over travel due to the impacts of the COVID-19 pandemic, including how quickly global travel will recover, and how the future travel experience will be changed and shaped by the pandemic. However, we believe that, while the pandemic could permanently change travel in certain ways, global travel will return to pre-pandemic levels. Consumers want to connect with others, learn about new places and see things they have not seen before. We believe this passion for travel, combined with the need to make informed choices, creates significant long-term growth opportunities for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16" w:lineRule="exact"/>
        <w:rPr>
          <w:sz w:val="20"/>
          <w:szCs w:val="20"/>
          <w:color w:val="auto"/>
        </w:rPr>
      </w:pPr>
    </w:p>
    <w:p>
      <w:pPr>
        <w:ind w:right="320" w:firstLine="509"/>
        <w:spacing w:after="0" w:line="243" w:lineRule="auto"/>
        <w:rPr>
          <w:sz w:val="20"/>
          <w:szCs w:val="20"/>
          <w:color w:val="auto"/>
        </w:rPr>
      </w:pPr>
      <w:r>
        <w:rPr>
          <w:rFonts w:ascii="Arial" w:cs="Arial" w:eastAsia="Arial" w:hAnsi="Arial"/>
          <w:sz w:val="18"/>
          <w:szCs w:val="18"/>
          <w:color w:val="auto"/>
        </w:rPr>
        <w:t>On a global scale, we match consumer demand for travel with travel partners that offer accommodations, restaurants and other travel related experiences. Consumers come to the Tripadvisor platform directly via our branded site, www.tripadvisor.com, our mobile app, and through organic and paid search channels for those searching for information on accommodations, tours, activities, attractions and general visitor information for particular locations, and through sites included in our portfolio of brands.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Value Proposition to Consumers</w:t>
      </w:r>
    </w:p>
    <w:p>
      <w:pPr>
        <w:spacing w:after="0" w:line="198" w:lineRule="exact"/>
        <w:rPr>
          <w:sz w:val="20"/>
          <w:szCs w:val="20"/>
          <w:color w:val="auto"/>
        </w:rPr>
      </w:pPr>
    </w:p>
    <w:p>
      <w:pPr>
        <w:ind w:right="160" w:firstLine="509"/>
        <w:spacing w:after="0" w:line="266" w:lineRule="auto"/>
        <w:rPr>
          <w:sz w:val="20"/>
          <w:szCs w:val="20"/>
          <w:color w:val="auto"/>
        </w:rPr>
      </w:pPr>
      <w:r>
        <w:rPr>
          <w:rFonts w:ascii="Arial" w:cs="Arial" w:eastAsia="Arial" w:hAnsi="Arial"/>
          <w:sz w:val="16"/>
          <w:szCs w:val="16"/>
          <w:color w:val="auto"/>
        </w:rPr>
        <w:t>Tripadvisor helps consumers plan, book, and enjoy the trips that matter. Our platform offers consumers access to rich and expansive content, including more than 1 billion traveler reviews and other traveler-generated content such as photos, search and discovery capabilities across a variety of parameters such as location and price, and other informational content that helps drive consumer convenience as they plan and book their perfect trip. We believe this rich content has led Tripadvisor to become a trusted global brand, attracting nearly half a billion monthly unique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 w:name="page5"/>
    <w:bookmarkEnd w:id="4"/>
    <w:p>
      <w:pPr>
        <w:ind w:right="80"/>
        <w:spacing w:after="0" w:line="231" w:lineRule="auto"/>
        <w:rPr>
          <w:sz w:val="20"/>
          <w:szCs w:val="20"/>
          <w:color w:val="auto"/>
        </w:rPr>
      </w:pPr>
      <w:r>
        <w:rPr>
          <w:rFonts w:ascii="Arial" w:cs="Arial" w:eastAsia="Arial" w:hAnsi="Arial"/>
          <w:sz w:val="18"/>
          <w:szCs w:val="18"/>
          <w:color w:val="auto"/>
        </w:rPr>
        <w:t>visitors to our platform and influencing a significant amount of travel commerce during peak months prior to the COVID-19 pandemic. We are focused on creating the best online experience in travel planning and booking, making it easier for consumers to research destinations, experiences and restaurants, read and contribute user-generated content (such as reviews and photos), compare destinations and businesses based on quality, price and availability comparisons, and complete bookings powered by our travel partners.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Value Proposition to Travel Partners</w:t>
      </w:r>
    </w:p>
    <w:p>
      <w:pPr>
        <w:spacing w:after="0" w:line="21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scale of our platform and the traffic to our platform enable our travel partners to be discovered, to advertise, and to sell their services to a global travel audience. These partners may include hotel chains, independent hoteliers, online travel agencies, or OTAs, destination marketing organizations, and other travel-related and non-travel related product and service providers. We enable media advertising opportunities – and in some cases, facilitate transactions between consumers and travel partners in a number of ways, including by sending referrals to our travel partners’ websites, facilitating bookings on behalf of our travel partners, or by serving as the merchant of record – particularly in our Experiences offering – and by offering advertising placements on our platform.</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Business and Products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manage our business based on the following reportable segments: (1) Hotels, Media &amp; Platform and (2) Experiences &amp; Dining.</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Hotels, Media &amp; Platform segment includes revenue generated from the following sources:</w:t>
      </w:r>
    </w:p>
    <w:p>
      <w:pPr>
        <w:spacing w:after="0" w:line="104" w:lineRule="exact"/>
        <w:rPr>
          <w:sz w:val="20"/>
          <w:szCs w:val="20"/>
          <w:color w:val="auto"/>
        </w:rPr>
      </w:pPr>
    </w:p>
    <w:p>
      <w:pPr>
        <w:ind w:left="900" w:hanging="383"/>
        <w:spacing w:after="0" w:line="253"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Tripadvisor-branded Hotels Revenue. </w:t>
      </w:r>
      <w:r>
        <w:rPr>
          <w:rFonts w:ascii="Arial" w:cs="Arial" w:eastAsia="Arial" w:hAnsi="Arial"/>
          <w:sz w:val="17"/>
          <w:szCs w:val="17"/>
          <w:color w:val="auto"/>
        </w:rPr>
        <w:t>The largest source of Hotels, Media &amp; Platform segment revenue is generated from click-based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advertising on Tripadvisor-branded websites, which is primarily comprised of contextually-relevant booking links to our travel partners’ websites. Our click-based travel partners are predominantly OTAs and hotels. Click-based advertising is generally priced on a cost-per-click, or “CPC”, basis, with payments from travel partners determined by the number of travelers who click on a link multiplied by the CPC rate for each specific click. CPC rates are determined in a dynamic, competitive auction process, where our travel partner CPC bids for rates and availability to be listed on our platform are submitted. We also generate revenue from our cost-per-action, or “CPA” model, which consists of contextually-relevant booking links to our travel partners’ websites which are advertised on our platform. We earn a commission from our travel partners, based on a pre-determined contractual commission rate, for each traveler who clicks to and books a hotel reservation on the travel partners’ website, which results in a traveler stay.</w:t>
      </w:r>
    </w:p>
    <w:p>
      <w:pPr>
        <w:spacing w:after="0" w:line="184" w:lineRule="exact"/>
        <w:rPr>
          <w:sz w:val="20"/>
          <w:szCs w:val="20"/>
          <w:color w:val="auto"/>
        </w:rPr>
      </w:pPr>
    </w:p>
    <w:p>
      <w:pPr>
        <w:ind w:left="1020" w:right="40"/>
        <w:spacing w:after="0" w:line="279" w:lineRule="auto"/>
        <w:rPr>
          <w:sz w:val="20"/>
          <w:szCs w:val="20"/>
          <w:color w:val="auto"/>
        </w:rPr>
      </w:pPr>
      <w:r>
        <w:rPr>
          <w:rFonts w:ascii="Arial" w:cs="Arial" w:eastAsia="Arial" w:hAnsi="Arial"/>
          <w:sz w:val="16"/>
          <w:szCs w:val="16"/>
          <w:color w:val="auto"/>
        </w:rPr>
        <w:t>In addition, we also provide business-to-business (“B2B”) offerings, including subscription-based advertising to hotels, owners of B&amp;Bs and other specialty lodging properties, enabling subscribers to advertise their businesses on our platform, as well as manage and promote their website URL, email address, phone number, special offers and other information related to their business. Subscription-based advertising services are predominantly sold for a flat fee for a contracted period of time. We also offer travel partners the opportunity to advertise and promote their business through hotel sponsored placements on our platform, generally on a CPC rate basis.</w:t>
      </w:r>
    </w:p>
    <w:p>
      <w:pPr>
        <w:spacing w:after="0" w:line="254" w:lineRule="exact"/>
        <w:rPr>
          <w:sz w:val="20"/>
          <w:szCs w:val="20"/>
          <w:color w:val="auto"/>
        </w:rPr>
      </w:pPr>
    </w:p>
    <w:p>
      <w:pPr>
        <w:ind w:left="1020" w:right="180" w:hanging="368"/>
        <w:spacing w:after="0" w:line="24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Tripadvisor-branded Display and Platform Revenue. </w:t>
      </w:r>
      <w:r>
        <w:rPr>
          <w:rFonts w:ascii="Arial" w:cs="Arial" w:eastAsia="Arial" w:hAnsi="Arial"/>
          <w:sz w:val="18"/>
          <w:szCs w:val="18"/>
          <w:color w:val="auto"/>
        </w:rPr>
        <w:t>We offer businesses the ability to promote their brands through display-based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placements on our platform across all of our segments and business units. Our display-based advertising clients are predominantly direct suppliers of hotels, airlines and cruises, as well as destination marketing organizations. We also sell display-based advertising to OTAs and other travel related businesses, as well as advertisers from non-travel categories. Display-based advertising is sold predominantly on a cost per thousand impressions, or CPM, basis.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5" w:name="page6"/>
    <w:bookmarkEnd w:id="5"/>
    <w:p>
      <w:pPr>
        <w:ind w:left="520"/>
        <w:spacing w:after="0"/>
        <w:rPr>
          <w:sz w:val="20"/>
          <w:szCs w:val="20"/>
          <w:color w:val="auto"/>
        </w:rPr>
      </w:pPr>
      <w:r>
        <w:rPr>
          <w:rFonts w:ascii="Arial" w:cs="Arial" w:eastAsia="Arial" w:hAnsi="Arial"/>
          <w:sz w:val="18"/>
          <w:szCs w:val="18"/>
          <w:color w:val="auto"/>
        </w:rPr>
        <w:t>Our Experiences &amp; Dining segment includes revenue generated from the following sources:</w:t>
      </w:r>
    </w:p>
    <w:p>
      <w:pPr>
        <w:spacing w:after="0" w:line="104" w:lineRule="exact"/>
        <w:rPr>
          <w:sz w:val="20"/>
          <w:szCs w:val="20"/>
          <w:color w:val="auto"/>
        </w:rPr>
      </w:pPr>
    </w:p>
    <w:p>
      <w:pPr>
        <w:ind w:left="1020" w:right="100" w:hanging="368"/>
        <w:spacing w:after="0" w:line="254"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Experiences. </w:t>
      </w:r>
      <w:r>
        <w:rPr>
          <w:rFonts w:ascii="Arial" w:cs="Arial" w:eastAsia="Arial" w:hAnsi="Arial"/>
          <w:sz w:val="17"/>
          <w:szCs w:val="17"/>
          <w:color w:val="auto"/>
        </w:rPr>
        <w:t>We provide information and services that allow travelers to research and book tours, activities and attractions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in popular travel destinations in our Viator online marketplace. We also power experience booking capabilities to travelers on third-party distribution partner websites and mobile apps, including some of the world’s top airlines, hotel chains, and online and offline travel agencies, including on the Tripadvisor websites and mobile apps. We work with local experience operators (the “operator”) to provide travelers the ability to book tours, activities and attractions in destinations worldwide. In these transactions we act as the merchant of record and generate commissions for each booking transaction we facilitate through our online reservation system. We also earn commissions from third-party merchant partners, who display and promote on their websites the experiences available on our platform to travelers which generate bookings, in transactions where we are not the merchant of record.</w:t>
      </w:r>
    </w:p>
    <w:p>
      <w:pPr>
        <w:spacing w:after="0" w:line="180" w:lineRule="exact"/>
        <w:rPr>
          <w:rFonts w:ascii="Arial" w:cs="Arial" w:eastAsia="Arial" w:hAnsi="Arial"/>
          <w:sz w:val="17"/>
          <w:szCs w:val="17"/>
          <w:color w:val="auto"/>
        </w:rPr>
      </w:pPr>
    </w:p>
    <w:p>
      <w:pPr>
        <w:ind w:left="1020" w:right="620"/>
        <w:spacing w:after="0" w:line="248" w:lineRule="auto"/>
        <w:rPr>
          <w:rFonts w:ascii="Arial" w:cs="Arial" w:eastAsia="Arial" w:hAnsi="Arial"/>
          <w:sz w:val="17"/>
          <w:szCs w:val="17"/>
          <w:color w:val="auto"/>
        </w:rPr>
      </w:pPr>
      <w:r>
        <w:rPr>
          <w:rFonts w:ascii="Arial" w:cs="Arial" w:eastAsia="Arial" w:hAnsi="Arial"/>
          <w:sz w:val="18"/>
          <w:szCs w:val="18"/>
          <w:color w:val="auto"/>
        </w:rPr>
        <w:t>For the vast majority of experience bookings, we collect the full amount charged to the traveler at the time of booking and remit the operator’s portion after the booked experience occurs, which contributes to positive working capital before the traveler completes the experience.</w:t>
      </w:r>
    </w:p>
    <w:p>
      <w:pPr>
        <w:spacing w:after="0" w:line="181" w:lineRule="exact"/>
        <w:rPr>
          <w:rFonts w:ascii="Arial" w:cs="Arial" w:eastAsia="Arial" w:hAnsi="Arial"/>
          <w:sz w:val="17"/>
          <w:szCs w:val="17"/>
          <w:color w:val="auto"/>
        </w:rPr>
      </w:pPr>
    </w:p>
    <w:p>
      <w:pPr>
        <w:ind w:left="1020" w:right="60" w:hanging="368"/>
        <w:spacing w:after="0" w:line="274"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Dining. </w:t>
      </w:r>
      <w:r>
        <w:rPr>
          <w:rFonts w:ascii="Arial" w:cs="Arial" w:eastAsia="Arial" w:hAnsi="Arial"/>
          <w:sz w:val="16"/>
          <w:szCs w:val="16"/>
          <w:color w:val="auto"/>
        </w:rPr>
        <w:t>We provide information and services for consumers to research and book restaurant reservations in popular travel destinations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our dedicated online restaurant reservations offering, TheFork, and on our Tripadvisor-branded websites and mobile apps. We primarily generate transaction fees (or per seated diner fees) that are paid by our restaurant customers for diners seated through TheFork’s online reservation system. We also offer B2B services and generate subscription fees for subscription-based advertising to restaurants, access to certain online reservation management services, marketing analytic tools, and menu syndication services provided by TheFork and Tripadvisor. In addition, we also offer restaurant partners the opportunity to advertise and promote their business through restaurant media advertising placements on our Tripadvisor websites and mobile apps generally on a CPC rate basis.</w:t>
      </w:r>
    </w:p>
    <w:p>
      <w:pPr>
        <w:spacing w:after="0" w:line="163"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We also offer travelers Rentals, Flights &amp; Car, and Cruise solutions on our platform which complement our end-to-end travel experience. Revenue generated through these offerings are combined in Other which is not considered a reportable segment. Our Rentals offering provides information and services that allow travelers to research and book vacation and short-term rental properties, including full homes, condominiums, villas, beach properties, cabins and cottages. Rentals primarily generates revenue, a commission from both the traveler and the property owner, by offering individual property owners and property managers the ability to list their rental properties on our platform thereby connecting with travelers primarily through a free-to-list commission-based option. We generally collect payment from the traveler at the time of booking, representing the amount due to the property owner or manager, as well as our commission. These properties are listed on www.flipkey.com, www.holidaylettings.co.uk, www.housetrip.com, www.niumba.com, www.vacationhomerentals.com, and on our Tripadvisor-branded websites and mobile apps. In addition, we generate revenue from Flights, Cruise, and Car offerings on our platform, which primarily consists of click-based advertising and display-based advertising revenue, similar to our Hotels, Media &amp; Platform segment.</w:t>
      </w:r>
    </w:p>
    <w:p>
      <w:pPr>
        <w:spacing w:after="0" w:line="180"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 xml:space="preserve">For further information regarding our segments, including the principal revenue streams within these segments and timing of revenue recognition and cashflows, refer to “Note 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and “Note 20: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in the notes to our consolidated financial statements in Item 8 on this Annual Report on Form 10-K.</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Seasonality</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 xml:space="preserve">Consumers’ travel expenditures have historically followed a seasonal pattern. Correspondingly, travel partners’ advertising investments, and therefore our revenue and operating profits, have also historically followed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w:t>
      </w:r>
      <w:r>
        <w:rPr>
          <w:rFonts w:ascii="Arial" w:cs="Arial" w:eastAsia="Arial" w:hAnsi="Arial"/>
          <w:sz w:val="17"/>
          <w:szCs w:val="17"/>
          <w:color w:val="231F20"/>
        </w:rPr>
        <w:t>During the first half of the year, experiences and rentals</w:t>
      </w:r>
      <w:r>
        <w:rPr>
          <w:rFonts w:ascii="Arial" w:cs="Arial" w:eastAsia="Arial" w:hAnsi="Arial"/>
          <w:sz w:val="17"/>
          <w:szCs w:val="17"/>
          <w:color w:val="auto"/>
        </w:rPr>
        <w:t xml:space="preserve"> </w:t>
      </w:r>
      <w:r>
        <w:rPr>
          <w:rFonts w:ascii="Arial" w:cs="Arial" w:eastAsia="Arial" w:hAnsi="Arial"/>
          <w:sz w:val="17"/>
          <w:szCs w:val="17"/>
          <w:color w:val="231F20"/>
        </w:rPr>
        <w:t>bookings typically exceed the amount of completed experiences and rental</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ind w:right="40"/>
        <w:spacing w:after="0" w:line="261" w:lineRule="auto"/>
        <w:rPr>
          <w:sz w:val="20"/>
          <w:szCs w:val="20"/>
          <w:color w:val="auto"/>
        </w:rPr>
      </w:pPr>
      <w:r>
        <w:rPr>
          <w:rFonts w:ascii="Arial" w:cs="Arial" w:eastAsia="Arial" w:hAnsi="Arial"/>
          <w:sz w:val="18"/>
          <w:szCs w:val="18"/>
          <w:color w:val="231F20"/>
        </w:rPr>
        <w:t>stays, resulting in higher cash flow related to working capital, while during the second half of the year, particularly in the third quarter, this pattern reverses and cash flows from these transactions are typically negative</w:t>
      </w:r>
      <w:r>
        <w:rPr>
          <w:rFonts w:ascii="Arial" w:cs="Arial" w:eastAsia="Arial" w:hAnsi="Arial"/>
          <w:sz w:val="18"/>
          <w:szCs w:val="18"/>
          <w:color w:val="000000"/>
        </w:rPr>
        <w:t>.</w:t>
      </w:r>
    </w:p>
    <w:p>
      <w:pPr>
        <w:spacing w:after="0" w:line="17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However, as discussed in Part II, Item 7.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and “Note 1: </w:t>
      </w:r>
      <w:r>
        <w:rPr>
          <w:rFonts w:ascii="Arial" w:cs="Arial" w:eastAsia="Arial" w:hAnsi="Arial"/>
          <w:sz w:val="17"/>
          <w:szCs w:val="17"/>
          <w:i w:val="1"/>
          <w:iCs w:val="1"/>
          <w:color w:val="auto"/>
        </w:rPr>
        <w:t>Organization and Business Description</w:t>
      </w:r>
      <w:r>
        <w:rPr>
          <w:rFonts w:ascii="Arial" w:cs="Arial" w:eastAsia="Arial" w:hAnsi="Arial"/>
          <w:sz w:val="17"/>
          <w:szCs w:val="17"/>
          <w:color w:val="auto"/>
        </w:rPr>
        <w:t>” in the notes to our consolidated financial statements in Item 8 on this Annual Report on Form 10-K, o</w:t>
      </w:r>
      <w:r>
        <w:rPr>
          <w:rFonts w:ascii="Arial" w:cs="Arial" w:eastAsia="Arial" w:hAnsi="Arial"/>
          <w:sz w:val="17"/>
          <w:szCs w:val="17"/>
          <w:color w:val="231F20"/>
        </w:rPr>
        <w:t>ther factors</w:t>
      </w:r>
      <w:r>
        <w:rPr>
          <w:rFonts w:ascii="Arial" w:cs="Arial" w:eastAsia="Arial" w:hAnsi="Arial"/>
          <w:sz w:val="17"/>
          <w:szCs w:val="17"/>
          <w:i w:val="1"/>
          <w:iCs w:val="1"/>
          <w:color w:val="auto"/>
        </w:rPr>
        <w:t xml:space="preserve"> </w:t>
      </w:r>
      <w:r>
        <w:rPr>
          <w:rFonts w:ascii="Arial" w:cs="Arial" w:eastAsia="Arial" w:hAnsi="Arial"/>
          <w:sz w:val="17"/>
          <w:szCs w:val="17"/>
          <w:color w:val="231F20"/>
        </w:rPr>
        <w:t>may also impact typical seasonal fluctuations, which include further significant shifts in our business mix or adverse economic conditions that could result in future seasonal patterns that are different from historical trends. For example, due to the impact of COVID-19 on our business, we did not experience our typical seasonal pattern for revenue and operating profits during the year ended December 31, 2020. COVID-19 contributed significantly to unfavorable working capital trends and material negative operating cash flow during the year ended December 31, 2020, most notably occurring during the first half of 2020, when we typically generate significant positive cash flow.</w:t>
      </w:r>
    </w:p>
    <w:p>
      <w:pPr>
        <w:spacing w:after="0" w:line="180"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Although consumer travel demand, traveler hotel and rental stays, and travel activities and experiences taken generally remain materially lower than historic levels, these trends improved during 2021, resulting in increased revenues, and working capital and operating cash flow more akin to typical historical seasonality trends. However, it is difficult to predict the seasonality for 2022, given the sustained uncertainty related to the continued economic and travel impact of the COVID-19 pandemic, and the ultimate shape and timing of a recovery in our key markets. In addition, significant shifts in our business mix or adverse economic conditions could result in future seasonal patterns that are different from historical trends.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Long-Term Growth Strategy</w:t>
      </w:r>
    </w:p>
    <w:p>
      <w:pPr>
        <w:spacing w:after="0" w:line="108"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auto"/>
        </w:rPr>
        <w:t>The global travel market (which excludes dining) is expected to reach $1.4 trillion of bookings in 2022, according to Phocuswright, an independent travel, tourism and hospitality research firm. Given we have the world’s largest travel audience, we believe that Tripadvisor’s influence in the travel ecosystem remains significant. Our long-term growth strategy aims to increase consumer engagement on our platform and drive profitable growth through:</w:t>
      </w:r>
    </w:p>
    <w:p>
      <w:pPr>
        <w:spacing w:after="0" w:line="39" w:lineRule="exact"/>
        <w:rPr>
          <w:sz w:val="20"/>
          <w:szCs w:val="20"/>
          <w:color w:val="auto"/>
        </w:rPr>
      </w:pPr>
    </w:p>
    <w:p>
      <w:pPr>
        <w:ind w:left="900" w:hanging="38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offering products that delight travelers by reducing friction throughout the travel planning and trip-taking journey;</w:t>
      </w:r>
    </w:p>
    <w:p>
      <w:pPr>
        <w:spacing w:after="0" w:line="103" w:lineRule="exact"/>
        <w:rPr>
          <w:rFonts w:ascii="Arial" w:cs="Arial" w:eastAsia="Arial" w:hAnsi="Arial"/>
          <w:sz w:val="18"/>
          <w:szCs w:val="18"/>
          <w:color w:val="auto"/>
        </w:rPr>
      </w:pPr>
    </w:p>
    <w:p>
      <w:pPr>
        <w:ind w:left="900" w:right="360" w:hanging="383"/>
        <w:spacing w:after="0" w:line="291"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driving consumer loyalty to our platform through user experience and by offering products and services that increase engagement with our platform and result in membership growth, new and repeat bookings, mobile app engagement and repeat usage;</w:t>
      </w:r>
    </w:p>
    <w:p>
      <w:pPr>
        <w:spacing w:after="0" w:line="38" w:lineRule="exact"/>
        <w:rPr>
          <w:rFonts w:ascii="Arial" w:cs="Arial" w:eastAsia="Arial" w:hAnsi="Arial"/>
          <w:sz w:val="17"/>
          <w:szCs w:val="17"/>
          <w:color w:val="auto"/>
        </w:rPr>
      </w:pPr>
    </w:p>
    <w:p>
      <w:pPr>
        <w:ind w:left="900" w:right="660" w:hanging="383"/>
        <w:spacing w:after="0" w:line="261"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driving traveler and diner engagement, bookings, and loyalty on our branded platforms by offering industry-leading choices for online bookable experiences and restaurants in top destinations worldwide;</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deepening travel partner engagement on our platform by expanding the number of products and services we offer; and</w:t>
      </w:r>
    </w:p>
    <w:p>
      <w:pPr>
        <w:spacing w:after="0" w:line="103" w:lineRule="exact"/>
        <w:rPr>
          <w:rFonts w:ascii="Arial" w:cs="Arial" w:eastAsia="Arial" w:hAnsi="Arial"/>
          <w:sz w:val="18"/>
          <w:szCs w:val="18"/>
          <w:color w:val="auto"/>
        </w:rPr>
      </w:pPr>
    </w:p>
    <w:p>
      <w:pPr>
        <w:ind w:left="900" w:right="260" w:hanging="383"/>
        <w:spacing w:after="0" w:line="24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leveraging our platform’s brand and scale and our unique attributes to expand and grow our offerings such as hotel and restaurant B2B solutions, direct-to-consumer products and services where consumers pay us on a per trip planned or an annual subscription basis and click-based and display-based media advertising.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expect to enable our growth through investment in:</w:t>
      </w:r>
    </w:p>
    <w:p>
      <w:pPr>
        <w:spacing w:after="0" w:line="104" w:lineRule="exact"/>
        <w:rPr>
          <w:sz w:val="20"/>
          <w:szCs w:val="20"/>
          <w:color w:val="auto"/>
        </w:rPr>
      </w:pPr>
    </w:p>
    <w:p>
      <w:pPr>
        <w:ind w:left="900" w:right="160" w:hanging="383"/>
        <w:spacing w:after="0" w:line="261"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organic investment in marketing and technology (e.g., machine learning) to further improve the experiences we can deliver to consumers and travel partners on our platform;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inorganically by opportunistically pursuing strategic acquisitions.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Competition</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Tripadvisor and its partners compete with other companies across numerous verticals within an attractive and rapidly evolving travel industry. In our daily operations, we compete to attract premier travel community-powered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7" w:name="page8"/>
    <w:bookmarkEnd w:id="7"/>
    <w:p>
      <w:pPr>
        <w:spacing w:after="0" w:line="272" w:lineRule="auto"/>
        <w:rPr>
          <w:sz w:val="20"/>
          <w:szCs w:val="20"/>
          <w:color w:val="auto"/>
        </w:rPr>
      </w:pPr>
      <w:r>
        <w:rPr>
          <w:rFonts w:ascii="Arial" w:cs="Arial" w:eastAsia="Arial" w:hAnsi="Arial"/>
          <w:sz w:val="16"/>
          <w:szCs w:val="16"/>
          <w:color w:val="auto"/>
        </w:rPr>
        <w:t>content (reviews, photos and other forms of engagement), traffic, advertising dollars and, more generally, the purchasing power of high-intent and highly-valuable consumers seeking to book vacations and spend. Since our travel review content and those of our competitors are typically free, we differentiate based on the awareness and trust travelers and diners place in our brands, the quality and nature of our consumer and B2B product offerings and through the choices available through our online travel search and price comparison services (or metasearch). As such, we invest in improving our consumer experience and expanding travel review content (the core offering within our value proposition), the growth of business listings on our platform that provide choice and the diverse range of bookable experiences we provide travelers during their vacations that create lasting memories. Knowing trust in our platform is paramount to our success and the virtues of our network effect, we also invest in leading the internet industry in our trust and safety initiatives, including providing transparency into our traveler review process and our efforts to combat misinformation and false reviews.</w:t>
      </w:r>
    </w:p>
    <w:p>
      <w:pPr>
        <w:spacing w:after="0" w:line="168"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We also invest to amplify our global brand and raise consumer awareness of, and engagement with, our end-to-end product offerings. With hundreds of millions of visitors to our platform each year, we leverage a number of cost effective online and offline marketing channels to reach travelers and diners, including our own platform channels (i.e. websites and app), online search engines (primarily Google), social media, email, media via public relations, partnerships, and content distribution. The relative success of our marketing strategy is measurable on these channels, and can be influenced by changes that we and our travel partners and competitors make to our respective products and marketing strategies.</w:t>
      </w:r>
    </w:p>
    <w:p>
      <w:pPr>
        <w:spacing w:after="0" w:line="17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We allocate resources among the different marketing channels based on our internal return on investment measures. We compete globally with both online and offline, established and emerging, providers of travel, hospitality, lodging, experiences (bookable tours, activities, and attractions), and restaurant reservation and related services. The markets for the services we offer are intensely competitive, and current and new competitors can launch new services at a relatively low cost.</w:t>
      </w:r>
    </w:p>
    <w:p>
      <w:pPr>
        <w:spacing w:after="0" w:line="188"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We also compete with different types of companies in the various markets and geographies where we operate, including large and small companies in the travel space as well as broader service providers. More specifically:</w:t>
      </w:r>
    </w:p>
    <w:p>
      <w:pPr>
        <w:spacing w:after="0" w:line="63" w:lineRule="exact"/>
        <w:rPr>
          <w:sz w:val="20"/>
          <w:szCs w:val="20"/>
          <w:color w:val="auto"/>
        </w:rPr>
      </w:pPr>
    </w:p>
    <w:p>
      <w:pPr>
        <w:ind w:left="1020" w:hanging="36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our Hotels, Media &amp; Platform segment, we compete, and in some cases partner, with the following businesses:</w:t>
      </w:r>
    </w:p>
    <w:p>
      <w:pPr>
        <w:spacing w:after="0" w:line="104" w:lineRule="exact"/>
        <w:rPr>
          <w:sz w:val="20"/>
          <w:szCs w:val="20"/>
          <w:color w:val="auto"/>
        </w:rPr>
      </w:pPr>
    </w:p>
    <w:p>
      <w:pPr>
        <w:ind w:left="2020" w:right="240" w:hanging="379"/>
        <w:spacing w:after="0" w:line="261" w:lineRule="auto"/>
        <w:tabs>
          <w:tab w:leader="none" w:pos="2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OTAs (including Expedia Group, Inc., or “Expedia,” Booking Holdings, Inc., or “Booking,” and their respective subsidiaries and operating companies, and Airbnb);</w:t>
      </w:r>
    </w:p>
    <w:p>
      <w:pPr>
        <w:spacing w:after="0" w:line="62" w:lineRule="exact"/>
        <w:rPr>
          <w:rFonts w:ascii="Arial" w:cs="Arial" w:eastAsia="Arial" w:hAnsi="Arial"/>
          <w:sz w:val="18"/>
          <w:szCs w:val="18"/>
          <w:color w:val="auto"/>
        </w:rPr>
      </w:pPr>
    </w:p>
    <w:p>
      <w:pPr>
        <w:ind w:left="2020" w:right="760" w:hanging="379"/>
        <w:spacing w:after="0" w:line="261" w:lineRule="auto"/>
        <w:tabs>
          <w:tab w:leader="none" w:pos="2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hotel metasearch providers (including trivago (a majority-owned subsidiary of Expedia), Kayak and HotelsCombined (subsidiaries of Booking) and Trip.com Group Limited);</w:t>
      </w:r>
    </w:p>
    <w:p>
      <w:pPr>
        <w:spacing w:after="0" w:line="62" w:lineRule="exact"/>
        <w:rPr>
          <w:rFonts w:ascii="Arial" w:cs="Arial" w:eastAsia="Arial" w:hAnsi="Arial"/>
          <w:sz w:val="18"/>
          <w:szCs w:val="18"/>
          <w:color w:val="auto"/>
        </w:rPr>
      </w:pPr>
    </w:p>
    <w:p>
      <w:pPr>
        <w:ind w:left="2020" w:right="240" w:hanging="379"/>
        <w:spacing w:after="0" w:line="261" w:lineRule="auto"/>
        <w:tabs>
          <w:tab w:leader="none" w:pos="2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large online search, social media, and marketplace platforms and companies (including Google, Facebook, Microsoft’s Bing, Yahoo, Baidu, and Alibaba);</w:t>
      </w:r>
    </w:p>
    <w:p>
      <w:pPr>
        <w:spacing w:after="0" w:line="62" w:lineRule="exact"/>
        <w:rPr>
          <w:rFonts w:ascii="Arial" w:cs="Arial" w:eastAsia="Arial" w:hAnsi="Arial"/>
          <w:sz w:val="18"/>
          <w:szCs w:val="18"/>
          <w:color w:val="auto"/>
        </w:rPr>
      </w:pPr>
    </w:p>
    <w:p>
      <w:pPr>
        <w:ind w:left="2020" w:hanging="379"/>
        <w:spacing w:after="0"/>
        <w:tabs>
          <w:tab w:leader="none" w:pos="2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traditional offline travel agencies; and</w:t>
      </w:r>
    </w:p>
    <w:p>
      <w:pPr>
        <w:spacing w:after="0" w:line="103" w:lineRule="exact"/>
        <w:rPr>
          <w:rFonts w:ascii="Arial" w:cs="Arial" w:eastAsia="Arial" w:hAnsi="Arial"/>
          <w:sz w:val="18"/>
          <w:szCs w:val="18"/>
          <w:color w:val="auto"/>
        </w:rPr>
      </w:pPr>
    </w:p>
    <w:p>
      <w:pPr>
        <w:ind w:left="2020" w:hanging="379"/>
        <w:spacing w:after="0"/>
        <w:tabs>
          <w:tab w:leader="none" w:pos="2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global hotel chains seeking to promote direct bookings.</w:t>
      </w:r>
    </w:p>
    <w:p>
      <w:pPr>
        <w:spacing w:after="0" w:line="103" w:lineRule="exact"/>
        <w:rPr>
          <w:rFonts w:ascii="Arial" w:cs="Arial" w:eastAsia="Arial" w:hAnsi="Arial"/>
          <w:sz w:val="18"/>
          <w:szCs w:val="18"/>
          <w:color w:val="auto"/>
        </w:rPr>
      </w:pPr>
    </w:p>
    <w:p>
      <w:pPr>
        <w:ind w:left="1020" w:right="380" w:hanging="368"/>
        <w:spacing w:after="0" w:line="262"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As endemic and non-endemic (non-travel) advertisers seek to diversify their display-based advertising spend beyond platforms such as Google and Facebook and their related properties (Instagram and YouTube); Tripadvisor competes with these and other internet media channels for advertising spend, such as Twitter, Pinterest and Snap Media, in addition to fast growing advertising businesses, such as ad-supported retail and entertainment platforms like Amazon, Spotify, and Walmart.com.</w:t>
      </w:r>
    </w:p>
    <w:p>
      <w:pPr>
        <w:spacing w:after="0" w:line="64" w:lineRule="exact"/>
        <w:rPr>
          <w:rFonts w:ascii="Arial" w:cs="Arial" w:eastAsia="Arial" w:hAnsi="Arial"/>
          <w:sz w:val="17"/>
          <w:szCs w:val="17"/>
          <w:color w:val="auto"/>
        </w:rPr>
      </w:pPr>
    </w:p>
    <w:p>
      <w:pPr>
        <w:ind w:left="1020" w:right="20" w:hanging="368"/>
        <w:spacing w:after="0" w:line="24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We also compete with offerings in our Experiences &amp; Dining segment. Experiences competes with </w:t>
      </w:r>
      <w:r>
        <w:rPr>
          <w:rFonts w:ascii="Arial" w:cs="Arial" w:eastAsia="Arial" w:hAnsi="Arial"/>
          <w:sz w:val="18"/>
          <w:szCs w:val="18"/>
          <w:color w:val="231F20"/>
        </w:rPr>
        <w:t>online travel agencies (such as Airbnb,</w:t>
      </w:r>
      <w:r>
        <w:rPr>
          <w:rFonts w:ascii="Arial" w:cs="Arial" w:eastAsia="Arial" w:hAnsi="Arial"/>
          <w:sz w:val="18"/>
          <w:szCs w:val="18"/>
          <w:color w:val="auto"/>
        </w:rPr>
        <w:t xml:space="preserve"> </w:t>
      </w:r>
      <w:r>
        <w:rPr>
          <w:rFonts w:ascii="Arial" w:cs="Arial" w:eastAsia="Arial" w:hAnsi="Arial"/>
          <w:sz w:val="18"/>
          <w:szCs w:val="18"/>
          <w:color w:val="231F20"/>
        </w:rPr>
        <w:t xml:space="preserve">Booking and Expedia), search engines (such as Google), other pure-play experience OTAs (such as GetYourGuide, Peek and Klook), traditional travel agencies and online travel service providers and wholesalers, among others. </w:t>
      </w:r>
      <w:r>
        <w:rPr>
          <w:rFonts w:ascii="Arial" w:cs="Arial" w:eastAsia="Arial" w:hAnsi="Arial"/>
          <w:sz w:val="18"/>
          <w:szCs w:val="18"/>
          <w:color w:val="000000"/>
        </w:rPr>
        <w:t>Our Dining offering competes with other online</w:t>
      </w:r>
      <w:r>
        <w:rPr>
          <w:rFonts w:ascii="Arial" w:cs="Arial" w:eastAsia="Arial" w:hAnsi="Arial"/>
          <w:sz w:val="18"/>
          <w:szCs w:val="18"/>
          <w:color w:val="231F20"/>
        </w:rPr>
        <w:t xml:space="preserve"> </w:t>
      </w:r>
      <w:r>
        <w:rPr>
          <w:rFonts w:ascii="Arial" w:cs="Arial" w:eastAsia="Arial" w:hAnsi="Arial"/>
          <w:sz w:val="18"/>
          <w:szCs w:val="18"/>
          <w:color w:val="000000"/>
        </w:rPr>
        <w:t>restaurant reservation services, such as Google and OpenTable (a subsidiary of Booking).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Commercial Relationships</w:t>
      </w:r>
    </w:p>
    <w:p>
      <w:pPr>
        <w:spacing w:after="0" w:line="216"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have commercial relationships with a majority of the world’s leading OTAs, as well as thousands of other travel partners, pursuant to which these companies primarily purchase traveler leads from us, generally on a click-based advertising basis. Although these relationships are memorialized in agreements, many of these agreements are for limited terms or are terminable at will or on short notice. As a result, we seek to ensure the mutual success of these relationships.</w:t>
      </w:r>
    </w:p>
    <w:p>
      <w:pPr>
        <w:spacing w:after="0" w:line="188"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For the years ended December 31, 2021, 2020 and 2019 our two most significant travel partners were Expedia and Booking, each of which accounted for 10% or more of our consolidated revenue and together accounted for approximately 34%, 25% and 33% of our consolidated revenue, respectively. Nearly all of this concentration of revenue is recorded in the Tripadvisor-branded Hotels revenue line within our Hotels, Media &amp; Platform segment for these reporting periods. Additionally, our business is dependent on relationships with third-party service operators that we rely on to fulfill service obligations to our customers where the Company is the merchant of record, such as our experience providers and vacation rental owners. However, no one operator’s inventory resulted in more than 10% of our revenue on a consolidated basis in any period presented.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and Technology</w:t>
      </w:r>
    </w:p>
    <w:p>
      <w:pPr>
        <w:spacing w:after="0" w:line="108"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We have assembled a team of highly skilled software engineers, computer scientists, data scientists, network engineers and systems engineers whose expertise spans a broad range of technical areas, including a wide variety of open source operating systems, databases, languages, analytics, networking, scalable web architecture, operations and warehousing technologies. We make significant investments in product and feature development, data management, personalization technologies, scalable infrastructures, networking, data warehousing, and search engine technologies.</w:t>
      </w:r>
    </w:p>
    <w:p>
      <w:pPr>
        <w:spacing w:after="0" w:line="155" w:lineRule="exact"/>
        <w:rPr>
          <w:sz w:val="20"/>
          <w:szCs w:val="20"/>
          <w:color w:val="auto"/>
        </w:rPr>
      </w:pPr>
    </w:p>
    <w:p>
      <w:pPr>
        <w:ind w:right="320" w:firstLine="509"/>
        <w:spacing w:after="0" w:line="274" w:lineRule="auto"/>
        <w:rPr>
          <w:sz w:val="20"/>
          <w:szCs w:val="20"/>
          <w:color w:val="auto"/>
        </w:rPr>
      </w:pPr>
      <w:r>
        <w:rPr>
          <w:rFonts w:ascii="Arial" w:cs="Arial" w:eastAsia="Arial" w:hAnsi="Arial"/>
          <w:sz w:val="16"/>
          <w:szCs w:val="16"/>
          <w:color w:val="auto"/>
        </w:rPr>
        <w:t>Our systems infrastructure for Tripadvisor-branded websites is in a "hybrid-cloud" configuration in which parts of it are housed at a colocation facility and managed by our operations team, while the rest is hosted on Amazon Web Services. Our infrastructure installations have multiple communication links as well as continuous monitoring and engineering support. The colocation facility is protected with both network-level and application-level defenses, using well known commercial solutions specifically tailored for such purposes. We make use of Amazon Web Services availability zones to provide redundancy for the cloud portions of our infrastructure. Substantially all of our software components, data, and content are replicated in multiple datacenters and development centers, as well as backed up at offsite locations. Our systems are monitored and protected though multiple layers of security. Several of our individual subsidiaries and businesses have their own data infrastructure and technology teams.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right="360" w:firstLine="509"/>
        <w:spacing w:after="0" w:line="262" w:lineRule="auto"/>
        <w:rPr>
          <w:sz w:val="20"/>
          <w:szCs w:val="20"/>
          <w:color w:val="auto"/>
        </w:rPr>
      </w:pPr>
      <w:r>
        <w:rPr>
          <w:rFonts w:ascii="Arial" w:cs="Arial" w:eastAsia="Arial" w:hAnsi="Arial"/>
          <w:sz w:val="17"/>
          <w:szCs w:val="17"/>
          <w:color w:val="auto"/>
        </w:rPr>
        <w:t>Our intellectual property, including patents, trademarks, copyrights, domain names, trade dress, proprietary technology and trade secrets, is an important component of our business. We rely on our intellectual property rights in our content, proprietary technology, software code, ratings indexes, databases of reviews and forum content. We have acquired some of our intellectual property rights through licenses and content agreements with third parties and these arrangements may place restrictions on the use of our intellectual property.</w:t>
      </w:r>
    </w:p>
    <w:p>
      <w:pPr>
        <w:spacing w:after="0" w:line="17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protect our intellectual property by relying on our terms of use, confidentiality agreements and contractual provisions, as well as on international, national, federal, state and common law rights. We protect our brands by pursuing the trademark registration of our core brands, as appropriate, maintaining our trademark portfolio, securing contractual trademark rights protection when appropriate, and relying on common law trademark rights when appropriate. We also register copyrights and domain names as deemed appropriate. Additionally, we protect our trademarks, domain names and copyrights with the use of intellectual property licenses and an enforcement program.</w:t>
      </w:r>
    </w:p>
    <w:p>
      <w:pPr>
        <w:spacing w:after="0" w:line="189"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We have considered, and will continue to consider, the appropriateness of filing for patents to protect future inventions, as circumstances may warrant. However, many patents protect only specific inventions and there can be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no assurance that others may not create new products or methods that achieve similar results without infringing upon patents owned by us.</w:t>
      </w:r>
    </w:p>
    <w:p>
      <w:pPr>
        <w:spacing w:after="0" w:line="212"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In connection with our copyrightable content, we post and institute procedures under the U.S. Digital Millennium Copyright Act and similar “host privilege” statutes worldwide to gain immunity from copyright liability for photographs, text and other content loaded on our platform by consumers. However, differences between statutes, limitations on immunity, political and regulatory efforts to amend relevant statutes, and moderation efforts in the many jurisdictions in which we operate may affect our ability to claim immunity.</w:t>
      </w:r>
    </w:p>
    <w:p>
      <w:pPr>
        <w:spacing w:after="0" w:line="188"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From time to time, we may be subject to legal proceedings and claims in the ordinary course of our business, including claims of alleged infringement by us of the trademarks, copyrights, patents, and other intellectual property rights of third parties. In addition, litigation may be necessary in the future to enforce our intellectual property rights, protect our trade secrets or determine the validity and scope of proprietary rights claimed by others. Any such litigation, regardless of outcome or merit, could result in substantial costs and diversion of management and technical resources, any of which could materially harm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0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are subject to a number of laws and regulations that affect companies conducting business on the internet as well as some relating to the travel industry, the vacation rental industry and the provision of travel services. As we continue to expand the reach of our brands into additional international markets and expand our product offerings, we are increasingly subject to additional laws and regulations. This includes laws and regulations regarding privacy and data protection, libel and defamation, content, intellectual property, distribution, electronic contracts and other communications, consumer protection, taxation, online payment services and competition, among others. These laws and regulations are constantly evolving and can be subject to significant change. Many of these laws and regulations are being tested in courts, and could be interpreted by regulators and courts in ways that could harm our business. In addition, the application and interpretation of these laws and regulations is often uncertain, particularly in the new and rapidly-evolving industry in which we operate.</w:t>
      </w:r>
    </w:p>
    <w:p>
      <w:pPr>
        <w:spacing w:after="0" w:line="194"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In addition, we provide advertising data and information and conduct marketing activities that are subject to consumer protection laws that regulate unfair and deceptive practices, domestically and internationally, including, in some countries, pricing display requirements, licensing and registration requirements and industry specific value-added tax regimes. The U.S. (as well as individual states), the E.U. (as well as member states) and other countries have adopted legislation that regulates certain aspects of the internet, including online editorial and user-generated content, data privacy, behavioral targeting and online advertising, taxation, and liability for third-party activities. It is difficult to accurately predict how such legislation will be interpreted and applied or whether new taxes or regulations will be imposed on our services, and whether or how we might be affected. Increased regulation of the internet could increase the cost of doing business or otherwise materially adversely affect our business, financial condition or operating results.</w:t>
      </w:r>
    </w:p>
    <w:p>
      <w:pPr>
        <w:spacing w:after="0" w:line="163"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We are subject to laws that require protection of user privacy and user data. As our business has evolved, we have begun to receive and store a greater volume of personally identifiable data. This data is increasingly subject to laws and regulations in numerous jurisdictions around the world. For example, the E.U., in May 2018, adopted the General Data Protection Regulation, or GDPR, which requires companies, including ours, to meet enhanced requirements regarding the handling and storage of personal data. In addition, the State of California adopted the Consumer Privacy Protection Act which became effective January 1, 2020 and also enhances privacy rights and consumer protection for residents of California. In addition, similar laws have been adopted or are currently under discussion in other jurisdictions. The enactment, interpretation and application of these laws is still in a state of flux.</w:t>
      </w:r>
    </w:p>
    <w:p>
      <w:pPr>
        <w:spacing w:after="0" w:line="16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Also, on June 23, 2016, the U.K. passed a referendum to exit the E.U., known as Brexit, and the U.K. ceased to be a member of the EU on January 31, 2020. On December 24, 2020, the U.K. and E.U. finalized the terms of the departure. While there continues to be some uncertainty around U.K. and E.U. relations, we do not expect Brexit will have a material impact on our business and results of operations; however, we will likely face new regulations and additional hiring costs, as well as hiring limitations from candidates outside of the U.K.</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0" w:name="page11"/>
    <w:bookmarkEnd w:id="10"/>
    <w:p>
      <w:pPr>
        <w:ind w:right="100" w:firstLine="509"/>
        <w:spacing w:after="0" w:line="248" w:lineRule="auto"/>
        <w:rPr>
          <w:sz w:val="20"/>
          <w:szCs w:val="20"/>
          <w:color w:val="auto"/>
        </w:rPr>
      </w:pPr>
      <w:r>
        <w:rPr>
          <w:rFonts w:ascii="Arial" w:cs="Arial" w:eastAsia="Arial" w:hAnsi="Arial"/>
          <w:sz w:val="18"/>
          <w:szCs w:val="18"/>
          <w:color w:val="231F20"/>
        </w:rPr>
        <w:t>Compliance with these laws, rules and regulations has not had, and is not expected to have, a material effect on our business, results of operations and financial condition. However, certain laws and regulations have not historically been applied in the context of online travel companies, so there can be uncertainty regarding how these requirements may relate to our business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Equity Ownership and Voting Control</w:t>
      </w:r>
    </w:p>
    <w:p>
      <w:pPr>
        <w:spacing w:after="0" w:line="108"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Tripadvisor was co-founded in February 2000 by Stephen Kaufer, our current Chief Executive Officer and President. In April 2004, Tripadvisor was acquired by IAC/InterActiveCorp, or IAC. In August 2005, IAC spun-off its portfolio of travel brands, including Tripadvisor, into Expedia, at the time a separate newly-formed Delaware corporation. On December 20, 2011 Expedia completed a spin-off of Tripadvisor into a separate publicly-traded Delaware corporation. We refer to this second spin-off transaction as the “Spin-Off.” Following the Spin-Off, on December 21, 2011, Tripadvisor began trading on The Nasdaq Global Select Market, or Nasdaq, as an independent public company under the trading symbol “TRIP.”</w:t>
      </w:r>
    </w:p>
    <w:p>
      <w:pPr>
        <w:spacing w:after="0" w:line="174"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On December 11, 2012, Liberty Interactive Corporation, or Liberty, purchased an aggregate of approximately 4.8 million shares of common stock of Tripadvisor from Barry Diller, our former Chairman of the Board of Directors and Senior Executive, and certain of his affiliates. As a result, Liberty beneficially owned approximately 18.2 million shares of our common stock and 12.8 million shares of our Class B common stock.</w:t>
      </w:r>
    </w:p>
    <w:p>
      <w:pPr>
        <w:spacing w:after="0" w:line="164" w:lineRule="exact"/>
        <w:rPr>
          <w:sz w:val="20"/>
          <w:szCs w:val="20"/>
          <w:color w:val="auto"/>
        </w:rPr>
      </w:pPr>
    </w:p>
    <w:p>
      <w:pPr>
        <w:ind w:right="160" w:firstLine="509"/>
        <w:spacing w:after="0" w:line="284" w:lineRule="auto"/>
        <w:rPr>
          <w:sz w:val="20"/>
          <w:szCs w:val="20"/>
          <w:color w:val="auto"/>
        </w:rPr>
      </w:pPr>
      <w:r>
        <w:rPr>
          <w:rFonts w:ascii="Arial" w:cs="Arial" w:eastAsia="Arial" w:hAnsi="Arial"/>
          <w:sz w:val="16"/>
          <w:szCs w:val="16"/>
          <w:color w:val="auto"/>
        </w:rPr>
        <w:t>On August 27, 2014, the entire beneficial ownership of our common stock and Class B common stock held by Liberty was acquired by Liberty TripAdvisor Holdings, Inc., or LTRIP. Simultaneously, Liberty, LTRIP’s former parent company, distributed, by means of a dividend, to the holders of its Liberty Ventures common stock, Liberty’s entire equity interest in LTRIP. We refer to this transaction as the “Liberty Spin-Off”. As a result of the Liberty Spin-Off, effective August 27, 2014, LTRIP became a separate, publicly traded company holding 100% of Liberty’s interest in Tripadvisor.</w:t>
      </w:r>
    </w:p>
    <w:p>
      <w:pPr>
        <w:spacing w:after="0" w:line="155"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As a result of these transactions, and as of December 31, 2021, LTRIP beneficially owned approximately 16.4 million shares of our common stock and 12.8 million shares of our Class B common stock, which constitute approximately 13% of the outstanding shares of common stock and 100% of the outstanding shares of Class B common stock. Assuming the conversion of all of LTRIP’s shares of Class B common stock into common stock, LTRIP would beneficially own approximately 21% of the outstanding common stock. Because each share of Class B common stock is entitled to ten votes per share and each share of common stock is entitled to one vote per share, LTRIP may be deemed to beneficially own equity securities representing nearly 57% of our voting power.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 Culture and Employees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Employees</w:t>
      </w:r>
    </w:p>
    <w:p>
      <w:pPr>
        <w:spacing w:after="0" w:line="212"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As of December 31, 2021, the Company had 2,691 employees. Our number of employees increased approximately 4% when compared to the same period in 2020. Approximately 50%, 35%, and 15% of the Company’s current employees are based in Europe, the U.S., and the rest of world, respectively. Additionally, we use independent contractors to supplement our workforce. We believe we have good relationships with our employees and contractors, including relationships with employees represented by international works councils or other similar organizations.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Talent Acquisition and Development</w:t>
      </w:r>
    </w:p>
    <w:p>
      <w:pPr>
        <w:spacing w:after="0" w:line="212" w:lineRule="exact"/>
        <w:rPr>
          <w:sz w:val="20"/>
          <w:szCs w:val="20"/>
          <w:color w:val="auto"/>
        </w:rPr>
      </w:pPr>
    </w:p>
    <w:p>
      <w:pPr>
        <w:ind w:right="320" w:firstLine="509"/>
        <w:spacing w:after="0" w:line="241" w:lineRule="auto"/>
        <w:rPr>
          <w:sz w:val="20"/>
          <w:szCs w:val="20"/>
          <w:color w:val="auto"/>
        </w:rPr>
      </w:pPr>
      <w:r>
        <w:rPr>
          <w:rFonts w:ascii="Arial" w:cs="Arial" w:eastAsia="Arial" w:hAnsi="Arial"/>
          <w:sz w:val="18"/>
          <w:szCs w:val="18"/>
          <w:color w:val="auto"/>
        </w:rPr>
        <w:t>We believe our employees are essential to our success and that the Company’s success depends on our ability to attract, develop and retain key talent. The skills, experience and industry knowledge of key employees significantly benefit our operations and performance. Competition for qualified personnel is intense, particularly for software engineers, computer scientists, and other technical staff, and constrained labor markets have increased competition for personnel across other parts of our business. The Company's management and Board of Directors oversee various initiatives for talent acquisition, retention and development.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ind w:firstLine="509"/>
        <w:spacing w:after="0" w:line="276" w:lineRule="auto"/>
        <w:rPr>
          <w:sz w:val="20"/>
          <w:szCs w:val="20"/>
          <w:color w:val="auto"/>
        </w:rPr>
      </w:pPr>
      <w:r>
        <w:rPr>
          <w:rFonts w:ascii="Arial" w:cs="Arial" w:eastAsia="Arial" w:hAnsi="Arial"/>
          <w:sz w:val="16"/>
          <w:szCs w:val="16"/>
          <w:color w:val="auto"/>
        </w:rPr>
        <w:t>Our talent philosophy is to both develop talent from within and to strategically recruit key external talent. This approach has yielded a deep understanding among our employee base of our business, our products, and our customers, while adding new employees and ideas in support of our continuous improvement mindset. Our overall talent acquisition and retention strategy is designed to attract and retain diverse and qualified candidates to enable the success of the Company and achievement of our performance goals. We recruit the best people for the job without regard to gender, ethnicity or other protected traits and it is our policy to comply fully with all domestic, foreign and local laws relating to discrimination in the workplace. Our talent acquisition team uses internal and external resources to recruit highly skilled and talented workers, and we encourage employee referrals for open positions.</w:t>
      </w:r>
    </w:p>
    <w:p>
      <w:pPr>
        <w:spacing w:after="0" w:line="162"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color w:val="auto"/>
        </w:rPr>
        <w:t>We support and develop our employees through global training and development programs that build and strengthen employees’ leadership and professional skills. Leadership development includes programs for new leaders as well as programs designed to support more experienced leaders. We also partner with external training organizations to help provide current and future workers with the knowledge and skills they need to succeed.</w:t>
      </w:r>
    </w:p>
    <w:p>
      <w:pPr>
        <w:spacing w:after="0" w:line="147"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It is important that our employees represent a mix of experiences and backgrounds in order to make our company stronger, more innovative and more inclusive. Inclusion is one of our core values, and we have programs in place to promote diversity and inclusion. Our diversity and inclusion initiatives support our goal that everyone throughout the Company is engaged in creating an inclusive workplace. We support inclusion through training on topics including Unconscious Bias and Inclusive Leadership. We also support a network of active Employee Resource Groups (ERGs) reflecting many dimensions of diversity across the Company.</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Total Rewards</w:t>
      </w:r>
    </w:p>
    <w:p>
      <w:pPr>
        <w:spacing w:after="0" w:line="212"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As part of our compensation philosophy, we believe that we must offer and maintain market competitive total rewards programs for our employees in order to attract, motivate and retain superior talent. These programs not only include base wages and incentives in support of our pay for performance culture, but also health, welfare, and retirement benefits.</w:t>
      </w:r>
    </w:p>
    <w:p>
      <w:pPr>
        <w:spacing w:after="0" w:line="182"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We design our benefit programs to meet the needs of our employees’ health while managing program costs for escalation rates at or below industry trend factors. Our programs include but are not limited to wellness, mental health services, telemedicine, and partnerships with service providers that support diverse family-care need solutions. We continuously refine, develop and implement proactive health care strategies and solutions that allow us to enhance employee health and well-being while curbing costs.</w:t>
      </w:r>
    </w:p>
    <w:p>
      <w:pPr>
        <w:spacing w:after="0" w:line="188"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 xml:space="preserve">Refer to “Note 14: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and “Note 15: </w:t>
      </w:r>
      <w:r>
        <w:rPr>
          <w:rFonts w:ascii="Arial" w:cs="Arial" w:eastAsia="Arial" w:hAnsi="Arial"/>
          <w:sz w:val="18"/>
          <w:szCs w:val="18"/>
          <w:i w:val="1"/>
          <w:iCs w:val="1"/>
          <w:color w:val="auto"/>
        </w:rPr>
        <w:t>Stock Based Awards and Other Equity Instruments</w:t>
      </w:r>
      <w:r>
        <w:rPr>
          <w:rFonts w:ascii="Arial" w:cs="Arial" w:eastAsia="Arial" w:hAnsi="Arial"/>
          <w:sz w:val="18"/>
          <w:szCs w:val="18"/>
          <w:color w:val="auto"/>
        </w:rPr>
        <w:t>” in the notes to the consolidated financial statements in Item 8 on this Annual Report on Form 10-K for further information on our 401(k) Plan, our equity award plan and other employee benefit plans.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Health and Safety</w:t>
      </w:r>
    </w:p>
    <w:p>
      <w:pPr>
        <w:spacing w:after="0" w:line="198"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222222"/>
        </w:rPr>
        <w:t>The health and safety of our employees is of utmost importance to us. We conduct regular self-assessments and audits to ensure compliance with our health and safety guidelines and regulatory requirements. The COVID-19 pandemic has underscored for us the importance of keeping our employees safe and healthy. In response to the pandemic, the Company has taken actions aligned with the World Health Organization and the Centers for Disease Control and Prevention to protect its workforce so they can more safely and effectively perform their work, including, but not limited to:</w:t>
      </w:r>
    </w:p>
    <w:p>
      <w:pPr>
        <w:spacing w:after="0" w:line="142" w:lineRule="exact"/>
        <w:rPr>
          <w:sz w:val="20"/>
          <w:szCs w:val="20"/>
          <w:color w:val="auto"/>
        </w:rPr>
      </w:pPr>
    </w:p>
    <w:p>
      <w:pPr>
        <w:ind w:left="1140" w:hanging="383"/>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Adding work from home flexibility;</w:t>
      </w:r>
    </w:p>
    <w:p>
      <w:pPr>
        <w:spacing w:after="0" w:line="11" w:lineRule="exact"/>
        <w:rPr>
          <w:rFonts w:ascii="Arial" w:cs="Arial" w:eastAsia="Arial" w:hAnsi="Arial"/>
          <w:sz w:val="18"/>
          <w:szCs w:val="18"/>
          <w:color w:val="auto"/>
        </w:rPr>
      </w:pPr>
    </w:p>
    <w:p>
      <w:pPr>
        <w:ind w:left="1140" w:hanging="383"/>
        <w:spacing w:after="0" w:line="234"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cleaning protocols across all locations;</w:t>
      </w:r>
    </w:p>
    <w:p>
      <w:pPr>
        <w:ind w:left="1140" w:hanging="383"/>
        <w:spacing w:after="0"/>
        <w:tabs>
          <w:tab w:leader="none" w:pos="11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Initiating regular communication regarding impacts of the COVID-19 pandemic, including health and safety protocols and procedures;</w:t>
      </w:r>
    </w:p>
    <w:p>
      <w:pPr>
        <w:spacing w:after="0" w:line="7" w:lineRule="exact"/>
        <w:rPr>
          <w:rFonts w:ascii="Arial" w:cs="Arial" w:eastAsia="Arial" w:hAnsi="Arial"/>
          <w:sz w:val="17"/>
          <w:szCs w:val="17"/>
          <w:color w:val="auto"/>
        </w:rPr>
      </w:pPr>
    </w:p>
    <w:p>
      <w:pPr>
        <w:ind w:left="1140" w:hanging="383"/>
        <w:spacing w:after="0" w:line="234"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Prohibiting all domestic and international non-essential business travel for all employees; and</w:t>
      </w:r>
    </w:p>
    <w:p>
      <w:pPr>
        <w:ind w:left="1140" w:hanging="383"/>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masks to be worn in all locations where required by local law.</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Additional Information</w:t>
      </w:r>
    </w:p>
    <w:p>
      <w:pPr>
        <w:spacing w:after="0" w:line="108" w:lineRule="exact"/>
        <w:rPr>
          <w:sz w:val="20"/>
          <w:szCs w:val="20"/>
          <w:color w:val="auto"/>
        </w:rPr>
      </w:pPr>
    </w:p>
    <w:p>
      <w:pPr>
        <w:jc w:val="both"/>
        <w:ind w:right="380" w:firstLine="509"/>
        <w:spacing w:after="0" w:line="248" w:lineRule="auto"/>
        <w:rPr>
          <w:sz w:val="20"/>
          <w:szCs w:val="20"/>
          <w:color w:val="auto"/>
        </w:rPr>
      </w:pPr>
      <w:r>
        <w:rPr>
          <w:rFonts w:ascii="Arial" w:cs="Arial" w:eastAsia="Arial" w:hAnsi="Arial"/>
          <w:sz w:val="18"/>
          <w:szCs w:val="18"/>
          <w:color w:val="auto"/>
        </w:rPr>
        <w:t>We maintain a corporate website at ir.tripadvisor.com. Except as explicitly noted, the information on our website, as well as the websites of our various brands and businesses, is not incorporated by reference in this Annual Report on Form 10-K, or in any other filings with, or in any information furnished or submitted to, the SEC.</w:t>
      </w:r>
    </w:p>
    <w:p>
      <w:pPr>
        <w:spacing w:after="0" w:line="182"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On our Investor Relations website (http://ir.tripadvisor.com/investor-relations), we provide our Annual Reports on Form 10-K, Quarterly Reports on Form 10-Q and Current Reports on Form 8-K, and amendments to these reports free of charge. These reports are available on our website as soon as reasonably practicable after we electronically file or furnish these reports to the SEC or publish through press releases, public conference calls and certain webcasts. All documents filed electronically with the SEC (including reports, proxy and information statements and other information) are also available at www.sec.gov. Investors and others should be aware that we use our investor relations website (http://ir.tripadvisor.com/investor-relations) to announce material financial information to our investors as well as communicate with the public about our company, our results of operations and other information.</w:t>
      </w:r>
    </w:p>
    <w:p>
      <w:pPr>
        <w:spacing w:after="0" w:line="162" w:lineRule="exact"/>
        <w:rPr>
          <w:sz w:val="20"/>
          <w:szCs w:val="20"/>
          <w:color w:val="auto"/>
        </w:rPr>
      </w:pPr>
    </w:p>
    <w:p>
      <w:pPr>
        <w:jc w:val="both"/>
        <w:ind w:right="520" w:firstLine="509"/>
        <w:spacing w:after="0" w:line="248" w:lineRule="auto"/>
        <w:rPr>
          <w:sz w:val="20"/>
          <w:szCs w:val="20"/>
          <w:color w:val="auto"/>
        </w:rPr>
      </w:pPr>
      <w:r>
        <w:rPr>
          <w:rFonts w:ascii="Arial" w:cs="Arial" w:eastAsia="Arial" w:hAnsi="Arial"/>
          <w:sz w:val="18"/>
          <w:szCs w:val="18"/>
          <w:color w:val="auto"/>
        </w:rPr>
        <w:t>We post our code of business conduct and ethics, which applies to all employees, including all executive officers, senior financial officers and directors, on our corporate website at www.tripadvisor.com. We intend to disclose any waivers of the code of ethics for our executive officers, senior financial officers or directors, on our corporate website.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i w:val="1"/>
          <w:iCs w:val="1"/>
          <w:color w:val="auto"/>
        </w:rPr>
        <w:t>You should consider carefully the risks described below together with all of the other information included in this Annual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and adversely affected.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Summary</w:t>
      </w:r>
    </w:p>
    <w:p>
      <w:pPr>
        <w:spacing w:after="0" w:line="10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following is a summary list of the principal risks that make an investment in our securities speculative or risky. For additional information, please refer to the detailed descriptions following the summary.</w:t>
      </w:r>
    </w:p>
    <w:p>
      <w:pPr>
        <w:spacing w:after="0" w:line="63" w:lineRule="exact"/>
        <w:rPr>
          <w:sz w:val="20"/>
          <w:szCs w:val="20"/>
          <w:color w:val="auto"/>
        </w:rPr>
      </w:pPr>
    </w:p>
    <w:p>
      <w:pPr>
        <w:ind w:left="1020" w:right="80" w:hanging="368"/>
        <w:spacing w:after="0" w:line="244"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Declines or disruptions in the worldwide travel industry, including health concerns, natural disasters, terrorist attacks, civil or political unrest or other events outside our control;</w:t>
      </w:r>
    </w:p>
    <w:p>
      <w:pPr>
        <w:ind w:left="1020" w:hanging="368"/>
        <w:spacing w:after="0" w:line="234"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performance marketing efficiency and the general effectiveness of our advertising and marketing efforts;</w:t>
      </w:r>
    </w:p>
    <w:p>
      <w:pPr>
        <w:ind w:left="1020" w:hanging="368"/>
        <w:spacing w:after="0" w:line="234"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change by our search and meta-search partners in how they present travel search results or conduct their auctions for search placement in a manner that is competitively disadvantageous to us;</w:t>
      </w:r>
    </w:p>
    <w:p>
      <w:pPr>
        <w:spacing w:after="0" w:line="1" w:lineRule="exact"/>
        <w:rPr>
          <w:rFonts w:ascii="Arial" w:cs="Arial" w:eastAsia="Arial" w:hAnsi="Arial"/>
          <w:sz w:val="18"/>
          <w:szCs w:val="18"/>
          <w:color w:val="auto"/>
        </w:rPr>
      </w:pPr>
    </w:p>
    <w:p>
      <w:pPr>
        <w:ind w:left="1020" w:hanging="368"/>
        <w:spacing w:after="0" w:line="234"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adjust to consumer adoption of mobile devices and/or new technologies and product offerings;</w:t>
      </w:r>
    </w:p>
    <w:p>
      <w:pPr>
        <w:ind w:left="1020" w:hanging="368"/>
        <w:spacing w:after="0" w:line="234"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ind w:left="1020" w:hanging="368"/>
        <w:spacing w:after="0" w:line="234"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manage growth and expand our global business;</w:t>
      </w:r>
    </w:p>
    <w:p>
      <w:pPr>
        <w:ind w:left="1020" w:hanging="368"/>
        <w:spacing w:after="0" w:line="234"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respond to and keep up with the rapid pace of technological and market changes;</w:t>
      </w:r>
    </w:p>
    <w:p>
      <w:pPr>
        <w:ind w:left="1020" w:hanging="368"/>
        <w:spacing w:after="0" w:line="234"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systems-related failures or security breaches and data privacy risks and obligations;</w:t>
      </w:r>
    </w:p>
    <w:p>
      <w:pPr>
        <w:ind w:left="1020" w:hanging="368"/>
        <w:spacing w:after="0" w:line="234"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legal and regulatory risks;</w:t>
      </w:r>
    </w:p>
    <w:p>
      <w:pPr>
        <w:ind w:left="1020" w:right="180" w:hanging="368"/>
        <w:spacing w:after="0" w:line="234"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the facilitation of payments from consumers, including fraud and compliance with evolving rules and regulations and reliance on third parties;</w:t>
      </w:r>
    </w:p>
    <w:p>
      <w:pPr>
        <w:spacing w:after="0" w:line="1" w:lineRule="exact"/>
        <w:rPr>
          <w:rFonts w:ascii="Arial" w:cs="Arial" w:eastAsia="Arial" w:hAnsi="Arial"/>
          <w:sz w:val="18"/>
          <w:szCs w:val="18"/>
          <w:color w:val="auto"/>
        </w:rPr>
      </w:pPr>
    </w:p>
    <w:p>
      <w:pPr>
        <w:ind w:left="1020" w:hanging="368"/>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Fluctuations in foreign currency exchange rates and other risks associated with doing business in multiple currencies and jurisdictions;</w:t>
      </w:r>
    </w:p>
    <w:p>
      <w:pPr>
        <w:spacing w:after="0" w:line="7" w:lineRule="exact"/>
        <w:rPr>
          <w:rFonts w:ascii="Arial" w:cs="Arial" w:eastAsia="Arial" w:hAnsi="Arial"/>
          <w:sz w:val="17"/>
          <w:szCs w:val="17"/>
          <w:color w:val="auto"/>
        </w:rPr>
      </w:pPr>
    </w:p>
    <w:p>
      <w:pPr>
        <w:ind w:left="1020" w:hanging="368"/>
        <w:spacing w:after="0" w:line="234"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 of strategic initiatives, investments and acquisitions, including integration; and</w:t>
      </w:r>
    </w:p>
    <w:p>
      <w:pPr>
        <w:ind w:left="1020" w:hanging="36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risks including increased debt levels and stock price volatility.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ind w:right="60" w:firstLine="509"/>
        <w:spacing w:after="0" w:line="253" w:lineRule="auto"/>
        <w:rPr>
          <w:sz w:val="20"/>
          <w:szCs w:val="20"/>
          <w:color w:val="auto"/>
        </w:rPr>
      </w:pPr>
      <w:r>
        <w:rPr>
          <w:rFonts w:ascii="Arial" w:cs="Arial" w:eastAsia="Arial" w:hAnsi="Arial"/>
          <w:sz w:val="17"/>
          <w:szCs w:val="17"/>
          <w:b w:val="1"/>
          <w:bCs w:val="1"/>
          <w:i w:val="1"/>
          <w:iCs w:val="1"/>
          <w:color w:val="auto"/>
        </w:rPr>
        <w:t xml:space="preserve">The COVID-19 pandemic has had, and is expected to continue to have, a material impact on the travel industry, our company and our financial performance. </w:t>
      </w:r>
      <w:r>
        <w:rPr>
          <w:rFonts w:ascii="Arial" w:cs="Arial" w:eastAsia="Arial" w:hAnsi="Arial"/>
          <w:sz w:val="17"/>
          <w:szCs w:val="17"/>
          <w:color w:val="auto"/>
        </w:rPr>
        <w:t>The COVID-19 pandemic has caused material declines in demand within the travel, hospitality, restaurant and leisure industry that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dampened consumer demand for our products and services and has adversely and materially affected our business and financial performance. The extent and duration of the impact of the pandemic on our business and financial performance is highly uncertain and difficult to predict, as the duration and severity of the pandemic is uncertain and cannot be predicted. </w:t>
      </w:r>
      <w:r>
        <w:rPr>
          <w:rFonts w:ascii="Arial" w:cs="Arial" w:eastAsia="Arial" w:hAnsi="Arial"/>
          <w:sz w:val="17"/>
          <w:szCs w:val="17"/>
          <w:color w:val="231F20"/>
        </w:rPr>
        <w:t>While many countries are in the process of vaccinating their residents against COVID-19,</w:t>
      </w:r>
      <w:r>
        <w:rPr>
          <w:rFonts w:ascii="Arial" w:cs="Arial" w:eastAsia="Arial" w:hAnsi="Arial"/>
          <w:sz w:val="17"/>
          <w:szCs w:val="17"/>
          <w:color w:val="auto"/>
        </w:rPr>
        <w:t xml:space="preserve"> </w:t>
      </w:r>
      <w:r>
        <w:rPr>
          <w:rFonts w:ascii="Arial" w:cs="Arial" w:eastAsia="Arial" w:hAnsi="Arial"/>
          <w:sz w:val="17"/>
          <w:szCs w:val="17"/>
          <w:color w:val="231F20"/>
        </w:rPr>
        <w:t>the large scale and challenging logistics of distributing the vaccines, adoption rates, as well as uncertainty over the efficacy of the vaccine against new variants of the virus may contribute to delays in economic recovery, particularly for the travel industry. Given the unpredictable and unprecedented nature of the ongoing COVID-19 pandemic, it is difficult to estimate with accuracy the short and long-term impact to our future financial performance, but we expect the COVID-19 pandemic and its effects to continue to have a significant adverse impact on our business and financial performance for the foreseeable future</w:t>
      </w:r>
      <w:r>
        <w:rPr>
          <w:rFonts w:ascii="Arial" w:cs="Arial" w:eastAsia="Arial" w:hAnsi="Arial"/>
          <w:sz w:val="17"/>
          <w:szCs w:val="17"/>
          <w:color w:val="000000"/>
        </w:rPr>
        <w:t>.</w:t>
      </w:r>
    </w:p>
    <w:p>
      <w:pPr>
        <w:spacing w:after="0" w:line="18"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Further, in response to the COVID-19 pandemic, much of our work force began working remotely and continue to work remotely. While many of our employees are accustomed to working remotely or working with other remote employees, much of our workforce has historically not been remote. Working remotely can give rise to cybersecurity issues, training and compliance issues, or create operational or other challenges as we adjust to a fully-remote workforce, any of which could harm our business.</w:t>
      </w:r>
    </w:p>
    <w:p>
      <w:pPr>
        <w:spacing w:after="0" w:line="80"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b w:val="1"/>
          <w:bCs w:val="1"/>
          <w:i w:val="1"/>
          <w:iCs w:val="1"/>
          <w:color w:val="auto"/>
        </w:rPr>
        <w:t xml:space="preserve">Declines or disruptions in the travel industry have had a material adverse impact on the Company’s business and financial performance. </w:t>
      </w:r>
      <w:r>
        <w:rPr>
          <w:rFonts w:ascii="Arial" w:cs="Arial" w:eastAsia="Arial" w:hAnsi="Arial"/>
          <w:sz w:val="16"/>
          <w:szCs w:val="16"/>
          <w:color w:val="231F20"/>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231F20"/>
        </w:rPr>
        <w:t>business and financial performance are affected by the health of the worldwide travel industry. As noted above, we expect that COVID-19 will continue to materially adversely impact our business into 2022. Other events beyond our control, such as unusual or extreme weather or natural disasters, travel-related health concerns, restrictions related to travel, trade or immigration policies, wars, sources of political uncertainty, foreign policy changes, regional hostilities, imposition of taxes or surcharges by regulatory authorities, labor unrest or travel-related accidents can disrupt travel globally or otherwise result in declines in travel demand. In addition, the uncertainty of macro-economic factors and their impact on consumer behavior makes it more difficult to forecast industry and consumer trends, which in turn could adversely affect our ability to effectively manage our business. Our financial performance is also subject to global economic conditions and their impact on levels of discretionary consumer spending. Sales of travel services tend to decline or grow more slowly during economic downturns when consumers engage in less discretionary spending, are concerned about unemployment or economic weakness, have reduced access to credit or experience other concerns that reduce their ability or willingness to travel. Leisure travel, in particular, which accounts for a substantial majority of our current business, is dependent on discretionary consumer spending levels</w:t>
      </w:r>
      <w:r>
        <w:rPr>
          <w:rFonts w:ascii="Arial" w:cs="Arial" w:eastAsia="Arial" w:hAnsi="Arial"/>
          <w:sz w:val="16"/>
          <w:szCs w:val="16"/>
          <w:color w:val="000000"/>
        </w:rPr>
        <w:t>.</w:t>
      </w:r>
    </w:p>
    <w:p>
      <w:pPr>
        <w:spacing w:after="0" w:line="59"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b w:val="1"/>
          <w:bCs w:val="1"/>
          <w:i w:val="1"/>
          <w:iCs w:val="1"/>
          <w:color w:val="auto"/>
        </w:rPr>
        <w:t xml:space="preserve">If we are unable to continue to attract a significant amount of visitors to our platform, to cost-effectively convert these visitors into revenue-generating customers and to continue to engage consumers, our business and financial performance could be harmed. </w:t>
      </w:r>
      <w:r>
        <w:rPr>
          <w:rFonts w:ascii="Arial" w:cs="Arial" w:eastAsia="Arial" w:hAnsi="Arial"/>
          <w:sz w:val="17"/>
          <w:szCs w:val="17"/>
          <w:color w:val="auto"/>
        </w:rPr>
        <w:t>Our traffic and user engagement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could be adversely affected by a number of factors including, but not limited to, inability to provide quality content, inventory or supply to our consumers; declines or inefficiencies in traffic acquisition and reduced awareness of our brands. Certain of our competitors have advertising campaigns expressly designed to drive traffic directly to their websites, and these campaigns may negatively impact traffic to our platform. There can be no assurances that we will continue to provide content and products in a manner that meets rapidly changing demand. Any failure to obtain and manage content and products in a cost-effective manner that will engage consumers, or any failure to provide content and products that are perceived as useful, reliable and trustworthy, could adversely affect user experiences and their repeat behavior, reduce traffic to our platform and negatively impact our business and financial performance.</w:t>
      </w:r>
    </w:p>
    <w:p>
      <w:pPr>
        <w:spacing w:after="0" w:line="76"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b w:val="1"/>
          <w:bCs w:val="1"/>
          <w:i w:val="1"/>
          <w:iCs w:val="1"/>
          <w:color w:val="auto"/>
        </w:rPr>
        <w:t xml:space="preserve">We rely on internet search engines and application marketplaces to drive traffic to our platform, certain providers of which offer products and services that compete directly with ours. If we are unable to drive traffic cost-effectively, traffic to our platform could decline and our business would be negatively affected. </w:t>
      </w:r>
      <w:r>
        <w:rPr>
          <w:rFonts w:ascii="Arial" w:cs="Arial" w:eastAsia="Arial" w:hAnsi="Arial"/>
          <w:sz w:val="17"/>
          <w:szCs w:val="17"/>
          <w:color w:val="auto"/>
        </w:rPr>
        <w:t>The number of consumers we attract to our platform is due in large part to how and where information from, and links to, our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displayed on search engine results pages, or SERPs. The display, including rankings, of search results can be affected by a number of factors, many of which are not in our control. Search engines frequently change the logic that determines the placement and display of the results of a user’s search, such that the purchased or algorithmic placement of links to our platform can be negatively affected. A search engine could alter its search algorithms or results causing our websites to place lower in search query results. For example, Google, a significant source of traffic to our platform, frequently promotes its own competing products in its search results, which has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4" w:name="page15"/>
    <w:bookmarkEnd w:id="14"/>
    <w:p>
      <w:pPr>
        <w:ind w:right="80"/>
        <w:spacing w:after="0" w:line="279" w:lineRule="auto"/>
        <w:rPr>
          <w:sz w:val="20"/>
          <w:szCs w:val="20"/>
          <w:color w:val="auto"/>
        </w:rPr>
      </w:pPr>
      <w:r>
        <w:rPr>
          <w:rFonts w:ascii="Arial" w:cs="Arial" w:eastAsia="Arial" w:hAnsi="Arial"/>
          <w:sz w:val="16"/>
          <w:szCs w:val="16"/>
          <w:color w:val="auto"/>
        </w:rPr>
        <w:t>negatively impacted placement of references to our company and our platform on the SERP. If a major search engine changes its algorithms in a manner that negatively affects the search engine ranking of our websites or those of our travel partners, or if competitive dynamics impact the cost or effectiveness of Search Engine Optimization (“SEO”) or Search Engine Marketing (“SEM”) in a negative manner, our business and financial performance would be adversely affected. Furthermore, our failure to successfully manage our SEO and SEM strategies and/or other traffic acquisition strategies could result in a substantial decrease in traffic to our platform, as well as increased costs to the extent we replace free traffic with paid traffic.</w:t>
      </w:r>
    </w:p>
    <w:p>
      <w:pPr>
        <w:spacing w:after="0" w:line="5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We also rely on application marketplaces, or app stores such as Apple’s App Store and Google’s Play, to drive downloads of our apps. In the future, Apple, Google or other marketplace operators may make changes that make access to our products more difficult or may limit our access to information that would restrict our ability to provide the best user experience. For example, Google has entered various aspects of the online travel market, including by establishing a flight metasearch product and hotel metasearch product as well as reservation functionality. Our apps may receive unfavorable treatment compared to the promotion and placement of competing apps, such as the order in which they appear within marketplaces. In addition, Apple has announced new features that limit who has access to consumer data, including location information. Similarly, if problems arise in our relationships with providers of application marketplaces, traffic to our platform and our user growth could be harmed.</w:t>
      </w:r>
    </w:p>
    <w:p>
      <w:pPr>
        <w:spacing w:after="0" w:line="72"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b w:val="1"/>
          <w:bCs w:val="1"/>
          <w:i w:val="1"/>
          <w:iCs w:val="1"/>
          <w:color w:val="auto"/>
        </w:rPr>
        <w:t xml:space="preserve">We derive a substantial portion of our revenue from advertising and any significant reduction in spending by advertisers on our platform could harm our business. </w:t>
      </w:r>
      <w:r>
        <w:rPr>
          <w:rFonts w:ascii="Arial" w:cs="Arial" w:eastAsia="Arial" w:hAnsi="Arial"/>
          <w:sz w:val="18"/>
          <w:szCs w:val="18"/>
          <w:color w:val="auto"/>
        </w:rPr>
        <w:t>Our ability to grow advertising revenue with our existing or new travel partners is dependent in large part on our ability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to them relative to other alternatives. Our ability to provide value to our travel partners depends on a number of factors, including, but not limited to, the following:</w:t>
      </w:r>
    </w:p>
    <w:p>
      <w:pPr>
        <w:spacing w:after="0" w:line="80" w:lineRule="exact"/>
        <w:rPr>
          <w:sz w:val="20"/>
          <w:szCs w:val="20"/>
          <w:color w:val="auto"/>
        </w:rPr>
      </w:pPr>
    </w:p>
    <w:p>
      <w:pPr>
        <w:ind w:left="1020" w:hanging="36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increase or maintain user engagement;</w:t>
      </w:r>
    </w:p>
    <w:p>
      <w:pPr>
        <w:spacing w:after="0" w:line="11" w:lineRule="exact"/>
        <w:rPr>
          <w:rFonts w:ascii="Arial" w:cs="Arial" w:eastAsia="Arial" w:hAnsi="Arial"/>
          <w:sz w:val="18"/>
          <w:szCs w:val="18"/>
          <w:color w:val="auto"/>
        </w:rPr>
      </w:pPr>
    </w:p>
    <w:p>
      <w:pPr>
        <w:ind w:left="1020" w:hanging="368"/>
        <w:spacing w:after="0" w:line="234"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increase or maintain the quantity and quality of ads shown to consumers;</w:t>
      </w:r>
    </w:p>
    <w:p>
      <w:pPr>
        <w:ind w:left="1020" w:hanging="368"/>
        <w:spacing w:after="0" w:line="234"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of technologies that can block the display of our ads or our ad measurement tools;</w:t>
      </w:r>
    </w:p>
    <w:p>
      <w:pPr>
        <w:ind w:left="1020" w:right="500" w:hanging="368"/>
        <w:spacing w:after="0" w:line="234"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advertising and the extent to which it generates sales leads, customers, bookings or financial results on a cost-effective basis;</w:t>
      </w:r>
    </w:p>
    <w:p>
      <w:pPr>
        <w:spacing w:after="0" w:line="1" w:lineRule="exact"/>
        <w:rPr>
          <w:rFonts w:ascii="Arial" w:cs="Arial" w:eastAsia="Arial" w:hAnsi="Arial"/>
          <w:sz w:val="18"/>
          <w:szCs w:val="18"/>
          <w:color w:val="auto"/>
        </w:rPr>
      </w:pPr>
    </w:p>
    <w:p>
      <w:pPr>
        <w:ind w:left="1020" w:right="140" w:hanging="368"/>
        <w:spacing w:after="0" w:line="234"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competitiveness of our products, traffic quality, perception of our platform, and availability and accuracy of analytics and measurement solutions to demonstrate our value; and</w:t>
      </w:r>
    </w:p>
    <w:p>
      <w:pPr>
        <w:spacing w:after="0" w:line="1" w:lineRule="exact"/>
        <w:rPr>
          <w:rFonts w:ascii="Arial" w:cs="Arial" w:eastAsia="Arial" w:hAnsi="Arial"/>
          <w:sz w:val="18"/>
          <w:szCs w:val="18"/>
          <w:color w:val="auto"/>
        </w:rPr>
      </w:pPr>
    </w:p>
    <w:p>
      <w:pPr>
        <w:ind w:left="1020" w:hanging="368"/>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Adverse government actions or legal developments relating to advertising, including limitations on our ability to deliver targeted advertising.</w:t>
      </w:r>
    </w:p>
    <w:p>
      <w:pPr>
        <w:spacing w:after="0" w:line="111" w:lineRule="exact"/>
        <w:rPr>
          <w:sz w:val="20"/>
          <w:szCs w:val="20"/>
          <w:color w:val="auto"/>
        </w:rPr>
      </w:pPr>
    </w:p>
    <w:p>
      <w:pPr>
        <w:ind w:right="620" w:firstLine="509"/>
        <w:spacing w:after="0" w:line="261" w:lineRule="auto"/>
        <w:rPr>
          <w:sz w:val="20"/>
          <w:szCs w:val="20"/>
          <w:color w:val="auto"/>
        </w:rPr>
      </w:pPr>
      <w:r>
        <w:rPr>
          <w:rFonts w:ascii="Arial" w:cs="Arial" w:eastAsia="Arial" w:hAnsi="Arial"/>
          <w:sz w:val="18"/>
          <w:szCs w:val="18"/>
          <w:color w:val="auto"/>
        </w:rPr>
        <w:t>Any of these or other factors could result in a reduction in demand for our ads, which may reduce the prices we receive for our ads, or cause marketers to stop advertising with us altogether, any of which would negatively affect our revenue and financial results.</w:t>
      </w:r>
    </w:p>
    <w:p>
      <w:pPr>
        <w:spacing w:after="0" w:line="63"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Click-based advertising revenue accounts for the majority of our advertising revenue. Our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 could have an adverse impact on our advertising revenue which would, in turn, have an adverse effect on our business and financial results.</w:t>
      </w:r>
    </w:p>
    <w:p>
      <w:pPr>
        <w:spacing w:after="0" w:line="80" w:lineRule="exact"/>
        <w:rPr>
          <w:sz w:val="20"/>
          <w:szCs w:val="20"/>
          <w:color w:val="auto"/>
        </w:rPr>
      </w:pPr>
    </w:p>
    <w:p>
      <w:pPr>
        <w:ind w:right="200" w:firstLine="509"/>
        <w:spacing w:after="0" w:line="284" w:lineRule="auto"/>
        <w:rPr>
          <w:sz w:val="20"/>
          <w:szCs w:val="20"/>
          <w:color w:val="auto"/>
        </w:rPr>
      </w:pPr>
      <w:r>
        <w:rPr>
          <w:rFonts w:ascii="Arial" w:cs="Arial" w:eastAsia="Arial" w:hAnsi="Arial"/>
          <w:sz w:val="16"/>
          <w:szCs w:val="16"/>
          <w:b w:val="1"/>
          <w:bCs w:val="1"/>
          <w:i w:val="1"/>
          <w:iCs w:val="1"/>
          <w:color w:val="auto"/>
        </w:rPr>
        <w:t xml:space="preserve">We rely on a relatively small number of significant travel partners and any reduction in spending by or loss of these partners could seriously harm our business. </w:t>
      </w:r>
      <w:r>
        <w:rPr>
          <w:rFonts w:ascii="Arial" w:cs="Arial" w:eastAsia="Arial" w:hAnsi="Arial"/>
          <w:sz w:val="16"/>
          <w:szCs w:val="16"/>
          <w:color w:val="auto"/>
        </w:rPr>
        <w:t>For the year ended December 31, 2021, our two most significant travel partners, Expedia and Booking (and their subsidiaries),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accounted for a combined 34% of total revenue. If any of our significant travel partners were to cease or significantly curtail advertising on our platform, we could experience a rapid decline in our revenue over a relatively short period of time which would have a material impact on our business.</w:t>
      </w:r>
    </w:p>
    <w:p>
      <w:pPr>
        <w:spacing w:after="0" w:line="47" w:lineRule="exact"/>
        <w:rPr>
          <w:sz w:val="20"/>
          <w:szCs w:val="20"/>
          <w:color w:val="auto"/>
        </w:rPr>
      </w:pPr>
    </w:p>
    <w:p>
      <w:pPr>
        <w:ind w:right="140" w:firstLine="509"/>
        <w:spacing w:after="0"/>
        <w:rPr>
          <w:sz w:val="20"/>
          <w:szCs w:val="20"/>
          <w:color w:val="auto"/>
        </w:rPr>
      </w:pPr>
      <w:r>
        <w:rPr>
          <w:rFonts w:ascii="Arial" w:cs="Arial" w:eastAsia="Arial" w:hAnsi="Arial"/>
          <w:sz w:val="18"/>
          <w:szCs w:val="18"/>
          <w:b w:val="1"/>
          <w:bCs w:val="1"/>
          <w:i w:val="1"/>
          <w:iCs w:val="1"/>
          <w:color w:val="auto"/>
        </w:rPr>
        <w:t xml:space="preserve">Our business depends on strong brands and any failure to maintain, protect or enhance our brands could hurt our ability to retain and expand our base of consumers and partners, the frequency with which consumers utilize our products and services and our ability to attract travel partners. </w:t>
      </w:r>
      <w:r>
        <w:rPr>
          <w:rFonts w:ascii="Arial" w:cs="Arial" w:eastAsia="Arial" w:hAnsi="Arial"/>
          <w:sz w:val="18"/>
          <w:szCs w:val="18"/>
          <w:color w:val="auto"/>
        </w:rPr>
        <w:t>Our ability to maintain and protect our brands depends, in part, on our ability to maintain consumer trust in our products and services and in the quality, integrity, reliability of usefulness of the content and other information found on our platform. If consumers do not view the content on our platform to be useful and reliable, they may seek other sources to obtain the information they are looking for and may not return to our platform as often or at all. We dedicate significant resources to</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5" w:name="page16"/>
    <w:bookmarkEnd w:id="15"/>
    <w:p>
      <w:pPr>
        <w:ind w:right="60"/>
        <w:spacing w:after="0" w:line="261" w:lineRule="auto"/>
        <w:rPr>
          <w:sz w:val="20"/>
          <w:szCs w:val="20"/>
          <w:color w:val="auto"/>
        </w:rPr>
      </w:pPr>
      <w:r>
        <w:rPr>
          <w:rFonts w:ascii="Arial" w:cs="Arial" w:eastAsia="Arial" w:hAnsi="Arial"/>
          <w:sz w:val="18"/>
          <w:szCs w:val="18"/>
          <w:color w:val="auto"/>
        </w:rPr>
        <w:t>protecting the quality of our content, primarily through our content guidelines, computer algorithms and human moderators that are focused on identifying and removing inappropriate, unreliable or deceptive content.</w:t>
      </w:r>
    </w:p>
    <w:p>
      <w:pPr>
        <w:spacing w:after="0" w:line="63" w:lineRule="exact"/>
        <w:rPr>
          <w:sz w:val="20"/>
          <w:szCs w:val="20"/>
          <w:color w:val="auto"/>
        </w:rPr>
      </w:pPr>
    </w:p>
    <w:p>
      <w:pPr>
        <w:ind w:right="40" w:firstLine="494"/>
        <w:spacing w:after="0" w:line="255" w:lineRule="auto"/>
        <w:rPr>
          <w:sz w:val="20"/>
          <w:szCs w:val="20"/>
          <w:color w:val="auto"/>
        </w:rPr>
      </w:pPr>
      <w:r>
        <w:rPr>
          <w:rFonts w:ascii="Arial" w:cs="Arial" w:eastAsia="Arial" w:hAnsi="Arial"/>
          <w:sz w:val="17"/>
          <w:szCs w:val="17"/>
          <w:color w:val="auto"/>
        </w:rPr>
        <w:t>Media, legal, or regulatory scrutiny of our user content, advertising practices, and other issues may adversely affect our reputation and brand. Negative publicity about our company, including our content, technology and business practices, could diminish our reputation and confidence in our brand, thereby negatively affecting the use of our products and our financial performance. For example, in the past, certain media outlets have alleged that we have improperly filtered or screened reviews, that we have not properly verified reviews, or that we manipulate reviews, ranking and ratings in favor of our advertisers. We expend significant resources to ensure the integrity of our reviews and to ensure that the most relevant reviews are available to our consumers; we do not establish rankings and ratings in favor of our advertisers. Regulatory inquiries or investigations require management time and attention and could result in further negative publicity, regardless of their merits or ultimate outcomes.</w:t>
      </w:r>
    </w:p>
    <w:p>
      <w:pPr>
        <w:spacing w:after="0" w:line="72"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In addition, unfavorable publicity regarding, for example, our practices relating to privacy and data protection could adversely affect our reputation with our consumers and our travel partners. Such negative publicity also could have an adverse effect on the size, engagement, and loyalty of our user base and result in decreased revenue.</w:t>
      </w:r>
    </w:p>
    <w:p>
      <w:pPr>
        <w:spacing w:after="0" w:line="7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b w:val="1"/>
          <w:bCs w:val="1"/>
          <w:i w:val="1"/>
          <w:iCs w:val="1"/>
          <w:color w:val="auto"/>
        </w:rPr>
        <w:t xml:space="preserve">Consumer adoption and use of mobile devices creates new challenges. If we are unable to offer compelling products on such devices or continue to operate effectively on these platforms, our business may be adversely affected. </w:t>
      </w:r>
      <w:r>
        <w:rPr>
          <w:rFonts w:ascii="Arial" w:cs="Arial" w:eastAsia="Arial" w:hAnsi="Arial"/>
          <w:sz w:val="17"/>
          <w:szCs w:val="17"/>
          <w:color w:val="auto"/>
        </w:rPr>
        <w:t>Widespread adoption of mobile devices has driven substantial online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traffic and commerce to mobile platforms and we anticipate that use of these devices will continue to grow. Our platform, when utilized on mobile phone devices, have historically monetized at a significantly lower rate than desktops and advertising opportunities are more limited on these devices. Additionally, consumer purchasing patterns differ on these devices. For example, accommodation reservations made on a mobile device are generally for shorter lengths of stay and are not made as far in advance. We expect that the ways in which consumers engage with our platform will continue to change over time as consumers increasingly engage via alternative devices.</w:t>
      </w:r>
    </w:p>
    <w:p>
      <w:pPr>
        <w:spacing w:after="0" w:line="72"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It is important for us to develop and maintain effective platforms to drive adoption and user engagement by providing consumers with an appealing, easy-to-use experience. As new devices and platforms are continually being released, it is difficult to predict the problems we may encounter in adapting our products and services and we may need to devote significant resources to the creation, support and maintenance of competitive new products. If we are unable to continue to rapidly innovate and create appealing, user-friendly and differentiated offerings and efficiently and effectively advertise on these platforms, we could lose market share and our business, future growth and financial results could be adversely affected.</w:t>
      </w:r>
    </w:p>
    <w:p>
      <w:pPr>
        <w:spacing w:after="0" w:line="5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Our success will also depend on the interoperability of our products with a range of technologies, systems, networks and standards and our ability to create, maintain and develop relationships with key participants in related industries, some of which may be our competitors. For example, Google’s Android, and Apple’s iPhone are the leading smartphones in the world and our products need to synergistically function on their operating systems in order to create a positive user experience on those devices. Yet, Apple has announced privacy features that limit the amount of information we can access about our users operating on the Apple iPhone operating system.</w:t>
      </w:r>
    </w:p>
    <w:p>
      <w:pPr>
        <w:spacing w:after="0" w:line="81"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We may not be successful in developing products that operate effectively with these technologies, systems, networks and standards or in creating, maintaining and developing relationships with key participants in related industries. If we experience difficulties or increased costs in integrating our products into alternative devices or if manufacturers do not include our products in their devices, make changes that degrade the functionality of our products, give preferential treatment to competitive products or prevent us from delivering advertising, our user growth and financial results may be harmed.</w:t>
      </w:r>
    </w:p>
    <w:p>
      <w:pPr>
        <w:spacing w:after="0" w:line="81"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b w:val="1"/>
          <w:bCs w:val="1"/>
          <w:i w:val="1"/>
          <w:iCs w:val="1"/>
          <w:color w:val="auto"/>
        </w:rPr>
        <w:t xml:space="preserve">Any continued or future declines or disruptions in the economy and industries in which we operate could adversely affect our businesses, financial performance and the market price of our common stock. </w:t>
      </w:r>
      <w:r>
        <w:rPr>
          <w:rFonts w:ascii="Arial" w:cs="Arial" w:eastAsia="Arial" w:hAnsi="Arial"/>
          <w:sz w:val="16"/>
          <w:szCs w:val="16"/>
          <w:color w:val="auto"/>
        </w:rPr>
        <w:t>Sales of travel services tend to decline or grow more slowly during economic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downturns when consumers engage in less discretionary spending, are concerned about unemployment or economic weakness, have reduced access to credit or experience other concerns that reduce their ability or willingness to travel. The global economy may be adversely impacted by events beyond our control including actual or threatened terrorism, regional hostilities or instability, natural disasters, political instability and health concerns (including epidemics or pandemics), significant increases in energy costs, tightening of credit markets and declines in consumer confidence. The uncertainty of macro-economic factors and their impact on consumer behavior makes it more difficult to forecast industry and consumer</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16" w:name="page17"/>
    <w:bookmarkEnd w:id="16"/>
    <w:p>
      <w:pPr>
        <w:ind w:right="340"/>
        <w:spacing w:after="0" w:line="261" w:lineRule="auto"/>
        <w:rPr>
          <w:sz w:val="20"/>
          <w:szCs w:val="20"/>
          <w:color w:val="auto"/>
        </w:rPr>
      </w:pPr>
      <w:r>
        <w:rPr>
          <w:rFonts w:ascii="Arial" w:cs="Arial" w:eastAsia="Arial" w:hAnsi="Arial"/>
          <w:sz w:val="18"/>
          <w:szCs w:val="18"/>
          <w:color w:val="auto"/>
        </w:rPr>
        <w:t>trends and the timing and degree of their impact on our markets and business, which in turn could adversely affect our ability to effectively manage our business.</w:t>
      </w:r>
    </w:p>
    <w:p>
      <w:pPr>
        <w:spacing w:after="0" w:line="63" w:lineRule="exact"/>
        <w:rPr>
          <w:sz w:val="20"/>
          <w:szCs w:val="20"/>
          <w:color w:val="auto"/>
        </w:rPr>
      </w:pPr>
    </w:p>
    <w:p>
      <w:pPr>
        <w:ind w:firstLine="554"/>
        <w:spacing w:after="0" w:line="243" w:lineRule="auto"/>
        <w:rPr>
          <w:sz w:val="20"/>
          <w:szCs w:val="20"/>
          <w:color w:val="auto"/>
        </w:rPr>
      </w:pPr>
      <w:r>
        <w:rPr>
          <w:rFonts w:ascii="Arial" w:cs="Arial" w:eastAsia="Arial" w:hAnsi="Arial"/>
          <w:sz w:val="18"/>
          <w:szCs w:val="18"/>
          <w:color w:val="auto"/>
        </w:rPr>
        <w:t>Economic downturn and adverse market conditions may also negatively impact our travel partners, our travel partners’ access to capital, cost of capital and ability to meet liquidity needs. These challenges faced in a prolonged economic downturn or deterioration in the travel industry could adversely impact our business, financial performance and share price. The extent and duration of such impacts remain largely uncertain and dependent on future developments that cannot be accurately predicted at this time.</w:t>
      </w:r>
    </w:p>
    <w:p>
      <w:pPr>
        <w:spacing w:after="0" w:line="80" w:lineRule="exact"/>
        <w:rPr>
          <w:sz w:val="20"/>
          <w:szCs w:val="20"/>
          <w:color w:val="auto"/>
        </w:rPr>
      </w:pPr>
    </w:p>
    <w:p>
      <w:pPr>
        <w:ind w:right="120" w:firstLine="509"/>
        <w:spacing w:after="0"/>
        <w:rPr>
          <w:sz w:val="20"/>
          <w:szCs w:val="20"/>
          <w:color w:val="auto"/>
        </w:rPr>
      </w:pPr>
      <w:r>
        <w:rPr>
          <w:rFonts w:ascii="Arial" w:cs="Arial" w:eastAsia="Arial" w:hAnsi="Arial"/>
          <w:sz w:val="18"/>
          <w:szCs w:val="18"/>
          <w:b w:val="1"/>
          <w:bCs w:val="1"/>
          <w:i w:val="1"/>
          <w:iCs w:val="1"/>
          <w:color w:val="auto"/>
        </w:rPr>
        <w:t xml:space="preserve">We operate in a competitive global environment and our failure to compete effectively could reduce our market share and harm our financial performance. </w:t>
      </w:r>
      <w:r>
        <w:rPr>
          <w:rFonts w:ascii="Arial" w:cs="Arial" w:eastAsia="Arial" w:hAnsi="Arial"/>
          <w:sz w:val="18"/>
          <w:szCs w:val="18"/>
          <w:color w:val="auto"/>
        </w:rPr>
        <w:t>We compete with different types of companies in the various markets and geographies where we operate, including large and small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in the travel space as well as broader service providers. We face competition for content, consumers, advertisers, online travel search and price comparison services and online reservations. We compete globally with both online and offline, established and emerging, providers of travel, lodging, experiences and restaurant reservation and related services. Current and new competitors can launch new services at a relatively low cost. More specifically:</w:t>
      </w:r>
    </w:p>
    <w:p>
      <w:pPr>
        <w:spacing w:after="0" w:line="81" w:lineRule="exact"/>
        <w:rPr>
          <w:sz w:val="20"/>
          <w:szCs w:val="20"/>
          <w:color w:val="auto"/>
        </w:rPr>
      </w:pPr>
    </w:p>
    <w:p>
      <w:pPr>
        <w:ind w:left="1020" w:right="20" w:hanging="368"/>
        <w:spacing w:after="0" w:line="23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our Hotels, Media &amp; Platform segment, we face competition from the following businesses: OTAs (including Expedia and Booking); hotel metasearch providers (including trivago, Kayak, HotelsCombined, and Trip.com); large online search, social media, and marketplace platforms and companies (including Google, Facebook, Bing, Yahoo, Baidu, Alibaba, and Airbnb); and traditional offline travel agencies; and global hotel chains seeking to promote direct bookings.</w:t>
      </w:r>
    </w:p>
    <w:p>
      <w:pPr>
        <w:spacing w:after="0" w:line="1" w:lineRule="exact"/>
        <w:rPr>
          <w:rFonts w:ascii="Arial" w:cs="Arial" w:eastAsia="Arial" w:hAnsi="Arial"/>
          <w:sz w:val="18"/>
          <w:szCs w:val="18"/>
          <w:color w:val="auto"/>
        </w:rPr>
      </w:pPr>
    </w:p>
    <w:p>
      <w:pPr>
        <w:ind w:left="1020" w:right="200" w:hanging="368"/>
        <w:spacing w:after="0" w:line="23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also face competition from different companies with respect to our Experiences &amp; Dining segment. Our Experiences offering competes with online travel agencies, such as Airbnb, Booking, GetYourGuide, Peek and Klook; traditional travel agencies; online travel service providers; and wholesalers, among others. Our Dining offering competes with other online restaurant reservation services, such as Google and OpenTable.</w:t>
      </w:r>
    </w:p>
    <w:p>
      <w:pPr>
        <w:spacing w:after="0" w:line="81"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There has been a proliferation of new channels through which service providers can offer accommodations, experiences and restaurant reservations. Metasearch services may lower the cost for new companies to enter the market by providing a distribution channel without the cost of promoting the new entrant’s brand to drive consumers directly to its website. Some of our competitors offer a variety of online services and, in some cases, are willing to make little or no profit on a transaction, or offer travel services at a loss, in order to gain market share. Many of our competitors have significantly greater financial, technical, marketing and other resources and have more expertise in developing online commerce and facilitating internet traffic as well as larger client bases. They also have the ability to leverage other aspects of their business to enable them to compete more effectively.</w:t>
      </w:r>
    </w:p>
    <w:p>
      <w:pPr>
        <w:spacing w:after="0" w:line="53" w:lineRule="exact"/>
        <w:rPr>
          <w:sz w:val="20"/>
          <w:szCs w:val="20"/>
          <w:color w:val="auto"/>
        </w:rPr>
      </w:pPr>
    </w:p>
    <w:p>
      <w:pPr>
        <w:jc w:val="both"/>
        <w:ind w:right="300" w:firstLine="509"/>
        <w:spacing w:after="0" w:line="270" w:lineRule="auto"/>
        <w:rPr>
          <w:sz w:val="20"/>
          <w:szCs w:val="20"/>
          <w:color w:val="auto"/>
        </w:rPr>
      </w:pPr>
      <w:r>
        <w:rPr>
          <w:rFonts w:ascii="Arial" w:cs="Arial" w:eastAsia="Arial" w:hAnsi="Arial"/>
          <w:sz w:val="17"/>
          <w:szCs w:val="17"/>
          <w:color w:val="auto"/>
        </w:rPr>
        <w:t>In addition, Google and other large, established companies with substantial resources and expertise have launched travel or travel-related search, metasearch and/or reservation booking services and may create additional inroads into online travel. Many of our competitors continue to expand their voice and artificial intelligence capabilities, which may provide them with a competitive advantage in travel.</w:t>
      </w:r>
    </w:p>
    <w:p>
      <w:pPr>
        <w:spacing w:after="0" w:line="56"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We compete with certain companies that we also do business with, including certain of our travel partners and related parties. The consolidation of our competitors and travel partners may affect our relative competitiveness and our travel partner relationships. Competition and consolidation could result in higher traffic acquisition costs, reduced margins on our advertising services, loss of market share, reduced customer traffic to our platform and reduced advertising by travel companies on our platform.</w:t>
      </w:r>
    </w:p>
    <w:p>
      <w:pPr>
        <w:spacing w:after="0" w:line="80"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b w:val="1"/>
          <w:bCs w:val="1"/>
          <w:i w:val="1"/>
          <w:iCs w:val="1"/>
          <w:color w:val="auto"/>
        </w:rPr>
        <w:t xml:space="preserve">We rely on information technology to operate our business and remain competitive, and any failure to adapt to technological developments or industry trends could harm our businesses. </w:t>
      </w:r>
      <w:r>
        <w:rPr>
          <w:rFonts w:ascii="Arial" w:cs="Arial" w:eastAsia="Arial" w:hAnsi="Arial"/>
          <w:sz w:val="17"/>
          <w:szCs w:val="17"/>
          <w:color w:val="auto"/>
        </w:rPr>
        <w:t>Our future success depends on our ability to continuously improve and upgrade our systems and infrastructure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to meet rapidly evolving consumer trends and demands while at the same time maintaining the reliability and integrity of our systems and infrastructure. We may not be able to maintain or replace our existing systems or introduce new technologies and systems as quickly as we would like or in a cost-effective manner. We may not be successful, or as successful as our competitors, in developing technologies and systems that operate effectively across multiple devices and platforms in a way that is appealing to our consumers. </w:t>
      </w:r>
      <w:r>
        <w:rPr>
          <w:rFonts w:ascii="Arial" w:cs="Arial" w:eastAsia="Arial" w:hAnsi="Arial"/>
          <w:sz w:val="17"/>
          <w:szCs w:val="17"/>
          <w:color w:val="231F20"/>
        </w:rPr>
        <w:t>Our future success will also depend on our ability to adapt to emerging</w:t>
      </w:r>
      <w:r>
        <w:rPr>
          <w:rFonts w:ascii="Arial" w:cs="Arial" w:eastAsia="Arial" w:hAnsi="Arial"/>
          <w:sz w:val="17"/>
          <w:szCs w:val="17"/>
          <w:color w:val="auto"/>
        </w:rPr>
        <w:t xml:space="preserve"> </w:t>
      </w:r>
      <w:r>
        <w:rPr>
          <w:rFonts w:ascii="Arial" w:cs="Arial" w:eastAsia="Arial" w:hAnsi="Arial"/>
          <w:sz w:val="17"/>
          <w:szCs w:val="17"/>
          <w:color w:val="231F20"/>
        </w:rPr>
        <w:t xml:space="preserve">technologies such as tokenization; new authentication technologies, such as biometrics, distributed ledger and blockchain technologies; new and emerging payment methods, such as cryptocurrencies, Alipay, Paytm and WeChat Pay; artificial intelligence; virtual and augmented reality; and cloud technologies. </w:t>
      </w:r>
      <w:r>
        <w:rPr>
          <w:rFonts w:ascii="Arial" w:cs="Arial" w:eastAsia="Arial" w:hAnsi="Arial"/>
          <w:sz w:val="17"/>
          <w:szCs w:val="17"/>
          <w:color w:val="000000"/>
        </w:rPr>
        <w:t>The emergence of alternative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 w:name="page18"/>
    <w:bookmarkEnd w:id="17"/>
    <w:p>
      <w:pPr>
        <w:jc w:val="both"/>
        <w:ind w:right="20"/>
        <w:spacing w:after="0" w:line="248" w:lineRule="auto"/>
        <w:rPr>
          <w:sz w:val="20"/>
          <w:szCs w:val="20"/>
          <w:color w:val="auto"/>
        </w:rPr>
      </w:pPr>
      <w:r>
        <w:rPr>
          <w:rFonts w:ascii="Arial" w:cs="Arial" w:eastAsia="Arial" w:hAnsi="Arial"/>
          <w:sz w:val="18"/>
          <w:szCs w:val="18"/>
          <w:color w:val="auto"/>
        </w:rPr>
        <w:t>new devices and the emergence of niche competitors who may be able to optimize products, services or strategies for such platforms will require additional investment in technology. New developments in other areas could also make it easier for competitors to enter our markets due to lower up-front technology costs.</w:t>
      </w:r>
    </w:p>
    <w:p>
      <w:pPr>
        <w:spacing w:after="0" w:line="74"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b w:val="1"/>
          <w:bCs w:val="1"/>
          <w:i w:val="1"/>
          <w:iCs w:val="1"/>
          <w:color w:val="auto"/>
        </w:rPr>
        <w:t xml:space="preserve">If we are unable to adapt to the evolving demands of our customers, we may not remain competitive, and our business and financial performance could suffer. </w:t>
      </w:r>
      <w:r>
        <w:rPr>
          <w:rFonts w:ascii="Arial" w:cs="Arial" w:eastAsia="Arial" w:hAnsi="Arial"/>
          <w:sz w:val="18"/>
          <w:szCs w:val="18"/>
          <w:color w:val="auto"/>
        </w:rPr>
        <w:t>Our competitors are continually developing innovations in services and features. As a result, we are continually working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 the user experience on our platform in order to engage our consumers and drive user traffic and conversion rates for our travel partners and provide our business partners with the tools they need to succeed. We have invested, and expect to continue to invest, significant resources in developing and marketing these innovations. We can give no assurances that the changes we make will yield the benefits we expect and will not have unintended or adverse impacts. If we are unable to continue offering innovative products and services and quality features that customers want to use, existing customers may become dissatisfied and use competitors’ offerings and we may be unable to attract additional customers, which could adversely affect our business and financial performance.</w:t>
      </w:r>
    </w:p>
    <w:p>
      <w:pPr>
        <w:spacing w:after="0" w:line="86"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b w:val="1"/>
          <w:bCs w:val="1"/>
          <w:i w:val="1"/>
          <w:iCs w:val="1"/>
          <w:color w:val="auto"/>
        </w:rPr>
        <w:t xml:space="preserve">Our dedication to making the consumer experience our highest priority may cause us to prioritize rapid innovation and consumer experience over short-term financial results. </w:t>
      </w:r>
      <w:r>
        <w:rPr>
          <w:rFonts w:ascii="Arial" w:cs="Arial" w:eastAsia="Arial" w:hAnsi="Arial"/>
          <w:sz w:val="18"/>
          <w:szCs w:val="18"/>
          <w:color w:val="auto"/>
        </w:rPr>
        <w:t>We strive to create the best experience for our consumers. We believe that in doing so we will increase our traffic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conversion (i.e., visitors converting into clicks and/or bookings), revenue and financial performance. We have taken actions in the past, and may continue to take actions in the future, that have the effect of reducing our short-term financial results if we believe the actions benefit the overall consumer experience. These decisions may not produce the long-term benefits we expect, new or enhanced products may fail to engage consumers and/or we may be unsuccessful in our efforts to monetize these initiatives, in which case our relationships with consumers and travel partners, and our business and financial performance could be harmed.</w:t>
      </w:r>
    </w:p>
    <w:p>
      <w:pPr>
        <w:spacing w:after="0" w:line="83"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b w:val="1"/>
          <w:bCs w:val="1"/>
          <w:i w:val="1"/>
          <w:iCs w:val="1"/>
          <w:color w:val="auto"/>
        </w:rPr>
        <w:t xml:space="preserve">We are dependent upon the quality of traffic in our network to provide value to our travel partners, and any failure in our ability to deliver quality traffic and/or the metrics to demonstrate the value of the traffic could have a material and adverse impact on the value of our platform to our travel partners and adversely affect our revenue. </w:t>
      </w:r>
      <w:r>
        <w:rPr>
          <w:rFonts w:ascii="Arial" w:cs="Arial" w:eastAsia="Arial" w:hAnsi="Arial"/>
          <w:sz w:val="17"/>
          <w:szCs w:val="17"/>
          <w:color w:val="auto"/>
        </w:rPr>
        <w:t>We use technology and processes to monitor the quality of the internet traffic that we deliver to our travel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 and have identified metrics to demonstrate the quality of that traffic and identify low quality clicks such as non-human processes, including robots, spiders, the mechanical automation of clicking and other types of invalid clicks or click fraud. Even with such monitoring in place, there is a risk that a certain amount of low-quality traffic will be delivered to such online advertisers. Such low-quality or invalid traffic may be detrimental to our relationships with travel partners and could adversely affect our advertising pricing and revenue.</w:t>
      </w:r>
    </w:p>
    <w:p>
      <w:pPr>
        <w:spacing w:after="0" w:line="72"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b w:val="1"/>
          <w:bCs w:val="1"/>
          <w:i w:val="1"/>
          <w:iCs w:val="1"/>
          <w:color w:val="auto"/>
        </w:rPr>
        <w:t xml:space="preserve">We rely on assumptions and estimates and data to calculate certain of our key metrics, and real or perceived inaccuracies in such metrics may harm our reputation and negatively affect our business. </w:t>
      </w:r>
      <w:r>
        <w:rPr>
          <w:rFonts w:ascii="Arial" w:cs="Arial" w:eastAsia="Arial" w:hAnsi="Arial"/>
          <w:sz w:val="16"/>
          <w:szCs w:val="16"/>
          <w:color w:val="auto"/>
        </w:rPr>
        <w:t>Certain metrics are key to our business; as both the industry in which we operate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businesses continue to evolve, so too might the metrics by which we evaluate our businesses. While the calculation of the metrics we use is based on what we believe to be reasonable estimates, our internal tools are not independently verified by a third-party and have a number of limitations; furthermore, our methodologies for tracking these metrics may change over time. For example, a single person may have multiple accounts or browse the internet on multiple browsers or devices, some consumers may restrict our ability to accurately identify them across visits, some mobile apps automatically contact our servers for regular updates with no user action, and we are not always able to capture user information on our platform. As such, the calculations of our unique users may not accurately reflect the number of people actually visiting our platform. If the internal tools we use to track these metrics under-count or over-count performance or contain algorithm or other technical errors, the data we report may not be accurate. We continue to improve upon our tools and methodologies to capture data; however, the improvement of our tools and methodologies could cause inconsistency between current data and previously reported data, which could confuse investors or lead to questions about the integrity of our data. Finally, we may, in the future, identify new or other metrics that enable us to more accurately evaluate our business. Accordingly, investors should not place undue reliance on these metrics.</w:t>
      </w:r>
    </w:p>
    <w:p>
      <w:pPr>
        <w:spacing w:after="0" w:line="63"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b w:val="1"/>
          <w:bCs w:val="1"/>
          <w:i w:val="1"/>
          <w:iCs w:val="1"/>
          <w:color w:val="auto"/>
        </w:rPr>
        <w:t xml:space="preserve">We rely on the performance of highly skilled personnel and if we are unable to retain or motivate key personnel or hire, retain and motivate qualified personnel our business would be harmed. </w:t>
      </w:r>
      <w:r>
        <w:rPr>
          <w:rFonts w:ascii="Arial" w:cs="Arial" w:eastAsia="Arial" w:hAnsi="Arial"/>
          <w:sz w:val="16"/>
          <w:szCs w:val="16"/>
          <w:color w:val="auto"/>
        </w:rPr>
        <w:t>The contributions of key senior management and the contributions of software engineers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professionals are critical to our overall management and the success of our business. We cannot ensure that we will be able to retain the services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8" w:name="page19"/>
    <w:bookmarkEnd w:id="18"/>
    <w:p>
      <w:pPr>
        <w:ind w:right="220"/>
        <w:spacing w:after="0" w:line="261" w:lineRule="auto"/>
        <w:rPr>
          <w:sz w:val="20"/>
          <w:szCs w:val="20"/>
          <w:color w:val="auto"/>
        </w:rPr>
      </w:pPr>
      <w:r>
        <w:rPr>
          <w:rFonts w:ascii="Arial" w:cs="Arial" w:eastAsia="Arial" w:hAnsi="Arial"/>
          <w:sz w:val="18"/>
          <w:szCs w:val="18"/>
          <w:color w:val="auto"/>
        </w:rPr>
        <w:t>of our existing key personnel and the loss of one or more of our key personnel, without a suitable replacement, could seriously harm our business. We do not maintain any key person life insurance policies.</w:t>
      </w:r>
    </w:p>
    <w:p>
      <w:pPr>
        <w:spacing w:after="0" w:line="63"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Stephen Kaufer, our co-founder, Chief Executive Officer and President, is expected to step down from his position in 2022. While our Board has initiated an open search for Mr. Kaufer’s position, we have not yet named a successor. We cannot ensure that we will be able to find a suitable replacement for Mr. Kaufer on the expected timeline. Moreover, leadership transitions can be inherently difficult to manage, and an inadequate transition to a permanent successor may cause disruptions to our business due to, among other things, diverting management's attention or causing a deterioration in morale. Additionally, the ability of a new CEO to quickly expand their knowledge of our business plans, operations and strategies will be critical to their ability to make informed decisions about our strategy and operations. Further, if our new CEO formulates different or changed views, the future strategy and plans of the Company may differ materially from those of the past.</w:t>
      </w:r>
    </w:p>
    <w:p>
      <w:pPr>
        <w:spacing w:after="0" w:line="7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success of our operations and the quality of our services are also highly dependent on our ability to attract and retain skilled personnel. During 2020, our headcount was reduced by nearly 1,600 employees. During 2021, we saw historic levels of attrition. This reduction in workforce and attrition results in the loss of institutional knowledge, relationships, or expertise for critical roles. This could also have a negative impact on employee morale and productivity, make it more difficult to retain valuable key employees, divert attention from operating our business, create personnel capacity constraints and hamper our ability to grow, develop innovative products and compete, any of which could impede our ability to operate or meet strategic objectives. For employees, we compete with companies that have far greater financial resources than we do as well as companies that promise short-term growth opportunities and/or other benefits. If we do not succeed in attracting well-qualified employees or retaining or motivating existing employees, our business would be adversely affected.</w:t>
      </w:r>
    </w:p>
    <w:p>
      <w:pPr>
        <w:spacing w:after="0" w:line="86"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b w:val="1"/>
          <w:bCs w:val="1"/>
          <w:i w:val="1"/>
          <w:iCs w:val="1"/>
          <w:color w:val="auto"/>
        </w:rPr>
        <w:t xml:space="preserve">Acquisitions, investments, significant commercial arrangements and/or new business strategies could present new challenges and risks and disrupt our ongoing business. </w:t>
      </w:r>
      <w:r>
        <w:rPr>
          <w:rFonts w:ascii="Arial" w:cs="Arial" w:eastAsia="Arial" w:hAnsi="Arial"/>
          <w:sz w:val="17"/>
          <w:szCs w:val="17"/>
          <w:color w:val="auto"/>
        </w:rPr>
        <w:t>We have acquired, invested in and/or entered into significant commercial arrangements with a number of businesses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past and our future growth may depend, in part, on future acquisitions, investments, commercial arrangements and/or changes in business strategies. Such endeavors may involve significant risks and uncertainties, including, but not limited to, the following:</w:t>
      </w:r>
    </w:p>
    <w:p>
      <w:pPr>
        <w:spacing w:after="0" w:line="64" w:lineRule="exact"/>
        <w:rPr>
          <w:sz w:val="20"/>
          <w:szCs w:val="20"/>
          <w:color w:val="auto"/>
        </w:rPr>
      </w:pPr>
    </w:p>
    <w:p>
      <w:pPr>
        <w:ind w:left="1020" w:hanging="368"/>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Costs incurred to identify, pursue and fund these endeavors that may or may not be successful and may limit other potential uses of cash;</w:t>
      </w:r>
    </w:p>
    <w:p>
      <w:pPr>
        <w:spacing w:after="0" w:line="34" w:lineRule="exact"/>
        <w:rPr>
          <w:rFonts w:ascii="Arial" w:cs="Arial" w:eastAsia="Arial" w:hAnsi="Arial"/>
          <w:sz w:val="16"/>
          <w:szCs w:val="16"/>
          <w:color w:val="auto"/>
        </w:rPr>
      </w:pPr>
    </w:p>
    <w:p>
      <w:pPr>
        <w:ind w:left="1020" w:hanging="368"/>
        <w:spacing w:after="0" w:line="234"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Amortization expenses related to acquired intangible assets and other adverse accounting consequences;</w:t>
      </w:r>
    </w:p>
    <w:p>
      <w:pPr>
        <w:ind w:left="1020" w:hanging="368"/>
        <w:spacing w:after="0" w:line="234"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ind w:left="1020" w:hanging="368"/>
        <w:spacing w:after="0" w:line="234"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expenses in integrating the operations, products, technology or personnel;</w:t>
      </w:r>
    </w:p>
    <w:p>
      <w:pPr>
        <w:ind w:left="1020" w:hanging="368"/>
        <w:spacing w:after="0" w:line="234"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implementing and retaining uniform standards, controls, procedures, policies and information systems;</w:t>
      </w:r>
    </w:p>
    <w:p>
      <w:pPr>
        <w:ind w:left="1020" w:hanging="368"/>
        <w:spacing w:after="0" w:line="234"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Assumption of debt and liabilities, including costs associated with litigation, cybersecurity risks, and other claims;</w:t>
      </w:r>
    </w:p>
    <w:p>
      <w:pPr>
        <w:ind w:left="1020" w:hanging="368"/>
        <w:spacing w:after="0" w:line="234"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any such strategy or target to achieve anticipated objectives, revenues or earnings;</w:t>
      </w:r>
    </w:p>
    <w:p>
      <w:pPr>
        <w:ind w:left="1020" w:hanging="368"/>
        <w:spacing w:after="0" w:line="234"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Limited management or operational control and heightened reputational risk with respect to minority investments;</w:t>
      </w:r>
    </w:p>
    <w:p>
      <w:pPr>
        <w:ind w:left="1020" w:hanging="368"/>
        <w:spacing w:after="0" w:line="234"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Entrance into markets in which we have no prior experience; and</w:t>
      </w:r>
    </w:p>
    <w:p>
      <w:pPr>
        <w:ind w:left="1020" w:hanging="36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market reaction to the transaction.</w:t>
      </w:r>
    </w:p>
    <w:p>
      <w:pPr>
        <w:spacing w:after="0" w:line="88"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We have in the past invested, and may in the future invest, in privately-held companies. Such investments are inherently risky and our ability to liquidate any such investments is typically difficult. Valuations of such privately-held companies are inherently complex and uncertain due to the lack of liquid market for the companies’ securities. We cannot assure you that these investments will be successful or that such endeavors will result in the realization of the synergies, cost savings and innovation that may be possible within a reasonable period of time, if at all. We could lose the full amount of our investments; any impairment of our investments could have a material adverse effect on our financial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Legal and Regulatory Matters</w:t>
      </w:r>
    </w:p>
    <w:p>
      <w:pPr>
        <w:spacing w:after="0" w:line="108" w:lineRule="exact"/>
        <w:rPr>
          <w:sz w:val="20"/>
          <w:szCs w:val="20"/>
          <w:color w:val="auto"/>
        </w:rPr>
      </w:pPr>
    </w:p>
    <w:p>
      <w:pPr>
        <w:jc w:val="both"/>
        <w:ind w:right="220" w:firstLine="509"/>
        <w:spacing w:after="0" w:line="248" w:lineRule="auto"/>
        <w:rPr>
          <w:sz w:val="20"/>
          <w:szCs w:val="20"/>
          <w:color w:val="auto"/>
        </w:rPr>
      </w:pPr>
      <w:r>
        <w:rPr>
          <w:rFonts w:ascii="Arial" w:cs="Arial" w:eastAsia="Arial" w:hAnsi="Arial"/>
          <w:sz w:val="18"/>
          <w:szCs w:val="18"/>
          <w:b w:val="1"/>
          <w:bCs w:val="1"/>
          <w:i w:val="1"/>
          <w:iCs w:val="1"/>
          <w:color w:val="auto"/>
        </w:rPr>
        <w:t xml:space="preserve">We are a global company that operates in many different jurisdictions inside and outside the U.S. and these operations expose us to additional risks. </w:t>
      </w:r>
      <w:r>
        <w:rPr>
          <w:rFonts w:ascii="Arial" w:cs="Arial" w:eastAsia="Arial" w:hAnsi="Arial"/>
          <w:sz w:val="18"/>
          <w:szCs w:val="18"/>
          <w:color w:val="auto"/>
        </w:rPr>
        <w:t>Many regions have different economic conditions, languages, currencies, legislation, regulatory environments, levels of political stability, levels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expectations, and use of the</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internet for commerce. We are subject to risks typical of global businesses, including, but not limited to, the following:</w:t>
      </w:r>
    </w:p>
    <w:p>
      <w:pPr>
        <w:spacing w:after="0" w:line="104" w:lineRule="exact"/>
        <w:rPr>
          <w:sz w:val="20"/>
          <w:szCs w:val="20"/>
          <w:color w:val="auto"/>
        </w:rPr>
      </w:pPr>
    </w:p>
    <w:p>
      <w:pPr>
        <w:ind w:left="1020" w:right="640" w:hanging="368"/>
        <w:spacing w:after="0" w:line="244"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additional laws and regulations, including but not limited to, laws and regulations regarding data privacy, labor and employment, advertising, anti-competition and tax;</w:t>
      </w:r>
    </w:p>
    <w:p>
      <w:pPr>
        <w:ind w:left="1020" w:hanging="368"/>
        <w:spacing w:after="0" w:line="234"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managing staff and operations due to distance, time zones, language and cultural differences;</w:t>
      </w:r>
    </w:p>
    <w:p>
      <w:pPr>
        <w:ind w:left="1020" w:hanging="368"/>
        <w:spacing w:after="0" w:line="234"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repatriation of cash and on investments in operations;</w:t>
      </w:r>
    </w:p>
    <w:p>
      <w:pPr>
        <w:ind w:left="1020" w:hanging="368"/>
        <w:spacing w:after="0" w:line="234"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Uncertainty regarding liability for services, content and intellectual property rights;</w:t>
      </w:r>
    </w:p>
    <w:p>
      <w:pPr>
        <w:ind w:left="1020" w:hanging="368"/>
        <w:spacing w:after="0" w:line="234"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risk and limits on enforceability of intellectual property rights;</w:t>
      </w:r>
    </w:p>
    <w:p>
      <w:pPr>
        <w:ind w:left="1020" w:hanging="368"/>
        <w:spacing w:after="0" w:line="234"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Diminished ability to legally enforce contractual rights;</w:t>
      </w:r>
    </w:p>
    <w:p>
      <w:pPr>
        <w:ind w:left="1020" w:hanging="368"/>
        <w:spacing w:after="0" w:line="234"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or political instability or laws involving economic or trade prohibitions or sanctions; and</w:t>
      </w: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Threatened or actual acts of terrorism.</w:t>
      </w:r>
    </w:p>
    <w:p>
      <w:pPr>
        <w:spacing w:after="0" w:line="88" w:lineRule="exact"/>
        <w:rPr>
          <w:sz w:val="20"/>
          <w:szCs w:val="20"/>
          <w:color w:val="auto"/>
        </w:rPr>
      </w:pPr>
    </w:p>
    <w:p>
      <w:pPr>
        <w:ind w:right="140" w:firstLine="509"/>
        <w:spacing w:after="0" w:line="255" w:lineRule="auto"/>
        <w:rPr>
          <w:sz w:val="20"/>
          <w:szCs w:val="20"/>
          <w:color w:val="auto"/>
        </w:rPr>
      </w:pPr>
      <w:r>
        <w:rPr>
          <w:rFonts w:ascii="Arial" w:cs="Arial" w:eastAsia="Arial" w:hAnsi="Arial"/>
          <w:sz w:val="17"/>
          <w:szCs w:val="17"/>
          <w:color w:val="auto"/>
        </w:rPr>
        <w:t>Our strategy includes continued expansion in existing markets and potentially new markets. In addition to the risks mentioned above, international markets have strong local competitors with established brands and travel service providers or relationships that may make expansion in certain markets difficult and costly and take more time than anticipated. In some markets, legal and other regulatory requirements may prohibit or limit participation by foreign businesses, such as by making foreign ownership or management of internet or travel-related businesses illegal or difficult or may make direct participation in those markets uneconomic, which could make our entry or expansion in those markets difficult or impossible, require that we work with a local partner or result in higher operating costs. If we are unsuccessful in expanding in existing and potentially new markets and effectively managing that expansion, our business and financial results could be adversely affected.</w:t>
      </w:r>
    </w:p>
    <w:p>
      <w:pPr>
        <w:spacing w:after="0" w:line="72" w:lineRule="exact"/>
        <w:rPr>
          <w:sz w:val="20"/>
          <w:szCs w:val="20"/>
          <w:color w:val="auto"/>
        </w:rPr>
      </w:pPr>
    </w:p>
    <w:p>
      <w:pPr>
        <w:ind w:right="220" w:firstLine="509"/>
        <w:spacing w:after="0" w:line="276" w:lineRule="auto"/>
        <w:rPr>
          <w:sz w:val="20"/>
          <w:szCs w:val="20"/>
          <w:color w:val="auto"/>
        </w:rPr>
      </w:pPr>
      <w:r>
        <w:rPr>
          <w:rFonts w:ascii="Arial" w:cs="Arial" w:eastAsia="Arial" w:hAnsi="Arial"/>
          <w:sz w:val="16"/>
          <w:szCs w:val="16"/>
          <w:b w:val="1"/>
          <w:bCs w:val="1"/>
          <w:i w:val="1"/>
          <w:iCs w:val="1"/>
          <w:color w:val="auto"/>
        </w:rPr>
        <w:t xml:space="preserve">We are regularly subject to claims, lawsuits, government investigations, and other proceedings which may result in adverse outcomes and, regardless of the outcome, result in legal costs, diversion of management resources, injunctions or damage awards, and other negative results. </w:t>
      </w:r>
      <w:r>
        <w:rPr>
          <w:rFonts w:ascii="Arial" w:cs="Arial" w:eastAsia="Arial" w:hAnsi="Arial"/>
          <w:sz w:val="16"/>
          <w:szCs w:val="16"/>
          <w:color w:val="auto"/>
        </w:rPr>
        <w:t>It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possible that a resolution of one or more such proceedings could result in substantial damages, fines or penalties that could adversely affect our business, financial results or financial position. These proceedings could also result in reputational harm, criminal sanctions or consent decrees, the release of confidential information or orders preventing us from offering certain features, functionalities, products, or services, requiring a change in our business practices. Any of these consequences could adversely affect our business and financial results.</w:t>
      </w:r>
    </w:p>
    <w:p>
      <w:pPr>
        <w:spacing w:after="0" w:line="54"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b w:val="1"/>
          <w:bCs w:val="1"/>
          <w:i w:val="1"/>
          <w:iCs w:val="1"/>
          <w:color w:val="auto"/>
        </w:rPr>
        <w:t xml:space="preserve">A failure to comply with current laws, rules and regulations or changes to such laws, rules and regulations and other legal uncertainties may adversely affect our business or financial results. </w:t>
      </w:r>
      <w:r>
        <w:rPr>
          <w:rFonts w:ascii="Arial" w:cs="Arial" w:eastAsia="Arial" w:hAnsi="Arial"/>
          <w:sz w:val="17"/>
          <w:szCs w:val="17"/>
          <w:color w:val="auto"/>
        </w:rPr>
        <w:t>Our business and financial results could be adversely affected by unfavorable changes in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interpretations of existing laws, rules and regulations or the promulgation of new laws, rules and regulations applicable to us and our business, including, but not limited to, those relating to internet and online commerce, internet advertising, consumer protection, intermediary liability and data security and privacy. These laws continue to evolve. For example, there is, and will likely continue to be, an increasing number of laws and regulations pertaining to internet and online commerce and liability for information retrieved from or transmitted over the internet. In addition, the growth and development of online commerce may prompt calls for more stringent consumer protection laws and more aggressive enforcement efforts, data privacy and industry-specific laws and regulations. Further, our Rentals business has been and continues to be subject to regulatory developments globally that affect the rental industry, such as (i) statutes or ordinances that prohibit or limit property owners and managers from renting certain properties on a short-term basis, (ii) fair housing or other laws governing whether and how properties may be rented, and (iii) homeowners, condominium and neighborhood associations adopting or considering adopting rules that prohibit or restrict property owners and managers from short-term rentals. Operating in this dynamic regulatory environment requires significant management attention and financial resources. The failure of our businesses to comply with these laws and regulations could result in fines and/or proceedings against us by governmental agencies, regulatory authorities, courts and/or consumers, which, if material, could adversely affect our business and financial results.</w:t>
      </w:r>
    </w:p>
    <w:p>
      <w:pPr>
        <w:spacing w:after="0" w:line="81"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The promulgation of new laws, rules and regulations, or new interpretations of existing laws, rules and regulations, could require us to change certain aspects of our business, operations and relationships to ensure compliance, which could decrease demand for services, reduce revenues, increase costs and/or subject the Company to additional liabilities. For example, many jurisdictions have adopted, and many jurisdictions are considering adopting, privacy rights and consumer protections for their residents, which legislation will continue to change the landscape for the use and protection of data and could increase the cost and complexity of delivering our services.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0" w:name="page21"/>
    <w:bookmarkEnd w:id="20"/>
    <w:p>
      <w:pPr>
        <w:ind w:right="260"/>
        <w:spacing w:after="0" w:line="294" w:lineRule="auto"/>
        <w:rPr>
          <w:sz w:val="20"/>
          <w:szCs w:val="20"/>
          <w:color w:val="auto"/>
        </w:rPr>
      </w:pPr>
      <w:r>
        <w:rPr>
          <w:rFonts w:ascii="Arial" w:cs="Arial" w:eastAsia="Arial" w:hAnsi="Arial"/>
          <w:sz w:val="16"/>
          <w:szCs w:val="16"/>
          <w:color w:val="auto"/>
        </w:rPr>
        <w:t>Unfavorable changes could limit marketing methods and capabilities, decrease demand for products and services, impede development of new products, require significant management time, increase costs and/or subject us to additional liabilities. Violations of these laws and regulations could result in penalties, criminal sanctions and/or negative publicity against us, our officers or our employees and/or restrictions on the conduct of our business.</w:t>
      </w:r>
    </w:p>
    <w:p>
      <w:pPr>
        <w:spacing w:after="0" w:line="39"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b w:val="1"/>
          <w:bCs w:val="1"/>
          <w:i w:val="1"/>
          <w:iCs w:val="1"/>
          <w:color w:val="auto"/>
        </w:rPr>
        <w:t xml:space="preserve">We face risks related to our intellectual property. </w:t>
      </w:r>
      <w:r>
        <w:rPr>
          <w:rFonts w:ascii="Arial" w:cs="Arial" w:eastAsia="Arial" w:hAnsi="Arial"/>
          <w:sz w:val="17"/>
          <w:szCs w:val="17"/>
          <w:color w:val="auto"/>
        </w:rPr>
        <w:t>We rely on content, brands and technology, much of which is proprietary. We protect our content,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brands and technology by, among other things, a combination of maintenance and enforcement of registered and unregistered intellectual property rights (e.g. trademarks, copyrights and trade secrets), technological solutions and contractual protections. Even with these precautions, it may be possible for another party to copy or otherwise obtain and use our intellectual property, without authorization or to independently develop similar content, brands or technology. Any misappropriation or violation of our rights could have a material adverse effect on our business.</w:t>
      </w:r>
    </w:p>
    <w:p>
      <w:pPr>
        <w:spacing w:after="0" w:line="6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Effective intellectual property protection may not be available in every jurisdiction in which our platform or services are made available and policing unauthorized use of our intellectual property is difficult and expensive. Therefore, in certain jurisdictions, we may be unable to adequately protect our intellectual property against unauthorized third-party copying or use. We cannot be sure that the steps we have taken will prevent misappropriation or infringement of our intellectual property. Furthermore, we may need to go to court or other tribunals in order to enforce our rights or scope of the proprietary rights of others. These proceedings might result in substantial costs and diversion of resources and management attention and we cannot accurately predict the likelihood of success in such proceedings. Our failure to protect our intellectual property in an effective manner could have a material adverse effect on our business.</w:t>
      </w:r>
    </w:p>
    <w:p>
      <w:pPr>
        <w:spacing w:after="0" w:line="83" w:lineRule="exact"/>
        <w:rPr>
          <w:sz w:val="20"/>
          <w:szCs w:val="20"/>
          <w:color w:val="auto"/>
        </w:rPr>
      </w:pPr>
    </w:p>
    <w:p>
      <w:pPr>
        <w:jc w:val="both"/>
        <w:ind w:right="240" w:firstLine="509"/>
        <w:spacing w:after="0" w:line="248" w:lineRule="auto"/>
        <w:rPr>
          <w:sz w:val="20"/>
          <w:szCs w:val="20"/>
          <w:color w:val="auto"/>
        </w:rPr>
      </w:pPr>
      <w:r>
        <w:rPr>
          <w:rFonts w:ascii="Arial" w:cs="Arial" w:eastAsia="Arial" w:hAnsi="Arial"/>
          <w:sz w:val="18"/>
          <w:szCs w:val="18"/>
          <w:color w:val="auto"/>
        </w:rPr>
        <w:t>We currently license some of the intellectual property displayed on our platform from third parties. As we continue to introduce new services that incorporate new intellectual property, we may be required or elect to license additional intellectual property. We cannot be sure that such licenses will be available on commercially reasonable terms, if at all.</w:t>
      </w:r>
    </w:p>
    <w:p>
      <w:pPr>
        <w:spacing w:after="0" w:line="7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From time to time, in the ordinary course of our business, we have been subject to, and are currently subject to, legal proceedings and claims relating to third-party intellectual property rights, and we expect that third parties will continue to assert intellectual property claims against us, particularly as we expand the complexity and scope of our platform and services. Successful intellectual property claims against us could result in significant monetary liability or prevent us from operating our business, or portions of our business, or require us to change business practices or develop non-infringing intellectual property, which could require significant effort and expense. In addition, resolution of claims may require us to obtain releases or licenses to use intellectual property rights belonging to third-parties, which may be expensive to procure, or possibly to cease using those rights altogether. Any of these events could have a material adverse effect on our business, results of operations and financial condition.</w:t>
      </w:r>
    </w:p>
    <w:p>
      <w:pPr>
        <w:spacing w:after="0" w:line="72"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b w:val="1"/>
          <w:bCs w:val="1"/>
          <w:i w:val="1"/>
          <w:iCs w:val="1"/>
          <w:color w:val="212529"/>
        </w:rPr>
        <w:t>Increased focus on our environmental, social, and governance ("ESG") responsibilities have and will likely continue to result in additional costs and risks, and may adversely impact our reputation, employee retention, and willingness of customers and partners to do business with us</w:t>
      </w:r>
      <w:r>
        <w:rPr>
          <w:rFonts w:ascii="Arial" w:cs="Arial" w:eastAsia="Arial" w:hAnsi="Arial"/>
          <w:sz w:val="16"/>
          <w:szCs w:val="16"/>
          <w:b w:val="1"/>
          <w:bCs w:val="1"/>
          <w:i w:val="1"/>
          <w:iCs w:val="1"/>
          <w:color w:val="000000"/>
        </w:rPr>
        <w:t>.</w:t>
      </w:r>
      <w:r>
        <w:rPr>
          <w:rFonts w:ascii="Arial" w:cs="Arial" w:eastAsia="Arial" w:hAnsi="Arial"/>
          <w:sz w:val="16"/>
          <w:szCs w:val="16"/>
          <w:b w:val="1"/>
          <w:bCs w:val="1"/>
          <w:i w:val="1"/>
          <w:iCs w:val="1"/>
          <w:color w:val="212529"/>
        </w:rPr>
        <w:t xml:space="preserve"> </w:t>
      </w:r>
      <w:r>
        <w:rPr>
          <w:rFonts w:ascii="Arial" w:cs="Arial" w:eastAsia="Arial" w:hAnsi="Arial"/>
          <w:sz w:val="16"/>
          <w:szCs w:val="16"/>
          <w:color w:val="000000"/>
        </w:rPr>
        <w:t>Institutional,</w:t>
      </w:r>
      <w:r>
        <w:rPr>
          <w:rFonts w:ascii="Arial" w:cs="Arial" w:eastAsia="Arial" w:hAnsi="Arial"/>
          <w:sz w:val="16"/>
          <w:szCs w:val="16"/>
          <w:b w:val="1"/>
          <w:bCs w:val="1"/>
          <w:i w:val="1"/>
          <w:iCs w:val="1"/>
          <w:color w:val="212529"/>
        </w:rPr>
        <w:t xml:space="preserve"> </w:t>
      </w:r>
      <w:r>
        <w:rPr>
          <w:rFonts w:ascii="Arial" w:cs="Arial" w:eastAsia="Arial" w:hAnsi="Arial"/>
          <w:sz w:val="16"/>
          <w:szCs w:val="16"/>
          <w:color w:val="000000"/>
        </w:rPr>
        <w:t>individual, and other investors, proxy advisory services, regulatory authorities, consumers and other stakeholders are increasingly focused on ESG practices of companies. The standards for tracking and reporting on ESG matters and disclosure frameworks are relatively new, have not been harmonized, and continue to evolve. Ensuring there are systems and processes in place to comply with the various ESG tracking and reporting obligations will require management time and expense. As we look to respond to evolving standards for identifying, measuring, and reporting ESG metrics, our efforts may result in a significant increase in costs and may nevertheless not meet investor or other stakeholder expectations and evolving standards or regulatory requirements, which may negatively impact our financial results, our reputation, our ability to attract or retain employees, our attractiveness as a service provider, investment, or business partner, or expose us to government enforcement actions, private litigation, and actions by stockholders or stakeholders.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Data Security and Privacy</w:t>
      </w:r>
    </w:p>
    <w:p>
      <w:pPr>
        <w:spacing w:after="0" w:line="108" w:lineRule="exact"/>
        <w:rPr>
          <w:sz w:val="20"/>
          <w:szCs w:val="20"/>
          <w:color w:val="auto"/>
        </w:rPr>
      </w:pPr>
    </w:p>
    <w:p>
      <w:pPr>
        <w:ind w:right="360" w:firstLine="509"/>
        <w:spacing w:after="0" w:line="284" w:lineRule="auto"/>
        <w:rPr>
          <w:sz w:val="20"/>
          <w:szCs w:val="20"/>
          <w:color w:val="auto"/>
        </w:rPr>
      </w:pPr>
      <w:r>
        <w:rPr>
          <w:rFonts w:ascii="Arial" w:cs="Arial" w:eastAsia="Arial" w:hAnsi="Arial"/>
          <w:sz w:val="16"/>
          <w:szCs w:val="16"/>
          <w:b w:val="1"/>
          <w:bCs w:val="1"/>
          <w:i w:val="1"/>
          <w:iCs w:val="1"/>
          <w:color w:val="auto"/>
        </w:rPr>
        <w:t xml:space="preserve">Our processing, storage and use of personal information and other data subjects us to additional laws and regulations and failure to comply with those laws and regulations could give rise to liabilities. </w:t>
      </w:r>
      <w:r>
        <w:rPr>
          <w:rFonts w:ascii="Arial" w:cs="Arial" w:eastAsia="Arial" w:hAnsi="Arial"/>
          <w:sz w:val="16"/>
          <w:szCs w:val="16"/>
          <w:color w:val="auto"/>
        </w:rPr>
        <w:t>The security of data when engaging in electronic commerce is essential to maintaining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and service provider confidence in our services. We are subject to a variety of laws in the U.S. and abroad regarding privacy and the storing, sharing, use, processing, disclosure and protection of personal information, the scope of which are changing, subject to differing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jc w:val="both"/>
        <w:ind w:right="120"/>
        <w:spacing w:after="0" w:line="270" w:lineRule="auto"/>
        <w:rPr>
          <w:sz w:val="20"/>
          <w:szCs w:val="20"/>
          <w:color w:val="auto"/>
        </w:rPr>
      </w:pPr>
      <w:r>
        <w:rPr>
          <w:rFonts w:ascii="Arial" w:cs="Arial" w:eastAsia="Arial" w:hAnsi="Arial"/>
          <w:sz w:val="17"/>
          <w:szCs w:val="17"/>
          <w:color w:val="auto"/>
        </w:rPr>
        <w:t>interpretations, and may be inconsistent between countries or conflict with other existing laws. The regulatory framework for privacy issues worldwide is currently in flux and is likely to remain so for the foreseeable future. In addition, practices regarding the collection, use, storage, transmission and security of personal information by companies operating over the internet have recently come under increased public scrutiny.</w:t>
      </w:r>
    </w:p>
    <w:p>
      <w:pPr>
        <w:spacing w:after="0" w:line="56"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Implementing and complying with these laws and regulations may be more costly or take longer than we anticipate, or could otherwise affect our operations. Any failure or perceived failure by us to comply with our privacy and information security policies, privacy-related obligations to consumers or other third parties, or privacy-related legal obligations, may result in litigation or governmental enforcement actions that could harm our reputation and cause our consumers and travel partners to lose trust in us, any of which could have an adverse effect on our business, brand, market share and financial results.</w:t>
      </w:r>
    </w:p>
    <w:p>
      <w:pPr>
        <w:spacing w:after="0" w:line="81" w:lineRule="exact"/>
        <w:rPr>
          <w:sz w:val="20"/>
          <w:szCs w:val="20"/>
          <w:color w:val="auto"/>
        </w:rPr>
      </w:pPr>
    </w:p>
    <w:p>
      <w:pPr>
        <w:ind w:right="20" w:firstLine="509"/>
        <w:spacing w:after="0" w:line="269" w:lineRule="auto"/>
        <w:rPr>
          <w:sz w:val="20"/>
          <w:szCs w:val="20"/>
          <w:color w:val="auto"/>
        </w:rPr>
      </w:pPr>
      <w:r>
        <w:rPr>
          <w:rFonts w:ascii="Arial" w:cs="Arial" w:eastAsia="Arial" w:hAnsi="Arial"/>
          <w:sz w:val="16"/>
          <w:szCs w:val="16"/>
          <w:b w:val="1"/>
          <w:bCs w:val="1"/>
          <w:i w:val="1"/>
          <w:iCs w:val="1"/>
          <w:color w:val="auto"/>
        </w:rPr>
        <w:t xml:space="preserve">We are subject to risks associated with processing credit card and other payment transactions and failure to manage those risks may subject us to fines, penalties and additional costs and could have a negative impact on our business. </w:t>
      </w:r>
      <w:r>
        <w:rPr>
          <w:rFonts w:ascii="Arial" w:cs="Arial" w:eastAsia="Arial" w:hAnsi="Arial"/>
          <w:sz w:val="16"/>
          <w:szCs w:val="16"/>
          <w:color w:val="auto"/>
        </w:rPr>
        <w:t>We accept payments from consumers and travel partners using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variety of methods, including credit, debit and invoicing. We are subject to regulations and compliance requirements, including obligations to implement enhanced authentication processes. We rely on third parties to provide certain payment methods and payment processing services and our business could be disrupted if these companies become unwilling or unable to provide these services to us. We are also subject to payment card association operating rules, including data security rules, certification requirements, and rules governing electronic funds transfers, which could change or be reinterpreted to make it difficult or impossible for us to comply. We are also subject to a number of other laws and regulations relating to payments, money laundering, international money transfers and privacy and information security. These laws, regulations and/or requirements result in significant costs and, yet, we may still be susceptible to fraudulent activity or cyber-threats. If we fail to comply with these rules or requirements or if our data security systems are breached or compromised, we may be liable for card issuing banks’ costs, subject to fines, penalties and higher transaction fees, and/or lose our ability to accept credit and debit card payments, process electronic funds transfers, or facilitate other types of online payments. In addition, for certain payment methods, including credit and debit cards, we pay interchange and other fees, which may increase over time and raise our operating costs and lower profitability.</w:t>
      </w:r>
    </w:p>
    <w:p>
      <w:pPr>
        <w:spacing w:after="0" w:line="9" w:lineRule="exact"/>
        <w:rPr>
          <w:sz w:val="20"/>
          <w:szCs w:val="20"/>
          <w:color w:val="auto"/>
        </w:rPr>
      </w:pPr>
    </w:p>
    <w:p>
      <w:pPr>
        <w:ind w:right="300" w:firstLine="509"/>
        <w:spacing w:after="0"/>
        <w:rPr>
          <w:sz w:val="20"/>
          <w:szCs w:val="20"/>
          <w:color w:val="auto"/>
        </w:rPr>
      </w:pPr>
      <w:r>
        <w:rPr>
          <w:rFonts w:ascii="Arial" w:cs="Arial" w:eastAsia="Arial" w:hAnsi="Arial"/>
          <w:sz w:val="18"/>
          <w:szCs w:val="18"/>
          <w:color w:val="auto"/>
        </w:rPr>
        <w:t>Additionally, our marketplace activities in the U.K. and Europe require us to obtain a payment institution license under the Second Payment Services Directive (“PSD2”) which replaced the Payment Services Directive (“PSD”) effective January 13, 2018. PSD2 requires a license to perform certain defined “payment services” in a European Economic Area (“EEA”) member state. Conditions for obtaining the license include minimum capital requirements, establishment of procedures for safeguarding of funds, and certain governance and reporting requirements. Certain obligations relating to internal controls and the conduct of business, in particular, consumer disclosure requirements and certain rules regarding the timing and settlement of payments, must be met.</w:t>
      </w:r>
    </w:p>
    <w:p>
      <w:pPr>
        <w:spacing w:after="0" w:line="8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It is possible that we could become subject to regulatory enforcement or other proceedings in those states or other jurisdictions with money transmission, or other similar statutes or regulatory requirements, including an EEA member state, related to the handling or moving of money, which could in turn have a significant impact on our business, even if we were to ultimately prevail in such proceedings. If we are ultimately deemed to be in violation of one or more money transmitter or other similar statutes or regulatory requirements related to the handling or moving of money in the U.S., the EEA or other jurisdictions, we may be subject to the imposition of fines or restrictions on our business, our ability to offer some or all of our services in the relevant jurisdiction may be suspended, and we may be subject to civil or criminal liability and our business, results of operations and financial position could be materially adversely affected.</w:t>
      </w:r>
    </w:p>
    <w:p>
      <w:pPr>
        <w:spacing w:after="0" w:line="83"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b w:val="1"/>
          <w:bCs w:val="1"/>
          <w:i w:val="1"/>
          <w:iCs w:val="1"/>
          <w:color w:val="auto"/>
        </w:rPr>
        <w:t xml:space="preserve">System security issues, data protection breaches, cyberattacks and system outage issues could disrupt our operations or services provided to our consumers, and any such disruption could damage our reputation and adversely affect our business, financial results and share price. </w:t>
      </w:r>
      <w:r>
        <w:rPr>
          <w:rFonts w:ascii="Arial" w:cs="Arial" w:eastAsia="Arial" w:hAnsi="Arial"/>
          <w:sz w:val="17"/>
          <w:szCs w:val="17"/>
          <w:color w:val="auto"/>
        </w:rPr>
        <w:t>Our reputation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ability to attract, retain and service our consumers and travel partners is dependent upon the reliable performance and security of our computer systems and those of third parties we utilize in our operations. Significant security issues, data breaches, cyberattacks and outages, interruptions or delays, in our systems or third-party systems upon which we rely, could impair our ability to display content or process transactions and significantly harm our business. Breaches of our security measures or the accidental loss, inadvertent disclosure or unapproved dissemination of proprietary information or sensitive or confidential data about us, our consumers or our travel partners, could expose us, our consumers and travel partners to a risk of loss or misuse of this information, damage our brand and reputation or otherwise harm our business and financial performance and could result in government enforcement actions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2" w:name="page23"/>
    <w:bookmarkEnd w:id="22"/>
    <w:p>
      <w:pPr>
        <w:ind w:right="280"/>
        <w:spacing w:after="0" w:line="248" w:lineRule="auto"/>
        <w:rPr>
          <w:sz w:val="20"/>
          <w:szCs w:val="20"/>
          <w:color w:val="auto"/>
        </w:rPr>
      </w:pPr>
      <w:r>
        <w:rPr>
          <w:rFonts w:ascii="Arial" w:cs="Arial" w:eastAsia="Arial" w:hAnsi="Arial"/>
          <w:sz w:val="18"/>
          <w:szCs w:val="18"/>
          <w:color w:val="auto"/>
        </w:rPr>
        <w:t>litigation and potential liability for us. The costs of enhancing infrastructure to attain improved stability and redundancy may be time consuming and expensive and may require resources and expertise that are difficult to obtain. In addition, to the extent that we do experience a data breach, remediation may be costly and we may not have adequate insurance to cover such costs.</w:t>
      </w:r>
    </w:p>
    <w:p>
      <w:pPr>
        <w:spacing w:after="0" w:line="74" w:lineRule="exact"/>
        <w:rPr>
          <w:sz w:val="20"/>
          <w:szCs w:val="20"/>
          <w:color w:val="auto"/>
        </w:rPr>
      </w:pPr>
    </w:p>
    <w:p>
      <w:pPr>
        <w:ind w:right="140" w:firstLine="509"/>
        <w:spacing w:after="0" w:line="274" w:lineRule="auto"/>
        <w:rPr>
          <w:sz w:val="20"/>
          <w:szCs w:val="20"/>
          <w:color w:val="auto"/>
        </w:rPr>
      </w:pPr>
      <w:r>
        <w:rPr>
          <w:rFonts w:ascii="Arial" w:cs="Arial" w:eastAsia="Arial" w:hAnsi="Arial"/>
          <w:sz w:val="16"/>
          <w:szCs w:val="16"/>
          <w:color w:val="auto"/>
        </w:rPr>
        <w:t>Computer programmers and hackers also may be able to develop and deploy viruses, worms, ransomware and other malicious software programs that attack our products or otherwise exploit any vulnerabilities in our systems, or attempt to fraudulently induce our employees, consumers, or others to disclose passwords or other sensitive information or unwittingly provide access to our systems or data. In addition, sophisticated hardware and operating system software and applications that we produce or procure from third parties may contain defects in design or manufacture, including “bugs” and other problems that could unexpectedly interfere with the operation of the system. We may need to expend significant resources to protect against security breaches or to investigate and address problems caused by cyber or other security problems. Failure to adequately protect against attacks or intrusions, whether for our own systems or systems of vendors, could expose us to security breaches that could have an adverse impact on our financial performance.</w:t>
      </w:r>
    </w:p>
    <w:p>
      <w:pPr>
        <w:spacing w:after="0" w:line="55"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Much of our business is conducted with third-party partners and vendors. A security breach at such third-party could be perceived by consumers as a security breach of our systems and could result in negative publicity or reputational damage, expose us to risk of loss or litigation and subject us to regulatory penalties and sanctions. In addition, such incidents may also result in a decline in our user base and client base or engagement levels.</w:t>
      </w:r>
    </w:p>
    <w:p>
      <w:pPr>
        <w:spacing w:after="0" w:line="3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Media coverage of data breaches and public exposure of consumer data rights has increased, in part because of the rise of enforcement actions, investigations and lawsuits. Similarly, the increase in privacy activist groups is likely to give rise to further scrutiny, investigative actions and publicity. Security breaches could result in negative publicity, damage to reputation, exposure to risk of loss and possible liability due to regulatory penalties and sanctions. As this focus and attention on privacy and data protection increases, we also risk exposure to potential liabilities and costs resulting from the compliance with, or any failure to comply with, applicable legal requirements, conflicts among these legal requirements or differences in approaches to privacy and security. Security breaches could also cause travelers and consumers to lose confidence in our data security, which would have a negative effect on the value of our brand.</w:t>
      </w:r>
    </w:p>
    <w:p>
      <w:pPr>
        <w:spacing w:after="0" w:line="83"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b w:val="1"/>
          <w:bCs w:val="1"/>
          <w:i w:val="1"/>
          <w:iCs w:val="1"/>
          <w:color w:val="auto"/>
        </w:rPr>
        <w:t xml:space="preserve">Evolving regulations, guidance and practices on the use of "cookies" and similar technology could negatively impact the way we do business. </w:t>
      </w:r>
      <w:r>
        <w:rPr>
          <w:rFonts w:ascii="Arial" w:cs="Arial" w:eastAsia="Arial" w:hAnsi="Arial"/>
          <w:sz w:val="17"/>
          <w:szCs w:val="17"/>
          <w:color w:val="auto"/>
        </w:rPr>
        <w:t>Cookies, or text files stored on consumers’ web browsers, are common tools used by thousands of websites and apps, including ours, to store or gather information, improve site security, improve the customer experience, market to consumers and increase conversion on their websites. Many countries have adopted data protection laws and regulations governing the use of cookies and other similar tracking technologies by websites and app developers. Such regulations could limit our ability to serve certain customers in the manner we currently do, including with respect to retargeting or personalized advertising, impair our ability to improve and optimize performance on our platform, negatively affect a consumer's experience using our platform and negatively impact our business. Equally, privacy has been the impetus behind a move towards a cookie-less online ecosystem which poses a potential risk to our online behavioral advertising strategy. For example, Apple and Google continue to announce new privacy features that may limit our ability to use cookies and similar technology to improve the consumer experience.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Financial Matters</w:t>
      </w:r>
    </w:p>
    <w:p>
      <w:pPr>
        <w:spacing w:after="0" w:line="108"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b w:val="1"/>
          <w:bCs w:val="1"/>
          <w:i w:val="1"/>
          <w:iCs w:val="1"/>
          <w:color w:val="auto"/>
        </w:rPr>
        <w:t xml:space="preserve">We have indebtedness which could adversely affect our business and financial condition. </w:t>
      </w:r>
      <w:r>
        <w:rPr>
          <w:rFonts w:ascii="Arial" w:cs="Arial" w:eastAsia="Arial" w:hAnsi="Arial"/>
          <w:sz w:val="18"/>
          <w:szCs w:val="18"/>
          <w:color w:val="auto"/>
        </w:rPr>
        <w:t>With respect to the 2025 Senior Notes and 2026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we are subject to risks relating to our existing or potential indebtedness that include:</w:t>
      </w:r>
    </w:p>
    <w:p>
      <w:pPr>
        <w:spacing w:after="0" w:line="63" w:lineRule="exact"/>
        <w:rPr>
          <w:sz w:val="20"/>
          <w:szCs w:val="20"/>
          <w:color w:val="auto"/>
        </w:rPr>
      </w:pPr>
    </w:p>
    <w:p>
      <w:pPr>
        <w:ind w:left="1020" w:right="520" w:hanging="368"/>
        <w:spacing w:after="0" w:line="244"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Requirement to dedicate a portion of our cash flow to principal and interest payments, thereby reducing the availability of cash to fund working capital, capital expenditures, acquisitions and investments and other general corporate purposes;</w:t>
      </w:r>
    </w:p>
    <w:p>
      <w:pPr>
        <w:ind w:left="1020" w:hanging="368"/>
        <w:spacing w:after="0" w:line="234"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to optimally capitalize and manage the cash flow for our businesses;</w:t>
      </w:r>
    </w:p>
    <w:p>
      <w:pPr>
        <w:ind w:left="1020" w:hanging="368"/>
        <w:spacing w:after="0" w:line="234"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Possible competitive disadvantage compared to our competitors that have less debt;</w:t>
      </w:r>
    </w:p>
    <w:p>
      <w:pPr>
        <w:ind w:left="1020" w:hanging="368"/>
        <w:spacing w:after="0" w:line="234"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on our ability to borrow additional funds on acceptable terms or at all; and</w:t>
      </w:r>
    </w:p>
    <w:p>
      <w:pPr>
        <w:ind w:left="1020" w:hanging="36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Exposure to increased interest rates to the extent our outstanding debt is subject to variable rates of interest.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3" w:name="page24"/>
    <w:bookmarkEnd w:id="23"/>
    <w:p>
      <w:pPr>
        <w:ind w:right="20" w:firstLine="509"/>
        <w:spacing w:after="0" w:line="324" w:lineRule="auto"/>
        <w:rPr>
          <w:sz w:val="20"/>
          <w:szCs w:val="20"/>
          <w:color w:val="auto"/>
        </w:rPr>
      </w:pPr>
      <w:r>
        <w:rPr>
          <w:rFonts w:ascii="Arial" w:cs="Arial" w:eastAsia="Arial" w:hAnsi="Arial"/>
          <w:sz w:val="16"/>
          <w:szCs w:val="16"/>
          <w:b w:val="1"/>
          <w:bCs w:val="1"/>
          <w:i w:val="1"/>
          <w:iCs w:val="1"/>
          <w:color w:val="auto"/>
        </w:rPr>
        <w:t xml:space="preserve">Failure to comply with the various covenants contained in our Credit Agreement and the 2025 Indenture could have a material adverse effect on our business. </w:t>
      </w:r>
      <w:r>
        <w:rPr>
          <w:rFonts w:ascii="Arial" w:cs="Arial" w:eastAsia="Arial" w:hAnsi="Arial"/>
          <w:sz w:val="16"/>
          <w:szCs w:val="16"/>
          <w:color w:val="auto"/>
        </w:rPr>
        <w:t>The various covenants contained in the Credit Agreement and 2025 Indenture include those that limit our ability to, among other things:</w:t>
      </w:r>
    </w:p>
    <w:p>
      <w:pPr>
        <w:spacing w:after="0" w:line="16" w:lineRule="exact"/>
        <w:rPr>
          <w:sz w:val="20"/>
          <w:szCs w:val="20"/>
          <w:color w:val="auto"/>
        </w:rPr>
      </w:pPr>
    </w:p>
    <w:p>
      <w:pPr>
        <w:ind w:left="1020" w:hanging="36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 w:lineRule="exact"/>
        <w:rPr>
          <w:rFonts w:ascii="Arial" w:cs="Arial" w:eastAsia="Arial" w:hAnsi="Arial"/>
          <w:sz w:val="18"/>
          <w:szCs w:val="18"/>
          <w:color w:val="auto"/>
        </w:rPr>
      </w:pPr>
    </w:p>
    <w:p>
      <w:pPr>
        <w:ind w:left="1020" w:hanging="368"/>
        <w:spacing w:after="0" w:line="234"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ind w:left="1020" w:hanging="368"/>
        <w:spacing w:after="0" w:line="234"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 share repurchases;</w:t>
      </w:r>
    </w:p>
    <w:p>
      <w:pPr>
        <w:ind w:left="1020" w:hanging="368"/>
        <w:spacing w:after="0" w:line="234"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ind w:left="1020" w:hanging="368"/>
        <w:spacing w:after="0" w:line="234"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ind w:left="1020" w:hanging="36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unrelated businesses.</w:t>
      </w:r>
    </w:p>
    <w:p>
      <w:pPr>
        <w:spacing w:after="0" w:line="88"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These covenants may limit our ability to optimally operate our business. Any failure to comply with the restrictions of our Credit Facility or our 2025 Senior Notes and 2026 Senior Notes may result in an event of default under the agreements governing such debt instruments and such default may allow the creditors to accelerate the debt incurred thereunder. In addition, lenders under the Credit Facility may be able to terminate any commitments they had made to supply us with further funds.</w:t>
      </w:r>
    </w:p>
    <w:p>
      <w:pPr>
        <w:spacing w:after="0" w:line="80"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b w:val="1"/>
          <w:bCs w:val="1"/>
          <w:i w:val="1"/>
          <w:iCs w:val="1"/>
          <w:color w:val="auto"/>
        </w:rPr>
        <w:t xml:space="preserve">We may have future capital needs and may not be able to obtain additional financing on acceptable terms. </w:t>
      </w:r>
      <w:r>
        <w:rPr>
          <w:rFonts w:ascii="Arial" w:cs="Arial" w:eastAsia="Arial" w:hAnsi="Arial"/>
          <w:sz w:val="18"/>
          <w:szCs w:val="18"/>
          <w:color w:val="auto"/>
        </w:rPr>
        <w:t>Pursuant to the Credit Facility,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agreed to pledge substantially all of our assets, including the equity interests of our subsidiaries. This agreement also includes restrictive covenants that may limit our ability to secure additional financing in the future on favorable terms, if at all. Our ability to secure additional financing will also depend upon our future operating performance, which is subject to then prevailing general economic and credit market conditions, and financial, business and other factors, many of which are beyond our control.</w:t>
      </w:r>
    </w:p>
    <w:p>
      <w:pPr>
        <w:spacing w:after="0" w:line="81"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b w:val="1"/>
          <w:bCs w:val="1"/>
          <w:i w:val="1"/>
          <w:iCs w:val="1"/>
          <w:color w:val="auto"/>
        </w:rPr>
        <w:t xml:space="preserve">We are subject to risks relating to our 2026 Senior Notes. </w:t>
      </w:r>
      <w:r>
        <w:rPr>
          <w:rFonts w:ascii="Arial" w:cs="Arial" w:eastAsia="Arial" w:hAnsi="Arial"/>
          <w:sz w:val="17"/>
          <w:szCs w:val="17"/>
          <w:color w:val="auto"/>
        </w:rPr>
        <w:t>During the first quarter of 2021, we adopted new accounting guidance issued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Accounting Standards Board (“FASB”) which simplifies the accounting for convertible debt instruments by reducing the number of accounting models and the number of embedded conversion features that could be recognized separately from the primary contract. The new accounting guidance requires a convertible debt instrument to be accounted for as a single liability measured at its amortized cost, as long as no other features require bifurcation and recognition as derivatives. The new accounting guidance, among other things, requires an entity to use the if-converted method in the diluted earnings per share calculation for convertible instruments. Under the if-converted method, diluted earnings per share would generally be calculated assuming that all the notes were exchanged solely into shares of common stock at the beginning of the reporting period, unless the result would be anti-dilutive. The application of the if-converted method may reduce our reported diluted earnings per share, if any.</w:t>
      </w:r>
    </w:p>
    <w:p>
      <w:pPr>
        <w:spacing w:after="0" w:line="73" w:lineRule="exact"/>
        <w:rPr>
          <w:sz w:val="20"/>
          <w:szCs w:val="20"/>
          <w:color w:val="auto"/>
        </w:rPr>
      </w:pPr>
    </w:p>
    <w:p>
      <w:pPr>
        <w:ind w:right="180" w:firstLine="509"/>
        <w:spacing w:after="0" w:line="294" w:lineRule="auto"/>
        <w:rPr>
          <w:sz w:val="20"/>
          <w:szCs w:val="20"/>
          <w:color w:val="auto"/>
        </w:rPr>
      </w:pPr>
      <w:r>
        <w:rPr>
          <w:rFonts w:ascii="Arial" w:cs="Arial" w:eastAsia="Arial" w:hAnsi="Arial"/>
          <w:sz w:val="16"/>
          <w:szCs w:val="16"/>
          <w:color w:val="auto"/>
        </w:rPr>
        <w:t>Furthermore, if any of the conditions to the conversion of the 2026 Senior Notes is satisfied, then we may be required under applicable accounting standards to reclassify the liability carrying value of the 2026 Senior Notes as a current, rather than a long-term, liability. This reclassification could be required even if no noteholders exchange their 2026 Senior Notes and could materially reduce our reported working capital.</w:t>
      </w:r>
    </w:p>
    <w:p>
      <w:pPr>
        <w:spacing w:after="0" w:line="39"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 xml:space="preserve">Holders of our 2026 Senior Notes may convert the 2026 Senior Notes after the occurrence of certain dates or events. Refer to “Note 10: </w:t>
      </w:r>
      <w:r>
        <w:rPr>
          <w:rFonts w:ascii="Arial" w:cs="Arial" w:eastAsia="Arial" w:hAnsi="Arial"/>
          <w:sz w:val="18"/>
          <w:szCs w:val="18"/>
          <w:i w:val="1"/>
          <w:iCs w:val="1"/>
          <w:color w:val="auto"/>
        </w:rPr>
        <w:t>Debt</w:t>
      </w:r>
      <w:r>
        <w:rPr>
          <w:rFonts w:ascii="Arial" w:cs="Arial" w:eastAsia="Arial" w:hAnsi="Arial"/>
          <w:sz w:val="18"/>
          <w:szCs w:val="18"/>
          <w:color w:val="auto"/>
        </w:rPr>
        <w:t>” in the notes to our consolidated financial statements in Item 8 on this Annual Report on Form 10-K for further information on our 2026 Senior Notes. Settlement of the 2026 Senior Notes could adversely affect our liquidity.</w:t>
      </w:r>
    </w:p>
    <w:p>
      <w:pPr>
        <w:spacing w:after="0" w:line="74"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b w:val="1"/>
          <w:bCs w:val="1"/>
          <w:i w:val="1"/>
          <w:iCs w:val="1"/>
          <w:color w:val="auto"/>
        </w:rPr>
        <w:t xml:space="preserve">We are subject to risks relating to the Capped Calls. </w:t>
      </w:r>
      <w:r>
        <w:rPr>
          <w:rFonts w:ascii="Arial" w:cs="Arial" w:eastAsia="Arial" w:hAnsi="Arial"/>
          <w:sz w:val="18"/>
          <w:szCs w:val="18"/>
          <w:color w:val="auto"/>
        </w:rPr>
        <w:t>In connection with the issuance of the 2026 Senior Notes, we entered into privately negotiated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capped call transactions (the “Capped Calls”) to reduce potential dilution to our common stock and/or offset cash payments we must make in excess of the principal amount, in each case, upon any conversion of Senior Notes, with such offset subject to a cap. We are subject to the risk that one or more of the hedge counterparties may default under the Capped Calls. If any of the hedge counterparties become subject to insolvency proceedings, we will become an unsecured creditor with a claim equal to our exposure at that time under our transactions with such counterparties. Our exposure will depend on many factors but, generally, the increase in our exposure will be correlated to the increase in the market price and in the volatility of our common stock. In addition, upon a default by a hedge counterparty, we may suffer adverse tax consequences and more dilution than we currently anticipate with respect to our common stock.</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4" w:name="page25"/>
    <w:bookmarkEnd w:id="24"/>
    <w:p>
      <w:pPr>
        <w:ind w:right="180" w:firstLine="509"/>
        <w:spacing w:after="0" w:line="258" w:lineRule="auto"/>
        <w:rPr>
          <w:sz w:val="20"/>
          <w:szCs w:val="20"/>
          <w:color w:val="auto"/>
        </w:rPr>
      </w:pPr>
      <w:r>
        <w:rPr>
          <w:rFonts w:ascii="Arial" w:cs="Arial" w:eastAsia="Arial" w:hAnsi="Arial"/>
          <w:sz w:val="17"/>
          <w:szCs w:val="17"/>
          <w:b w:val="1"/>
          <w:bCs w:val="1"/>
          <w:i w:val="1"/>
          <w:iCs w:val="1"/>
          <w:color w:val="auto"/>
        </w:rPr>
        <w:t xml:space="preserve">Our financial results are difficult to forecast; they have fluctuated in the past and will likely fluctuate in the future. </w:t>
      </w:r>
      <w:r>
        <w:rPr>
          <w:rFonts w:ascii="Arial" w:cs="Arial" w:eastAsia="Arial" w:hAnsi="Arial"/>
          <w:sz w:val="17"/>
          <w:szCs w:val="17"/>
          <w:color w:val="auto"/>
        </w:rPr>
        <w:t>Our financial results in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given quarter can be influenced by numerous factors, many of which we are unable to predict or are outside of our control, including:</w:t>
      </w:r>
    </w:p>
    <w:p>
      <w:pPr>
        <w:ind w:left="1020" w:hanging="368"/>
        <w:spacing w:after="0" w:line="235"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and grow our consumer base and to increase user engagement;</w:t>
      </w:r>
    </w:p>
    <w:p>
      <w:pPr>
        <w:ind w:left="1020" w:hanging="368"/>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Increases in marketing, sales and other expenses that we will incur to grow and expand our operations and to remain competitive;</w:t>
      </w:r>
    </w:p>
    <w:p>
      <w:pPr>
        <w:spacing w:after="0" w:line="7" w:lineRule="exact"/>
        <w:rPr>
          <w:rFonts w:ascii="Arial" w:cs="Arial" w:eastAsia="Arial" w:hAnsi="Arial"/>
          <w:sz w:val="17"/>
          <w:szCs w:val="17"/>
          <w:color w:val="auto"/>
        </w:rPr>
      </w:pPr>
    </w:p>
    <w:p>
      <w:pPr>
        <w:ind w:left="1020" w:hanging="368"/>
        <w:spacing w:after="0" w:line="234"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marketing spend of our travel partners due to seasonality, global or regional events or other factors;</w:t>
      </w:r>
    </w:p>
    <w:p>
      <w:pPr>
        <w:ind w:left="1020" w:hanging="368"/>
        <w:spacing w:after="0" w:line="234"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User behavior or product changes that may reduce traffic to features or products that we successfully monetize;</w:t>
      </w:r>
    </w:p>
    <w:p>
      <w:pPr>
        <w:ind w:left="1020" w:hanging="368"/>
        <w:spacing w:after="0" w:line="234"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System failure or outages, which would prevent us from serving ads for any period of time;</w:t>
      </w:r>
    </w:p>
    <w:p>
      <w:pPr>
        <w:ind w:left="1020" w:hanging="368"/>
        <w:spacing w:after="0" w:line="234"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Breaches of security or privacy and the costs associated with any such breaches and remediation;</w:t>
      </w:r>
    </w:p>
    <w:p>
      <w:pPr>
        <w:ind w:left="1020" w:hanging="368"/>
        <w:spacing w:after="0" w:line="234"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Fees paid to third parties for content or promotion of our products and services;</w:t>
      </w:r>
    </w:p>
    <w:p>
      <w:pPr>
        <w:ind w:left="1020" w:hanging="368"/>
        <w:spacing w:after="0" w:line="234"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litigation judgments, settlement or other litigation related costs;</w:t>
      </w:r>
    </w:p>
    <w:p>
      <w:pPr>
        <w:ind w:left="1020" w:hanging="368"/>
        <w:spacing w:after="0" w:line="234"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or engagement by regulators;</w:t>
      </w:r>
    </w:p>
    <w:p>
      <w:pPr>
        <w:ind w:left="1020" w:hanging="368"/>
        <w:spacing w:after="0" w:line="234"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tax laws, which may significantly affect our tax rates and taxes due;</w:t>
      </w:r>
    </w:p>
    <w:p>
      <w:pPr>
        <w:ind w:left="1020" w:hanging="368"/>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Tax obligations that may arise from resolutions of tax examinations that may materially differ from the amounts we have anticipated;</w:t>
      </w:r>
    </w:p>
    <w:p>
      <w:pPr>
        <w:spacing w:after="0" w:line="7" w:lineRule="exact"/>
        <w:rPr>
          <w:rFonts w:ascii="Arial" w:cs="Arial" w:eastAsia="Arial" w:hAnsi="Arial"/>
          <w:sz w:val="17"/>
          <w:szCs w:val="17"/>
          <w:color w:val="auto"/>
        </w:rPr>
      </w:pPr>
    </w:p>
    <w:p>
      <w:pPr>
        <w:ind w:left="1020" w:hanging="368"/>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Fluctuations in currency exchange rates and changes in the proportion of our revenue and expenses denominated in foreign currencies;</w:t>
      </w:r>
    </w:p>
    <w:p>
      <w:pPr>
        <w:spacing w:after="0" w:line="18" w:lineRule="exact"/>
        <w:rPr>
          <w:rFonts w:ascii="Arial" w:cs="Arial" w:eastAsia="Arial" w:hAnsi="Arial"/>
          <w:sz w:val="16"/>
          <w:szCs w:val="16"/>
          <w:color w:val="auto"/>
        </w:rPr>
      </w:pPr>
    </w:p>
    <w:p>
      <w:pPr>
        <w:ind w:left="1020" w:hanging="368"/>
        <w:spacing w:after="0" w:line="234"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U.S. GAAP; and</w:t>
      </w:r>
    </w:p>
    <w:p>
      <w:pPr>
        <w:ind w:left="1020" w:hanging="36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global business and macroeconomic conditions.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you should not rely upon our quarterly financial results as indicators of future performance.</w:t>
      </w:r>
    </w:p>
    <w:p>
      <w:pPr>
        <w:spacing w:after="0" w:line="104" w:lineRule="exact"/>
        <w:rPr>
          <w:sz w:val="20"/>
          <w:szCs w:val="20"/>
          <w:color w:val="auto"/>
        </w:rPr>
      </w:pPr>
    </w:p>
    <w:p>
      <w:pPr>
        <w:ind w:firstLine="644"/>
        <w:spacing w:after="0" w:line="271" w:lineRule="auto"/>
        <w:rPr>
          <w:sz w:val="20"/>
          <w:szCs w:val="20"/>
          <w:color w:val="auto"/>
        </w:rPr>
      </w:pPr>
      <w:r>
        <w:rPr>
          <w:rFonts w:ascii="Arial" w:cs="Arial" w:eastAsia="Arial" w:hAnsi="Arial"/>
          <w:sz w:val="16"/>
          <w:szCs w:val="16"/>
          <w:b w:val="1"/>
          <w:bCs w:val="1"/>
          <w:i w:val="1"/>
          <w:iCs w:val="1"/>
          <w:color w:val="auto"/>
        </w:rPr>
        <w:t xml:space="preserve">If we are unable to successfully maintain effective internal control over financial reporting, investors may lose confidence in our reported financial information and our business and our share price may be adversely impacted. </w:t>
      </w:r>
      <w:r>
        <w:rPr>
          <w:rFonts w:ascii="Arial" w:cs="Arial" w:eastAsia="Arial" w:hAnsi="Arial"/>
          <w:sz w:val="16"/>
          <w:szCs w:val="16"/>
          <w:color w:val="auto"/>
        </w:rPr>
        <w:t>As a public company, we are required to maintain internal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over financial reporting and our management is required to evaluate the effectiveness of our internal control over financial reporting as of the end of each fiscal year. If we are not successful in maintaining effective internal control over financial reporting, there could be inaccuracies or omissions in the financial information we file with the SEC. Additionally, even if there are no inaccuracies or omissions, we could be required to publicly disclose our management’s conclusion that our internal control over financial reporting or disclosure controls and procedures are not effective. These events could cause investors to lose confidence in our reported financial information, result in increased costs to remediate any deficiencies, attract regulatory scrutiny or lawsuits that could be costly to resolve and distract management’s attention, limit our ability to access the capital markets, adversely impact our stock price, or cause our stock to be delisted from The Nasdaq or any other securities exchange on which we are then listed.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Tax Matters</w:t>
      </w:r>
    </w:p>
    <w:p>
      <w:pPr>
        <w:spacing w:after="0" w:line="108" w:lineRule="exact"/>
        <w:rPr>
          <w:sz w:val="20"/>
          <w:szCs w:val="20"/>
          <w:color w:val="auto"/>
        </w:rPr>
      </w:pPr>
    </w:p>
    <w:p>
      <w:pPr>
        <w:ind w:right="100" w:firstLine="509"/>
        <w:spacing w:after="0" w:line="271" w:lineRule="auto"/>
        <w:rPr>
          <w:sz w:val="20"/>
          <w:szCs w:val="20"/>
          <w:color w:val="auto"/>
        </w:rPr>
      </w:pPr>
      <w:r>
        <w:rPr>
          <w:rFonts w:ascii="Arial" w:cs="Arial" w:eastAsia="Arial" w:hAnsi="Arial"/>
          <w:sz w:val="16"/>
          <w:szCs w:val="16"/>
          <w:b w:val="1"/>
          <w:bCs w:val="1"/>
          <w:i w:val="1"/>
          <w:iCs w:val="1"/>
          <w:color w:val="auto"/>
        </w:rPr>
        <w:t xml:space="preserve">Our effective income tax rate is impacted by a number of factors that could have a material impact on our financial results and could increase the volatility of those results. </w:t>
      </w:r>
      <w:r>
        <w:rPr>
          <w:rFonts w:ascii="Arial" w:cs="Arial" w:eastAsia="Arial" w:hAnsi="Arial"/>
          <w:sz w:val="16"/>
          <w:szCs w:val="16"/>
          <w:color w:val="auto"/>
        </w:rPr>
        <w:t>Due to the global nature of our business, we are subject to income taxes in the U.S. and other foreign jurisdictions.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event we incur taxable income in certain jurisdictions but incur losses in other jurisdictions, we generally cannot offset the income from one jurisdiction with the loss from another. This lack of flexibility could affect our effective income tax rate. Furthermore, significant judgment is required to calculate our worldwide provision for income taxes and depends on our ability to operate our business in a manner consistent with our corporate structure and intercompany arrangements. In the ordinary course of our business, there are many transactions and calculations where the ultimate tax determination is uncertain. Our future income tax rates could be affected by a number of matters outside of our control, including but not limited to changes in the mix of earnings in countries with differing statutory tax rates, changes in the valuation of deferred tax assets or accounting for share-based compensation. If our effective income tax rates were to increase, our financial results and cash flows would be adversely affected.</w:t>
      </w:r>
    </w:p>
    <w:p>
      <w:pPr>
        <w:spacing w:after="0" w:line="61" w:lineRule="exact"/>
        <w:rPr>
          <w:sz w:val="20"/>
          <w:szCs w:val="20"/>
          <w:color w:val="auto"/>
        </w:rPr>
      </w:pPr>
    </w:p>
    <w:p>
      <w:pPr>
        <w:ind w:right="220" w:firstLine="509"/>
        <w:spacing w:after="0" w:line="322" w:lineRule="auto"/>
        <w:rPr>
          <w:sz w:val="20"/>
          <w:szCs w:val="20"/>
          <w:color w:val="auto"/>
        </w:rPr>
      </w:pPr>
      <w:r>
        <w:rPr>
          <w:rFonts w:ascii="Arial" w:cs="Arial" w:eastAsia="Arial" w:hAnsi="Arial"/>
          <w:sz w:val="15"/>
          <w:szCs w:val="15"/>
          <w:b w:val="1"/>
          <w:bCs w:val="1"/>
          <w:i w:val="1"/>
          <w:iCs w:val="1"/>
          <w:color w:val="auto"/>
        </w:rPr>
        <w:t xml:space="preserve">Application of U.S. state and local or international tax laws, changes in tax laws or tax rulings, or the examination of our tax positions, could materially affect our financial position and results of operations. </w:t>
      </w:r>
      <w:r>
        <w:rPr>
          <w:rFonts w:ascii="Arial" w:cs="Arial" w:eastAsia="Arial" w:hAnsi="Arial"/>
          <w:sz w:val="15"/>
          <w:szCs w:val="15"/>
          <w:color w:val="auto"/>
        </w:rPr>
        <w:t>As an international business, we are subject to income taxes and non-income-based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taxes in the U.S. and various other international jurisdictions. Tax laws are subject to change as new laws are passed and new interpretations of the laws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5" w:name="page26"/>
    <w:bookmarkEnd w:id="25"/>
    <w:p>
      <w:pPr>
        <w:spacing w:after="0" w:line="239" w:lineRule="auto"/>
        <w:rPr>
          <w:sz w:val="20"/>
          <w:szCs w:val="20"/>
          <w:color w:val="auto"/>
        </w:rPr>
      </w:pPr>
      <w:r>
        <w:rPr>
          <w:rFonts w:ascii="Arial" w:cs="Arial" w:eastAsia="Arial" w:hAnsi="Arial"/>
          <w:sz w:val="18"/>
          <w:szCs w:val="18"/>
          <w:color w:val="auto"/>
        </w:rPr>
        <w:t>are issued or applied. Due to economic and political conditions, tax rates and tax regimes may be subject to significant change and the tax benefits that we intend to eventually derive could be undermined due to changing tax laws. Governments are increasingly focused on ways to increase tax revenues, which has contributed to more aggressive positions taken by tax authorities and an increase in tax legislation. Any such additional taxes or other assessments may be in excess of our current tax provisions or may require us to modify our business practices in order to reduce our exposure to additional taxes going forward, any of which could have a material adverse effect on our business, results of operations and financial condition. Any changes to international tax laws or any additional reporting requirements may increase the complexity and costs associated with tax compliance and adversely affect our cash flows and results of operations.</w:t>
      </w:r>
    </w:p>
    <w:p>
      <w:pPr>
        <w:spacing w:after="0" w:line="83"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The Organization for Economic Cooperation and Development (“OECD”) has been working on a Base Erosion and Profit Shifting Project and has issued various reports, guidelines, policy notes, and proposals that if adopted could result in an overhaul of the international taxation system under which our current tax obligations are determined. In October 2021, more than 130 countries tentatively signed on to a framework, expected to be implemented in 2023, which calls for a minimum tax rate on corporations of 15% and a reallocation of profits from the largest and most profitable businesses to countries where they make sales. The proposed framework, once enacted, envisages new international tax rules and the removal of all digital services taxes. As this framework is subject to further negotiation and implementation by each member country, the timing and ultimate impact of any such changes on our tax obligations is uncertain. As the OECD/G20 continues to drive toward a consensus framework, several countries which have previously enacted unilateral digital services tax initiatives, such as France, Italy, Spain, and the U.K., will continue to impose these revenue based taxes until implementation of the consensus framework. During the years ended December 31, 2021 and 2020, we recorded $1 million and $2 million, respectively, of digital service tax to general and administrative expense on our consolidated statements of operations.</w:t>
      </w:r>
    </w:p>
    <w:p>
      <w:pPr>
        <w:spacing w:after="0" w:line="72"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We are routinely under audit by federal, state and foreign taxing authorities. The ultimate outcome of these examinations (including the Internal Revenue Service (“IRS") audit described below) cannot be predicted with certainty but could be materially different from our income tax provisions and accruals and could have a material effect on our results of operations or cash flows in the period or periods for which that determination is made. Should the IRS or other taxing authorities assess additional taxes as a result of examinations, we may be required to record charges to our results of operations, which could harm our operating results and financial condition.</w:t>
      </w:r>
    </w:p>
    <w:p>
      <w:pPr>
        <w:spacing w:after="0" w:line="81" w:lineRule="exact"/>
        <w:rPr>
          <w:sz w:val="20"/>
          <w:szCs w:val="20"/>
          <w:color w:val="auto"/>
        </w:rPr>
      </w:pPr>
    </w:p>
    <w:p>
      <w:pPr>
        <w:ind w:right="20" w:firstLine="494"/>
        <w:spacing w:after="0" w:line="268" w:lineRule="auto"/>
        <w:rPr>
          <w:sz w:val="20"/>
          <w:szCs w:val="20"/>
          <w:color w:val="auto"/>
        </w:rPr>
      </w:pPr>
      <w:r>
        <w:rPr>
          <w:rFonts w:ascii="Arial" w:cs="Arial" w:eastAsia="Arial" w:hAnsi="Arial"/>
          <w:sz w:val="16"/>
          <w:szCs w:val="16"/>
          <w:b w:val="1"/>
          <w:bCs w:val="1"/>
          <w:i w:val="1"/>
          <w:iCs w:val="1"/>
          <w:color w:val="auto"/>
        </w:rPr>
        <w:t xml:space="preserve">Changes in the tax treatment of companies engaged in e-commerce may adversely affect the commercial use of our platform and our financial results. </w:t>
      </w:r>
      <w:r>
        <w:rPr>
          <w:rFonts w:ascii="Arial" w:cs="Arial" w:eastAsia="Arial" w:hAnsi="Arial"/>
          <w:sz w:val="16"/>
          <w:szCs w:val="16"/>
          <w:color w:val="auto"/>
        </w:rPr>
        <w:t>Tax authorities at the international, federal, state and local levels are currently reviewing the appropriate treatment of companies engaged in e-commerce and it is possible that various jurisdictions may attempt to levy additional or new sales, income or other taxes relating to our activities. For example, Congress is considering various approaches to legislation that would require companies engaged in e-commerce to collect sales tax on internet revenue and a growing number of U.S. states and certain foreign jurisdictions have adopted or are considering proposals to impose obligations on remote sellers and online marketplaces to collect taxes on their behalf. Additionally, the U.S. Supreme Court’s ruling in South Dakota v. Wayfair Inc., in which a Court reversed longstanding precedent that remote sellers are not required to collect state and local sales taxes, may have an adverse impact on our business. Also, as described in more detail above, certain U.S. states and countries in which we do business have enacted or proposed digital services tax initiatives. New or revised international, federal, state or local tax regulations or court decisions may subject us or our customers to additional sales, occupancy, income and other taxes. We cannot predict the effect of these and other attempts to impose sales, income or other taxes on e-commerce; however, new or revised taxes and, in particular, sales taxes, occupancy taxes, value added taxes (“VAT”), and similar taxes would likely increase the cost of doing business online and decrease the attractiveness of selling products and services over the internet. New taxes could also create significant increases in internal costs necessary to capture data and collect and remit taxes. Any of these events could have a material adverse effect on our business, financial results and financial condition.</w:t>
      </w:r>
    </w:p>
    <w:p>
      <w:pPr>
        <w:spacing w:after="0" w:line="67" w:lineRule="exact"/>
        <w:rPr>
          <w:sz w:val="20"/>
          <w:szCs w:val="20"/>
          <w:color w:val="auto"/>
        </w:rPr>
      </w:pPr>
    </w:p>
    <w:p>
      <w:pPr>
        <w:ind w:firstLine="494"/>
        <w:spacing w:after="0"/>
        <w:rPr>
          <w:sz w:val="20"/>
          <w:szCs w:val="20"/>
          <w:color w:val="auto"/>
        </w:rPr>
      </w:pPr>
      <w:r>
        <w:rPr>
          <w:rFonts w:ascii="Arial" w:cs="Arial" w:eastAsia="Arial" w:hAnsi="Arial"/>
          <w:sz w:val="18"/>
          <w:szCs w:val="18"/>
          <w:b w:val="1"/>
          <w:bCs w:val="1"/>
          <w:i w:val="1"/>
          <w:iCs w:val="1"/>
          <w:color w:val="auto"/>
        </w:rPr>
        <w:t xml:space="preserve">Taxing authorities may successfully assert that we should have collected or in the future should collect sales and use, occupancy, VAT or similar taxes, and we could be subject to liability with respect to past or future sales, which could adversely affect our operating results. </w:t>
      </w:r>
      <w:r>
        <w:rPr>
          <w:rFonts w:ascii="Arial" w:cs="Arial" w:eastAsia="Arial" w:hAnsi="Arial"/>
          <w:sz w:val="18"/>
          <w:szCs w:val="18"/>
          <w:color w:val="auto"/>
        </w:rPr>
        <w:t>We do not collect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remit sales and use, occupancy, VAT or similar taxes in all jurisdictions in which we have sales, based on our belief that such taxes are not applicable or legally required. Several states and other taxing jurisdictions have presented or threatened us with assessments, alleging that we are required to collect and remit certain taxes there. While we do not believe that we are subject to such taxes and intend to vigorously defend our position in these cases, we cannot be sure of the</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26" w:name="page27"/>
    <w:bookmarkEnd w:id="26"/>
    <w:p>
      <w:pPr>
        <w:spacing w:after="0" w:line="241" w:lineRule="auto"/>
        <w:rPr>
          <w:sz w:val="20"/>
          <w:szCs w:val="20"/>
          <w:color w:val="auto"/>
        </w:rPr>
      </w:pPr>
      <w:r>
        <w:rPr>
          <w:rFonts w:ascii="Arial" w:cs="Arial" w:eastAsia="Arial" w:hAnsi="Arial"/>
          <w:sz w:val="18"/>
          <w:szCs w:val="18"/>
          <w:color w:val="auto"/>
        </w:rPr>
        <w:t>outcome of our discussions and/or appeals with these states. In the event of an adverse outcome, we could face assessments, plus any additional interest and penalties. We also expect additional jurisdictions may make similar assessments or pass similar new laws in the future, and any of the jurisdictions where we have sales may apply more rigorous enforcement efforts or take more aggressive positions in the future that could result in greater tax liability allegations. Such tax assessments, penalties and interest or future requirements may materially adversely affect our business, financial condition and operating results.</w:t>
      </w:r>
    </w:p>
    <w:p>
      <w:pPr>
        <w:spacing w:after="0" w:line="81"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b w:val="1"/>
          <w:bCs w:val="1"/>
          <w:i w:val="1"/>
          <w:iCs w:val="1"/>
          <w:color w:val="auto"/>
        </w:rPr>
        <w:t xml:space="preserve">We continue to be subject to significant potential tax liabilities in connection with the Spin-Off. </w:t>
      </w:r>
      <w:r>
        <w:rPr>
          <w:rFonts w:ascii="Arial" w:cs="Arial" w:eastAsia="Arial" w:hAnsi="Arial"/>
          <w:sz w:val="16"/>
          <w:szCs w:val="16"/>
          <w:color w:val="auto"/>
        </w:rPr>
        <w:t>Under the Tax Sharing Agreement between us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Expedia entered into in connection with the Spin-Off, we are generally required to indemnify Expedia for any taxes resulting from the Spin-Off (and any related interest, penalties, legal and professional fees, and all costs and damages associated with related stockholder litigation or controversies). We continue to be responsible for potential tax liabilities in connection with consolidated income tax returns filed with Expedia prior to or in connection with the Spin-Off. By virtue of previously filed consolidated tax returns with Expedia, we are currently under IRS audit for the 2009, 2010, and short-period 2011 tax years and, in connection with that audit, have received Notices of Proposed Adjustment from the IRS which would result in an increase in our worldwide income tax expense. We have requested competent authority assistance under the Mutual Agreement Procedure (“MAP”) for tax years 2009 through 2011. We expect the competent authorities to present a resolution for the 2009 through 2011 tax years in the near future. Upon receipt, we will assess the resolution provided by the competent authorities as well as its impact on our existing income tax reserves for all open subsequent years. The outcome of these matters or any other audits could subject us to significant tax liabilities. Refer to “Note 12: </w:t>
      </w:r>
      <w:r>
        <w:rPr>
          <w:rFonts w:ascii="Arial" w:cs="Arial" w:eastAsia="Arial" w:hAnsi="Arial"/>
          <w:sz w:val="16"/>
          <w:szCs w:val="16"/>
          <w:i w:val="1"/>
          <w:iCs w:val="1"/>
          <w:color w:val="auto"/>
        </w:rPr>
        <w:t>Income Taxes</w:t>
      </w:r>
      <w:r>
        <w:rPr>
          <w:rFonts w:ascii="Arial" w:cs="Arial" w:eastAsia="Arial" w:hAnsi="Arial"/>
          <w:sz w:val="16"/>
          <w:szCs w:val="16"/>
          <w:color w:val="auto"/>
        </w:rPr>
        <w:t>” in the notes to our consolidated financial statements in Item 8 on this Annual Report on Form 10-K for further information on this IRS audit.</w:t>
      </w:r>
    </w:p>
    <w:p>
      <w:pPr>
        <w:spacing w:after="0" w:line="59"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b w:val="1"/>
          <w:bCs w:val="1"/>
          <w:i w:val="1"/>
          <w:iCs w:val="1"/>
          <w:color w:val="auto"/>
        </w:rPr>
        <w:t xml:space="preserve">We face risks associated with fluctuations in foreign currency exchange rates. </w:t>
      </w:r>
      <w:r>
        <w:rPr>
          <w:rFonts w:ascii="Arial" w:cs="Arial" w:eastAsia="Arial" w:hAnsi="Arial"/>
          <w:sz w:val="16"/>
          <w:szCs w:val="16"/>
          <w:color w:val="auto"/>
        </w:rPr>
        <w:t>As a result, we face exposure to movements in foreign currency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rates including, but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 For example, in the event that one or more European countries were to replace the Euro with another currency, our sales into such countries, or into Europe generally, would likely be adversely affected until stable exchange rates are established. Accordingly, fluctuations in foreign currency exchange rates, such as the strengthening of the U.S. dollar against the Euro or the British pound, could adversely affect our net revenue growth in future periods.</w:t>
      </w:r>
    </w:p>
    <w:p>
      <w:pPr>
        <w:spacing w:after="0" w:line="55"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In the event of severe volatility in exchange rates, the impact of these exposures can increase and the impact on results of operations can be more pronounced. In addition, the current environment and the increasingly global nature of our business have made hedging these exposures more complex. We hedge certain short-term foreign currency exposures with the purchase of forward exchange contracts. These forward exchange contracts only help mitigate the impact of changes in foreign currency rates that occur during the term of the related contract period and carry risks of counter-party failure. There can be no assurance that our forward exchange contracts will have their intended effects.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Common Stock</w:t>
      </w:r>
    </w:p>
    <w:p>
      <w:pPr>
        <w:spacing w:after="0" w:line="108"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b w:val="1"/>
          <w:bCs w:val="1"/>
          <w:i w:val="1"/>
          <w:iCs w:val="1"/>
          <w:color w:val="auto"/>
        </w:rPr>
        <w:t xml:space="preserve">Liberty TripAdvisor Holdings, Inc. currently is a controlling stockholder. </w:t>
      </w:r>
      <w:r>
        <w:rPr>
          <w:rFonts w:ascii="Arial" w:cs="Arial" w:eastAsia="Arial" w:hAnsi="Arial"/>
          <w:sz w:val="18"/>
          <w:szCs w:val="18"/>
          <w:color w:val="auto"/>
        </w:rPr>
        <w:t>Liberty TripAdvisor Holdings, Inc., or LTRIP, effectively controls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outcome of all matters submitted to a vote or for the consent of our stockholders (other than with respect to the election by the holders of our common stock of 25% of the members of our Board of Directors and matters as to which Delaware law requires separate class votes). Our Chairman, Gregory Maffei, and Directors Greg O’Hara and Albert Rosenthaler, also serve as officers and directors of LTRIP. LTRIP may have interests that differ from those of our other stockholders and may vote in a way with which our other stockholders may not agree or that may be adverse to other stockholders’ interests. LTRIP is not restricted from investing in other businesses related to our business. LTRIP’s control of us, as well as the provisions of our organizational documents and Delaware law, may discourage or prevent a change of control that might otherwise be beneficial, which may reduce the market price of our common stock.</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7" w:name="page28"/>
    <w:bookmarkEnd w:id="27"/>
    <w:p>
      <w:pPr>
        <w:ind w:right="680" w:firstLine="509"/>
        <w:spacing w:after="0" w:line="261" w:lineRule="auto"/>
        <w:rPr>
          <w:sz w:val="20"/>
          <w:szCs w:val="20"/>
          <w:color w:val="auto"/>
        </w:rPr>
      </w:pPr>
      <w:r>
        <w:rPr>
          <w:rFonts w:ascii="Arial" w:cs="Arial" w:eastAsia="Arial" w:hAnsi="Arial"/>
          <w:sz w:val="18"/>
          <w:szCs w:val="18"/>
          <w:b w:val="1"/>
          <w:bCs w:val="1"/>
          <w:i w:val="1"/>
          <w:iCs w:val="1"/>
          <w:color w:val="auto"/>
        </w:rPr>
        <w:t xml:space="preserve">The market price and trading volume of our common stock has experienced, and could continue to experience in the future, substantial volatility. </w:t>
      </w:r>
      <w:r>
        <w:rPr>
          <w:rFonts w:ascii="Arial" w:cs="Arial" w:eastAsia="Arial" w:hAnsi="Arial"/>
          <w:sz w:val="18"/>
          <w:szCs w:val="18"/>
          <w:color w:val="auto"/>
        </w:rPr>
        <w:t>The market price of our common stock is affected by a number of factors, including:</w:t>
      </w:r>
    </w:p>
    <w:p>
      <w:pPr>
        <w:spacing w:after="0" w:line="63" w:lineRule="exact"/>
        <w:rPr>
          <w:sz w:val="20"/>
          <w:szCs w:val="20"/>
          <w:color w:val="auto"/>
        </w:rPr>
      </w:pPr>
    </w:p>
    <w:p>
      <w:pPr>
        <w:ind w:left="1020" w:hanging="368"/>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11" w:lineRule="exact"/>
        <w:rPr>
          <w:rFonts w:ascii="Arial" w:cs="Arial" w:eastAsia="Arial" w:hAnsi="Arial"/>
          <w:sz w:val="18"/>
          <w:szCs w:val="18"/>
          <w:color w:val="auto"/>
        </w:rPr>
      </w:pPr>
    </w:p>
    <w:p>
      <w:pPr>
        <w:ind w:left="1020" w:hanging="368"/>
        <w:spacing w:after="0" w:line="234"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ind w:left="1020" w:hanging="368"/>
        <w:spacing w:after="0" w:line="234"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meet market expectations;</w:t>
      </w:r>
    </w:p>
    <w:p>
      <w:pPr>
        <w:ind w:left="1020" w:hanging="368"/>
        <w:spacing w:after="0" w:line="234"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ind w:left="1020" w:hanging="368"/>
        <w:spacing w:after="0" w:line="234"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Repurchases of our common stock;</w:t>
      </w:r>
    </w:p>
    <w:p>
      <w:pPr>
        <w:ind w:left="1020" w:hanging="368"/>
        <w:spacing w:after="0" w:line="234"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in our industry, including changes in governmental regulations; and</w:t>
      </w:r>
    </w:p>
    <w:p>
      <w:pPr>
        <w:ind w:left="1020" w:hanging="368"/>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market conditions and other factors.</w:t>
      </w:r>
    </w:p>
    <w:p>
      <w:pPr>
        <w:spacing w:after="0" w:line="88"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In the past, the stock market has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foreign currency exchange fluctuations, may negatively impact the market price of our common stock regardless of our actual operating performance.</w:t>
      </w:r>
    </w:p>
    <w:p>
      <w:pPr>
        <w:spacing w:after="0" w:line="47" w:lineRule="exact"/>
        <w:rPr>
          <w:sz w:val="20"/>
          <w:szCs w:val="20"/>
          <w:color w:val="auto"/>
        </w:rPr>
      </w:pPr>
    </w:p>
    <w:p>
      <w:pPr>
        <w:ind w:right="160" w:firstLine="509"/>
        <w:spacing w:after="0" w:line="254" w:lineRule="auto"/>
        <w:rPr>
          <w:sz w:val="20"/>
          <w:szCs w:val="20"/>
          <w:color w:val="auto"/>
        </w:rPr>
      </w:pPr>
      <w:r>
        <w:rPr>
          <w:rFonts w:ascii="Arial" w:cs="Arial" w:eastAsia="Arial" w:hAnsi="Arial"/>
          <w:sz w:val="17"/>
          <w:szCs w:val="17"/>
          <w:b w:val="1"/>
          <w:bCs w:val="1"/>
          <w:i w:val="1"/>
          <w:iCs w:val="1"/>
          <w:color w:val="auto"/>
        </w:rPr>
        <w:t xml:space="preserve">We are currently relying on the “controlled company” exemption under Nasdaq Stock Market Listing Rules, pursuant to which “controlled companies” are exempt from certain corporate governance requirements otherwise applicable under Nasdaq listing rules. </w:t>
      </w:r>
      <w:r>
        <w:rPr>
          <w:rFonts w:ascii="Arial" w:cs="Arial" w:eastAsia="Arial" w:hAnsi="Arial"/>
          <w:sz w:val="17"/>
          <w:szCs w:val="17"/>
          <w:color w:val="auto"/>
        </w:rPr>
        <w:t>The Nasdaq Stock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Listing Rules exempt “controlled companies,” or companies of which more than 50% of the voting power is held by an individual, a group or another company, from certain corporate governance requirements. We currently rely on the controlled company exemption for certain of the above requirements, including the requirement that director nominees be selected or recommended to the Board of Directors by a majority of its independent directors or by a nominating committee that is composed entirely of independent directors.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73"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b w:val="1"/>
          <w:bCs w:val="1"/>
          <w:i w:val="1"/>
          <w:iCs w:val="1"/>
          <w:color w:val="auto"/>
        </w:rPr>
        <w:t xml:space="preserve">We do not pay regular quarterly or annual cash dividends on our stock. </w:t>
      </w:r>
      <w:r>
        <w:rPr>
          <w:rFonts w:ascii="Arial" w:cs="Arial" w:eastAsia="Arial" w:hAnsi="Arial"/>
          <w:sz w:val="18"/>
          <w:szCs w:val="18"/>
          <w:color w:val="auto"/>
        </w:rPr>
        <w:t>Any determination to pay dividends is at the discretion of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and will depend on our results of operations, earnings, capital requirements, financial condition, future prospects, contractual restrictions and other factors deemed relevant by our Board of Directors. Therefore, investors should not rely on regular quarterly or annual dividend income from shares of our common stock and investors should not rely on special dividends with any regularity or at all.</w:t>
      </w:r>
    </w:p>
    <w:p>
      <w:pPr>
        <w:spacing w:after="0" w:line="80"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b w:val="1"/>
          <w:bCs w:val="1"/>
          <w:i w:val="1"/>
          <w:iCs w:val="1"/>
          <w:color w:val="auto"/>
        </w:rPr>
        <w:t xml:space="preserve">Future sales of shares of our common stock in the public market, or the perception that such sales may occur, may depress our stock price. </w:t>
      </w:r>
      <w:r>
        <w:rPr>
          <w:rFonts w:ascii="Arial" w:cs="Arial" w:eastAsia="Arial" w:hAnsi="Arial"/>
          <w:sz w:val="16"/>
          <w:szCs w:val="16"/>
          <w:color w:val="auto"/>
        </w:rPr>
        <w:t>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substantial amounts of our common stock in the public market, particularly sales by our directors, officers, employees and significant stockholders, or the perception that these sales might occur, could depress the market price of our common stock and could impact our ability to raise capital through the sale of additional securities. In addition, certain stockholders have rights, subject to some conditions, to require us to file registration statements covering their shares or to include their shares in registration statements that we may file for ourselves or other stockholders. A decline in the price of shares of our common stock might impede our ability to raise capital through the issuance of additional shares of our common stock or other equity securities.</w:t>
      </w:r>
    </w:p>
    <w:p>
      <w:pPr>
        <w:spacing w:after="0" w:line="53"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include:</w:t>
      </w:r>
    </w:p>
    <w:p>
      <w:pPr>
        <w:spacing w:after="0" w:line="104" w:lineRule="exact"/>
        <w:rPr>
          <w:sz w:val="20"/>
          <w:szCs w:val="20"/>
          <w:color w:val="auto"/>
        </w:rPr>
      </w:pPr>
    </w:p>
    <w:p>
      <w:pPr>
        <w:ind w:left="1020" w:hanging="36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Authorization and issuance of Class B common stock that entitles holders to ten votes per share;</w:t>
      </w:r>
    </w:p>
    <w:p>
      <w:pPr>
        <w:spacing w:after="0" w:line="11" w:lineRule="exact"/>
        <w:rPr>
          <w:rFonts w:ascii="Arial" w:cs="Arial" w:eastAsia="Arial" w:hAnsi="Arial"/>
          <w:sz w:val="18"/>
          <w:szCs w:val="18"/>
          <w:color w:val="auto"/>
        </w:rPr>
      </w:pPr>
    </w:p>
    <w:p>
      <w:pPr>
        <w:ind w:left="1020" w:right="660" w:hanging="368"/>
        <w:spacing w:after="0" w:line="234"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Authorization of the issuance of preferred stock which can be created and issued by the Board of Directors without prior stockholder approval, with rights senior to those of our common stock;</w:t>
      </w:r>
    </w:p>
    <w:p>
      <w:pPr>
        <w:spacing w:after="0" w:line="1" w:lineRule="exact"/>
        <w:rPr>
          <w:rFonts w:ascii="Arial" w:cs="Arial" w:eastAsia="Arial" w:hAnsi="Arial"/>
          <w:sz w:val="18"/>
          <w:szCs w:val="18"/>
          <w:color w:val="auto"/>
        </w:rPr>
      </w:pPr>
    </w:p>
    <w:p>
      <w:pPr>
        <w:ind w:left="1020" w:hanging="368"/>
        <w:spacing w:after="0" w:line="234"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Prohibition of our stockholders to fill board vacancies or call special stockholder meetings; and</w:t>
      </w:r>
    </w:p>
    <w:p>
      <w:pPr>
        <w:ind w:left="1020" w:hanging="36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who may call special meetings of stockholders.</w:t>
      </w:r>
    </w:p>
    <w:p>
      <w:pPr>
        <w:spacing w:after="0" w:line="88"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These and other provisions in our certificate of incorporation, bylaws and Delaware law could make it more difficult for stockholders or potential acquirers to obtain control of our Board of Directors or initiate actions that are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 w:name="page29"/>
    <w:bookmarkEnd w:id="28"/>
    <w:p>
      <w:pPr>
        <w:ind w:right="320"/>
        <w:spacing w:after="0" w:line="291" w:lineRule="auto"/>
        <w:rPr>
          <w:sz w:val="20"/>
          <w:szCs w:val="20"/>
          <w:color w:val="auto"/>
        </w:rPr>
      </w:pPr>
      <w:r>
        <w:rPr>
          <w:rFonts w:ascii="Arial" w:cs="Arial" w:eastAsia="Arial" w:hAnsi="Arial"/>
          <w:sz w:val="17"/>
          <w:szCs w:val="17"/>
          <w:color w:val="auto"/>
        </w:rPr>
        <w:t>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As of December 31, 2021, we do not own any real estate. We lease approximately 280,000 square feet of office space for our corporate headquarters in Needham, Massachusetts, or Headquarters Lease. Our Headquarters Lease, has an expiration date of December 2030, with an option to extend the lease term for two consecutive terms of five years each. We also lease an aggregate of approximately 430,000 square feet of office space at approximately 35 locations across North America, Europe, Asia Pacific and South America, in cities such as New York, London, Sydney, Barcelona, Buenos Aires and Paris, primarily used as sales offices, subsidiary headquarters, and for international operations, pursuant to leases with various expiration dates. We believe that our current facilities are adequate for our current operations and that additional leased space can be obtained on reasonable terms if needed.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 xml:space="preserve">Refer to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notes to the consolidated financial statements in Part II, Item 8 on this Annual Report on Form 10-K, for further information on our legal proceedings. For an additional discussion of certain risks associated with legal proceedings, see “Risk Factors” in Part I, Item 1A on this Annual Report on Form 10-K.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right="1980"/>
        <w:spacing w:after="0" w:line="36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Our common stock is quoted on The Nasdaq under the ticker symbol “TRIP.” Our Class B common stock is not listed and there is no established public trading market for that security. As of February 11, 2022, all of our Class B common stock was held by LTRIP.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Comparison Graph</w:t>
      </w:r>
    </w:p>
    <w:p>
      <w:pPr>
        <w:spacing w:after="0" w:line="10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The following graph provides a comparison of the total stockholder return from December 31, 2016 to December 31, 2021, of an investment of $100 in cash on December 31, 2016 for Tripadvisor, Inc. common stock and an investment of $100 in cash on December 31, 2015 for (i) the Standard and Poor’s 500 Index (the “S&amp;P 500 Index”), (ii) The Nasdaq Composite Index, and (iii) the Research Data Group (“RDG”) Internet Composite Index. The RDG Internet Composite Index is an index of stocks representing the internet industry, including internet software and service companies and e-commerce companies. The stock price performance shown on the graph below is not necessarily indicative of future price performance. Data for the S&amp;P 500 Index, The Nasdaq Composite Index, and the RDG Internet Composite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51435</wp:posOffset>
            </wp:positionV>
            <wp:extent cx="5349240" cy="4465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446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ind w:right="620" w:firstLine="509"/>
        <w:spacing w:after="0" w:line="261" w:lineRule="auto"/>
        <w:rPr>
          <w:sz w:val="20"/>
          <w:szCs w:val="20"/>
          <w:color w:val="auto"/>
        </w:rPr>
      </w:pPr>
      <w:r>
        <w:rPr>
          <w:rFonts w:ascii="Arial" w:cs="Arial" w:eastAsia="Arial" w:hAnsi="Arial"/>
          <w:sz w:val="18"/>
          <w:szCs w:val="18"/>
          <w:i w:val="1"/>
          <w:iCs w:val="1"/>
          <w:color w:val="auto"/>
        </w:rPr>
        <w:t>This performance comparison graph is not “soliciting material,” is not deemed filed with the SEC and is not deemed to be incorporated by reference into any filing of Tripadvisor, Inc. under the Securities Act or any filing under the Exchange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08"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As of February 11, 2022, there were 125,873,185 outstanding shares of our common stock held by 1,916 stockholders of record, and 12,799,999 outstanding shares of our Class B common stock held by one stockholder of record: LTRIP.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While the Company did pay a special cash dividend of $3.50 per share to stockholders, or approximately $488 million in the aggregate, on December 4, 2019, we did not declare or pay any dividends during the years ended December 31, 2021 or 2020. Any determination to pay dividends in the future will be at the discretion of our Board of Directors and will depend on our results of operations, earnings, capital requirements, financial condition, future prospects, contractual restrictions and other factors deemed relevant by our Board of Directors. In addition, our ability to pay dividends was also limited by the terms of our Credit Agreement and our 2025 Indenture. Therefore, investors should not rely on regular quarterly or annual dividend income from shares of our common stock and investors should not rely on special dividends with any regularity, or at all. Investors should rely on sales of their common stock after price appreciation, which may never occur, as the only way to realize future gains on their investments.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16"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information required under this item is incorporated herein by reference to our 2022 Proxy Statement, which proxy statement will be filed with the Securities and Exchange Commission not later than 120 days after the close of our fiscal year ended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16" w:lineRule="exact"/>
        <w:rPr>
          <w:sz w:val="20"/>
          <w:szCs w:val="20"/>
          <w:color w:val="auto"/>
        </w:rPr>
      </w:pPr>
    </w:p>
    <w:p>
      <w:pPr>
        <w:ind w:right="400" w:firstLine="509"/>
        <w:spacing w:after="0" w:line="291" w:lineRule="auto"/>
        <w:rPr>
          <w:sz w:val="20"/>
          <w:szCs w:val="20"/>
          <w:color w:val="auto"/>
        </w:rPr>
      </w:pPr>
      <w:r>
        <w:rPr>
          <w:rFonts w:ascii="Arial" w:cs="Arial" w:eastAsia="Arial" w:hAnsi="Arial"/>
          <w:sz w:val="17"/>
          <w:szCs w:val="17"/>
          <w:color w:val="auto"/>
        </w:rPr>
        <w:t>During the quarter ended December 31, 2021, we did not issue or sell any shares of our common stock, Class B common stock or other equity securities pursuant to unregistered transactions in reliance upon an exemption from the registration requirements of the Securities Act.</w:t>
      </w:r>
    </w:p>
    <w:p>
      <w:pPr>
        <w:spacing w:after="0" w:line="39"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 xml:space="preserve">In March 2021, we completed the sale of $345 million of 2026 Senior Notes. Refer to “Note 10: </w:t>
      </w:r>
      <w:r>
        <w:rPr>
          <w:rFonts w:ascii="Arial" w:cs="Arial" w:eastAsia="Arial" w:hAnsi="Arial"/>
          <w:sz w:val="18"/>
          <w:szCs w:val="18"/>
          <w:i w:val="1"/>
          <w:iCs w:val="1"/>
          <w:color w:val="auto"/>
        </w:rPr>
        <w:t>Debt</w:t>
      </w:r>
      <w:r>
        <w:rPr>
          <w:rFonts w:ascii="Arial" w:cs="Arial" w:eastAsia="Arial" w:hAnsi="Arial"/>
          <w:sz w:val="18"/>
          <w:szCs w:val="18"/>
          <w:color w:val="auto"/>
        </w:rPr>
        <w:t>” in the notes to the consolidated financial statements in Item 8 on this Annual Report on Form 10-K for further information about our 2026 Senior Notes.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6"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During the quarter ended December 31, 2021, we did not repurchase any shares of our common stock under our existing share repurchase program. As of December 31, 2021, we had $75 million remaining available to repurchase shares of our common stock under our previously authorized share repurchase program.</w:t>
      </w:r>
    </w:p>
    <w:p>
      <w:pPr>
        <w:spacing w:after="0" w:line="18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 xml:space="preserve">While the Board of Directors has not suspended or terminated the share repurchase program, the terms of our Credit Agreement limit the Company from engaging in share repurchases and the terms of our 2025 Indenture related to our 2025 Senior Notes impose certain limitations and restrictions on share repurchases. Refer to “Note 10: </w:t>
      </w:r>
      <w:r>
        <w:rPr>
          <w:rFonts w:ascii="Arial" w:cs="Arial" w:eastAsia="Arial" w:hAnsi="Arial"/>
          <w:sz w:val="18"/>
          <w:szCs w:val="18"/>
          <w:i w:val="1"/>
          <w:iCs w:val="1"/>
          <w:color w:val="auto"/>
        </w:rPr>
        <w:t>Debt</w:t>
      </w:r>
      <w:r>
        <w:rPr>
          <w:rFonts w:ascii="Arial" w:cs="Arial" w:eastAsia="Arial" w:hAnsi="Arial"/>
          <w:sz w:val="18"/>
          <w:szCs w:val="18"/>
          <w:color w:val="auto"/>
        </w:rPr>
        <w:t>” in the notes to the consolidated financial statements in Item 8 on this Annual Report on Form 10-K for further information about our Credit Agreement and our 2025 Indenture.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324" w:lineRule="exact"/>
        <w:rPr>
          <w:sz w:val="20"/>
          <w:szCs w:val="20"/>
          <w:color w:val="auto"/>
        </w:rPr>
      </w:pPr>
    </w:p>
    <w:p>
      <w:pPr>
        <w:ind w:right="100" w:firstLine="509"/>
        <w:spacing w:after="0" w:line="324" w:lineRule="auto"/>
        <w:rPr>
          <w:sz w:val="20"/>
          <w:szCs w:val="20"/>
          <w:color w:val="auto"/>
        </w:rPr>
      </w:pPr>
      <w:r>
        <w:rPr>
          <w:rFonts w:ascii="Arial" w:cs="Arial" w:eastAsia="Arial" w:hAnsi="Arial"/>
          <w:sz w:val="16"/>
          <w:szCs w:val="16"/>
          <w:color w:val="auto"/>
        </w:rPr>
        <w:t>The following discussion and analysis provides information concerning our results of operations and financial condition. This discussion should be read in conjunction with our accompanying consolidated financial statements and the notes in Item 8 on this Annual Report on Form 10-K.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60" w:firstLine="509"/>
        <w:spacing w:after="0" w:line="235" w:lineRule="auto"/>
        <w:rPr>
          <w:sz w:val="20"/>
          <w:szCs w:val="20"/>
          <w:color w:val="auto"/>
        </w:rPr>
      </w:pPr>
      <w:r>
        <w:rPr>
          <w:rFonts w:ascii="Arial" w:cs="Arial" w:eastAsia="Arial" w:hAnsi="Arial"/>
          <w:sz w:val="18"/>
          <w:szCs w:val="18"/>
          <w:color w:val="auto"/>
        </w:rPr>
        <w:t>Tripadvisor operates the world’s largest travel guidance platform, connecting a global audience of prospective travelers with travel partners through rich content, price comparison tools, and online reservation and related services for destinations, accommodations, travel activities and experiences, and restaurants. Our mission is to help people around the world plan, book and experience the perfect trip.</w:t>
      </w:r>
    </w:p>
    <w:p>
      <w:pPr>
        <w:spacing w:after="0" w:line="175" w:lineRule="exact"/>
        <w:rPr>
          <w:sz w:val="20"/>
          <w:szCs w:val="20"/>
          <w:color w:val="auto"/>
        </w:rPr>
      </w:pPr>
    </w:p>
    <w:p>
      <w:pPr>
        <w:ind w:right="20" w:firstLine="509"/>
        <w:spacing w:after="0" w:line="231" w:lineRule="auto"/>
        <w:rPr>
          <w:sz w:val="20"/>
          <w:szCs w:val="20"/>
          <w:color w:val="auto"/>
        </w:rPr>
      </w:pPr>
      <w:r>
        <w:rPr>
          <w:rFonts w:ascii="Arial" w:cs="Arial" w:eastAsia="Arial" w:hAnsi="Arial"/>
          <w:sz w:val="18"/>
          <w:szCs w:val="18"/>
          <w:color w:val="auto"/>
        </w:rPr>
        <w:t>In 2000, under our flagship brand Tripadvisor, we launched www.Tripadvisor.com in the U.S. Since then, we have built a portfolio of travel guidance brands and businesses, seamlessly connecting travelers to destinations, accommodations, travel activities and experiences, and restaurants in over 40 markets and over 20 languages worldwide. As of December 31, 2021, Tripadvisor featured more than 1 billion reviews and opinions on nearly 8 million hotels and other accommodations, restaurants, experiences, airlines and cruises.</w:t>
      </w:r>
    </w:p>
    <w:p>
      <w:pPr>
        <w:spacing w:after="0" w:line="18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addition to the flagship Tripadvisor brand, we own and operate a portfolio of online travel brands and businesses, operating under various websites, connected by the common goal of providing consumers the most comprehensive travel-planning and trip-taking resources in the travel industry. For information on our portfolio of brands and our business model, see the discussion set forth in Part I, Item 1. “Business”, under the captions “Overview” and “Our Business Model.”</w:t>
      </w:r>
    </w:p>
    <w:p>
      <w:pPr>
        <w:spacing w:after="0" w:line="188"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 xml:space="preserve">Our reporting structure includes the following reportable segments: (1) Hotels, Media &amp; Platform; and (2) Experiences &amp; Dining. For further information regarding our segments, including the principal revenue streams within these segments and timing of revenue recognition and cashflows, refer to “Note 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and “Note 20: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in the notes to our consolidated financial statements in Item 8 on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Financial Summary</w:t>
      </w:r>
    </w:p>
    <w:p>
      <w:pPr>
        <w:spacing w:after="0" w:line="216"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Tripadvisor is the world’s largest travel guidance platform, as measured by unique users de-duplicated monthly, according to SimilarWeb. As a result, Tripadvisor represents an attractive platform for travel partners – including hotel chains, independent hoteliers, OTAs, destination marketing organizations, experience operators, restaurants, and other travel-related and non-travel related product and service providers – who seek to market and sell their products and services to a global audience. Tripadvisor’s platform and product offerings enable consumers to discover, research and price shop a variety of travel products, including hotels, flights, cruises, cars, vacation rentals, tours, travel activities and other experiences, and restaurants; and book a number of these travel experiences either directly on our platform, or on our travel partners’ websites or mobile apps.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Business Trends</w:t>
      </w:r>
    </w:p>
    <w:p>
      <w:pPr>
        <w:spacing w:after="0" w:line="108"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The online travel industry in which we operate is large and also highly dynamic and competitive. Our overall strategy is to deliver more value to consumers and travel partners in order to generate more monetization on our platform. While we operate with a long-term growth focus, our specific growth objectives and resource allocation strategies can differ in both duration and magnitude within our segments. We describe below these dynamics, as well as the current trends affecting our overall business and reportable segments, key drivers of our financial results, and uncertainties that may impact our ability to execute on our objectives and strategies.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COVID-19</w:t>
      </w:r>
    </w:p>
    <w:p>
      <w:pPr>
        <w:spacing w:after="0" w:line="198"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The COVID-19 pandemic has caused a significant negative impact on the travel, leisure, hospitality, and restaurant industries (collectively, the “travel industry”), and consequently adversely and materially affected our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2" w:name="page33"/>
    <w:bookmarkEnd w:id="32"/>
    <w:p>
      <w:pPr>
        <w:ind w:right="80"/>
        <w:spacing w:after="0" w:line="270" w:lineRule="auto"/>
        <w:rPr>
          <w:sz w:val="20"/>
          <w:szCs w:val="20"/>
          <w:color w:val="auto"/>
        </w:rPr>
      </w:pPr>
      <w:r>
        <w:rPr>
          <w:rFonts w:ascii="Arial" w:cs="Arial" w:eastAsia="Arial" w:hAnsi="Arial"/>
          <w:sz w:val="17"/>
          <w:szCs w:val="17"/>
          <w:color w:val="auto"/>
        </w:rPr>
        <w:t>business, results of operations, liquidity and financial condition during the years ended December 31, 2021 and 2020. Among other impacts, COVID-19 has negatively impacted global consumer travel demand and consumers’ ability to travel and take part in other travel, leisure, and dining activities, thereby causing many of our travel partners to operate at significantly reduced and/or intermittent service levels during this timeframe.</w:t>
      </w:r>
    </w:p>
    <w:p>
      <w:pPr>
        <w:spacing w:after="0" w:line="164"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Commencing in late February 2020 and progressively worsening through March 2020, we experienced a significant decline in consumer demand for our products and services as well as an increase in customer cancellations, concurrent with widespread travel restrictions imposed by governments and businesses in response to the COVID-19 pandemic. In the second half of March 2020 and throughout April 2020, significant year-over-year revenue declines generally stabilized across the Company’s segments and products, a trend which generally continued throughout the second quarter of 2020, although modestly improved during the third quarter of 2020. Beginning in the fourth quarter of 2020, however, local governments, particularly in Europe, began to impose new restrictions to mitigate the spread of the virus, which again negatively impacted trends. Also, in the fourth quarter of 2020, multiple COVID-19 vaccines were approved for widespread distribution throughout various parts of the world, including the United States and Europe, and in the first quarter of 2021, vaccination distribution programs were initiated around the world. Vaccine programs in our largest markets, the U.S and Europe, appear to be progressing well, and we expect the same for much of the rest of the world. We are encouraged by recent developments, although the timing and extent of widespread vaccine distributions on a global basis, and efficacy against recent variants (e.g., the Delta and Omicron) and future variants, if any, of COVID-19 remains unclear.</w:t>
      </w:r>
    </w:p>
    <w:p>
      <w:pPr>
        <w:spacing w:after="0" w:line="186"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The adverse impact to our business from COVID-19 has been significant, albeit unevenly at different points in time and in different geographies throughout 2020. This adverse impact has been driven by the pandemic’s proliferation, intermittent containment and resurgence of the virus, and new variants of the virus introduced throughout the world, followed by travel restrictions and other mandates put in place, lifted and/or reinstated at different timeframes during 2020 and 2021 by local governments to mitigate the spread of the virus. As such, the travel industry’s recovery from the COVID-19 pandemic has been varied and uneven region-to-region on a global basis, as well as state-to-state in the U.S. These adverse impacts continued to negatively impact the travel industry and dampen consumer demand for our products and services at varied levels throughout 2021, although to a materially lesser extent in 2021 as the travel industry broadened its recovery.</w:t>
      </w:r>
    </w:p>
    <w:p>
      <w:pPr>
        <w:spacing w:after="0" w:line="166" w:lineRule="exact"/>
        <w:rPr>
          <w:sz w:val="20"/>
          <w:szCs w:val="20"/>
          <w:color w:val="auto"/>
        </w:rPr>
      </w:pPr>
    </w:p>
    <w:p>
      <w:pPr>
        <w:ind w:right="240" w:firstLine="509"/>
        <w:spacing w:after="0" w:line="276" w:lineRule="auto"/>
        <w:rPr>
          <w:sz w:val="20"/>
          <w:szCs w:val="20"/>
          <w:color w:val="auto"/>
        </w:rPr>
      </w:pPr>
      <w:r>
        <w:rPr>
          <w:rFonts w:ascii="Arial" w:cs="Arial" w:eastAsia="Arial" w:hAnsi="Arial"/>
          <w:sz w:val="16"/>
          <w:szCs w:val="16"/>
          <w:color w:val="auto"/>
        </w:rPr>
        <w:t>In addition, the ultimate duration of the negative impact of COVID-19 on our results of operations, liquidity and financial condition remains uncertain and is dependent upon factors beyond our control, such as the continued transmission rate of COVID-19, including any new variants and/or additional resurgences of existing variants, if any, the extent and effectiveness of containment actions taken, vaccine efficacy, and the ultimate impact of these and other factors on consumer demand for travel and usage patterns on our platform. Although uncertainty remains, we generally saw continued improvement in the travel market in 2021 and expect that the market will continue to improve in 2022, driven by continued vaccination programs, the gradual lifting of government restrictions, and what we believe to be continued significant pent-up consumer demand for travel industry related services.</w:t>
      </w:r>
    </w:p>
    <w:p>
      <w:pPr>
        <w:spacing w:after="0" w:line="161"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Traffic trends on our platform, a leading indicator of consumer travel demand, have improved since the trough of significant declines seen in the second half of March 2020 and throughout April 2020, as monthly unique users on Tripadvisor-branded websites for April 2020 were approximately 33% of the comparable period in 2019. By means of showing a comparison to a pre-COVID-19 timeframe, average monthly unique users on Tripadvisor-branded websites during the fourth quarter of 2021 were approximately 73% of 2019's comparable period despite impact late in the quarter from the Omicron variant, in comparison to approximately 55%, 70% and 76% of 2019’s comparable periods during the first, second and third quarters of 2021, respectively, driven by vaccine progress, the easing of various government restrictions, albeit unevenly, and consumer travel demand’s improving recovery.</w:t>
      </w:r>
    </w:p>
    <w:p>
      <w:pPr>
        <w:spacing w:after="0" w:line="16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consolidated revenue for the year ended December 31, 2021 was $902 million, or an increase of 49%, when compared to the same period in 2020. In addition, by means of showing a comparison to a pre-COVID-19 timeframe, consolidated revenue for the year ended December 31, 2021 was 58% of 2019’s comparable period. Our consolidated revenue for the year ended December 31, 2020, was approximately 39% of 2019’s comparable period. Revenue trends have also improved as 2021 has progressed as consolidated revenue for the fourth quarter of 2021 was approximately 72% of 2019's comparable period, in comparison to approximately 33%, 56% and 71% of 2019’s comparable periods during the first, second and third quarters of 2021, respectively. This increase in revenue was driven largely by continued strength in the U.S. marketplace, but also due to marked improvement in Europe, where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3" w:name="page34"/>
    <w:bookmarkEnd w:id="33"/>
    <w:p>
      <w:pPr>
        <w:ind w:right="220"/>
        <w:spacing w:after="0" w:line="261" w:lineRule="auto"/>
        <w:rPr>
          <w:sz w:val="20"/>
          <w:szCs w:val="20"/>
          <w:color w:val="auto"/>
        </w:rPr>
      </w:pPr>
      <w:r>
        <w:rPr>
          <w:rFonts w:ascii="Arial" w:cs="Arial" w:eastAsia="Arial" w:hAnsi="Arial"/>
          <w:sz w:val="18"/>
          <w:szCs w:val="18"/>
          <w:color w:val="auto"/>
        </w:rPr>
        <w:t>revenue began accelerating in May 2021 and continued through the third quarter of 2021, however was again impacted by the emergence of the Omicron variant late in the fourth quarter of 2021.</w:t>
      </w:r>
    </w:p>
    <w:p>
      <w:pPr>
        <w:spacing w:after="0" w:line="171" w:lineRule="exact"/>
        <w:rPr>
          <w:sz w:val="20"/>
          <w:szCs w:val="20"/>
          <w:color w:val="auto"/>
        </w:rPr>
      </w:pPr>
    </w:p>
    <w:p>
      <w:pPr>
        <w:ind w:right="220" w:firstLine="509"/>
        <w:spacing w:after="0" w:line="270" w:lineRule="auto"/>
        <w:rPr>
          <w:sz w:val="20"/>
          <w:szCs w:val="20"/>
          <w:color w:val="auto"/>
        </w:rPr>
      </w:pPr>
      <w:r>
        <w:rPr>
          <w:rFonts w:ascii="Arial" w:cs="Arial" w:eastAsia="Arial" w:hAnsi="Arial"/>
          <w:sz w:val="17"/>
          <w:szCs w:val="17"/>
          <w:color w:val="auto"/>
        </w:rPr>
        <w:t>In response to the impact of the COVID-19 pandemic, we took several steps to further strengthen our financial position and balance sheet, and maintain financial liquidity and flexibility, including, but not limited to, restructuring activities, reducing our ongoing operating expenses and headcount, additional borrowings and issuances of debt, and amendments to our Credit Facility, all of which are described in more detail below.</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Liquidity</w:t>
      </w:r>
    </w:p>
    <w:p>
      <w:pPr>
        <w:spacing w:after="0" w:line="198"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During the first quarter of 2020, we borrowed $700 million under the Credit Facility as a precautionary measure to reinforce our liquidity position and preserve financial flexibility in light of uncertainty in the global markets resulting from COVID-19. We repaid these borrowings in full in the third quarter of 2020 using proceeds from our 2025 Senior Notes. In addition, during 2020, by means of amendments to our Credit Facility, we were able to secure, among other things, covenant relief in the form of suspending our leverage ratio covenant, until the earlier of the first day after June 30, 2021 through maturity on which borrowings and other revolving credit utilizations under the revolving commitments exceed $200 million, or such earlier date as we may elect, when the leverage ratio covenant will then be reinstated. We also extended the maturity date of this facility to May 2024.</w:t>
      </w:r>
    </w:p>
    <w:p>
      <w:pPr>
        <w:spacing w:after="0" w:line="162"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In July 2020, we completed the sale of $500 million aggregate principal amount of senior notes in a private offering, our 2025 Senior Notes, at 7.0% per annum with a maturity date of July 15, 2025. We used the proceeds received of $490 million, net of debt issuance costs, to repay a portion of our Credit Facility borrowings.</w:t>
      </w:r>
    </w:p>
    <w:p>
      <w:pPr>
        <w:spacing w:after="0" w:line="182"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In March 2021, we completed the sale of $345 million aggregate principal amount of senior notes in a private offering, our 2026 Senior Notes, at 0.25% per annum with a maturity date of April 1, 2026. Concurrently, we used a portion of the proceeds received from the 2026 Senior Notes to enter into privately negotiated capped call transactions with certain of the initial purchasers of the 2026 Senior Notes and/or their respective affiliates and/or other financial institutions at a cost of approximately $35 million. The Company intends to use the remainder of the proceeds from this offering for general corporate purposes, which may include repayment of debt, including the redemption and/or purchase of a portion of its 2025 Senior Notes prior to maturity.</w:t>
      </w:r>
    </w:p>
    <w:p>
      <w:pPr>
        <w:spacing w:after="0" w:line="159"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We believe these measures provide us additional financial flexibility which we believe is important given our continued limited ability to predict our future financial performance due to the uncertainties associated with COVID-19.</w:t>
      </w:r>
    </w:p>
    <w:p>
      <w:pPr>
        <w:spacing w:after="0" w:line="171"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 xml:space="preserve">Refer to “Note 10: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the consolidated financial statements in Item 8 on this Annual Report on Form 10-K for further information about our Credit Facility, 2025 Senior Notes, and 2026 Senior Notes.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Cost Reduction Measures</w:t>
      </w:r>
    </w:p>
    <w:p>
      <w:pPr>
        <w:spacing w:after="0" w:line="212"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During the first quarter of 2020, the Company instituted a cost reduction initiative to preserve cash flows, including targeted workforce reduction measures largely in the Experiences &amp; Dining segment, in addition to optimizing and reducing brand advertising as the Company pivoted to leverage newer advertising mediums we believe will be more effective than our historically television-focused campaign.</w:t>
      </w:r>
    </w:p>
    <w:p>
      <w:pPr>
        <w:spacing w:after="0" w:line="182"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During the latter part of the first quarter of 2020, and in response to the COVID-19 pandemic, the Company instituted additional cost reduction measures, including the elimination of the majority of discretionary spending, business travel and non-critical vendor relationships, brand advertising, as well as the temporary cessation of nearly all new hiring and contingent staff, reduction of targeted employee benefits and the furlough of over 100 employees.</w:t>
      </w:r>
    </w:p>
    <w:p>
      <w:pPr>
        <w:spacing w:after="0" w:line="188"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In April 2020, management approved and the Company announced an additional cost reduction initiative in response to the continued economic and financial impacts resulting from the COVID -19 pandemic, which included the following:</w:t>
      </w:r>
    </w:p>
    <w:p>
      <w:pPr>
        <w:spacing w:after="0" w:line="171" w:lineRule="exact"/>
        <w:rPr>
          <w:sz w:val="20"/>
          <w:szCs w:val="20"/>
          <w:color w:val="auto"/>
        </w:rPr>
      </w:pPr>
    </w:p>
    <w:p>
      <w:pPr>
        <w:ind w:left="5540" w:right="5400" w:hanging="5158"/>
        <w:spacing w:after="0" w:line="641" w:lineRule="auto"/>
        <w:tabs>
          <w:tab w:leader="none" w:pos="762" w:val="left"/>
        </w:tabs>
        <w:numPr>
          <w:ilvl w:val="0"/>
          <w:numId w:val="21"/>
        </w:numPr>
        <w:rPr>
          <w:rFonts w:ascii="Arial" w:cs="Arial" w:eastAsia="Arial" w:hAnsi="Arial"/>
          <w:sz w:val="16"/>
          <w:szCs w:val="16"/>
          <w:color w:val="2E2E2E"/>
        </w:rPr>
      </w:pPr>
      <w:r>
        <w:rPr>
          <w:rFonts w:ascii="Arial" w:cs="Arial" w:eastAsia="Arial" w:hAnsi="Arial"/>
          <w:sz w:val="16"/>
          <w:szCs w:val="16"/>
          <w:color w:val="auto"/>
        </w:rPr>
        <w:t>Enacting a workforce reduction eliminating more than 900 employees;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ind w:left="760" w:right="460" w:hanging="378"/>
        <w:spacing w:after="0" w:line="244" w:lineRule="auto"/>
        <w:tabs>
          <w:tab w:leader="none" w:pos="760" w:val="left"/>
        </w:tabs>
        <w:numPr>
          <w:ilvl w:val="0"/>
          <w:numId w:val="22"/>
        </w:numPr>
        <w:rPr>
          <w:rFonts w:ascii="Arial" w:cs="Arial" w:eastAsia="Arial" w:hAnsi="Arial"/>
          <w:sz w:val="18"/>
          <w:szCs w:val="18"/>
          <w:color w:val="2E2E2E"/>
        </w:rPr>
      </w:pPr>
      <w:r>
        <w:rPr>
          <w:rFonts w:ascii="Arial" w:cs="Arial" w:eastAsia="Arial" w:hAnsi="Arial"/>
          <w:sz w:val="18"/>
          <w:szCs w:val="18"/>
          <w:color w:val="auto"/>
        </w:rPr>
        <w:t>Furloughing additional employees bringing the total furloughed employees during March and April 2020 to approximately 850 employees, primarily in our European operations at The Fork; and</w:t>
      </w:r>
    </w:p>
    <w:p>
      <w:pPr>
        <w:ind w:left="760" w:hanging="378"/>
        <w:spacing w:after="0"/>
        <w:tabs>
          <w:tab w:leader="none" w:pos="760" w:val="left"/>
        </w:tabs>
        <w:numPr>
          <w:ilvl w:val="0"/>
          <w:numId w:val="22"/>
        </w:numPr>
        <w:rPr>
          <w:rFonts w:ascii="Arial" w:cs="Arial" w:eastAsia="Arial" w:hAnsi="Arial"/>
          <w:sz w:val="16"/>
          <w:szCs w:val="16"/>
          <w:color w:val="2E2E2E"/>
        </w:rPr>
      </w:pPr>
      <w:r>
        <w:rPr>
          <w:rFonts w:ascii="Arial" w:cs="Arial" w:eastAsia="Arial" w:hAnsi="Arial"/>
          <w:sz w:val="16"/>
          <w:szCs w:val="16"/>
          <w:color w:val="auto"/>
        </w:rPr>
        <w:t>Making targeted reductions of the Company’s office lease portfolio, primarily either through subleasing or allowing property leases to expire.</w:t>
      </w:r>
    </w:p>
    <w:p>
      <w:pPr>
        <w:spacing w:after="0" w:line="219" w:lineRule="exact"/>
        <w:rPr>
          <w:sz w:val="20"/>
          <w:szCs w:val="20"/>
          <w:color w:val="auto"/>
        </w:rPr>
      </w:pPr>
    </w:p>
    <w:p>
      <w:pPr>
        <w:jc w:val="both"/>
        <w:ind w:right="640" w:firstLine="509"/>
        <w:spacing w:after="0" w:line="248" w:lineRule="auto"/>
        <w:rPr>
          <w:sz w:val="20"/>
          <w:szCs w:val="20"/>
          <w:color w:val="auto"/>
        </w:rPr>
      </w:pPr>
      <w:r>
        <w:rPr>
          <w:rFonts w:ascii="Arial" w:cs="Arial" w:eastAsia="Arial" w:hAnsi="Arial"/>
          <w:sz w:val="18"/>
          <w:szCs w:val="18"/>
          <w:color w:val="auto"/>
        </w:rPr>
        <w:t>The Company incurred total pre-tax restructuring and other related reorganization costs of approximately $41 million during the year ended December 31, 2020, as a result of these measures. Such costs were both recorded on our consolidated statement of operations and fully paid by the Company during 2020.</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CARES Act and Other Governmental Relief</w:t>
      </w:r>
    </w:p>
    <w:p>
      <w:pPr>
        <w:spacing w:after="0" w:line="212"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In March 2020, the U.S. government enacted the Coronavirus Aid, Relief, and Economic Security Act (the “CARES Act”), an emergency economic stimulus package enacted in response to the COVID-19 pandemic, which includes numerous income tax provisions, some of which are effective retroactively. During the year ended December 31, 2021, the Company did not record any income tax benefit under the CARES Act; however, during the year ended December 31, 2020, the Company recorded an income tax benefit of $23 million as a result of a loss carryback provision provided under the CARES Act.</w:t>
      </w:r>
    </w:p>
    <w:p>
      <w:pPr>
        <w:spacing w:after="0" w:line="8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In addition, certain governments have passed legislation to help businesses during the COVID-19 pandemic through loans, wage subsidies, wage tax relief or other financial aid. Some of these governments have extended or are considering extending these programs. We have participated in several of these programs, including the CARES Act in the U.S., the United Kingdom's job retention scheme, as well as similar programs in other jurisdictions. In addition, in certain countries, such as within the European Union, Singapore, Australia, and other jurisdictions, we participated in programs where government assistance came in the form of wage subsidies and reductions in wage-related employer taxes paid by us. During the years ended December 31, 2021 and 2020, we recognized government grants and other assistance benefits of $9 million and $12 million, respectively, as a reduction of personnel and overhead costs in the consolidated statements of operations.</w:t>
      </w:r>
    </w:p>
    <w:p>
      <w:pPr>
        <w:spacing w:after="0" w:line="72" w:lineRule="exact"/>
        <w:rPr>
          <w:sz w:val="20"/>
          <w:szCs w:val="20"/>
          <w:color w:val="auto"/>
        </w:rPr>
      </w:pPr>
    </w:p>
    <w:p>
      <w:pPr>
        <w:ind w:right="60" w:firstLine="509"/>
        <w:spacing w:after="0" w:line="324" w:lineRule="auto"/>
        <w:rPr>
          <w:sz w:val="20"/>
          <w:szCs w:val="20"/>
          <w:color w:val="auto"/>
        </w:rPr>
      </w:pPr>
      <w:r>
        <w:rPr>
          <w:rFonts w:ascii="Arial" w:cs="Arial" w:eastAsia="Arial" w:hAnsi="Arial"/>
          <w:sz w:val="16"/>
          <w:szCs w:val="16"/>
          <w:color w:val="auto"/>
        </w:rPr>
        <w:t xml:space="preserve">For further details of income tax benefits and other government assistance recorded by the Company under the CARES Act and other governmental relief programs, refer to “Note 12: </w:t>
      </w:r>
      <w:r>
        <w:rPr>
          <w:rFonts w:ascii="Arial" w:cs="Arial" w:eastAsia="Arial" w:hAnsi="Arial"/>
          <w:sz w:val="16"/>
          <w:szCs w:val="16"/>
          <w:i w:val="1"/>
          <w:iCs w:val="1"/>
          <w:color w:val="auto"/>
        </w:rPr>
        <w:t>Income Taxes</w:t>
      </w:r>
      <w:r>
        <w:rPr>
          <w:rFonts w:ascii="Arial" w:cs="Arial" w:eastAsia="Arial" w:hAnsi="Arial"/>
          <w:sz w:val="16"/>
          <w:szCs w:val="16"/>
          <w:color w:val="auto"/>
        </w:rPr>
        <w:t>” in the notes to our consolidated financial statements in Item 8 on this Annual Report on Form 10-K.</w:t>
      </w: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212" w:lineRule="exact"/>
        <w:rPr>
          <w:sz w:val="20"/>
          <w:szCs w:val="20"/>
          <w:color w:val="auto"/>
        </w:rPr>
      </w:pPr>
    </w:p>
    <w:p>
      <w:pPr>
        <w:ind w:right="640" w:firstLine="509"/>
        <w:spacing w:after="0" w:line="261" w:lineRule="auto"/>
        <w:rPr>
          <w:sz w:val="20"/>
          <w:szCs w:val="20"/>
          <w:color w:val="auto"/>
        </w:rPr>
      </w:pPr>
      <w:r>
        <w:rPr>
          <w:rFonts w:ascii="Arial" w:cs="Arial" w:eastAsia="Arial" w:hAnsi="Arial"/>
          <w:sz w:val="18"/>
          <w:szCs w:val="18"/>
          <w:color w:val="auto"/>
        </w:rPr>
        <w:t>Our Hotels, Media &amp; Platform segment is comprised of: Tripadvisor-branded hotels revenue and Tripadvisor-branded Display and Platform Revenue.</w:t>
      </w:r>
    </w:p>
    <w:p>
      <w:pPr>
        <w:spacing w:after="0" w:line="17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Tripadvisor-branded hotels revenue primarily consists of hotel auction revenue and, to a lesser extent, hotel B2B revenue, which primarily includes subscription-based advertising services that we offer to travel partners and click-based revenue generated from hotel sponsored placement advertising that enables hotels to enhance their visibility on Tripadvisor hotel pages. Tripadvisor-branded Display and Platform Revenue primarily includes impression-based advertising revenue.</w:t>
      </w:r>
    </w:p>
    <w:p>
      <w:pPr>
        <w:spacing w:after="0" w:line="188" w:lineRule="exact"/>
        <w:rPr>
          <w:sz w:val="20"/>
          <w:szCs w:val="20"/>
          <w:color w:val="auto"/>
        </w:rPr>
      </w:pPr>
    </w:p>
    <w:p>
      <w:pPr>
        <w:jc w:val="both"/>
        <w:ind w:right="400" w:firstLine="509"/>
        <w:spacing w:after="0" w:line="248" w:lineRule="auto"/>
        <w:rPr>
          <w:sz w:val="20"/>
          <w:szCs w:val="20"/>
          <w:color w:val="auto"/>
        </w:rPr>
      </w:pPr>
      <w:r>
        <w:rPr>
          <w:rFonts w:ascii="Arial" w:cs="Arial" w:eastAsia="Arial" w:hAnsi="Arial"/>
          <w:sz w:val="18"/>
          <w:szCs w:val="18"/>
          <w:color w:val="auto"/>
        </w:rPr>
        <w:t>Our overall strategic objective in our Hotels, Media &amp; Platform segment is to drive revenue and profits while delivering compelling services to consumers and driving a holistic user experience, increased customer engagement and monetization, as well as offering travel partners a diverse set of advertising opportunities on the Tripadvisor platform.</w:t>
      </w:r>
    </w:p>
    <w:p>
      <w:pPr>
        <w:spacing w:after="0" w:line="182"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For consumers, we test and implement product enhancements that deliver a more engaging and comprehensive hotel shopping experience. This includes providing rich, immersive content – reviews, photos, videos and ratings, among other contributions, increasing the number of travel partners and properties as well as the available hotel supply on our platform. We believe providing consumers tools to discover, research, price shop and book a comprehensive selection of accommodations helps increase brand awareness and brand loyalty and, over time, can result in deeper consumer engagement, more qualified leads delivered to travel partners and greater monetization on our platform.</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5" w:name="page36"/>
    <w:bookmarkEnd w:id="35"/>
    <w:p>
      <w:pPr>
        <w:ind w:right="160" w:firstLine="509"/>
        <w:spacing w:after="0" w:line="259" w:lineRule="auto"/>
        <w:rPr>
          <w:sz w:val="20"/>
          <w:szCs w:val="20"/>
          <w:color w:val="auto"/>
        </w:rPr>
      </w:pPr>
      <w:r>
        <w:rPr>
          <w:rFonts w:ascii="Arial" w:cs="Arial" w:eastAsia="Arial" w:hAnsi="Arial"/>
          <w:sz w:val="17"/>
          <w:szCs w:val="17"/>
          <w:color w:val="auto"/>
        </w:rPr>
        <w:t>We seek to monetize our influence through hotel-related product improvements, supply and marketing efforts and customer advertising opportunities. Historically, we have generated a significant amount of hotel shoppers from search engines, such as Google. A hotel shopper is a visitor to our platform that views either a listing of hotels in a city or a specific hotel page. Our key ongoing objective related to traffic acquisition is to attract or acquire hotel shoppers at or above our desired marketing return on investment targets. Over the long-term, we are focused on driving a greater percentage of our traffic from direct traffic sources rather than search engines, which comes with little to no traffic acquisition costs.</w:t>
      </w:r>
    </w:p>
    <w:p>
      <w:pPr>
        <w:spacing w:after="0" w:line="174" w:lineRule="exact"/>
        <w:rPr>
          <w:sz w:val="20"/>
          <w:szCs w:val="20"/>
          <w:color w:val="auto"/>
        </w:rPr>
      </w:pPr>
    </w:p>
    <w:p>
      <w:pPr>
        <w:ind w:right="60" w:firstLine="509"/>
        <w:spacing w:after="0" w:line="251" w:lineRule="auto"/>
        <w:rPr>
          <w:sz w:val="20"/>
          <w:szCs w:val="20"/>
          <w:color w:val="auto"/>
        </w:rPr>
      </w:pPr>
      <w:r>
        <w:rPr>
          <w:rFonts w:ascii="Arial" w:cs="Arial" w:eastAsia="Arial" w:hAnsi="Arial"/>
          <w:sz w:val="17"/>
          <w:szCs w:val="17"/>
          <w:color w:val="auto"/>
        </w:rPr>
        <w:t>As noted in the “COVID-19” discussion above, easing of travel restrictions across the world, rising vaccination rates, and an increase in consumer travel demand drove improved financial results during 2021, as Hotel, Media &amp; Platform revenue increased by 52% during the year ended December 31, 2021, when compared to the same period in 2020, despite the impact from the rise of the Delta variant late in the third quarter of 2021 and then the emergence of the Omicron variant late in the fourth quarter of 2021. Tripadvisor-branded hotels revenue increased 55% during the year ended December 31, 2021, when compared to the same period in 2020, primarily driven by our hotel auction revenue, which reached approximately 58% of 2019’s comparable period, an increase from 32% in 2020 of 2019’s comparable period. The Company saw particular strength in recovery of domestic consumer travel, most notably in the U.S., whereas international travel and, in particular, inter-continental travel, has been slower to recover. Our U.S. hotel auction revenue during the year ended December 31, 2021, reached nearly 85% of 2019’s comparable period on strong consumer travel demand, and improved sequentially during the first three quarters of 2021, when compared as a percentage to 2019's comparable periods, while declining in the fourth quarter of 2021 again due to the emergence of the Omicron variant. In addition, our U.S. hotel auction CPC rates regained 2019 levels in early May 2021 and remained above 2019 levels through December 2021, demonstrating strong travel partner engagement on our platform as consumer travel demand recovers in the U.S. Although slower to recover, hotel auction revenue in Europe and the rest of the world also showed improvement during 2021, however, as with the U.S., Europe was also negatively impacted by the emergence of the Omicron variant late in the fourth quarter of 2021. As a result of these overall positive trends noted above, we increased our performance marketing investment throughout 2021 in correlation with the increase in consumer travel demand and a more favorable hotel auction environment.</w:t>
      </w:r>
    </w:p>
    <w:p>
      <w:pPr>
        <w:spacing w:after="0" w:line="187" w:lineRule="exact"/>
        <w:rPr>
          <w:sz w:val="20"/>
          <w:szCs w:val="20"/>
          <w:color w:val="auto"/>
        </w:rPr>
      </w:pPr>
    </w:p>
    <w:p>
      <w:pPr>
        <w:ind w:right="200" w:firstLine="509"/>
        <w:spacing w:after="0" w:line="239" w:lineRule="auto"/>
        <w:rPr>
          <w:sz w:val="20"/>
          <w:szCs w:val="20"/>
          <w:color w:val="auto"/>
        </w:rPr>
      </w:pPr>
      <w:r>
        <w:rPr>
          <w:rFonts w:ascii="Arial" w:cs="Arial" w:eastAsia="Arial" w:hAnsi="Arial"/>
          <w:sz w:val="18"/>
          <w:szCs w:val="18"/>
          <w:color w:val="auto"/>
        </w:rPr>
        <w:t>While slower to recover than Tripadvisor-branded hotels revenue, our display and platform revenue increased by 41% during the year ended December 31, 2021, when compared to the same period in 2020. In addition, and by means of also showing a comparison to a pre-COVID-19 timeframe, Tripadvisor-branded display and platform revenue improved when compared to the comparable period in 2020, while reaching approximately 60% of 2019’s comparable period in 2021 and also improved sequentially during the first three quarters of 2021 when compared to 2019’s comparable periods, while declining modestly in the fourth quarter of 2021, when compared as a percentage to the 2019 comparable period, due to the emergence of the Omicron variant. This overall improvement for 2021 was primarily driven by an increase in marketing spend from our advertisers in correlation with increasing consumer travel demand, as discussed above.</w:t>
      </w:r>
    </w:p>
    <w:p>
      <w:pPr>
        <w:spacing w:after="0" w:line="19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Over the long-term, we believe that improving our offerings to deepen consumer engagement on our platform will enable us to more effectively monetize our influence. For example, in Tripadvisor-branded display and platform revenue, we enable travel partners to amplify their brand, generate brand impressions, and potentially drive qualified leads and bookings for their businesses. Historically, we have limited both the type and number of display-based advertising opportunities we make available to travel partners, particularly on mobile phone, which, in turn, has limited display-based advertising revenue growth. However, we continue to work on initiatives to better leverage our audience, content, data, travel influence and platform breadth to open up new media advertising opportunities through a more modern, high-powered advertising suite spanning native, video and programmatic solutions. We have broadened our solution to a larger set of advertising travel endemic and non-travel endemic advertising partners, including industries such as entertainment, spirits, and finance. On the consumer side, we are focused on making Tripadvisor membership more valuable for consumers. As an example, during 2021, we launched Tripadvisor Plus, an annual subscription-based membership that offers financial incentives, benefits and perks to members who book hotels and experiences on our platform.</w:t>
      </w:r>
    </w:p>
    <w:p>
      <w:pPr>
        <w:spacing w:after="0" w:line="180"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As discussed above, the Company initiated cost reduction measures in response to the COVID-19 pandemic in 2020, the majority of which were related to personnel and overhead costs and brand advertising, or television advertising, for this segment. During 2021, we maintained the majority of these cost savings in this segment,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ind w:right="80"/>
        <w:spacing w:after="0" w:line="291" w:lineRule="auto"/>
        <w:rPr>
          <w:sz w:val="20"/>
          <w:szCs w:val="20"/>
          <w:color w:val="auto"/>
        </w:rPr>
      </w:pPr>
      <w:r>
        <w:rPr>
          <w:rFonts w:ascii="Arial" w:cs="Arial" w:eastAsia="Arial" w:hAnsi="Arial"/>
          <w:sz w:val="17"/>
          <w:szCs w:val="17"/>
          <w:color w:val="auto"/>
        </w:rPr>
        <w:t>however, as noted above, the Company increased its performance marketing spend during the year. Relative strength in CPC pricing allowed us to increase spend in marketing channels at a profitable ROAS (return on ad spend), while our free traffic, or SEO traffic, has been slower to recover.</w:t>
      </w:r>
    </w:p>
    <w:p>
      <w:pPr>
        <w:spacing w:after="0" w:line="147"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These efforts demonstrate our continued focus on increasing the quality of customer engagement on our platform, including driving membership growth, increasing personalization, and innovating our mobile app experience. We believe delivering – and improving upon – a great experience for users will encourage more users to use our services more frequently, increase member growth and member engagement, and drive loyalty to our brand and services. In turn, we believe this makes our platform more attractive for travel partners, and can result in increased monetization over time for us and our travel partners.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1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Experiences &amp; Dining offerings contribute to the comprehensive user experience we deliver, which we believe helps to increase awareness of, loyalty to, and engagement with our products, drive more bookings to Experiences &amp; Dining travel partners and generate greater revenue and increased profitability on our platform. Given the significant market opportunities in these large categories, we expect to continue to invest in building these offerings to drive consumer engagement, bookings and revenue growth for the long-term. Since the first quarter of 2020, this segment’s revenue has been negatively and materially impacted at varying levels by a significant reduction in consumer demand due to the COVID-19 pandemic, which has reduced consumer willingness to research, purchase, and consume travel activities. This negative impact has also been driven by a wide variety of government-instituted actions and restrictions around the globe aimed at limiting the spread of the virus, all of which have impacted consumer access to experience offerings and restaurants. For example, during the first quarter of 2021, restaurants in most of the European countries in which our Dining business operates were ordered to remain closed.</w:t>
      </w:r>
    </w:p>
    <w:p>
      <w:pPr>
        <w:spacing w:after="0" w:line="191"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However, during most of 2021, our Experiences &amp; Dining segment’s financial results improved significantly, as revenue in this segment increased by 65% during the year ended December 31, 2021, when compared to the same period in 2020, driven by our Experiences offering, as a result of the growing travel demand recovery driven by vaccine progress and various government restrictions being gradually lifted. By means of showing a comparison to a pre-COVID-19 timeframe, during the fourth quarter of 2021, our Experiences &amp; Dining segment revenue reached approximately 90% of the fourth quarter of 2019 revenue, an increase from 81% of the third quarter of 2019 revenue in the third quarter of 2021, despite the impact of the Delta and Omicron variants. In addition, our Experiences &amp; Dining segment revenue during the year ended December 31, 2021, was 67% of 2019’s comparable period, an increase from 40% of 2019’s comparable period during the year ended December 31, 2020.</w:t>
      </w:r>
    </w:p>
    <w:p>
      <w:pPr>
        <w:spacing w:after="0" w:line="180"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During the year ended December 31, 2021, our Experiences revenue grew over 230%, when compared to the same period in 2020, and reached 64% of 2019’s comparable period revenue, primarily driven by our Viator point of sale business. As a result of strong consumer demand in our Viator business with the growing travel demand recovery during 2021, we significantly increased investments in performance marketing channels in order to capture additional market share while maintaining a positive return on investment measured over the projected lifetime of a customer. In Dining, we saw a notable recovery since mid-May 2021, as restaurants in most European countries in which TheFork operates began reopening for in-restaurant dining. However, late in the fourth quarter of 2021, Omicron-related restrictions and related impact to consumer demand within Europe again began to impact Dining. Overall, Dining revenue during the year ended December 31, 2021, decreased by 5%, when compared to the same period in 2020, primarily driven by the impact of COVID-19, as restaurants in most of the European countries in which our Dining business operates were ordered to remain closed during the first quarter of 2021, while Dining revenue during the final three quarters of 2021 exceeded the total from the comparable quarters for 2020 by approximately 29%. By means of showing a comparison to a pre-COVID-19 timeframe, Dining revenue during the year ended December 31, 2021 reached 74% of 2019's comparable period.</w:t>
      </w:r>
    </w:p>
    <w:p>
      <w:pPr>
        <w:spacing w:after="0" w:line="186"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As discussed above, the Company initiated cost reduction measures in response to the COVID-19 pandemic during 2020, the majority of which was related to personnel and overhead costs and brand advertising in this segment. During 2021, we maintained the majority of cost savings in this segment, however, as noted above, the Company significantly increased its performance marketing spend during the year.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jc w:val="both"/>
        <w:ind w:right="20" w:firstLine="509"/>
        <w:spacing w:after="0" w:line="284" w:lineRule="auto"/>
        <w:rPr>
          <w:sz w:val="20"/>
          <w:szCs w:val="20"/>
          <w:color w:val="auto"/>
        </w:rPr>
      </w:pPr>
      <w:r>
        <w:rPr>
          <w:rFonts w:ascii="Arial" w:cs="Arial" w:eastAsia="Arial" w:hAnsi="Arial"/>
          <w:sz w:val="16"/>
          <w:szCs w:val="16"/>
          <w:color w:val="auto"/>
        </w:rPr>
        <w:t>During 2021, we have explored new initiatives to delight and engage consumers. For example, we improved our site navigation, recommendations, sort orders, quality of our experience products, mobile apps, and offered new consumer payment options, as new customer acquisition remains top priority during the growing travel recovery. For operators, we launched a new advertising program, Viator Accelerate, which is aimed at helping operators increase their visibility on the platform through targeted advertising, ultimately with the goal of increasing bookings and reach.</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Other is a combination of our Rentals, Flights &amp; Car, and Cruise offerings and is not considered a reportable segment. Other revenue continues to experience the ongoing negative impact of COVID-19, particularly in our Flights and Cruise offerings, and was also negatively impacted by the sale of our SmarterTravel business during the second quarter of 2020. We continue to operate these businesses opportunistically as they complement our overall strategic objectives to deliver more value to consumers and travel partners.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right="340" w:firstLine="509"/>
        <w:spacing w:after="0" w:line="243" w:lineRule="auto"/>
        <w:rPr>
          <w:sz w:val="20"/>
          <w:szCs w:val="20"/>
          <w:color w:val="auto"/>
        </w:rPr>
      </w:pPr>
      <w:r>
        <w:rPr>
          <w:rFonts w:ascii="Arial" w:cs="Arial" w:eastAsia="Arial" w:hAnsi="Arial"/>
          <w:sz w:val="18"/>
          <w:szCs w:val="18"/>
          <w:color w:val="auto"/>
        </w:rPr>
        <w:t>A discussion regarding our financial condition and results of operations for fiscal year 2021 compared to fiscal year 2020 is presented below. A discussion regarding our financial condition and results of operations for fiscal year 2020 compared to fiscal year 2019 can be found in Part II, Item 7. "Management’s Discussion and Analysis of Financial Condition and Results of Operations" of our Annual Report on Form 10-K for the year ended December 31, 2020, filed with the SEC on February 19, 2021.</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38" w:name="page39"/>
    <w:bookmarkEnd w:id="38"/>
    <w:p>
      <w:pPr>
        <w:jc w:val="center"/>
        <w:ind w:right="40"/>
        <w:spacing w:after="0"/>
        <w:rPr>
          <w:sz w:val="20"/>
          <w:szCs w:val="20"/>
          <w:color w:val="auto"/>
        </w:rPr>
      </w:pPr>
      <w:r>
        <w:rPr>
          <w:rFonts w:ascii="Arial" w:cs="Arial" w:eastAsia="Arial" w:hAnsi="Arial"/>
          <w:sz w:val="18"/>
          <w:szCs w:val="18"/>
          <w:b w:val="1"/>
          <w:bCs w:val="1"/>
          <w:color w:val="auto"/>
        </w:rPr>
        <w:t>Results of Operations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Financial Data</w:t>
      </w:r>
    </w:p>
    <w:p>
      <w:pPr>
        <w:jc w:val="center"/>
        <w:ind w:right="40"/>
        <w:spacing w:after="0"/>
        <w:rPr>
          <w:sz w:val="20"/>
          <w:szCs w:val="20"/>
          <w:color w:val="auto"/>
        </w:rPr>
      </w:pPr>
      <w:r>
        <w:rPr>
          <w:rFonts w:ascii="Arial" w:cs="Arial" w:eastAsia="Arial" w:hAnsi="Arial"/>
          <w:sz w:val="18"/>
          <w:szCs w:val="18"/>
          <w:b w:val="1"/>
          <w:bCs w:val="1"/>
          <w:color w:val="auto"/>
        </w:rPr>
        <w:t>(in millions, except percentages)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4"/>
              </w:rPr>
              <w:t>% Change</w:t>
            </w:r>
          </w:p>
        </w:tc>
        <w:tc>
          <w:tcPr>
            <w:tcW w:w="7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1"/>
                <w:szCs w:val="11"/>
                <w:color w:val="auto"/>
              </w:rPr>
            </w:pPr>
          </w:p>
        </w:tc>
        <w:tc>
          <w:tcPr>
            <w:tcW w:w="1400" w:type="dxa"/>
            <w:vAlign w:val="bottom"/>
            <w:gridSpan w:val="3"/>
          </w:tcPr>
          <w:p>
            <w:pPr>
              <w:jc w:val="center"/>
              <w:ind w:right="600"/>
              <w:spacing w:after="0" w:line="133" w:lineRule="exact"/>
              <w:rPr>
                <w:sz w:val="20"/>
                <w:szCs w:val="20"/>
                <w:color w:val="auto"/>
              </w:rPr>
            </w:pPr>
            <w:r>
              <w:rPr>
                <w:rFonts w:ascii="Arial" w:cs="Arial" w:eastAsia="Arial" w:hAnsi="Arial"/>
                <w:sz w:val="14"/>
                <w:szCs w:val="14"/>
                <w:b w:val="1"/>
                <w:bCs w:val="1"/>
                <w:color w:val="auto"/>
                <w:w w:val="88"/>
              </w:rPr>
              <w:t>2021 vs.</w:t>
            </w:r>
          </w:p>
        </w:tc>
        <w:tc>
          <w:tcPr>
            <w:tcW w:w="700" w:type="dxa"/>
            <w:vAlign w:val="bottom"/>
          </w:tcPr>
          <w:p>
            <w:pPr>
              <w:jc w:val="right"/>
              <w:ind w:right="92"/>
              <w:spacing w:after="0" w:line="133" w:lineRule="exact"/>
              <w:rPr>
                <w:sz w:val="20"/>
                <w:szCs w:val="20"/>
                <w:color w:val="auto"/>
              </w:rPr>
            </w:pPr>
            <w:r>
              <w:rPr>
                <w:rFonts w:ascii="Arial" w:cs="Arial" w:eastAsia="Arial" w:hAnsi="Arial"/>
                <w:sz w:val="14"/>
                <w:szCs w:val="14"/>
                <w:b w:val="1"/>
                <w:bCs w:val="1"/>
                <w:color w:val="auto"/>
                <w:w w:val="91"/>
              </w:rPr>
              <w:t>2020 vs.</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902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604</w:t>
            </w:r>
          </w:p>
        </w:tc>
        <w:tc>
          <w:tcPr>
            <w:tcW w:w="24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1,560</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w:t>
            </w:r>
          </w:p>
        </w:tc>
        <w:tc>
          <w:tcPr>
            <w:tcW w:w="46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w:t>
            </w:r>
          </w:p>
        </w:tc>
        <w:tc>
          <w:tcPr>
            <w:tcW w:w="3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200" w:type="dxa"/>
            <w:vAlign w:val="bottom"/>
          </w:tcPr>
          <w:p>
            <w:pPr>
              <w:spacing w:after="0"/>
              <w:rPr>
                <w:sz w:val="17"/>
                <w:szCs w:val="17"/>
                <w:color w:val="auto"/>
              </w:rPr>
            </w:pPr>
          </w:p>
        </w:tc>
        <w:tc>
          <w:tcPr>
            <w:tcW w:w="12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35 %</w:t>
            </w:r>
          </w:p>
        </w:tc>
        <w:tc>
          <w:tcPr>
            <w:tcW w:w="120" w:type="dxa"/>
            <w:vAlign w:val="bottom"/>
          </w:tcPr>
          <w:p>
            <w:pPr>
              <w:spacing w:after="0"/>
              <w:rPr>
                <w:sz w:val="17"/>
                <w:szCs w:val="17"/>
                <w:color w:val="auto"/>
              </w:rPr>
            </w:pPr>
          </w:p>
        </w:tc>
        <w:tc>
          <w:tcPr>
            <w:tcW w:w="10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03"/>
        </w:trPr>
        <w:tc>
          <w:tcPr>
            <w:tcW w:w="49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Selling and marketing</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469</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w:t>
            </w:r>
          </w:p>
        </w:tc>
        <w:tc>
          <w:tcPr>
            <w:tcW w:w="24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672</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48 %</w:t>
            </w:r>
          </w:p>
        </w:tc>
        <w:tc>
          <w:tcPr>
            <w:tcW w:w="1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3"/>
        </w:trPr>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Technology and content</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293</w:t>
            </w:r>
          </w:p>
        </w:tc>
        <w:tc>
          <w:tcPr>
            <w:tcW w:w="200" w:type="dxa"/>
            <w:vAlign w:val="bottom"/>
          </w:tcPr>
          <w:p>
            <w:pPr>
              <w:spacing w:after="0"/>
              <w:rPr>
                <w:sz w:val="17"/>
                <w:szCs w:val="17"/>
                <w:color w:val="auto"/>
              </w:rPr>
            </w:pPr>
          </w:p>
        </w:tc>
        <w:tc>
          <w:tcPr>
            <w:tcW w:w="12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(4 )%</w:t>
            </w:r>
          </w:p>
        </w:tc>
        <w:tc>
          <w:tcPr>
            <w:tcW w:w="120" w:type="dxa"/>
            <w:vAlign w:val="bottom"/>
          </w:tcPr>
          <w:p>
            <w:pPr>
              <w:spacing w:after="0"/>
              <w:rPr>
                <w:sz w:val="17"/>
                <w:szCs w:val="17"/>
                <w:color w:val="auto"/>
              </w:rPr>
            </w:pPr>
          </w:p>
        </w:tc>
        <w:tc>
          <w:tcPr>
            <w:tcW w:w="10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3"/>
        </w:trPr>
        <w:tc>
          <w:tcPr>
            <w:tcW w:w="49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w:t>
            </w:r>
          </w:p>
        </w:tc>
        <w:tc>
          <w:tcPr>
            <w:tcW w:w="24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187</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(3 )%</w:t>
            </w:r>
          </w:p>
        </w:tc>
        <w:tc>
          <w:tcPr>
            <w:tcW w:w="1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3"/>
        </w:trPr>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200" w:type="dxa"/>
            <w:vAlign w:val="bottom"/>
          </w:tcPr>
          <w:p>
            <w:pPr>
              <w:spacing w:after="0"/>
              <w:rPr>
                <w:sz w:val="17"/>
                <w:szCs w:val="17"/>
                <w:color w:val="auto"/>
              </w:rPr>
            </w:pPr>
          </w:p>
        </w:tc>
        <w:tc>
          <w:tcPr>
            <w:tcW w:w="12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(11 )%</w:t>
            </w:r>
          </w:p>
        </w:tc>
        <w:tc>
          <w:tcPr>
            <w:tcW w:w="120" w:type="dxa"/>
            <w:vAlign w:val="bottom"/>
          </w:tcPr>
          <w:p>
            <w:pPr>
              <w:spacing w:after="0"/>
              <w:rPr>
                <w:sz w:val="17"/>
                <w:szCs w:val="17"/>
                <w:color w:val="auto"/>
              </w:rPr>
            </w:pPr>
          </w:p>
        </w:tc>
        <w:tc>
          <w:tcPr>
            <w:tcW w:w="10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3"/>
        </w:trPr>
        <w:tc>
          <w:tcPr>
            <w:tcW w:w="49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Impairment of goodwill</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4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3"/>
            <w:shd w:val="clear" w:color="auto" w:fill="CFF0FC"/>
          </w:tcPr>
          <w:p>
            <w:pPr>
              <w:ind w:left="500"/>
              <w:spacing w:after="0" w:line="202" w:lineRule="exact"/>
              <w:rPr>
                <w:sz w:val="20"/>
                <w:szCs w:val="20"/>
                <w:color w:val="auto"/>
              </w:rPr>
            </w:pPr>
            <w:r>
              <w:rPr>
                <w:rFonts w:ascii="Arial" w:cs="Arial" w:eastAsia="Arial" w:hAnsi="Arial"/>
                <w:sz w:val="18"/>
                <w:szCs w:val="18"/>
                <w:color w:val="auto"/>
              </w:rPr>
              <w:t>n.m.</w:t>
            </w:r>
          </w:p>
        </w:tc>
        <w:tc>
          <w:tcPr>
            <w:tcW w:w="1060" w:type="dxa"/>
            <w:vAlign w:val="bottom"/>
            <w:gridSpan w:val="2"/>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Restructuring and other related reorganization costs</w:t>
            </w:r>
          </w:p>
        </w:tc>
        <w:tc>
          <w:tcPr>
            <w:tcW w:w="240" w:type="dxa"/>
            <w:vAlign w:val="bottom"/>
          </w:tcPr>
          <w:p>
            <w:pPr>
              <w:spacing w:after="0"/>
              <w:rPr>
                <w:sz w:val="17"/>
                <w:szCs w:val="17"/>
                <w:color w:val="auto"/>
              </w:rPr>
            </w:pPr>
          </w:p>
        </w:tc>
        <w:tc>
          <w:tcPr>
            <w:tcW w:w="10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1400" w:type="dxa"/>
            <w:vAlign w:val="bottom"/>
            <w:gridSpan w:val="3"/>
          </w:tcPr>
          <w:p>
            <w:pPr>
              <w:ind w:left="500"/>
              <w:spacing w:after="0" w:line="202" w:lineRule="exact"/>
              <w:rPr>
                <w:sz w:val="20"/>
                <w:szCs w:val="20"/>
                <w:color w:val="auto"/>
              </w:rPr>
            </w:pPr>
            <w:r>
              <w:rPr>
                <w:rFonts w:ascii="Arial" w:cs="Arial" w:eastAsia="Arial" w:hAnsi="Arial"/>
                <w:sz w:val="18"/>
                <w:szCs w:val="18"/>
                <w:color w:val="auto"/>
              </w:rPr>
              <w:t>n.m.</w:t>
            </w:r>
          </w:p>
        </w:tc>
        <w:tc>
          <w:tcPr>
            <w:tcW w:w="106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6"/>
        </w:trPr>
        <w:tc>
          <w:tcPr>
            <w:tcW w:w="49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1,033</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933</w:t>
            </w: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1,373</w:t>
            </w:r>
          </w:p>
        </w:tc>
        <w:tc>
          <w:tcPr>
            <w:tcW w:w="20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11 %</w:t>
            </w:r>
          </w:p>
        </w:tc>
        <w:tc>
          <w:tcPr>
            <w:tcW w:w="1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196"/>
        </w:trPr>
        <w:tc>
          <w:tcPr>
            <w:tcW w:w="4960" w:type="dxa"/>
            <w:vAlign w:val="bottom"/>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7"/>
                <w:szCs w:val="17"/>
                <w:color w:val="auto"/>
              </w:rPr>
            </w:pPr>
          </w:p>
        </w:tc>
        <w:tc>
          <w:tcPr>
            <w:tcW w:w="10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(131 )</w:t>
            </w:r>
          </w:p>
        </w:tc>
        <w:tc>
          <w:tcPr>
            <w:tcW w:w="240" w:type="dxa"/>
            <w:vAlign w:val="bottom"/>
          </w:tcPr>
          <w:p>
            <w:pPr>
              <w:spacing w:after="0"/>
              <w:rPr>
                <w:sz w:val="17"/>
                <w:szCs w:val="17"/>
                <w:color w:val="auto"/>
              </w:rPr>
            </w:pPr>
          </w:p>
        </w:tc>
        <w:tc>
          <w:tcPr>
            <w:tcW w:w="106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(329 )</w:t>
            </w:r>
          </w:p>
        </w:tc>
        <w:tc>
          <w:tcPr>
            <w:tcW w:w="2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187</w:t>
            </w:r>
          </w:p>
        </w:tc>
        <w:tc>
          <w:tcPr>
            <w:tcW w:w="200" w:type="dxa"/>
            <w:vAlign w:val="bottom"/>
          </w:tcPr>
          <w:p>
            <w:pPr>
              <w:spacing w:after="0"/>
              <w:rPr>
                <w:sz w:val="17"/>
                <w:szCs w:val="17"/>
                <w:color w:val="auto"/>
              </w:rPr>
            </w:pPr>
          </w:p>
        </w:tc>
        <w:tc>
          <w:tcPr>
            <w:tcW w:w="128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(60 )%</w:t>
            </w:r>
          </w:p>
        </w:tc>
        <w:tc>
          <w:tcPr>
            <w:tcW w:w="120" w:type="dxa"/>
            <w:vAlign w:val="bottom"/>
          </w:tcPr>
          <w:p>
            <w:pPr>
              <w:spacing w:after="0"/>
              <w:rPr>
                <w:sz w:val="17"/>
                <w:szCs w:val="17"/>
                <w:color w:val="auto"/>
              </w:rPr>
            </w:pPr>
          </w:p>
        </w:tc>
        <w:tc>
          <w:tcPr>
            <w:tcW w:w="1060" w:type="dxa"/>
            <w:vAlign w:val="bottom"/>
            <w:gridSpan w:val="2"/>
          </w:tcPr>
          <w:p>
            <w:pPr>
              <w:jc w:val="right"/>
              <w:ind w:right="270"/>
              <w:spacing w:after="0" w:line="19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7"/>
                <w:szCs w:val="17"/>
                <w:color w:val="auto"/>
              </w:rPr>
            </w:pPr>
          </w:p>
        </w:tc>
        <w:tc>
          <w:tcPr>
            <w:tcW w:w="10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(45 )</w:t>
            </w:r>
          </w:p>
        </w:tc>
        <w:tc>
          <w:tcPr>
            <w:tcW w:w="240" w:type="dxa"/>
            <w:vAlign w:val="bottom"/>
          </w:tcPr>
          <w:p>
            <w:pPr>
              <w:spacing w:after="0"/>
              <w:rPr>
                <w:sz w:val="17"/>
                <w:szCs w:val="17"/>
                <w:color w:val="auto"/>
              </w:rPr>
            </w:pPr>
          </w:p>
        </w:tc>
        <w:tc>
          <w:tcPr>
            <w:tcW w:w="106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(35 )</w:t>
            </w:r>
          </w:p>
        </w:tc>
        <w:tc>
          <w:tcPr>
            <w:tcW w:w="22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(7 )</w:t>
            </w:r>
          </w:p>
        </w:tc>
        <w:tc>
          <w:tcPr>
            <w:tcW w:w="12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29 %</w:t>
            </w:r>
          </w:p>
        </w:tc>
        <w:tc>
          <w:tcPr>
            <w:tcW w:w="120" w:type="dxa"/>
            <w:vAlign w:val="bottom"/>
          </w:tcPr>
          <w:p>
            <w:pPr>
              <w:spacing w:after="0"/>
              <w:rPr>
                <w:sz w:val="17"/>
                <w:szCs w:val="17"/>
                <w:color w:val="auto"/>
              </w:rPr>
            </w:pPr>
          </w:p>
        </w:tc>
        <w:tc>
          <w:tcPr>
            <w:tcW w:w="10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400 %</w:t>
            </w:r>
          </w:p>
        </w:tc>
        <w:tc>
          <w:tcPr>
            <w:tcW w:w="0" w:type="dxa"/>
            <w:vAlign w:val="bottom"/>
          </w:tcPr>
          <w:p>
            <w:pPr>
              <w:spacing w:after="0"/>
              <w:rPr>
                <w:sz w:val="1"/>
                <w:szCs w:val="1"/>
                <w:color w:val="auto"/>
              </w:rPr>
            </w:pPr>
          </w:p>
        </w:tc>
      </w:tr>
      <w:tr>
        <w:trPr>
          <w:trHeight w:val="203"/>
        </w:trPr>
        <w:tc>
          <w:tcPr>
            <w:tcW w:w="49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4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(67 )%</w:t>
            </w:r>
          </w:p>
        </w:tc>
        <w:tc>
          <w:tcPr>
            <w:tcW w:w="1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3"/>
        </w:trPr>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7"/>
                <w:szCs w:val="17"/>
                <w:color w:val="auto"/>
              </w:rPr>
            </w:pPr>
          </w:p>
        </w:tc>
        <w:tc>
          <w:tcPr>
            <w:tcW w:w="10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(10 )</w:t>
            </w:r>
          </w:p>
        </w:tc>
        <w:tc>
          <w:tcPr>
            <w:tcW w:w="240" w:type="dxa"/>
            <w:vAlign w:val="bottom"/>
          </w:tcPr>
          <w:p>
            <w:pPr>
              <w:spacing w:after="0"/>
              <w:rPr>
                <w:sz w:val="17"/>
                <w:szCs w:val="17"/>
                <w:color w:val="auto"/>
              </w:rPr>
            </w:pPr>
          </w:p>
        </w:tc>
        <w:tc>
          <w:tcPr>
            <w:tcW w:w="106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(8 )</w:t>
            </w:r>
          </w:p>
        </w:tc>
        <w:tc>
          <w:tcPr>
            <w:tcW w:w="22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(3 )</w:t>
            </w:r>
          </w:p>
        </w:tc>
        <w:tc>
          <w:tcPr>
            <w:tcW w:w="12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25 %</w:t>
            </w:r>
          </w:p>
        </w:tc>
        <w:tc>
          <w:tcPr>
            <w:tcW w:w="120" w:type="dxa"/>
            <w:vAlign w:val="bottom"/>
          </w:tcPr>
          <w:p>
            <w:pPr>
              <w:spacing w:after="0"/>
              <w:rPr>
                <w:sz w:val="17"/>
                <w:szCs w:val="17"/>
                <w:color w:val="auto"/>
              </w:rPr>
            </w:pPr>
          </w:p>
        </w:tc>
        <w:tc>
          <w:tcPr>
            <w:tcW w:w="10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196"/>
        </w:trPr>
        <w:tc>
          <w:tcPr>
            <w:tcW w:w="49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other income (expense), net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240" w:type="dxa"/>
            <w:vAlign w:val="bottom"/>
            <w:tcBorders>
              <w:bottom w:val="single" w:sz="8" w:color="CFF0FC"/>
              <w:right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w:t>
            </w:r>
          </w:p>
        </w:tc>
        <w:tc>
          <w:tcPr>
            <w:tcW w:w="20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35 %</w:t>
            </w:r>
          </w:p>
        </w:tc>
        <w:tc>
          <w:tcPr>
            <w:tcW w:w="1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gridSpan w:val="2"/>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6"/>
        </w:trPr>
        <w:tc>
          <w:tcPr>
            <w:tcW w:w="4960" w:type="dxa"/>
            <w:vAlign w:val="bottom"/>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7"/>
                <w:szCs w:val="17"/>
                <w:color w:val="auto"/>
              </w:rPr>
            </w:pPr>
          </w:p>
        </w:tc>
        <w:tc>
          <w:tcPr>
            <w:tcW w:w="10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(185 )</w:t>
            </w:r>
          </w:p>
        </w:tc>
        <w:tc>
          <w:tcPr>
            <w:tcW w:w="240" w:type="dxa"/>
            <w:vAlign w:val="bottom"/>
          </w:tcPr>
          <w:p>
            <w:pPr>
              <w:spacing w:after="0"/>
              <w:rPr>
                <w:sz w:val="17"/>
                <w:szCs w:val="17"/>
                <w:color w:val="auto"/>
              </w:rPr>
            </w:pPr>
          </w:p>
        </w:tc>
        <w:tc>
          <w:tcPr>
            <w:tcW w:w="106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(369 )</w:t>
            </w:r>
          </w:p>
        </w:tc>
        <w:tc>
          <w:tcPr>
            <w:tcW w:w="2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194</w:t>
            </w:r>
          </w:p>
        </w:tc>
        <w:tc>
          <w:tcPr>
            <w:tcW w:w="200" w:type="dxa"/>
            <w:vAlign w:val="bottom"/>
          </w:tcPr>
          <w:p>
            <w:pPr>
              <w:spacing w:after="0"/>
              <w:rPr>
                <w:sz w:val="17"/>
                <w:szCs w:val="17"/>
                <w:color w:val="auto"/>
              </w:rPr>
            </w:pPr>
          </w:p>
        </w:tc>
        <w:tc>
          <w:tcPr>
            <w:tcW w:w="128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(50 )%</w:t>
            </w:r>
          </w:p>
        </w:tc>
        <w:tc>
          <w:tcPr>
            <w:tcW w:w="120" w:type="dxa"/>
            <w:vAlign w:val="bottom"/>
          </w:tcPr>
          <w:p>
            <w:pPr>
              <w:spacing w:after="0"/>
              <w:rPr>
                <w:sz w:val="17"/>
                <w:szCs w:val="17"/>
                <w:color w:val="auto"/>
              </w:rPr>
            </w:pPr>
          </w:p>
        </w:tc>
        <w:tc>
          <w:tcPr>
            <w:tcW w:w="1060" w:type="dxa"/>
            <w:vAlign w:val="bottom"/>
            <w:gridSpan w:val="2"/>
          </w:tcPr>
          <w:p>
            <w:pPr>
              <w:jc w:val="right"/>
              <w:ind w:right="270"/>
              <w:spacing w:after="0" w:line="19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49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(Provision) benefit for income taxes</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w:t>
            </w:r>
          </w:p>
        </w:tc>
        <w:tc>
          <w:tcPr>
            <w:tcW w:w="24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(68 )</w:t>
            </w:r>
          </w:p>
        </w:tc>
        <w:tc>
          <w:tcPr>
            <w:tcW w:w="12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(54 )%</w:t>
            </w:r>
          </w:p>
        </w:tc>
        <w:tc>
          <w:tcPr>
            <w:tcW w:w="1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Pr>
          <w:p>
            <w:pPr>
              <w:ind w:left="20"/>
              <w:spacing w:after="0" w:line="182" w:lineRule="exact"/>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(148 )</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1"/>
              <w:spacing w:after="0" w:line="182" w:lineRule="exact"/>
              <w:rPr>
                <w:sz w:val="20"/>
                <w:szCs w:val="20"/>
                <w:color w:val="auto"/>
              </w:rPr>
            </w:pPr>
            <w:r>
              <w:rPr>
                <w:rFonts w:ascii="Arial" w:cs="Arial" w:eastAsia="Arial" w:hAnsi="Arial"/>
                <w:sz w:val="18"/>
                <w:szCs w:val="18"/>
                <w:color w:val="auto"/>
              </w:rPr>
              <w:t>(289 )</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126</w:t>
            </w:r>
          </w:p>
        </w:tc>
        <w:tc>
          <w:tcPr>
            <w:tcW w:w="200" w:type="dxa"/>
            <w:vAlign w:val="bottom"/>
          </w:tcPr>
          <w:p>
            <w:pPr>
              <w:spacing w:after="0"/>
              <w:rPr>
                <w:sz w:val="17"/>
                <w:szCs w:val="17"/>
                <w:color w:val="auto"/>
              </w:rPr>
            </w:pPr>
          </w:p>
        </w:tc>
        <w:tc>
          <w:tcPr>
            <w:tcW w:w="1280" w:type="dxa"/>
            <w:vAlign w:val="bottom"/>
            <w:gridSpan w:val="2"/>
          </w:tcPr>
          <w:p>
            <w:pPr>
              <w:jc w:val="right"/>
              <w:ind w:right="150"/>
              <w:spacing w:after="0" w:line="182" w:lineRule="exact"/>
              <w:rPr>
                <w:sz w:val="20"/>
                <w:szCs w:val="20"/>
                <w:color w:val="auto"/>
              </w:rPr>
            </w:pPr>
            <w:r>
              <w:rPr>
                <w:rFonts w:ascii="Arial" w:cs="Arial" w:eastAsia="Arial" w:hAnsi="Arial"/>
                <w:sz w:val="18"/>
                <w:szCs w:val="18"/>
                <w:color w:val="auto"/>
              </w:rPr>
              <w:t>(49 )%</w:t>
            </w:r>
          </w:p>
        </w:tc>
        <w:tc>
          <w:tcPr>
            <w:tcW w:w="120" w:type="dxa"/>
            <w:vAlign w:val="bottom"/>
          </w:tcPr>
          <w:p>
            <w:pPr>
              <w:spacing w:after="0"/>
              <w:rPr>
                <w:sz w:val="17"/>
                <w:szCs w:val="17"/>
                <w:color w:val="auto"/>
              </w:rPr>
            </w:pPr>
          </w:p>
        </w:tc>
        <w:tc>
          <w:tcPr>
            <w:tcW w:w="1060" w:type="dxa"/>
            <w:vAlign w:val="bottom"/>
            <w:gridSpan w:val="2"/>
          </w:tcPr>
          <w:p>
            <w:pPr>
              <w:jc w:val="right"/>
              <w:ind w:right="270"/>
              <w:spacing w:after="0" w:line="18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Other financial data:</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 (1)</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FF0FC"/>
            </w:tcBorders>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(51 )</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n.m.</w:t>
            </w:r>
          </w:p>
        </w:tc>
        <w:tc>
          <w:tcPr>
            <w:tcW w:w="10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-1651000</wp:posOffset>
            </wp:positionV>
            <wp:extent cx="685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-1651000</wp:posOffset>
            </wp:positionV>
            <wp:extent cx="6858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-1651000</wp:posOffset>
            </wp:positionV>
            <wp:extent cx="5969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-836295</wp:posOffset>
            </wp:positionV>
            <wp:extent cx="685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-836295</wp:posOffset>
            </wp:positionV>
            <wp:extent cx="6858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-836295</wp:posOffset>
            </wp:positionV>
            <wp:extent cx="5969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-570865</wp:posOffset>
            </wp:positionV>
            <wp:extent cx="685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-570865</wp:posOffset>
            </wp:positionV>
            <wp:extent cx="6858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-570865</wp:posOffset>
            </wp:positionV>
            <wp:extent cx="5969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n.m. = </w:t>
      </w:r>
      <w:r>
        <w:rPr>
          <w:rFonts w:ascii="Arial" w:cs="Arial" w:eastAsia="Arial" w:hAnsi="Arial"/>
          <w:sz w:val="18"/>
          <w:szCs w:val="18"/>
          <w:i w:val="1"/>
          <w:iCs w:val="1"/>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i w:val="1"/>
          <w:iCs w:val="1"/>
          <w:color w:val="auto"/>
        </w:rPr>
        <w:t>(1) See “Adjusted EBITDA” discussion below for more information.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Revenue and Segment Information</w:t>
      </w:r>
    </w:p>
    <w:p>
      <w:pPr>
        <w:spacing w:after="0" w:line="31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7"/>
              </w:rPr>
              <w:t>% Change</w:t>
            </w:r>
          </w:p>
        </w:tc>
        <w:tc>
          <w:tcPr>
            <w:tcW w:w="66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89"/>
              </w:rPr>
              <w:t>2020</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1"/>
                <w:szCs w:val="11"/>
                <w:color w:val="auto"/>
              </w:rPr>
            </w:pPr>
          </w:p>
        </w:tc>
        <w:tc>
          <w:tcPr>
            <w:tcW w:w="1360" w:type="dxa"/>
            <w:vAlign w:val="bottom"/>
            <w:gridSpan w:val="3"/>
          </w:tcPr>
          <w:p>
            <w:pPr>
              <w:jc w:val="center"/>
              <w:ind w:right="600"/>
              <w:spacing w:after="0" w:line="133" w:lineRule="exact"/>
              <w:rPr>
                <w:sz w:val="20"/>
                <w:szCs w:val="20"/>
                <w:color w:val="auto"/>
              </w:rPr>
            </w:pPr>
            <w:r>
              <w:rPr>
                <w:rFonts w:ascii="Arial" w:cs="Arial" w:eastAsia="Arial" w:hAnsi="Arial"/>
                <w:sz w:val="14"/>
                <w:szCs w:val="14"/>
                <w:b w:val="1"/>
                <w:bCs w:val="1"/>
                <w:color w:val="auto"/>
                <w:w w:val="88"/>
              </w:rPr>
              <w:t>2021 vs.</w:t>
            </w:r>
          </w:p>
        </w:tc>
        <w:tc>
          <w:tcPr>
            <w:tcW w:w="660" w:type="dxa"/>
            <w:vAlign w:val="bottom"/>
          </w:tcPr>
          <w:p>
            <w:pPr>
              <w:jc w:val="right"/>
              <w:ind w:right="74"/>
              <w:spacing w:after="0" w:line="133" w:lineRule="exact"/>
              <w:rPr>
                <w:sz w:val="20"/>
                <w:szCs w:val="20"/>
                <w:color w:val="auto"/>
              </w:rPr>
            </w:pPr>
            <w:r>
              <w:rPr>
                <w:rFonts w:ascii="Arial" w:cs="Arial" w:eastAsia="Arial" w:hAnsi="Arial"/>
                <w:sz w:val="14"/>
                <w:szCs w:val="14"/>
                <w:b w:val="1"/>
                <w:bCs w:val="1"/>
                <w:color w:val="auto"/>
                <w:w w:val="88"/>
              </w:rPr>
              <w:t>2020 vs.</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680" w:type="dxa"/>
            <w:vAlign w:val="bottom"/>
            <w:vMerge w:val="restart"/>
          </w:tcPr>
          <w:p>
            <w:pPr>
              <w:spacing w:after="0"/>
              <w:rPr>
                <w:sz w:val="20"/>
                <w:szCs w:val="20"/>
                <w:color w:val="auto"/>
              </w:rPr>
            </w:pPr>
            <w:r>
              <w:rPr>
                <w:rFonts w:ascii="Arial" w:cs="Arial" w:eastAsia="Arial" w:hAnsi="Arial"/>
                <w:sz w:val="18"/>
                <w:szCs w:val="18"/>
                <w:color w:val="auto"/>
              </w:rPr>
              <w:t>Revenue by Segment:</w:t>
            </w:r>
          </w:p>
        </w:tc>
        <w:tc>
          <w:tcPr>
            <w:tcW w:w="5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gridSpan w:val="3"/>
          </w:tcPr>
          <w:p>
            <w:pPr>
              <w:jc w:val="center"/>
              <w:ind w:right="390"/>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Hotels, Media &amp; Platform</w:t>
            </w:r>
          </w:p>
        </w:tc>
        <w:tc>
          <w:tcPr>
            <w:tcW w:w="580" w:type="dxa"/>
            <w:vAlign w:val="bottom"/>
            <w:shd w:val="clear" w:color="auto" w:fill="CFF0FC"/>
          </w:tcPr>
          <w:p>
            <w:pPr>
              <w:jc w:val="right"/>
              <w:ind w:right="394"/>
              <w:spacing w:after="0" w:line="202" w:lineRule="exact"/>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6"/>
              </w:rPr>
              <w:t>549</w:t>
            </w: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361</w:t>
            </w: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939</w:t>
            </w: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52 %</w:t>
            </w: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Experiences &amp; Dining</w:t>
            </w:r>
          </w:p>
        </w:tc>
        <w:tc>
          <w:tcPr>
            <w:tcW w:w="58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w w:val="86"/>
              </w:rPr>
              <w:t>307</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186</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456</w:t>
            </w:r>
          </w:p>
        </w:tc>
        <w:tc>
          <w:tcPr>
            <w:tcW w:w="360" w:type="dxa"/>
            <w:vAlign w:val="bottom"/>
          </w:tcPr>
          <w:p>
            <w:pPr>
              <w:spacing w:after="0"/>
              <w:rPr>
                <w:sz w:val="17"/>
                <w:szCs w:val="17"/>
                <w:color w:val="auto"/>
              </w:rPr>
            </w:pPr>
          </w:p>
        </w:tc>
        <w:tc>
          <w:tcPr>
            <w:tcW w:w="12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65 %</w:t>
            </w:r>
          </w:p>
        </w:tc>
        <w:tc>
          <w:tcPr>
            <w:tcW w:w="100" w:type="dxa"/>
            <w:vAlign w:val="bottom"/>
          </w:tcPr>
          <w:p>
            <w:pPr>
              <w:spacing w:after="0"/>
              <w:rPr>
                <w:sz w:val="17"/>
                <w:szCs w:val="17"/>
                <w:color w:val="auto"/>
              </w:rPr>
            </w:pP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03"/>
        </w:trPr>
        <w:tc>
          <w:tcPr>
            <w:tcW w:w="36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w:t>
            </w:r>
          </w:p>
        </w:tc>
        <w:tc>
          <w:tcPr>
            <w:tcW w:w="5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w:t>
            </w:r>
          </w:p>
        </w:tc>
        <w:tc>
          <w:tcPr>
            <w:tcW w:w="4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165</w:t>
            </w:r>
          </w:p>
        </w:tc>
        <w:tc>
          <w:tcPr>
            <w:tcW w:w="36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(19 )%</w:t>
            </w:r>
          </w:p>
        </w:tc>
        <w:tc>
          <w:tcPr>
            <w:tcW w:w="10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196"/>
        </w:trPr>
        <w:tc>
          <w:tcPr>
            <w:tcW w:w="3680" w:type="dxa"/>
            <w:vAlign w:val="bottom"/>
          </w:tcPr>
          <w:p>
            <w:pPr>
              <w:spacing w:after="0" w:line="182" w:lineRule="exact"/>
              <w:rPr>
                <w:sz w:val="20"/>
                <w:szCs w:val="20"/>
                <w:color w:val="auto"/>
              </w:rPr>
            </w:pPr>
            <w:r>
              <w:rPr>
                <w:rFonts w:ascii="Arial" w:cs="Arial" w:eastAsia="Arial" w:hAnsi="Arial"/>
                <w:sz w:val="18"/>
                <w:szCs w:val="18"/>
                <w:color w:val="auto"/>
              </w:rPr>
              <w:t>Total revenue</w:t>
            </w:r>
          </w:p>
        </w:tc>
        <w:tc>
          <w:tcPr>
            <w:tcW w:w="580" w:type="dxa"/>
            <w:vAlign w:val="bottom"/>
            <w:tcBorders>
              <w:bottom w:val="single" w:sz="8" w:color="auto"/>
            </w:tcBorders>
          </w:tcPr>
          <w:p>
            <w:pPr>
              <w:jc w:val="right"/>
              <w:ind w:right="394"/>
              <w:spacing w:after="0" w:line="182" w:lineRule="exact"/>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6"/>
              </w:rPr>
              <w:t>902</w:t>
            </w:r>
          </w:p>
        </w:tc>
        <w:tc>
          <w:tcPr>
            <w:tcW w:w="500" w:type="dxa"/>
            <w:vAlign w:val="bottom"/>
          </w:tcPr>
          <w:p>
            <w:pPr>
              <w:spacing w:after="0"/>
              <w:rPr>
                <w:sz w:val="17"/>
                <w:szCs w:val="17"/>
                <w:color w:val="auto"/>
              </w:rPr>
            </w:pPr>
          </w:p>
        </w:tc>
        <w:tc>
          <w:tcPr>
            <w:tcW w:w="200" w:type="dxa"/>
            <w:vAlign w:val="bottom"/>
            <w:tcBorders>
              <w:bottom w:val="single" w:sz="8" w:color="auto"/>
            </w:tcBorders>
          </w:tcPr>
          <w:p>
            <w:pPr>
              <w:jc w:val="right"/>
              <w:ind w:right="14"/>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604</w:t>
            </w:r>
          </w:p>
        </w:tc>
        <w:tc>
          <w:tcPr>
            <w:tcW w:w="4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1,560</w:t>
            </w:r>
          </w:p>
        </w:tc>
        <w:tc>
          <w:tcPr>
            <w:tcW w:w="360" w:type="dxa"/>
            <w:vAlign w:val="bottom"/>
          </w:tcPr>
          <w:p>
            <w:pPr>
              <w:spacing w:after="0"/>
              <w:rPr>
                <w:sz w:val="17"/>
                <w:szCs w:val="17"/>
                <w:color w:val="auto"/>
              </w:rPr>
            </w:pPr>
          </w:p>
        </w:tc>
        <w:tc>
          <w:tcPr>
            <w:tcW w:w="1260" w:type="dxa"/>
            <w:vAlign w:val="bottom"/>
            <w:gridSpan w:val="2"/>
          </w:tcPr>
          <w:p>
            <w:pPr>
              <w:jc w:val="right"/>
              <w:ind w:right="320"/>
              <w:spacing w:after="0" w:line="182" w:lineRule="exact"/>
              <w:rPr>
                <w:sz w:val="20"/>
                <w:szCs w:val="20"/>
                <w:color w:val="auto"/>
              </w:rPr>
            </w:pPr>
            <w:r>
              <w:rPr>
                <w:rFonts w:ascii="Arial" w:cs="Arial" w:eastAsia="Arial" w:hAnsi="Arial"/>
                <w:sz w:val="18"/>
                <w:szCs w:val="18"/>
                <w:color w:val="auto"/>
              </w:rPr>
              <w:t>49 %</w:t>
            </w:r>
          </w:p>
        </w:tc>
        <w:tc>
          <w:tcPr>
            <w:tcW w:w="100" w:type="dxa"/>
            <w:vAlign w:val="bottom"/>
          </w:tcPr>
          <w:p>
            <w:pPr>
              <w:spacing w:after="0"/>
              <w:rPr>
                <w:sz w:val="17"/>
                <w:szCs w:val="17"/>
                <w:color w:val="auto"/>
              </w:rPr>
            </w:pPr>
          </w:p>
        </w:tc>
        <w:tc>
          <w:tcPr>
            <w:tcW w:w="1140" w:type="dxa"/>
            <w:vAlign w:val="bottom"/>
            <w:gridSpan w:val="2"/>
          </w:tcPr>
          <w:p>
            <w:pPr>
              <w:jc w:val="right"/>
              <w:ind w:right="260"/>
              <w:spacing w:after="0" w:line="182" w:lineRule="exact"/>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Adjusted EBITDA by Segment:</w:t>
            </w: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Hotels, Media &amp; Platform</w:t>
            </w:r>
          </w:p>
        </w:tc>
        <w:tc>
          <w:tcPr>
            <w:tcW w:w="580" w:type="dxa"/>
            <w:vAlign w:val="bottom"/>
          </w:tcPr>
          <w:p>
            <w:pPr>
              <w:jc w:val="right"/>
              <w:ind w:right="394"/>
              <w:spacing w:after="0" w:line="202" w:lineRule="exact"/>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w w:val="86"/>
              </w:rPr>
              <w:t>111</w:t>
            </w:r>
          </w:p>
        </w:tc>
        <w:tc>
          <w:tcPr>
            <w:tcW w:w="500" w:type="dxa"/>
            <w:vAlign w:val="bottom"/>
          </w:tcPr>
          <w:p>
            <w:pPr>
              <w:spacing w:after="0"/>
              <w:rPr>
                <w:sz w:val="17"/>
                <w:szCs w:val="17"/>
                <w:color w:val="auto"/>
              </w:rPr>
            </w:pPr>
          </w:p>
        </w:tc>
        <w:tc>
          <w:tcPr>
            <w:tcW w:w="200" w:type="dxa"/>
            <w:vAlign w:val="bottom"/>
          </w:tcPr>
          <w:p>
            <w:pPr>
              <w:jc w:val="right"/>
              <w:ind w:right="14"/>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48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378</w:t>
            </w:r>
          </w:p>
        </w:tc>
        <w:tc>
          <w:tcPr>
            <w:tcW w:w="360" w:type="dxa"/>
            <w:vAlign w:val="bottom"/>
          </w:tcPr>
          <w:p>
            <w:pPr>
              <w:spacing w:after="0"/>
              <w:rPr>
                <w:sz w:val="17"/>
                <w:szCs w:val="17"/>
                <w:color w:val="auto"/>
              </w:rPr>
            </w:pPr>
          </w:p>
        </w:tc>
        <w:tc>
          <w:tcPr>
            <w:tcW w:w="12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754 %</w:t>
            </w:r>
          </w:p>
        </w:tc>
        <w:tc>
          <w:tcPr>
            <w:tcW w:w="100" w:type="dxa"/>
            <w:vAlign w:val="bottom"/>
          </w:tcPr>
          <w:p>
            <w:pPr>
              <w:spacing w:after="0"/>
              <w:rPr>
                <w:sz w:val="17"/>
                <w:szCs w:val="17"/>
                <w:color w:val="auto"/>
              </w:rPr>
            </w:pP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Experiences &amp; Dining</w:t>
            </w:r>
          </w:p>
        </w:tc>
        <w:tc>
          <w:tcPr>
            <w:tcW w:w="5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348"/>
              <w:spacing w:after="0" w:line="202" w:lineRule="exact"/>
              <w:rPr>
                <w:sz w:val="20"/>
                <w:szCs w:val="20"/>
                <w:color w:val="auto"/>
              </w:rPr>
            </w:pPr>
            <w:r>
              <w:rPr>
                <w:rFonts w:ascii="Arial" w:cs="Arial" w:eastAsia="Arial" w:hAnsi="Arial"/>
                <w:sz w:val="18"/>
                <w:szCs w:val="18"/>
                <w:color w:val="auto"/>
                <w:w w:val="91"/>
              </w:rPr>
              <w:t>(36 )</w:t>
            </w:r>
          </w:p>
        </w:tc>
        <w:tc>
          <w:tcPr>
            <w:tcW w:w="2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rPr>
              <w:t>(79 )</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(54 )%</w:t>
            </w: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50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w:t>
            </w:r>
          </w:p>
        </w:tc>
        <w:tc>
          <w:tcPr>
            <w:tcW w:w="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w:t>
            </w:r>
          </w:p>
        </w:tc>
        <w:tc>
          <w:tcPr>
            <w:tcW w:w="360" w:type="dxa"/>
            <w:vAlign w:val="bottom"/>
          </w:tcPr>
          <w:p>
            <w:pPr>
              <w:spacing w:after="0"/>
              <w:rPr>
                <w:sz w:val="17"/>
                <w:szCs w:val="17"/>
                <w:color w:val="auto"/>
              </w:rPr>
            </w:pPr>
          </w:p>
        </w:tc>
        <w:tc>
          <w:tcPr>
            <w:tcW w:w="12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67 %</w:t>
            </w:r>
          </w:p>
        </w:tc>
        <w:tc>
          <w:tcPr>
            <w:tcW w:w="100" w:type="dxa"/>
            <w:vAlign w:val="bottom"/>
          </w:tcPr>
          <w:p>
            <w:pPr>
              <w:spacing w:after="0"/>
              <w:rPr>
                <w:sz w:val="17"/>
                <w:szCs w:val="17"/>
                <w:color w:val="auto"/>
              </w:rPr>
            </w:pP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36"/>
        </w:trPr>
        <w:tc>
          <w:tcPr>
            <w:tcW w:w="36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Adjusted EBITDA</w:t>
            </w:r>
          </w:p>
        </w:tc>
        <w:tc>
          <w:tcPr>
            <w:tcW w:w="580" w:type="dxa"/>
            <w:vAlign w:val="bottom"/>
            <w:tcBorders>
              <w:bottom w:val="single" w:sz="8" w:color="auto"/>
            </w:tcBorders>
            <w:shd w:val="clear" w:color="auto" w:fill="CFF0FC"/>
          </w:tcPr>
          <w:p>
            <w:pPr>
              <w:jc w:val="right"/>
              <w:ind w:right="394"/>
              <w:spacing w:after="0" w:line="182" w:lineRule="exact"/>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6"/>
              </w:rPr>
              <w:t>100</w:t>
            </w:r>
          </w:p>
        </w:tc>
        <w:tc>
          <w:tcPr>
            <w:tcW w:w="5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4"/>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(51</w:t>
            </w:r>
          </w:p>
        </w:tc>
        <w:tc>
          <w:tcPr>
            <w:tcW w:w="480" w:type="dxa"/>
            <w:vAlign w:val="bottom"/>
            <w:tcBorders>
              <w:bottom w:val="single" w:sz="8" w:color="CFF0FC"/>
            </w:tcBorders>
            <w:shd w:val="clear" w:color="auto" w:fill="CFF0FC"/>
          </w:tcPr>
          <w:p>
            <w:pPr>
              <w:jc w:val="right"/>
              <w:ind w:right="310"/>
              <w:spacing w:after="0" w:line="182"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438</w:t>
            </w:r>
          </w:p>
        </w:tc>
        <w:tc>
          <w:tcPr>
            <w:tcW w:w="36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gridSpan w:val="3"/>
            <w:shd w:val="clear" w:color="auto" w:fill="CFF0FC"/>
          </w:tcPr>
          <w:p>
            <w:pPr>
              <w:ind w:left="440"/>
              <w:spacing w:after="0" w:line="182" w:lineRule="exact"/>
              <w:rPr>
                <w:sz w:val="20"/>
                <w:szCs w:val="20"/>
                <w:color w:val="auto"/>
              </w:rPr>
            </w:pPr>
            <w:r>
              <w:rPr>
                <w:rFonts w:ascii="Arial" w:cs="Arial" w:eastAsia="Arial" w:hAnsi="Arial"/>
                <w:sz w:val="18"/>
                <w:szCs w:val="18"/>
                <w:color w:val="auto"/>
              </w:rPr>
              <w:t>n.m.</w:t>
            </w:r>
          </w:p>
        </w:tc>
        <w:tc>
          <w:tcPr>
            <w:tcW w:w="1140" w:type="dxa"/>
            <w:vAlign w:val="bottom"/>
            <w:tcBorders>
              <w:bottom w:val="single" w:sz="8" w:color="CFF0FC"/>
            </w:tcBorders>
            <w:gridSpan w:val="2"/>
            <w:shd w:val="clear" w:color="auto" w:fill="CFF0FC"/>
          </w:tcPr>
          <w:p>
            <w:pPr>
              <w:jc w:val="right"/>
              <w:ind w:right="500"/>
              <w:spacing w:after="0" w:line="18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83"/>
        </w:trPr>
        <w:tc>
          <w:tcPr>
            <w:tcW w:w="3680" w:type="dxa"/>
            <w:vAlign w:val="bottom"/>
          </w:tcPr>
          <w:p>
            <w:pPr>
              <w:spacing w:after="0" w:line="183" w:lineRule="exact"/>
              <w:rPr>
                <w:sz w:val="20"/>
                <w:szCs w:val="20"/>
                <w:color w:val="auto"/>
              </w:rPr>
            </w:pPr>
            <w:r>
              <w:rPr>
                <w:rFonts w:ascii="Arial" w:cs="Arial" w:eastAsia="Arial" w:hAnsi="Arial"/>
                <w:sz w:val="18"/>
                <w:szCs w:val="18"/>
                <w:color w:val="auto"/>
              </w:rPr>
              <w:t xml:space="preserve">Adjusted EBITDA Margin by Segment </w:t>
            </w:r>
            <w:r>
              <w:rPr>
                <w:rFonts w:ascii="Arial" w:cs="Arial" w:eastAsia="Arial" w:hAnsi="Arial"/>
                <w:sz w:val="14"/>
                <w:szCs w:val="14"/>
                <w:color w:val="auto"/>
              </w:rPr>
              <w:t>(1)</w:t>
            </w:r>
            <w:r>
              <w:rPr>
                <w:rFonts w:ascii="Arial" w:cs="Arial" w:eastAsia="Arial" w:hAnsi="Arial"/>
                <w:sz w:val="18"/>
                <w:szCs w:val="18"/>
                <w:color w:val="auto"/>
              </w:rPr>
              <w:t>:</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Hotels, Media &amp; Platform</w:t>
            </w:r>
          </w:p>
        </w:tc>
        <w:tc>
          <w:tcPr>
            <w:tcW w:w="5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68"/>
              <w:spacing w:after="0" w:line="202" w:lineRule="exact"/>
              <w:rPr>
                <w:sz w:val="20"/>
                <w:szCs w:val="20"/>
                <w:color w:val="auto"/>
              </w:rPr>
            </w:pPr>
            <w:r>
              <w:rPr>
                <w:rFonts w:ascii="Arial" w:cs="Arial" w:eastAsia="Arial" w:hAnsi="Arial"/>
                <w:sz w:val="18"/>
                <w:szCs w:val="18"/>
                <w:color w:val="auto"/>
              </w:rPr>
              <w:t>20 %</w:t>
            </w:r>
          </w:p>
        </w:tc>
        <w:tc>
          <w:tcPr>
            <w:tcW w:w="2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4 %</w:t>
            </w: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40 %</w:t>
            </w:r>
          </w:p>
        </w:tc>
        <w:tc>
          <w:tcPr>
            <w:tcW w:w="7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Experiences &amp; Dining</w:t>
            </w:r>
          </w:p>
        </w:tc>
        <w:tc>
          <w:tcPr>
            <w:tcW w:w="580" w:type="dxa"/>
            <w:vAlign w:val="bottom"/>
          </w:tcPr>
          <w:p>
            <w:pPr>
              <w:spacing w:after="0"/>
              <w:rPr>
                <w:sz w:val="17"/>
                <w:szCs w:val="17"/>
                <w:color w:val="auto"/>
              </w:rPr>
            </w:pPr>
          </w:p>
        </w:tc>
        <w:tc>
          <w:tcPr>
            <w:tcW w:w="78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w w:val="90"/>
              </w:rPr>
              <w:t>(12 %)</w:t>
            </w:r>
          </w:p>
        </w:tc>
        <w:tc>
          <w:tcPr>
            <w:tcW w:w="200" w:type="dxa"/>
            <w:vAlign w:val="bottom"/>
          </w:tcPr>
          <w:p>
            <w:pPr>
              <w:spacing w:after="0"/>
              <w:rPr>
                <w:sz w:val="17"/>
                <w:szCs w:val="17"/>
                <w:color w:val="auto"/>
              </w:rPr>
            </w:pPr>
          </w:p>
        </w:tc>
        <w:tc>
          <w:tcPr>
            <w:tcW w:w="11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(42 %)</w:t>
            </w:r>
          </w:p>
        </w:tc>
        <w:tc>
          <w:tcPr>
            <w:tcW w:w="20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1 %</w:t>
            </w: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5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68"/>
              <w:spacing w:after="0" w:line="202" w:lineRule="exact"/>
              <w:rPr>
                <w:sz w:val="20"/>
                <w:szCs w:val="20"/>
                <w:color w:val="auto"/>
              </w:rPr>
            </w:pPr>
            <w:r>
              <w:rPr>
                <w:rFonts w:ascii="Arial" w:cs="Arial" w:eastAsia="Arial" w:hAnsi="Arial"/>
                <w:sz w:val="18"/>
                <w:szCs w:val="18"/>
                <w:color w:val="auto"/>
              </w:rPr>
              <w:t>54 %</w:t>
            </w:r>
          </w:p>
        </w:tc>
        <w:tc>
          <w:tcPr>
            <w:tcW w:w="2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26 %</w:t>
            </w: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33 %</w:t>
            </w:r>
          </w:p>
        </w:tc>
        <w:tc>
          <w:tcPr>
            <w:tcW w:w="7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-1350645</wp:posOffset>
            </wp:positionV>
            <wp:extent cx="24828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-1350645</wp:posOffset>
            </wp:positionV>
            <wp:extent cx="24003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-1350645</wp:posOffset>
            </wp:positionV>
            <wp:extent cx="17145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-539750</wp:posOffset>
            </wp:positionV>
            <wp:extent cx="2482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-521970</wp:posOffset>
            </wp:positionV>
            <wp:extent cx="2482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-539750</wp:posOffset>
            </wp:positionV>
            <wp:extent cx="2400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-521970</wp:posOffset>
            </wp:positionV>
            <wp:extent cx="2400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-539750</wp:posOffset>
            </wp:positionV>
            <wp:extent cx="1714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-521970</wp:posOffset>
            </wp:positionV>
            <wp:extent cx="1714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n.m. = </w:t>
      </w:r>
      <w:r>
        <w:rPr>
          <w:rFonts w:ascii="Arial" w:cs="Arial" w:eastAsia="Arial" w:hAnsi="Arial"/>
          <w:sz w:val="18"/>
          <w:szCs w:val="18"/>
          <w:i w:val="1"/>
          <w:iCs w:val="1"/>
          <w:color w:val="auto"/>
        </w:rPr>
        <w:t>not meaningful</w:t>
      </w:r>
    </w:p>
    <w:p>
      <w:pPr>
        <w:spacing w:after="0" w:line="158" w:lineRule="exact"/>
        <w:rPr>
          <w:sz w:val="20"/>
          <w:szCs w:val="20"/>
          <w:color w:val="auto"/>
        </w:rPr>
      </w:pPr>
    </w:p>
    <w:p>
      <w:pPr>
        <w:ind w:left="800" w:hanging="418"/>
        <w:spacing w:after="0"/>
        <w:tabs>
          <w:tab w:leader="none" w:pos="800" w:val="left"/>
        </w:tabs>
        <w:numPr>
          <w:ilvl w:val="0"/>
          <w:numId w:val="23"/>
        </w:numPr>
        <w:rPr>
          <w:rFonts w:ascii="Arial" w:cs="Arial" w:eastAsia="Arial" w:hAnsi="Arial"/>
          <w:sz w:val="14"/>
          <w:szCs w:val="14"/>
          <w:color w:val="auto"/>
        </w:rPr>
      </w:pPr>
      <w:r>
        <w:rPr>
          <w:rFonts w:ascii="Arial" w:cs="Arial" w:eastAsia="Arial" w:hAnsi="Arial"/>
          <w:sz w:val="18"/>
          <w:szCs w:val="18"/>
          <w:color w:val="auto"/>
        </w:rPr>
        <w:t>“Adjusted EBITDA Margin by Segment” is defined as Adjusted EBITDA by segment divided by revenue by segment.</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212"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color w:val="auto"/>
        </w:rPr>
        <w:t>Hotels, Media &amp; Platform segment revenue increased by $188 million during the year ended December 31, 2021, when compared to the same period in 2020, primarily due to increased hotel auction revenue, particularly in the U.S., and, to a lesser extent, increased hotel auction revenue in Europe, due to the impact of growing consumer travel demand and increasing travel industry recovery on our business, as discussed above.</w:t>
      </w:r>
    </w:p>
    <w:p>
      <w:pPr>
        <w:spacing w:after="0" w:line="39"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Adjusted EBITDA in our Hotels, Media &amp; Platform segment increased $98 million, during the year ended December 31, 2021 when compared to the same period in 2020. This was primarily due to an increase in revenue as noted above, and, to a lesser extent, a reduction in personnel costs as a result of workforce reductions related to our cost-reduction measures during 2020 in response to COVID-19, partially offset by an increase in direct selling and marketing expenses related to search engine marketing, or SEM, and other online paid traffic acquisition costs in response to increasing consumer travel demand as travel restrictions ease, vaccination rates increase, and the travel industry recovers, and, to a lesser extent, an increase in personnel and overhead costs to help support business and key staff retention growth during the growing travel demand recovery.</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detailed discussion of the revenue sources within our Hotels, Media &amp; Platform segment: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Hotels, Media &amp; Platform:</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2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1"/>
              </w:rPr>
              <w:t>2021 vs 2020</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2020 vs 2019</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20" w:type="dxa"/>
            <w:vAlign w:val="bottom"/>
            <w:vMerge w:val="continue"/>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Tripadvisor-branded hotels</w:t>
            </w:r>
          </w:p>
        </w:tc>
        <w:tc>
          <w:tcPr>
            <w:tcW w:w="740" w:type="dxa"/>
            <w:vAlign w:val="bottom"/>
            <w:shd w:val="clear" w:color="auto" w:fill="CFF0FC"/>
          </w:tcPr>
          <w:p>
            <w:pPr>
              <w:jc w:val="right"/>
              <w:ind w:right="556"/>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452</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292</w:t>
            </w:r>
          </w:p>
        </w:tc>
        <w:tc>
          <w:tcPr>
            <w:tcW w:w="4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779</w:t>
            </w:r>
          </w:p>
        </w:tc>
        <w:tc>
          <w:tcPr>
            <w:tcW w:w="1400" w:type="dxa"/>
            <w:vAlign w:val="bottom"/>
            <w:gridSpan w:val="3"/>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55 %</w:t>
            </w:r>
          </w:p>
        </w:tc>
        <w:tc>
          <w:tcPr>
            <w:tcW w:w="11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line="202" w:lineRule="exact"/>
              <w:rPr>
                <w:sz w:val="20"/>
                <w:szCs w:val="20"/>
                <w:color w:val="auto"/>
              </w:rPr>
            </w:pPr>
            <w:r>
              <w:rPr>
                <w:rFonts w:ascii="Arial" w:cs="Arial" w:eastAsia="Arial" w:hAnsi="Arial"/>
                <w:sz w:val="18"/>
                <w:szCs w:val="18"/>
                <w:color w:val="auto"/>
              </w:rPr>
              <w:t>Tripadvisor-branded display and platform</w:t>
            </w:r>
          </w:p>
        </w:tc>
        <w:tc>
          <w:tcPr>
            <w:tcW w:w="7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w:t>
            </w:r>
          </w:p>
        </w:tc>
        <w:tc>
          <w:tcPr>
            <w:tcW w:w="14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41 %</w:t>
            </w: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36"/>
        </w:trPr>
        <w:tc>
          <w:tcPr>
            <w:tcW w:w="50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Hotels, Media &amp; Platform revenue</w:t>
            </w:r>
          </w:p>
        </w:tc>
        <w:tc>
          <w:tcPr>
            <w:tcW w:w="740" w:type="dxa"/>
            <w:vAlign w:val="bottom"/>
            <w:tcBorders>
              <w:bottom w:val="single" w:sz="8" w:color="auto"/>
            </w:tcBorders>
            <w:shd w:val="clear" w:color="auto" w:fill="CFF0FC"/>
          </w:tcPr>
          <w:p>
            <w:pPr>
              <w:jc w:val="right"/>
              <w:ind w:right="556"/>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549</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361</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939</w:t>
            </w:r>
          </w:p>
        </w:tc>
        <w:tc>
          <w:tcPr>
            <w:tcW w:w="1400" w:type="dxa"/>
            <w:vAlign w:val="bottom"/>
            <w:tcBorders>
              <w:bottom w:val="single" w:sz="8" w:color="CFF0FC"/>
            </w:tcBorders>
            <w:gridSpan w:val="3"/>
            <w:shd w:val="clear" w:color="auto" w:fill="CFF0FC"/>
          </w:tcPr>
          <w:p>
            <w:pPr>
              <w:jc w:val="right"/>
              <w:ind w:right="200"/>
              <w:spacing w:after="0" w:line="182" w:lineRule="exact"/>
              <w:rPr>
                <w:sz w:val="20"/>
                <w:szCs w:val="20"/>
                <w:color w:val="auto"/>
              </w:rPr>
            </w:pPr>
            <w:r>
              <w:rPr>
                <w:rFonts w:ascii="Arial" w:cs="Arial" w:eastAsia="Arial" w:hAnsi="Arial"/>
                <w:sz w:val="18"/>
                <w:szCs w:val="18"/>
                <w:color w:val="auto"/>
              </w:rPr>
              <w:t>52 %</w:t>
            </w:r>
          </w:p>
        </w:tc>
        <w:tc>
          <w:tcPr>
            <w:tcW w:w="1180" w:type="dxa"/>
            <w:vAlign w:val="bottom"/>
            <w:tcBorders>
              <w:bottom w:val="single" w:sz="8" w:color="CFF0FC"/>
            </w:tcBorders>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-24765</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-8255</wp:posOffset>
            </wp:positionV>
            <wp:extent cx="51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514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-8255</wp:posOffset>
            </wp:positionV>
            <wp:extent cx="51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Hotels Revenue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40" w:name="page41"/>
    <w:bookmarkEnd w:id="40"/>
    <w:p>
      <w:pPr>
        <w:ind w:firstLine="509"/>
        <w:spacing w:after="0" w:line="252" w:lineRule="auto"/>
        <w:rPr>
          <w:sz w:val="20"/>
          <w:szCs w:val="20"/>
          <w:color w:val="auto"/>
        </w:rPr>
      </w:pPr>
      <w:r>
        <w:rPr>
          <w:rFonts w:ascii="Arial" w:cs="Arial" w:eastAsia="Arial" w:hAnsi="Arial"/>
          <w:sz w:val="17"/>
          <w:szCs w:val="17"/>
          <w:color w:val="auto"/>
        </w:rPr>
        <w:t>Tripadvisor-branded hotels revenue primarily includes hotel auction revenue and, to a lesser extent, hotel B2B revenue, which includes click-based revenue generated from hotel sponsored placement advertising that enable hotels to enhance their visibility on Tripadvisor hotel pages, and subscription-based advertising services that we offer to travel partners. For the years ended December 31, 2021, 2020, and 2019, 82%, 81%, and 83%, respectively, of our total Hotels, Media &amp; Platform segment revenue was derived from Tripadvisor-branded hotels revenue. Tripadvisor-branded hotels revenue increased $160 million or 55% during the year ended December 31, 2021 when compared to the same period in 2020. This increase was primarily driven by our hotel auction revenue, particularly in the U.S., and, to a lesser extent, an increase in hotel auction revenue in Europe, despite the impact from the Delta variant late in the third quarter of 2021 and the emergence of the Omicron variant late in the fourth quarter of 2021, due to rising consumer travel demand and travel industry recovery, given rising vaccination rates and easing of government travel and leisure restrictions. As consumer travel demand continued to increase during 2021, the Company saw continued improvement in hotel auction monetization, as CPC rates during the second half of 2021 exceeded parity of 2019's comparable period, which enabled increased efficient marketing investment on performance channels, enhancing our 2021 hotel auction revenue growth. See “</w:t>
      </w:r>
      <w:r>
        <w:rPr>
          <w:rFonts w:ascii="Arial" w:cs="Arial" w:eastAsia="Arial" w:hAnsi="Arial"/>
          <w:sz w:val="17"/>
          <w:szCs w:val="17"/>
          <w:i w:val="1"/>
          <w:iCs w:val="1"/>
          <w:color w:val="auto"/>
        </w:rPr>
        <w:t>Business Trends</w:t>
      </w:r>
      <w:r>
        <w:rPr>
          <w:rFonts w:ascii="Arial" w:cs="Arial" w:eastAsia="Arial" w:hAnsi="Arial"/>
          <w:sz w:val="17"/>
          <w:szCs w:val="17"/>
          <w:color w:val="auto"/>
        </w:rPr>
        <w:t>” above for further discussion.</w:t>
      </w:r>
    </w:p>
    <w:p>
      <w:pPr>
        <w:spacing w:after="0" w:line="29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Display and Platform Revenue</w:t>
      </w:r>
    </w:p>
    <w:p>
      <w:pPr>
        <w:spacing w:after="0" w:line="10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For the years ended December 31, 2021, 2020, and 2019, 18%, 19%, and 17%, respectively, of our total Hotels, Media &amp; Platform segment revenue was derived from Tripadvisor-branded display and platform revenue, which consists of revenue from display-based advertising across our platform. Tripadvisor-branded display and platform revenue increased $28 million or 41% during the year ended December 31, 2021, when compared to the same period in 2020, primarily driven by an increase in marketing spend from our advertisers in correlation with increasing consumer travel demand, as discussed above.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12"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For the years ended December 31, 2021, 2020, and 2019, our Experiences &amp; Dining segment revenue accounted for 34%, 31% and 29%, respectively, of total consolidated revenue. Experiences &amp; Dining segment revenue increased by $121 million or 65% during the year ended December 31, 2021, when compared to the same period in 2020, driven by Experiences revenue, as discussed above under “Business Trends.”</w:t>
      </w:r>
    </w:p>
    <w:p>
      <w:pPr>
        <w:spacing w:after="0" w:line="164" w:lineRule="exact"/>
        <w:rPr>
          <w:sz w:val="20"/>
          <w:szCs w:val="20"/>
          <w:color w:val="auto"/>
        </w:rPr>
      </w:pPr>
    </w:p>
    <w:p>
      <w:pPr>
        <w:ind w:right="200" w:firstLine="509"/>
        <w:spacing w:after="0" w:line="262" w:lineRule="auto"/>
        <w:rPr>
          <w:sz w:val="20"/>
          <w:szCs w:val="20"/>
          <w:color w:val="auto"/>
        </w:rPr>
      </w:pPr>
      <w:r>
        <w:rPr>
          <w:rFonts w:ascii="Arial" w:cs="Arial" w:eastAsia="Arial" w:hAnsi="Arial"/>
          <w:sz w:val="17"/>
          <w:szCs w:val="17"/>
          <w:color w:val="auto"/>
        </w:rPr>
        <w:t>This segment’s revenue has been negatively and materially impacted at varying levels by a significant reduction in consumer demand due to the COVID-19 pandemic at varying levels during 2020 and 2021. However, during 2021, our Experiences &amp; Dining segment’s financial results significantly improved as a result of the growing consumer travel demand recovery, albeit unevenly, driven by vaccine progress and various government restrictions being gradually lifted during the same time period, which is discussed further under “</w:t>
      </w:r>
      <w:r>
        <w:rPr>
          <w:rFonts w:ascii="Arial" w:cs="Arial" w:eastAsia="Arial" w:hAnsi="Arial"/>
          <w:sz w:val="17"/>
          <w:szCs w:val="17"/>
          <w:i w:val="1"/>
          <w:iCs w:val="1"/>
          <w:color w:val="auto"/>
        </w:rPr>
        <w:t>Business Trends</w:t>
      </w:r>
      <w:r>
        <w:rPr>
          <w:rFonts w:ascii="Arial" w:cs="Arial" w:eastAsia="Arial" w:hAnsi="Arial"/>
          <w:sz w:val="17"/>
          <w:szCs w:val="17"/>
          <w:color w:val="auto"/>
        </w:rPr>
        <w:t>” above.</w:t>
      </w:r>
    </w:p>
    <w:p>
      <w:pPr>
        <w:spacing w:after="0" w:line="172"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Experiences &amp; Dining segment Adjusted EBITDA loss decreased by $43 million during the year ended December 31, 2021 when compared to the same period in 2020, primarily due to an increase in revenue as noted above, a reduction in personnel costs as a result of workforce reductions related to our cost-reduction measures during 2020 in response to COVID-19, and, to a lesser extent, lower television advertising costs, office lease costs, and bad debt expense, partially offset by increased selling and marketing expenses related to SEM and other online paid traffic acquisition costs in response to increased consumer demand for experiences and restaurants as part of the growing consumer travel demand recovery and, to a lesser extent, an increase in personnel and overhead costs to help support business growth and key staff retention during the growing travel demand recovery.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w:t>
      </w:r>
    </w:p>
    <w:p>
      <w:pPr>
        <w:spacing w:after="0" w:line="185" w:lineRule="exact"/>
        <w:rPr>
          <w:sz w:val="20"/>
          <w:szCs w:val="20"/>
          <w:color w:val="auto"/>
        </w:rPr>
      </w:pPr>
    </w:p>
    <w:p>
      <w:pPr>
        <w:jc w:val="both"/>
        <w:ind w:right="360" w:firstLine="509"/>
        <w:spacing w:after="0" w:line="243" w:lineRule="auto"/>
        <w:rPr>
          <w:sz w:val="20"/>
          <w:szCs w:val="20"/>
          <w:color w:val="auto"/>
        </w:rPr>
      </w:pPr>
      <w:r>
        <w:rPr>
          <w:rFonts w:ascii="Arial" w:cs="Arial" w:eastAsia="Arial" w:hAnsi="Arial"/>
          <w:sz w:val="18"/>
          <w:szCs w:val="18"/>
          <w:color w:val="auto"/>
        </w:rPr>
        <w:t>Other revenue, which includes Rentals revenue, in addition to primarily click-based advertising and display-based advertising revenue from our Flights &amp; Cars, and Cruises offerings on Tripadvisor websites and mobile apps, decreased by $11 million or 19% during the year ended December 31, 2021, when compared to the same period in 2020, primarily due to the continued negative impact of COVID-19 on these offerings, and the sale of our SmarterTravel business during the second quarter of 2020.</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1" w:name="page42"/>
    <w:bookmarkEnd w:id="41"/>
    <w:p>
      <w:pPr>
        <w:jc w:val="both"/>
        <w:ind w:right="140" w:firstLine="554"/>
        <w:spacing w:after="0" w:line="270" w:lineRule="auto"/>
        <w:rPr>
          <w:sz w:val="20"/>
          <w:szCs w:val="20"/>
          <w:color w:val="auto"/>
        </w:rPr>
      </w:pPr>
      <w:r>
        <w:rPr>
          <w:rFonts w:ascii="Arial" w:cs="Arial" w:eastAsia="Arial" w:hAnsi="Arial"/>
          <w:sz w:val="17"/>
          <w:szCs w:val="17"/>
          <w:color w:val="auto"/>
        </w:rPr>
        <w:t>Adjusted EBITDA in Other increased $10 million or 67% during the year ended December 31, 2021, when compared to the same period in 2020, was primarily due to reduction in personnel costs as a result of workforce reductions related to our cost-reduction measures during the first half of 2020 in response to COVID-19 and lower non-income tax costs, partially offset by a decrease in revenue, as noted above.</w:t>
      </w:r>
    </w:p>
    <w:p>
      <w:pPr>
        <w:spacing w:after="0" w:line="160" w:lineRule="exact"/>
        <w:rPr>
          <w:sz w:val="20"/>
          <w:szCs w:val="20"/>
          <w:color w:val="auto"/>
        </w:rPr>
      </w:pPr>
    </w:p>
    <w:p>
      <w:pPr>
        <w:jc w:val="right"/>
        <w:ind w:right="9460"/>
        <w:spacing w:after="0"/>
        <w:rPr>
          <w:sz w:val="20"/>
          <w:szCs w:val="20"/>
          <w:color w:val="auto"/>
        </w:rPr>
      </w:pPr>
      <w:r>
        <w:rPr>
          <w:rFonts w:ascii="Arial" w:cs="Arial" w:eastAsia="Arial" w:hAnsi="Arial"/>
          <w:sz w:val="15"/>
          <w:szCs w:val="15"/>
          <w:b w:val="1"/>
          <w:bCs w:val="1"/>
          <w:color w:val="auto"/>
        </w:rPr>
        <w:t>Consolidated Expenses</w:t>
      </w:r>
    </w:p>
    <w:p>
      <w:pPr>
        <w:spacing w:after="0" w:line="142" w:lineRule="exact"/>
        <w:rPr>
          <w:sz w:val="20"/>
          <w:szCs w:val="20"/>
          <w:color w:val="auto"/>
        </w:rPr>
      </w:pPr>
    </w:p>
    <w:p>
      <w:pPr>
        <w:jc w:val="right"/>
        <w:ind w:right="9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2" w:lineRule="exact"/>
        <w:rPr>
          <w:sz w:val="20"/>
          <w:szCs w:val="20"/>
          <w:color w:val="auto"/>
        </w:rPr>
      </w:pPr>
    </w:p>
    <w:p>
      <w:pPr>
        <w:ind w:right="200" w:firstLine="509"/>
        <w:spacing w:after="0" w:line="262" w:lineRule="auto"/>
        <w:rPr>
          <w:sz w:val="20"/>
          <w:szCs w:val="20"/>
          <w:color w:val="auto"/>
        </w:rPr>
      </w:pPr>
      <w:r>
        <w:rPr>
          <w:rFonts w:ascii="Arial" w:cs="Arial" w:eastAsia="Arial" w:hAnsi="Arial"/>
          <w:sz w:val="17"/>
          <w:szCs w:val="17"/>
          <w:color w:val="auto"/>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4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490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2020</w:t>
            </w:r>
          </w:p>
        </w:tc>
        <w:tc>
          <w:tcPr>
            <w:tcW w:w="3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12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1"/>
              </w:rPr>
              <w:t>2021 vs 2020</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2020 vs 2019</w:t>
            </w:r>
          </w:p>
        </w:tc>
        <w:tc>
          <w:tcPr>
            <w:tcW w:w="36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Direct costs</w:t>
            </w:r>
          </w:p>
        </w:tc>
        <w:tc>
          <w:tcPr>
            <w:tcW w:w="660" w:type="dxa"/>
            <w:vAlign w:val="bottom"/>
            <w:shd w:val="clear" w:color="auto" w:fill="CFF0FC"/>
          </w:tcPr>
          <w:p>
            <w:pPr>
              <w:jc w:val="right"/>
              <w:ind w:right="456"/>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6"/>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w:t>
            </w: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w:t>
            </w:r>
          </w:p>
        </w:tc>
        <w:tc>
          <w:tcPr>
            <w:tcW w:w="3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47 %</w:t>
            </w:r>
          </w:p>
        </w:tc>
        <w:tc>
          <w:tcPr>
            <w:tcW w:w="12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(52 %)</w:t>
            </w: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Personnel and overhead</w:t>
            </w:r>
          </w:p>
        </w:tc>
        <w:tc>
          <w:tcPr>
            <w:tcW w:w="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w:t>
            </w:r>
          </w:p>
        </w:tc>
        <w:tc>
          <w:tcPr>
            <w:tcW w:w="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w:t>
            </w:r>
          </w:p>
        </w:tc>
        <w:tc>
          <w:tcPr>
            <w:tcW w:w="36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14 %</w:t>
            </w: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(9 )%</w:t>
            </w:r>
          </w:p>
        </w:tc>
      </w:tr>
      <w:tr>
        <w:trPr>
          <w:trHeight w:val="236"/>
        </w:trPr>
        <w:tc>
          <w:tcPr>
            <w:tcW w:w="490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Total cost of revenue</w:t>
            </w:r>
          </w:p>
        </w:tc>
        <w:tc>
          <w:tcPr>
            <w:tcW w:w="660" w:type="dxa"/>
            <w:vAlign w:val="bottom"/>
            <w:tcBorders>
              <w:bottom w:val="single" w:sz="8" w:color="auto"/>
            </w:tcBorders>
            <w:shd w:val="clear" w:color="auto" w:fill="CFF0FC"/>
          </w:tcPr>
          <w:p>
            <w:pPr>
              <w:jc w:val="right"/>
              <w:ind w:right="456"/>
              <w:spacing w:after="0" w:line="182"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74</w:t>
            </w:r>
          </w:p>
        </w:tc>
        <w:tc>
          <w:tcPr>
            <w:tcW w:w="4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6"/>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55</w:t>
            </w:r>
          </w:p>
        </w:tc>
        <w:tc>
          <w:tcPr>
            <w:tcW w:w="3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94</w:t>
            </w:r>
          </w:p>
        </w:tc>
        <w:tc>
          <w:tcPr>
            <w:tcW w:w="36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gridSpan w:val="2"/>
            <w:shd w:val="clear" w:color="auto" w:fill="CFF0FC"/>
          </w:tcPr>
          <w:p>
            <w:pPr>
              <w:jc w:val="right"/>
              <w:ind w:right="220"/>
              <w:spacing w:after="0" w:line="182" w:lineRule="exact"/>
              <w:rPr>
                <w:sz w:val="20"/>
                <w:szCs w:val="20"/>
                <w:color w:val="auto"/>
              </w:rPr>
            </w:pPr>
            <w:r>
              <w:rPr>
                <w:rFonts w:ascii="Arial" w:cs="Arial" w:eastAsia="Arial" w:hAnsi="Arial"/>
                <w:sz w:val="18"/>
                <w:szCs w:val="18"/>
                <w:color w:val="auto"/>
              </w:rPr>
              <w:t>35 %</w:t>
            </w:r>
          </w:p>
        </w:tc>
        <w:tc>
          <w:tcPr>
            <w:tcW w:w="1240" w:type="dxa"/>
            <w:vAlign w:val="bottom"/>
            <w:tcBorders>
              <w:bottom w:val="single" w:sz="8" w:color="CFF0FC"/>
            </w:tcBorders>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(41 %)</w:t>
            </w:r>
          </w:p>
        </w:tc>
      </w:tr>
      <w:tr>
        <w:trPr>
          <w:trHeight w:val="211"/>
        </w:trPr>
        <w:tc>
          <w:tcPr>
            <w:tcW w:w="4900" w:type="dxa"/>
            <w:vAlign w:val="bottom"/>
          </w:tcPr>
          <w:p>
            <w:pPr>
              <w:ind w:left="200"/>
              <w:spacing w:after="0"/>
              <w:rPr>
                <w:sz w:val="20"/>
                <w:szCs w:val="20"/>
                <w:color w:val="auto"/>
              </w:rPr>
            </w:pPr>
            <w:r>
              <w:rPr>
                <w:rFonts w:ascii="Arial" w:cs="Arial" w:eastAsia="Arial" w:hAnsi="Arial"/>
                <w:sz w:val="18"/>
                <w:szCs w:val="18"/>
                <w:color w:val="auto"/>
              </w:rPr>
              <w:t>% of revenue</w:t>
            </w:r>
          </w:p>
        </w:tc>
        <w:tc>
          <w:tcPr>
            <w:tcW w:w="660" w:type="dxa"/>
            <w:vAlign w:val="bottom"/>
          </w:tcPr>
          <w:p>
            <w:pPr>
              <w:spacing w:after="0"/>
              <w:rPr>
                <w:sz w:val="18"/>
                <w:szCs w:val="18"/>
                <w:color w:val="auto"/>
              </w:rPr>
            </w:pPr>
          </w:p>
        </w:tc>
        <w:tc>
          <w:tcPr>
            <w:tcW w:w="680" w:type="dxa"/>
            <w:vAlign w:val="bottom"/>
            <w:gridSpan w:val="2"/>
          </w:tcPr>
          <w:p>
            <w:pPr>
              <w:jc w:val="right"/>
              <w:ind w:right="168"/>
              <w:spacing w:after="0"/>
              <w:rPr>
                <w:sz w:val="20"/>
                <w:szCs w:val="20"/>
                <w:color w:val="auto"/>
              </w:rPr>
            </w:pPr>
            <w:r>
              <w:rPr>
                <w:rFonts w:ascii="Arial" w:cs="Arial" w:eastAsia="Arial" w:hAnsi="Arial"/>
                <w:sz w:val="18"/>
                <w:szCs w:val="18"/>
                <w:color w:val="auto"/>
                <w:w w:val="91"/>
              </w:rPr>
              <w:t>8.2 %</w:t>
            </w: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9.1 %</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6.0 %</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-171450</wp:posOffset>
            </wp:positionV>
            <wp:extent cx="1714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-154305</wp:posOffset>
            </wp:positionV>
            <wp:extent cx="1714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-171450</wp:posOffset>
            </wp:positionV>
            <wp:extent cx="1714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-154305</wp:posOffset>
            </wp:positionV>
            <wp:extent cx="1714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-171450</wp:posOffset>
            </wp:positionV>
            <wp:extent cx="1625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-154305</wp:posOffset>
            </wp:positionV>
            <wp:extent cx="1625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54"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auto"/>
        </w:rPr>
        <w:t>Cost of revenue increased $19 million during the year ended December 31, 2021 when compared to the same period in 2020, primarily due to increased direct costs from credit card payment and other revenue-related transaction costs in our Experiences &amp; Dining segment in correlation with an increase in revenue.</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98"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Selling and marketing expenses consist of direct costs, including traffic generation costs from SEM and other online traffic acquisition costs, syndication costs and affiliate marketing commissions, social media costs, brand advertising (including television and other offline advertising), promotions and public relations. In addition, our selling and marketing expenses consist of indirect costs such as personnel and overhead expenses, including salaries, commissions, benefits, stock-based compensation, and bonuses for sales, sales support, customer support and marketing employees.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Year ended December 31,</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4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48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2020</w:t>
            </w:r>
          </w:p>
        </w:tc>
        <w:tc>
          <w:tcPr>
            <w:tcW w:w="3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128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w w:val="91"/>
              </w:rPr>
              <w:t>2021 vs 2020</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2020 vs 2019</w:t>
            </w:r>
          </w:p>
        </w:tc>
        <w:tc>
          <w:tcPr>
            <w:tcW w:w="360" w:type="dxa"/>
            <w:vAlign w:val="bottom"/>
          </w:tcPr>
          <w:p>
            <w:pPr>
              <w:spacing w:after="0"/>
              <w:rPr>
                <w:sz w:val="14"/>
                <w:szCs w:val="14"/>
                <w:color w:val="auto"/>
              </w:rPr>
            </w:pPr>
          </w:p>
        </w:tc>
      </w:tr>
      <w:tr>
        <w:trPr>
          <w:trHeight w:val="169"/>
        </w:trPr>
        <w:tc>
          <w:tcPr>
            <w:tcW w:w="48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Direct costs</w:t>
            </w:r>
          </w:p>
        </w:tc>
        <w:tc>
          <w:tcPr>
            <w:tcW w:w="620" w:type="dxa"/>
            <w:vAlign w:val="bottom"/>
            <w:shd w:val="clear" w:color="auto" w:fill="CFF0FC"/>
          </w:tcPr>
          <w:p>
            <w:pPr>
              <w:jc w:val="right"/>
              <w:ind w:right="436"/>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294</w:t>
            </w: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w:t>
            </w: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433</w:t>
            </w: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130 %</w:t>
            </w:r>
          </w:p>
        </w:tc>
        <w:tc>
          <w:tcPr>
            <w:tcW w:w="11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(70 %)</w:t>
            </w: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Personnel and overhead</w:t>
            </w:r>
          </w:p>
        </w:tc>
        <w:tc>
          <w:tcPr>
            <w:tcW w:w="6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175</w:t>
            </w: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w:t>
            </w: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239</w:t>
            </w:r>
          </w:p>
        </w:tc>
        <w:tc>
          <w:tcPr>
            <w:tcW w:w="34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(7 %)</w:t>
            </w: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(21 %)</w:t>
            </w:r>
          </w:p>
        </w:tc>
      </w:tr>
      <w:tr>
        <w:trPr>
          <w:trHeight w:val="236"/>
        </w:trPr>
        <w:tc>
          <w:tcPr>
            <w:tcW w:w="48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selling and marketing</w:t>
            </w:r>
          </w:p>
        </w:tc>
        <w:tc>
          <w:tcPr>
            <w:tcW w:w="620" w:type="dxa"/>
            <w:vAlign w:val="bottom"/>
            <w:tcBorders>
              <w:bottom w:val="single" w:sz="8" w:color="auto"/>
            </w:tcBorders>
            <w:shd w:val="clear" w:color="auto" w:fill="CFF0FC"/>
          </w:tcPr>
          <w:p>
            <w:pPr>
              <w:jc w:val="right"/>
              <w:ind w:right="436"/>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469</w:t>
            </w:r>
          </w:p>
        </w:tc>
        <w:tc>
          <w:tcPr>
            <w:tcW w:w="3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6"/>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316</w:t>
            </w:r>
          </w:p>
        </w:tc>
        <w:tc>
          <w:tcPr>
            <w:tcW w:w="3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672</w:t>
            </w:r>
          </w:p>
        </w:tc>
        <w:tc>
          <w:tcPr>
            <w:tcW w:w="34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gridSpan w:val="2"/>
            <w:shd w:val="clear" w:color="auto" w:fill="CFF0FC"/>
          </w:tcPr>
          <w:p>
            <w:pPr>
              <w:jc w:val="right"/>
              <w:ind w:right="300"/>
              <w:spacing w:after="0" w:line="182" w:lineRule="exact"/>
              <w:rPr>
                <w:sz w:val="20"/>
                <w:szCs w:val="20"/>
                <w:color w:val="auto"/>
              </w:rPr>
            </w:pPr>
            <w:r>
              <w:rPr>
                <w:rFonts w:ascii="Arial" w:cs="Arial" w:eastAsia="Arial" w:hAnsi="Arial"/>
                <w:sz w:val="18"/>
                <w:szCs w:val="18"/>
                <w:color w:val="auto"/>
              </w:rPr>
              <w:t>48 %</w:t>
            </w:r>
          </w:p>
        </w:tc>
        <w:tc>
          <w:tcPr>
            <w:tcW w:w="1160" w:type="dxa"/>
            <w:vAlign w:val="bottom"/>
            <w:tcBorders>
              <w:bottom w:val="single" w:sz="8" w:color="CFF0FC"/>
            </w:tcBorders>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(53 %)</w:t>
            </w:r>
          </w:p>
        </w:tc>
      </w:tr>
      <w:tr>
        <w:trPr>
          <w:trHeight w:val="211"/>
        </w:trPr>
        <w:tc>
          <w:tcPr>
            <w:tcW w:w="4880" w:type="dxa"/>
            <w:vAlign w:val="bottom"/>
          </w:tcPr>
          <w:p>
            <w:pPr>
              <w:ind w:left="20"/>
              <w:spacing w:after="0"/>
              <w:rPr>
                <w:sz w:val="20"/>
                <w:szCs w:val="20"/>
                <w:color w:val="auto"/>
              </w:rPr>
            </w:pPr>
            <w:r>
              <w:rPr>
                <w:rFonts w:ascii="Arial" w:cs="Arial" w:eastAsia="Arial" w:hAnsi="Arial"/>
                <w:sz w:val="18"/>
                <w:szCs w:val="18"/>
                <w:color w:val="auto"/>
              </w:rPr>
              <w:t>% of revenue</w:t>
            </w:r>
          </w:p>
        </w:tc>
        <w:tc>
          <w:tcPr>
            <w:tcW w:w="620" w:type="dxa"/>
            <w:vAlign w:val="bottom"/>
          </w:tcPr>
          <w:p>
            <w:pPr>
              <w:spacing w:after="0"/>
              <w:rPr>
                <w:sz w:val="18"/>
                <w:szCs w:val="18"/>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5"/>
              </w:rPr>
              <w:t>52.0 %</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52.3 %</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43.1 %</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-171450</wp:posOffset>
            </wp:positionV>
            <wp:extent cx="1631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-154305</wp:posOffset>
            </wp:positionV>
            <wp:extent cx="1631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-171450</wp:posOffset>
            </wp:positionV>
            <wp:extent cx="1631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-154305</wp:posOffset>
            </wp:positionV>
            <wp:extent cx="1631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-171450</wp:posOffset>
            </wp:positionV>
            <wp:extent cx="1543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-154305</wp:posOffset>
            </wp:positionV>
            <wp:extent cx="1543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54"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Direct selling and marketing costs increased $166 million during the year ended December 31, 2021 when compared to the same period in 2020, primarily due to an increase in our SEM and other online traffic acquisition spend in our Hotels, Media &amp; Platform and Experiences &amp; Dining segments in response to increasing consumer travel demand as travel activity restrictions ease and the travel industry recovers.</w:t>
      </w:r>
    </w:p>
    <w:p>
      <w:pPr>
        <w:spacing w:after="0" w:line="16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Personnel and overhead costs decreased $13 million during the year ended December 31, 2021 when compared to the same period in 2020, primarily as a result of a reduction in headcount related to our cost-reduction measures across our business in response to COVID-19 implemented during the first half of 2020, partially offset by increased personnel and overhead related to performance bonuses and additional headcount to help support business growth and key staff retention during the growing travel demand recovery during 2021.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2" w:name="page43"/>
    <w:bookmarkEnd w:id="42"/>
    <w:p>
      <w:pPr>
        <w:ind w:left="52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212" w:lineRule="exact"/>
        <w:rPr>
          <w:sz w:val="20"/>
          <w:szCs w:val="20"/>
          <w:color w:val="auto"/>
        </w:rPr>
      </w:pPr>
    </w:p>
    <w:p>
      <w:pPr>
        <w:ind w:right="120" w:firstLine="539"/>
        <w:spacing w:after="0" w:line="243" w:lineRule="auto"/>
        <w:rPr>
          <w:sz w:val="20"/>
          <w:szCs w:val="20"/>
          <w:color w:val="auto"/>
        </w:rPr>
      </w:pPr>
      <w:r>
        <w:rPr>
          <w:rFonts w:ascii="Arial" w:cs="Arial" w:eastAsia="Arial" w:hAnsi="Arial"/>
          <w:sz w:val="18"/>
          <w:szCs w:val="18"/>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platform. Other costs include licensing, maintenance expense, computer supplies, telecom costs, content translation and localization costs, and consulting costs.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0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48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2020</w:t>
            </w:r>
          </w:p>
        </w:tc>
        <w:tc>
          <w:tcPr>
            <w:tcW w:w="3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128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w w:val="91"/>
              </w:rPr>
              <w:t>2021 vs 2020</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2020 vs 2019</w:t>
            </w:r>
          </w:p>
        </w:tc>
        <w:tc>
          <w:tcPr>
            <w:tcW w:w="360" w:type="dxa"/>
            <w:vAlign w:val="bottom"/>
          </w:tcPr>
          <w:p>
            <w:pPr>
              <w:spacing w:after="0"/>
              <w:rPr>
                <w:sz w:val="14"/>
                <w:szCs w:val="14"/>
                <w:color w:val="auto"/>
              </w:rPr>
            </w:pPr>
          </w:p>
        </w:tc>
      </w:tr>
      <w:tr>
        <w:trPr>
          <w:trHeight w:val="169"/>
        </w:trPr>
        <w:tc>
          <w:tcPr>
            <w:tcW w:w="48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r>
      <w:tr>
        <w:trPr>
          <w:trHeight w:val="203"/>
        </w:trPr>
        <w:tc>
          <w:tcPr>
            <w:tcW w:w="4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Personnel and overhead</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w:t>
            </w: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6"/>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w:t>
            </w: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260</w:t>
            </w: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(3 %)</w:t>
            </w:r>
          </w:p>
        </w:tc>
        <w:tc>
          <w:tcPr>
            <w:tcW w:w="12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(25 %)</w:t>
            </w:r>
          </w:p>
        </w:tc>
      </w:tr>
      <w:tr>
        <w:trPr>
          <w:trHeight w:val="203"/>
        </w:trPr>
        <w:tc>
          <w:tcPr>
            <w:tcW w:w="484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w:t>
            </w:r>
          </w:p>
        </w:tc>
        <w:tc>
          <w:tcPr>
            <w:tcW w:w="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w:t>
            </w:r>
          </w:p>
        </w:tc>
        <w:tc>
          <w:tcPr>
            <w:tcW w:w="34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(8 %)</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(21 %)</w:t>
            </w:r>
          </w:p>
        </w:tc>
      </w:tr>
      <w:tr>
        <w:trPr>
          <w:trHeight w:val="236"/>
        </w:trPr>
        <w:tc>
          <w:tcPr>
            <w:tcW w:w="48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technology and content</w:t>
            </w: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212</w:t>
            </w:r>
          </w:p>
        </w:tc>
        <w:tc>
          <w:tcPr>
            <w:tcW w:w="3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6"/>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220</w:t>
            </w:r>
          </w:p>
        </w:tc>
        <w:tc>
          <w:tcPr>
            <w:tcW w:w="3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293</w:t>
            </w:r>
          </w:p>
        </w:tc>
        <w:tc>
          <w:tcPr>
            <w:tcW w:w="34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gridSpan w:val="2"/>
            <w:shd w:val="clear" w:color="auto" w:fill="CFF0FC"/>
          </w:tcPr>
          <w:p>
            <w:pPr>
              <w:jc w:val="right"/>
              <w:ind w:right="240"/>
              <w:spacing w:after="0" w:line="182" w:lineRule="exact"/>
              <w:rPr>
                <w:sz w:val="20"/>
                <w:szCs w:val="20"/>
                <w:color w:val="auto"/>
              </w:rPr>
            </w:pPr>
            <w:r>
              <w:rPr>
                <w:rFonts w:ascii="Arial" w:cs="Arial" w:eastAsia="Arial" w:hAnsi="Arial"/>
                <w:sz w:val="18"/>
                <w:szCs w:val="18"/>
                <w:color w:val="auto"/>
              </w:rPr>
              <w:t>(4 %)</w:t>
            </w:r>
          </w:p>
        </w:tc>
        <w:tc>
          <w:tcPr>
            <w:tcW w:w="1220" w:type="dxa"/>
            <w:vAlign w:val="bottom"/>
            <w:tcBorders>
              <w:bottom w:val="single" w:sz="8" w:color="CFF0FC"/>
            </w:tcBorders>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(25 %)</w:t>
            </w:r>
          </w:p>
        </w:tc>
      </w:tr>
      <w:tr>
        <w:trPr>
          <w:trHeight w:val="211"/>
        </w:trPr>
        <w:tc>
          <w:tcPr>
            <w:tcW w:w="4840" w:type="dxa"/>
            <w:vAlign w:val="bottom"/>
          </w:tcPr>
          <w:p>
            <w:pPr>
              <w:ind w:left="20"/>
              <w:spacing w:after="0"/>
              <w:rPr>
                <w:sz w:val="20"/>
                <w:szCs w:val="20"/>
                <w:color w:val="auto"/>
              </w:rPr>
            </w:pPr>
            <w:r>
              <w:rPr>
                <w:rFonts w:ascii="Arial" w:cs="Arial" w:eastAsia="Arial" w:hAnsi="Arial"/>
                <w:sz w:val="18"/>
                <w:szCs w:val="18"/>
                <w:color w:val="auto"/>
              </w:rPr>
              <w:t>% of revenue</w:t>
            </w:r>
          </w:p>
        </w:tc>
        <w:tc>
          <w:tcPr>
            <w:tcW w:w="220" w:type="dxa"/>
            <w:vAlign w:val="bottom"/>
          </w:tcPr>
          <w:p>
            <w:pPr>
              <w:spacing w:after="0"/>
              <w:rPr>
                <w:sz w:val="18"/>
                <w:szCs w:val="18"/>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8"/>
                <w:szCs w:val="18"/>
                <w:color w:val="auto"/>
              </w:rPr>
              <w:t>23.5 %</w:t>
            </w: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36.4 %</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18.8 %</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-171450</wp:posOffset>
            </wp:positionV>
            <wp:extent cx="1625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-154305</wp:posOffset>
            </wp:positionV>
            <wp:extent cx="1625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-171450</wp:posOffset>
            </wp:positionV>
            <wp:extent cx="1631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-154305</wp:posOffset>
            </wp:positionV>
            <wp:extent cx="1631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-171450</wp:posOffset>
            </wp:positionV>
            <wp:extent cx="1543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-154305</wp:posOffset>
            </wp:positionV>
            <wp:extent cx="1543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48"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Technology and content costs decreased $8 million during the year ended December 31, 2021 when compared to the same period in 2020, primarily due to decreased personnel and overhead costs across our business as a result of a reduction in headcount driven by cost-reduction measures across our business in response to COVID-19 implemented during the first half of 2020, partially offset by an increase in performance bonuses, contingent staff costs, and stock-based compensation expense to help support business growth and key staff retention during the growing travel demand recovery during 2021.</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2"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and other non-income related taxes.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0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48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2020</w:t>
            </w:r>
          </w:p>
        </w:tc>
        <w:tc>
          <w:tcPr>
            <w:tcW w:w="3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128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w w:val="91"/>
              </w:rPr>
              <w:t>2021 vs 2020</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2020 vs 2019</w:t>
            </w:r>
          </w:p>
        </w:tc>
        <w:tc>
          <w:tcPr>
            <w:tcW w:w="360" w:type="dxa"/>
            <w:vAlign w:val="bottom"/>
          </w:tcPr>
          <w:p>
            <w:pPr>
              <w:spacing w:after="0"/>
              <w:rPr>
                <w:sz w:val="14"/>
                <w:szCs w:val="14"/>
                <w:color w:val="auto"/>
              </w:rPr>
            </w:pPr>
          </w:p>
        </w:tc>
      </w:tr>
      <w:tr>
        <w:trPr>
          <w:trHeight w:val="169"/>
        </w:trPr>
        <w:tc>
          <w:tcPr>
            <w:tcW w:w="48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r>
      <w:tr>
        <w:trPr>
          <w:trHeight w:val="203"/>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Personnel and overhead</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w:t>
            </w: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w:t>
            </w: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w:t>
            </w: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11 %</w:t>
            </w:r>
          </w:p>
        </w:tc>
        <w:tc>
          <w:tcPr>
            <w:tcW w:w="12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(12 %)</w:t>
            </w: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Professional service fees and other</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w:t>
            </w: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w:t>
            </w:r>
          </w:p>
        </w:tc>
        <w:tc>
          <w:tcPr>
            <w:tcW w:w="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w:t>
            </w:r>
          </w:p>
        </w:tc>
        <w:tc>
          <w:tcPr>
            <w:tcW w:w="34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(35 %)</w:t>
            </w: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4 %</w:t>
            </w:r>
          </w:p>
        </w:tc>
      </w:tr>
      <w:tr>
        <w:trPr>
          <w:trHeight w:val="236"/>
        </w:trPr>
        <w:tc>
          <w:tcPr>
            <w:tcW w:w="48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general and administrative</w:t>
            </w: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167</w:t>
            </w:r>
          </w:p>
        </w:tc>
        <w:tc>
          <w:tcPr>
            <w:tcW w:w="3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6"/>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173</w:t>
            </w:r>
          </w:p>
        </w:tc>
        <w:tc>
          <w:tcPr>
            <w:tcW w:w="3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187</w:t>
            </w:r>
          </w:p>
        </w:tc>
        <w:tc>
          <w:tcPr>
            <w:tcW w:w="34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gridSpan w:val="2"/>
            <w:shd w:val="clear" w:color="auto" w:fill="CFF0FC"/>
          </w:tcPr>
          <w:p>
            <w:pPr>
              <w:jc w:val="right"/>
              <w:ind w:right="240"/>
              <w:spacing w:after="0" w:line="182" w:lineRule="exact"/>
              <w:rPr>
                <w:sz w:val="20"/>
                <w:szCs w:val="20"/>
                <w:color w:val="auto"/>
              </w:rPr>
            </w:pPr>
            <w:r>
              <w:rPr>
                <w:rFonts w:ascii="Arial" w:cs="Arial" w:eastAsia="Arial" w:hAnsi="Arial"/>
                <w:sz w:val="18"/>
                <w:szCs w:val="18"/>
                <w:color w:val="auto"/>
              </w:rPr>
              <w:t>(3 %)</w:t>
            </w:r>
          </w:p>
        </w:tc>
        <w:tc>
          <w:tcPr>
            <w:tcW w:w="1220" w:type="dxa"/>
            <w:vAlign w:val="bottom"/>
            <w:tcBorders>
              <w:bottom w:val="single" w:sz="8" w:color="CFF0FC"/>
            </w:tcBorders>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(7 %)</w:t>
            </w:r>
          </w:p>
        </w:tc>
      </w:tr>
      <w:tr>
        <w:trPr>
          <w:trHeight w:val="211"/>
        </w:trPr>
        <w:tc>
          <w:tcPr>
            <w:tcW w:w="4860" w:type="dxa"/>
            <w:vAlign w:val="bottom"/>
          </w:tcPr>
          <w:p>
            <w:pPr>
              <w:ind w:left="20"/>
              <w:spacing w:after="0"/>
              <w:rPr>
                <w:sz w:val="20"/>
                <w:szCs w:val="20"/>
                <w:color w:val="auto"/>
              </w:rPr>
            </w:pPr>
            <w:r>
              <w:rPr>
                <w:rFonts w:ascii="Arial" w:cs="Arial" w:eastAsia="Arial" w:hAnsi="Arial"/>
                <w:sz w:val="18"/>
                <w:szCs w:val="18"/>
                <w:color w:val="auto"/>
              </w:rPr>
              <w:t>% of revenue</w:t>
            </w:r>
          </w:p>
        </w:tc>
        <w:tc>
          <w:tcPr>
            <w:tcW w:w="200" w:type="dxa"/>
            <w:vAlign w:val="bottom"/>
          </w:tcPr>
          <w:p>
            <w:pPr>
              <w:spacing w:after="0"/>
              <w:rPr>
                <w:sz w:val="18"/>
                <w:szCs w:val="18"/>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8"/>
                <w:szCs w:val="18"/>
                <w:color w:val="auto"/>
              </w:rPr>
              <w:t>18.5 %</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28.6 %</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12.0 %</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-171450</wp:posOffset>
            </wp:positionV>
            <wp:extent cx="1631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-154305</wp:posOffset>
            </wp:positionV>
            <wp:extent cx="1631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-171450</wp:posOffset>
            </wp:positionV>
            <wp:extent cx="1625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-154305</wp:posOffset>
            </wp:positionV>
            <wp:extent cx="1625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-171450</wp:posOffset>
            </wp:positionV>
            <wp:extent cx="1543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-154305</wp:posOffset>
            </wp:positionV>
            <wp:extent cx="1543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89"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General and administrative costs decreased $6 million during the year ended December 31, 2021 when compared to the same period in 2020. Personnel and overhead costs increased $13 million during the year ended December 31, 2021, when compared to the same period in 2020, primarily driven by an increase in performance bonuses, recruiting costs, and stock-based compensation expense to help support business growth and key staff retention during the growing consumer travel demand recovery, partially offset by decreased personnel and overhead costs as a result of a reduction in headcount driven by cost-reduction measures across our business in response to COVID-19 implemented during the first half of 2020. Professional service fees and other decreased $19 million during the year ended December 31, 2021, when compared to the same period in 2020, primarily due to a decrease in bad debt expense of $14 million due to improved collection trends as the travel industry recovers and to a lesser extent a decrease in third-party professional service costs related to cost-reduction measures and other non-income related taxes costs.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ind w:right="200" w:firstLine="509"/>
        <w:spacing w:after="0" w:line="248" w:lineRule="auto"/>
        <w:rPr>
          <w:sz w:val="20"/>
          <w:szCs w:val="20"/>
          <w:color w:val="auto"/>
        </w:rPr>
      </w:pPr>
      <w:r>
        <w:rPr>
          <w:rFonts w:ascii="Arial" w:cs="Arial" w:eastAsia="Arial" w:hAnsi="Arial"/>
          <w:sz w:val="18"/>
          <w:szCs w:val="18"/>
          <w:color w:val="auto"/>
        </w:rPr>
        <w:t>Depreciation expense consists of depreciation on computer equipment, leasehold improvements, furniture, office equipment and other assets, and amortization of capitalized website development costs and right-of-use (“ROU”) assets related to our finance lease. Amortization consists of the amortization of definite-lived intangibles purchased in business acquisitions.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7"/>
              </w:rPr>
              <w:t>Year ended December 31,</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48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r>
      <w:tr>
        <w:trPr>
          <w:trHeight w:val="169"/>
        </w:trPr>
        <w:tc>
          <w:tcPr>
            <w:tcW w:w="4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16"/>
              <w:spacing w:after="0"/>
              <w:rPr>
                <w:sz w:val="20"/>
                <w:szCs w:val="20"/>
                <w:color w:val="auto"/>
              </w:rPr>
            </w:pPr>
            <w:r>
              <w:rPr>
                <w:rFonts w:ascii="Arial" w:cs="Arial" w:eastAsia="Arial" w:hAnsi="Arial"/>
                <w:sz w:val="14"/>
                <w:szCs w:val="14"/>
                <w:b w:val="1"/>
                <w:bCs w:val="1"/>
                <w:color w:val="auto"/>
                <w:w w:val="91"/>
              </w:rPr>
              <w:t>(in millions)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03"/>
        </w:trPr>
        <w:tc>
          <w:tcPr>
            <w:tcW w:w="4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w:t>
            </w:r>
          </w:p>
        </w:tc>
        <w:tc>
          <w:tcPr>
            <w:tcW w:w="700" w:type="dxa"/>
            <w:vAlign w:val="bottom"/>
            <w:shd w:val="clear" w:color="auto" w:fill="CFF0FC"/>
          </w:tcPr>
          <w:p>
            <w:pPr>
              <w:jc w:val="right"/>
              <w:ind w:right="516"/>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w:t>
            </w:r>
          </w:p>
        </w:tc>
        <w:tc>
          <w:tcPr>
            <w:tcW w:w="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w:t>
            </w: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w:t>
            </w:r>
          </w:p>
        </w:tc>
        <w:tc>
          <w:tcPr>
            <w:tcW w:w="280" w:type="dxa"/>
            <w:vAlign w:val="bottom"/>
            <w:shd w:val="clear" w:color="auto" w:fill="CFF0FC"/>
          </w:tcPr>
          <w:p>
            <w:pPr>
              <w:spacing w:after="0"/>
              <w:rPr>
                <w:sz w:val="17"/>
                <w:szCs w:val="17"/>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w:t>
            </w:r>
          </w:p>
        </w:tc>
        <w:tc>
          <w:tcPr>
            <w:tcW w:w="280" w:type="dxa"/>
            <w:vAlign w:val="bottom"/>
          </w:tcPr>
          <w:p>
            <w:pPr>
              <w:spacing w:after="0"/>
              <w:rPr>
                <w:sz w:val="17"/>
                <w:szCs w:val="17"/>
                <w:color w:val="auto"/>
              </w:rPr>
            </w:pPr>
          </w:p>
        </w:tc>
      </w:tr>
      <w:tr>
        <w:trPr>
          <w:trHeight w:val="236"/>
        </w:trPr>
        <w:tc>
          <w:tcPr>
            <w:tcW w:w="48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depreciation and amortization</w:t>
            </w:r>
          </w:p>
        </w:tc>
        <w:tc>
          <w:tcPr>
            <w:tcW w:w="700" w:type="dxa"/>
            <w:vAlign w:val="bottom"/>
            <w:tcBorders>
              <w:bottom w:val="single" w:sz="8" w:color="auto"/>
            </w:tcBorders>
            <w:shd w:val="clear" w:color="auto" w:fill="CFF0FC"/>
          </w:tcPr>
          <w:p>
            <w:pPr>
              <w:jc w:val="right"/>
              <w:ind w:right="516"/>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w:t>
            </w:r>
          </w:p>
        </w:tc>
        <w:tc>
          <w:tcPr>
            <w:tcW w:w="4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w:t>
            </w:r>
          </w:p>
        </w:tc>
        <w:tc>
          <w:tcPr>
            <w:tcW w:w="3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w:t>
            </w:r>
          </w:p>
        </w:tc>
        <w:tc>
          <w:tcPr>
            <w:tcW w:w="280" w:type="dxa"/>
            <w:vAlign w:val="bottom"/>
            <w:tcBorders>
              <w:bottom w:val="single" w:sz="8" w:color="CFF0FC"/>
            </w:tcBorders>
            <w:shd w:val="clear" w:color="auto" w:fill="CFF0FC"/>
          </w:tcPr>
          <w:p>
            <w:pPr>
              <w:spacing w:after="0"/>
              <w:rPr>
                <w:sz w:val="20"/>
                <w:szCs w:val="20"/>
                <w:color w:val="auto"/>
              </w:rPr>
            </w:pPr>
          </w:p>
        </w:tc>
      </w:tr>
      <w:tr>
        <w:trPr>
          <w:trHeight w:val="211"/>
        </w:trPr>
        <w:tc>
          <w:tcPr>
            <w:tcW w:w="4800" w:type="dxa"/>
            <w:vAlign w:val="bottom"/>
          </w:tcPr>
          <w:p>
            <w:pPr>
              <w:spacing w:after="0"/>
              <w:rPr>
                <w:sz w:val="20"/>
                <w:szCs w:val="20"/>
                <w:color w:val="auto"/>
              </w:rPr>
            </w:pPr>
            <w:r>
              <w:rPr>
                <w:rFonts w:ascii="Arial" w:cs="Arial" w:eastAsia="Arial" w:hAnsi="Arial"/>
                <w:sz w:val="18"/>
                <w:szCs w:val="18"/>
                <w:color w:val="auto"/>
              </w:rPr>
              <w:t>% of revenue</w:t>
            </w:r>
          </w:p>
        </w:tc>
        <w:tc>
          <w:tcPr>
            <w:tcW w:w="700" w:type="dxa"/>
            <w:vAlign w:val="bottom"/>
          </w:tcPr>
          <w:p>
            <w:pPr>
              <w:spacing w:after="0"/>
              <w:rPr>
                <w:sz w:val="18"/>
                <w:szCs w:val="18"/>
                <w:color w:val="auto"/>
              </w:rPr>
            </w:pPr>
          </w:p>
        </w:tc>
        <w:tc>
          <w:tcPr>
            <w:tcW w:w="760" w:type="dxa"/>
            <w:vAlign w:val="bottom"/>
            <w:gridSpan w:val="2"/>
          </w:tcPr>
          <w:p>
            <w:pPr>
              <w:jc w:val="right"/>
              <w:ind w:right="159"/>
              <w:spacing w:after="0"/>
              <w:rPr>
                <w:sz w:val="20"/>
                <w:szCs w:val="20"/>
                <w:color w:val="auto"/>
              </w:rPr>
            </w:pPr>
            <w:r>
              <w:rPr>
                <w:rFonts w:ascii="Arial" w:cs="Arial" w:eastAsia="Arial" w:hAnsi="Arial"/>
                <w:sz w:val="18"/>
                <w:szCs w:val="18"/>
                <w:color w:val="auto"/>
                <w:w w:val="89"/>
              </w:rPr>
              <w:t>12.3 %</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20.7 %</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-171450</wp:posOffset>
            </wp:positionV>
            <wp:extent cx="1797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-154305</wp:posOffset>
            </wp:positionV>
            <wp:extent cx="1797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-171450</wp:posOffset>
            </wp:positionV>
            <wp:extent cx="1714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-154305</wp:posOffset>
            </wp:positionV>
            <wp:extent cx="1714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-171450</wp:posOffset>
            </wp:positionV>
            <wp:extent cx="1714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-154305</wp:posOffset>
            </wp:positionV>
            <wp:extent cx="1714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81"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Depreciation and amortization decreased $14 million during the year ended December 31, 2021 when compared to the same period in 2020, primarily due to the completion of amortization related to certain intangible assets from business acquisitions in previous years and lower depreciation related to computer equipment, leasehold improvements, furniture and capitalized website development costs driven by a reduction in headcount related to our cost-reduction measures across our business in response to COVID-19 implemented during the first half of 2020.</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6"/>
              </w:rPr>
              <w:t>Year ended December 31,</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48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r>
      <w:tr>
        <w:trPr>
          <w:trHeight w:val="169"/>
        </w:trPr>
        <w:tc>
          <w:tcPr>
            <w:tcW w:w="4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79"/>
              <w:spacing w:after="0"/>
              <w:rPr>
                <w:sz w:val="20"/>
                <w:szCs w:val="20"/>
                <w:color w:val="auto"/>
              </w:rPr>
            </w:pPr>
            <w:r>
              <w:rPr>
                <w:rFonts w:ascii="Arial" w:cs="Arial" w:eastAsia="Arial" w:hAnsi="Arial"/>
                <w:sz w:val="14"/>
                <w:szCs w:val="14"/>
                <w:b w:val="1"/>
                <w:bCs w:val="1"/>
                <w:color w:val="auto"/>
                <w:w w:val="91"/>
              </w:rPr>
              <w:t>(in millions)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03"/>
        </w:trPr>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Impairment of goodwill</w:t>
            </w:r>
          </w:p>
        </w:tc>
        <w:tc>
          <w:tcPr>
            <w:tcW w:w="720" w:type="dxa"/>
            <w:vAlign w:val="bottom"/>
            <w:shd w:val="clear" w:color="auto" w:fill="CFF0FC"/>
          </w:tcPr>
          <w:p>
            <w:pPr>
              <w:jc w:val="right"/>
              <w:ind w:right="539"/>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 of revenue</w:t>
            </w:r>
          </w:p>
        </w:tc>
        <w:tc>
          <w:tcPr>
            <w:tcW w:w="720" w:type="dxa"/>
            <w:vAlign w:val="bottom"/>
          </w:tcPr>
          <w:p>
            <w:pPr>
              <w:spacing w:after="0"/>
              <w:rPr>
                <w:sz w:val="20"/>
                <w:szCs w:val="20"/>
                <w:color w:val="auto"/>
              </w:rPr>
            </w:pPr>
          </w:p>
        </w:tc>
        <w:tc>
          <w:tcPr>
            <w:tcW w:w="740" w:type="dxa"/>
            <w:vAlign w:val="bottom"/>
            <w:gridSpan w:val="2"/>
          </w:tcPr>
          <w:p>
            <w:pPr>
              <w:jc w:val="right"/>
              <w:ind w:right="179"/>
              <w:spacing w:after="0"/>
              <w:rPr>
                <w:sz w:val="20"/>
                <w:szCs w:val="20"/>
                <w:color w:val="auto"/>
              </w:rPr>
            </w:pPr>
            <w:r>
              <w:rPr>
                <w:rFonts w:ascii="Arial" w:cs="Arial" w:eastAsia="Arial" w:hAnsi="Arial"/>
                <w:sz w:val="18"/>
                <w:szCs w:val="18"/>
                <w:color w:val="auto"/>
                <w:w w:val="99"/>
              </w:rPr>
              <w:t>0.0 %</w:t>
            </w: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0.5 %</w:t>
            </w: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0.0 %</w:t>
            </w:r>
          </w:p>
        </w:tc>
      </w:tr>
    </w:tbl>
    <w:p>
      <w:pPr>
        <w:spacing w:after="0" w:line="160"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 xml:space="preserve">The Company recorded a goodwill impairment charge of $3 million related to our Tripadvisor China reporting unit in the third quarter of 2020. Refer to “Note 8: </w:t>
      </w:r>
      <w:r>
        <w:rPr>
          <w:rFonts w:ascii="Arial" w:cs="Arial" w:eastAsia="Arial" w:hAnsi="Arial"/>
          <w:sz w:val="18"/>
          <w:szCs w:val="18"/>
          <w:i w:val="1"/>
          <w:iCs w:val="1"/>
          <w:color w:val="auto"/>
        </w:rPr>
        <w:t>Goodwill and Intangible Assets, Net”</w:t>
      </w:r>
      <w:r>
        <w:rPr>
          <w:rFonts w:ascii="Arial" w:cs="Arial" w:eastAsia="Arial" w:hAnsi="Arial"/>
          <w:sz w:val="18"/>
          <w:szCs w:val="18"/>
          <w:color w:val="auto"/>
        </w:rPr>
        <w:t xml:space="preserve"> in the notes to our consolidated financial statements in Item 8 on this Annual Report on Form 10-K for further information.</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Restructuring and other related reorganization costs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Restructuring and other related reorganization costs consist primarily of employee severance and related benefits.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48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2020</w:t>
            </w: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r>
      <w:tr>
        <w:trPr>
          <w:trHeight w:val="169"/>
        </w:trPr>
        <w:tc>
          <w:tcPr>
            <w:tcW w:w="4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(in millions)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03"/>
        </w:trPr>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Restructuring and other related reorganization costs</w:t>
            </w:r>
          </w:p>
        </w:tc>
        <w:tc>
          <w:tcPr>
            <w:tcW w:w="720" w:type="dxa"/>
            <w:vAlign w:val="bottom"/>
            <w:shd w:val="clear" w:color="auto" w:fill="CFF0FC"/>
          </w:tcPr>
          <w:p>
            <w:pPr>
              <w:jc w:val="right"/>
              <w:ind w:right="539"/>
              <w:spacing w:after="0" w:line="202"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w:t>
            </w: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7"/>
                <w:szCs w:val="17"/>
                <w:color w:val="auto"/>
              </w:rPr>
            </w:pPr>
          </w:p>
        </w:tc>
      </w:tr>
      <w:tr>
        <w:trPr>
          <w:trHeight w:val="230"/>
        </w:trPr>
        <w:tc>
          <w:tcPr>
            <w:tcW w:w="4880" w:type="dxa"/>
            <w:vAlign w:val="bottom"/>
          </w:tcPr>
          <w:p>
            <w:pPr>
              <w:ind w:left="180"/>
              <w:spacing w:after="0"/>
              <w:rPr>
                <w:sz w:val="20"/>
                <w:szCs w:val="20"/>
                <w:color w:val="auto"/>
              </w:rPr>
            </w:pPr>
            <w:r>
              <w:rPr>
                <w:rFonts w:ascii="Arial" w:cs="Arial" w:eastAsia="Arial" w:hAnsi="Arial"/>
                <w:sz w:val="18"/>
                <w:szCs w:val="18"/>
                <w:color w:val="auto"/>
              </w:rPr>
              <w:t>% of revenue</w:t>
            </w:r>
          </w:p>
        </w:tc>
        <w:tc>
          <w:tcPr>
            <w:tcW w:w="720" w:type="dxa"/>
            <w:vAlign w:val="bottom"/>
          </w:tcPr>
          <w:p>
            <w:pPr>
              <w:spacing w:after="0"/>
              <w:rPr>
                <w:sz w:val="20"/>
                <w:szCs w:val="20"/>
                <w:color w:val="auto"/>
              </w:rPr>
            </w:pPr>
          </w:p>
        </w:tc>
        <w:tc>
          <w:tcPr>
            <w:tcW w:w="700" w:type="dxa"/>
            <w:vAlign w:val="bottom"/>
            <w:gridSpan w:val="2"/>
          </w:tcPr>
          <w:p>
            <w:pPr>
              <w:jc w:val="right"/>
              <w:ind w:right="159"/>
              <w:spacing w:after="0"/>
              <w:rPr>
                <w:sz w:val="20"/>
                <w:szCs w:val="20"/>
                <w:color w:val="auto"/>
              </w:rPr>
            </w:pPr>
            <w:r>
              <w:rPr>
                <w:rFonts w:ascii="Arial" w:cs="Arial" w:eastAsia="Arial" w:hAnsi="Arial"/>
                <w:sz w:val="18"/>
                <w:szCs w:val="18"/>
                <w:color w:val="auto"/>
                <w:w w:val="95"/>
              </w:rPr>
              <w:t>0.0 %</w:t>
            </w: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6.8 %</w:t>
            </w: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0.0 %</w:t>
            </w:r>
          </w:p>
        </w:tc>
      </w:tr>
    </w:tbl>
    <w:p>
      <w:pPr>
        <w:spacing w:after="0" w:line="174" w:lineRule="exact"/>
        <w:rPr>
          <w:sz w:val="20"/>
          <w:szCs w:val="20"/>
          <w:color w:val="auto"/>
        </w:rPr>
      </w:pPr>
    </w:p>
    <w:p>
      <w:pPr>
        <w:ind w:right="40" w:firstLine="554"/>
        <w:spacing w:after="0" w:line="261" w:lineRule="auto"/>
        <w:rPr>
          <w:sz w:val="20"/>
          <w:szCs w:val="20"/>
          <w:color w:val="auto"/>
        </w:rPr>
      </w:pPr>
      <w:r>
        <w:rPr>
          <w:rFonts w:ascii="Arial" w:cs="Arial" w:eastAsia="Arial" w:hAnsi="Arial"/>
          <w:sz w:val="18"/>
          <w:szCs w:val="18"/>
          <w:color w:val="auto"/>
        </w:rPr>
        <w:t xml:space="preserve">The Company incurred </w:t>
      </w:r>
      <w:r>
        <w:rPr>
          <w:rFonts w:ascii="Arial" w:cs="Arial" w:eastAsia="Arial" w:hAnsi="Arial"/>
          <w:sz w:val="18"/>
          <w:szCs w:val="18"/>
          <w:color w:val="231F20"/>
        </w:rPr>
        <w:t>restructuring and other related reorganization costs of $41 million during the year ended December 31, 2020, primarily due</w:t>
      </w:r>
      <w:r>
        <w:rPr>
          <w:rFonts w:ascii="Arial" w:cs="Arial" w:eastAsia="Arial" w:hAnsi="Arial"/>
          <w:sz w:val="18"/>
          <w:szCs w:val="18"/>
          <w:color w:val="auto"/>
        </w:rPr>
        <w:t xml:space="preserve"> </w:t>
      </w:r>
      <w:r>
        <w:rPr>
          <w:rFonts w:ascii="Arial" w:cs="Arial" w:eastAsia="Arial" w:hAnsi="Arial"/>
          <w:sz w:val="18"/>
          <w:szCs w:val="18"/>
          <w:color w:val="231F20"/>
        </w:rPr>
        <w:t>to actions taken by the Company in response to COVID-19</w:t>
      </w:r>
      <w:r>
        <w:rPr>
          <w:rFonts w:ascii="Arial" w:cs="Arial" w:eastAsia="Arial" w:hAnsi="Arial"/>
          <w:sz w:val="18"/>
          <w:szCs w:val="18"/>
          <w:color w:val="000000"/>
        </w:rPr>
        <w:t>.</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2"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Interest expense primarily consists of interest incurred, commitment fees, and debt issuance cost amortization related to our Credit Facility, 2025 Senior Notes, 2026 Senior Notes, as well as interest on our finance lease.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44" w:name="page45"/>
    <w:bookmarkEnd w:id="44"/>
    <w:tbl>
      <w:tblPr>
        <w:tblLayout w:type="fixed"/>
        <w:tblInd w:w="114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80" w:type="dxa"/>
            <w:vAlign w:val="bottom"/>
          </w:tcPr>
          <w:p>
            <w:pPr>
              <w:spacing w:after="0"/>
              <w:rPr>
                <w:sz w:val="14"/>
                <w:szCs w:val="1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69"/>
        </w:trPr>
        <w:tc>
          <w:tcPr>
            <w:tcW w:w="4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820" w:type="dxa"/>
            <w:vAlign w:val="bottom"/>
            <w:shd w:val="clear" w:color="auto" w:fill="CFF0FC"/>
          </w:tcPr>
          <w:p>
            <w:pPr>
              <w:jc w:val="right"/>
              <w:ind w:right="639"/>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(45 )  $</w:t>
            </w:r>
          </w:p>
        </w:tc>
        <w:tc>
          <w:tcPr>
            <w:tcW w:w="1480" w:type="dxa"/>
            <w:vAlign w:val="bottom"/>
            <w:gridSpan w:val="3"/>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(35 )  $</w:t>
            </w:r>
          </w:p>
        </w:tc>
        <w:tc>
          <w:tcPr>
            <w:tcW w:w="9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(7 )</w:t>
            </w:r>
          </w:p>
        </w:tc>
      </w:tr>
    </w:tbl>
    <w:p>
      <w:pPr>
        <w:spacing w:after="0" w:line="256"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 xml:space="preserve">Interest expense increased $10 million during the year ended December 31, 2021 when compared to the same period in 2020, primarily due to the issuance of our 2025 Senior Notes in July 2020, partially offset by lower interest expense on our Credit Facility as the Company did not borrow from this facility during 2021. Refer to “Note 10: </w:t>
      </w:r>
      <w:r>
        <w:rPr>
          <w:rFonts w:ascii="Arial" w:cs="Arial" w:eastAsia="Arial" w:hAnsi="Arial"/>
          <w:sz w:val="18"/>
          <w:szCs w:val="18"/>
          <w:i w:val="1"/>
          <w:iCs w:val="1"/>
          <w:color w:val="auto"/>
        </w:rPr>
        <w:t>Debt</w:t>
      </w:r>
      <w:r>
        <w:rPr>
          <w:rFonts w:ascii="Arial" w:cs="Arial" w:eastAsia="Arial" w:hAnsi="Arial"/>
          <w:sz w:val="18"/>
          <w:szCs w:val="18"/>
          <w:color w:val="auto"/>
        </w:rPr>
        <w:t>” in the notes to our consolidated financial statements in Item 8 on this Annual Report on Form 10-K for further information.</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12"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Interest income primarily consists of interest earned from bank deposits available on demand, money market funds, overnight demand deposits and marketable securities, including amortization of discounts and premiums on our marketable securities.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center"/>
              <w:ind w:left="159"/>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060" w:type="dxa"/>
            <w:vAlign w:val="bottom"/>
          </w:tcPr>
          <w:p>
            <w:pPr>
              <w:spacing w:after="0"/>
              <w:rPr>
                <w:sz w:val="14"/>
                <w:szCs w:val="14"/>
                <w:color w:val="auto"/>
              </w:rPr>
            </w:pPr>
          </w:p>
        </w:tc>
        <w:tc>
          <w:tcPr>
            <w:tcW w:w="90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69"/>
        </w:trPr>
        <w:tc>
          <w:tcPr>
            <w:tcW w:w="5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5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income</w:t>
            </w:r>
          </w:p>
        </w:tc>
        <w:tc>
          <w:tcPr>
            <w:tcW w:w="900" w:type="dxa"/>
            <w:vAlign w:val="bottom"/>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60" w:type="dxa"/>
            <w:vAlign w:val="bottom"/>
            <w:shd w:val="clear" w:color="auto" w:fill="CFF0FC"/>
          </w:tcPr>
          <w:p>
            <w:pPr>
              <w:spacing w:after="0"/>
              <w:rPr>
                <w:sz w:val="17"/>
                <w:szCs w:val="17"/>
                <w:color w:val="auto"/>
              </w:rPr>
            </w:pPr>
          </w:p>
        </w:tc>
      </w:tr>
    </w:tbl>
    <w:p>
      <w:pPr>
        <w:spacing w:after="0" w:line="296"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Interest income decreased $2 million during the year ended December 31, 2021, when compared to the same period in 2020, primarily due to a reduction in average interest rates earned on our investments during 2021.</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12" w:lineRule="exact"/>
        <w:rPr>
          <w:sz w:val="20"/>
          <w:szCs w:val="20"/>
          <w:color w:val="auto"/>
        </w:rPr>
      </w:pPr>
    </w:p>
    <w:p>
      <w:pPr>
        <w:jc w:val="both"/>
        <w:ind w:right="160" w:firstLine="509"/>
        <w:spacing w:after="0" w:line="248" w:lineRule="auto"/>
        <w:rPr>
          <w:sz w:val="20"/>
          <w:szCs w:val="20"/>
          <w:color w:val="auto"/>
        </w:rPr>
      </w:pPr>
      <w:r>
        <w:rPr>
          <w:rFonts w:ascii="Arial" w:cs="Arial" w:eastAsia="Arial" w:hAnsi="Arial"/>
          <w:sz w:val="18"/>
          <w:szCs w:val="18"/>
          <w:color w:val="auto"/>
        </w:rPr>
        <w:t>Other income (expense), net generally consists of net foreign exchange gains and losses, forward contract gains and losses, earnings/(losses) from equity method investments, gain/(loss) and impairments on non-marketable investments, gain/loss on sale/disposal of businesses, and other non-operating income (expenses).</w:t>
      </w:r>
    </w:p>
    <w:p>
      <w:pPr>
        <w:spacing w:after="0" w:line="29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20" w:type="dxa"/>
            <w:vAlign w:val="bottom"/>
          </w:tcPr>
          <w:p>
            <w:pPr>
              <w:spacing w:after="0"/>
              <w:rPr>
                <w:sz w:val="14"/>
                <w:szCs w:val="14"/>
                <w:color w:val="auto"/>
              </w:rPr>
            </w:pPr>
          </w:p>
        </w:tc>
        <w:tc>
          <w:tcPr>
            <w:tcW w:w="7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69"/>
        </w:trPr>
        <w:tc>
          <w:tcPr>
            <w:tcW w:w="5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42"/>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5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(expense), net</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(10 )  $</w:t>
            </w:r>
          </w:p>
        </w:tc>
        <w:tc>
          <w:tcPr>
            <w:tcW w:w="1480" w:type="dxa"/>
            <w:vAlign w:val="bottom"/>
            <w:gridSpan w:val="3"/>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(8 )  $</w:t>
            </w:r>
          </w:p>
        </w:tc>
        <w:tc>
          <w:tcPr>
            <w:tcW w:w="9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(3 )</w:t>
            </w:r>
          </w:p>
        </w:tc>
      </w:tr>
    </w:tbl>
    <w:p>
      <w:pPr>
        <w:spacing w:after="0" w:line="22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 xml:space="preserve">Other expense, net increased $2 million during the year ended December 31, 2021 when compared to the same period in 2020, primarily due to increased foreign currency transaction losses as a result of the fluctuation of foreign exchange rates during 2021 and a net increase in allowance for credit losses of $2 million, when compared to 2020, on a long-term note receivable, partially offset by a loss on sale of business of $6 million during 2020, which did not reoccur in 2021. Refer to “Note 18: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in the notes to our consolidated financial statements in Item 8 on this Annual Report on Form 10-K for additional information.</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1"/>
              </w:rPr>
              <w:t>Year ended December 31,</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69"/>
        </w:trPr>
        <w:tc>
          <w:tcPr>
            <w:tcW w:w="64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r>
      <w:tr>
        <w:trPr>
          <w:trHeight w:val="169"/>
        </w:trPr>
        <w:tc>
          <w:tcPr>
            <w:tcW w:w="6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(in millions)</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03"/>
        </w:trPr>
        <w:tc>
          <w:tcPr>
            <w:tcW w:w="6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benefit for income taxes</w:t>
            </w:r>
          </w:p>
        </w:tc>
        <w:tc>
          <w:tcPr>
            <w:tcW w:w="860" w:type="dxa"/>
            <w:vAlign w:val="bottom"/>
            <w:shd w:val="clear" w:color="auto" w:fill="CFF0FC"/>
          </w:tcPr>
          <w:p>
            <w:pPr>
              <w:jc w:val="right"/>
              <w:ind w:right="659"/>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w:t>
            </w:r>
          </w:p>
        </w:tc>
        <w:tc>
          <w:tcPr>
            <w:tcW w:w="20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w:t>
            </w:r>
          </w:p>
        </w:tc>
        <w:tc>
          <w:tcPr>
            <w:tcW w:w="4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(68 )</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86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20.0 %</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21.7 %</w:t>
            </w:r>
          </w:p>
        </w:tc>
        <w:tc>
          <w:tcPr>
            <w:tcW w:w="2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35.1 %</w:t>
            </w:r>
          </w:p>
        </w:tc>
      </w:tr>
    </w:tbl>
    <w:p>
      <w:pPr>
        <w:spacing w:after="0" w:line="201"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We had an income tax benefit of $37 million for the year ended December 31, 2021. The decrease in our income tax benefit during the year ended December 31, 2021 when compared to the same period in 2020, was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ind w:right="240"/>
        <w:spacing w:after="0"/>
        <w:rPr>
          <w:sz w:val="20"/>
          <w:szCs w:val="20"/>
          <w:color w:val="auto"/>
        </w:rPr>
      </w:pPr>
      <w:r>
        <w:rPr>
          <w:rFonts w:ascii="Arial" w:cs="Arial" w:eastAsia="Arial" w:hAnsi="Arial"/>
          <w:sz w:val="18"/>
          <w:szCs w:val="18"/>
          <w:color w:val="auto"/>
        </w:rPr>
        <w:t xml:space="preserve">primarily due to greater pretax losses incurred the year ended December 31, 2020 than 2021, and an income tax benefit of $23 million during the year ended December 31, 2020 from the tax rate differential in tax years applicable to U.S. loss carryforwards that became eligible for carryback under the CARES Act that did not reoccur in 2021. This was partially offset by an increase in the recognition of stock-based compensation windfalls related to the increase in the Company’s common stock price during the year ended December 31, 2021 and a partial release of a valuation allowance on our U.K. subsidiary's interest carryforward deferred tax asset. Refer to “Note 12: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consolidated financial statements in Item 8 on this Annual Report on Form 10-K for further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31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Year ended December 31,</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4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r>
      <w:tr>
        <w:trPr>
          <w:trHeight w:val="169"/>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(in millions)</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03"/>
        </w:trPr>
        <w:tc>
          <w:tcPr>
            <w:tcW w:w="4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(148 )</w:t>
            </w:r>
          </w:p>
        </w:tc>
        <w:tc>
          <w:tcPr>
            <w:tcW w:w="4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420"/>
              <w:spacing w:after="0" w:line="202" w:lineRule="exact"/>
              <w:rPr>
                <w:sz w:val="20"/>
                <w:szCs w:val="20"/>
                <w:color w:val="auto"/>
              </w:rPr>
            </w:pPr>
            <w:r>
              <w:rPr>
                <w:rFonts w:ascii="Arial" w:cs="Arial" w:eastAsia="Arial" w:hAnsi="Arial"/>
                <w:sz w:val="18"/>
                <w:szCs w:val="18"/>
                <w:color w:val="auto"/>
              </w:rPr>
              <w:t>(289 )</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w:t>
            </w:r>
          </w:p>
        </w:tc>
        <w:tc>
          <w:tcPr>
            <w:tcW w:w="280" w:type="dxa"/>
            <w:vAlign w:val="bottom"/>
            <w:shd w:val="clear" w:color="auto" w:fill="CFF0FC"/>
          </w:tcPr>
          <w:p>
            <w:pPr>
              <w:spacing w:after="0"/>
              <w:rPr>
                <w:sz w:val="17"/>
                <w:szCs w:val="17"/>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Net income (loss) margin</w:t>
            </w:r>
          </w:p>
        </w:tc>
        <w:tc>
          <w:tcPr>
            <w:tcW w:w="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(16.4 %)</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(47.8 %)</w:t>
            </w: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8.1 %</w:t>
            </w:r>
          </w:p>
        </w:tc>
      </w:tr>
    </w:tbl>
    <w:p>
      <w:pPr>
        <w:spacing w:after="0" w:line="174"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Net loss decreased $141 million during the year ended December 31, 2021, when compared to the same period in 2020, primarily due to an increase in revenue, as described above in “</w:t>
      </w:r>
      <w:r>
        <w:rPr>
          <w:rFonts w:ascii="Arial" w:cs="Arial" w:eastAsia="Arial" w:hAnsi="Arial"/>
          <w:sz w:val="17"/>
          <w:szCs w:val="17"/>
          <w:i w:val="1"/>
          <w:iCs w:val="1"/>
          <w:color w:val="auto"/>
        </w:rPr>
        <w:t>Revenue and Segment Information</w:t>
      </w:r>
      <w:r>
        <w:rPr>
          <w:rFonts w:ascii="Arial" w:cs="Arial" w:eastAsia="Arial" w:hAnsi="Arial"/>
          <w:sz w:val="17"/>
          <w:szCs w:val="17"/>
          <w:color w:val="auto"/>
        </w:rPr>
        <w:t>”, restructuring costs incurred of $41 million during the year ended December 31, 2020, which did not reoccur during the year ended December 31, 2021, and decreased personnel and overhead costs across our business as a result of a reduction in headcount driven by cost-reduction measures across our business in response to COVID-19 implemented during the year ended December 31, 2020, partially offset largely by an increase in selling and marketing expenses in response to increasing consumer travel demand as travel activity restrictions ease and the travel industry recovers and, to a lesser extent, an increase in personnel and overhead costs during the year ended December 31, 2021 to help support business growth and key staff retention during the growing consumer travel demand recovery, all of which is described above under “</w:t>
      </w:r>
      <w:r>
        <w:rPr>
          <w:rFonts w:ascii="Arial" w:cs="Arial" w:eastAsia="Arial" w:hAnsi="Arial"/>
          <w:sz w:val="17"/>
          <w:szCs w:val="17"/>
          <w:i w:val="1"/>
          <w:iCs w:val="1"/>
          <w:color w:val="auto"/>
        </w:rPr>
        <w:t>Consolidated Expenses.</w:t>
      </w:r>
      <w:r>
        <w:rPr>
          <w:rFonts w:ascii="Arial" w:cs="Arial" w:eastAsia="Arial" w:hAnsi="Arial"/>
          <w:sz w:val="17"/>
          <w:szCs w:val="17"/>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08"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8"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Adjusted EBITDA is also our segment profit measure and a key measure used by our management and board of directors to understand and evaluate the financial performance of our business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management and board of directors. We define Adjusted EBITDA as net income (loss) plus: (1) (provision) benefit for income taxes; (2) other income (expense), net; (3) depreciation and amortization; (4) stock-based compensation and other stock-settled obligations; (5) goodwill, intangible asset, and long-lived asset impairments; (6) legal reserves and settlements; (7) restructuring and other related reorganization costs; and (8) other non-recurring expenses and income.</w:t>
      </w:r>
    </w:p>
    <w:p>
      <w:pPr>
        <w:spacing w:after="0" w:line="184"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(loss) and our other GAAP results.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Some of these limitations are:</w:t>
      </w:r>
    </w:p>
    <w:p>
      <w:pPr>
        <w:spacing w:after="0" w:line="104" w:lineRule="exact"/>
        <w:rPr>
          <w:sz w:val="20"/>
          <w:szCs w:val="20"/>
          <w:color w:val="auto"/>
        </w:rPr>
      </w:pPr>
    </w:p>
    <w:p>
      <w:pPr>
        <w:ind w:left="1020" w:hanging="368"/>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15" w:lineRule="exact"/>
        <w:rPr>
          <w:rFonts w:ascii="Arial" w:cs="Arial" w:eastAsia="Arial" w:hAnsi="Arial"/>
          <w:sz w:val="17"/>
          <w:szCs w:val="17"/>
          <w:color w:val="auto"/>
        </w:rPr>
      </w:pPr>
    </w:p>
    <w:p>
      <w:pPr>
        <w:ind w:left="1020" w:hanging="36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cash requirements necessary to service interest or principal payments on our debt;</w:t>
      </w:r>
    </w:p>
    <w:p>
      <w:pPr>
        <w:spacing w:after="0" w:line="126" w:lineRule="exact"/>
        <w:rPr>
          <w:rFonts w:ascii="Arial" w:cs="Arial" w:eastAsia="Arial" w:hAnsi="Arial"/>
          <w:sz w:val="16"/>
          <w:szCs w:val="16"/>
          <w:color w:val="auto"/>
        </w:rPr>
      </w:pPr>
    </w:p>
    <w:p>
      <w:pPr>
        <w:ind w:left="1020" w:hanging="368"/>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Adjusted EBITDA does not consider the potentially dilutive impact of stock-based compensation or other stock-settled obligations;</w:t>
      </w:r>
    </w:p>
    <w:p>
      <w:pPr>
        <w:spacing w:after="0" w:line="115" w:lineRule="exact"/>
        <w:rPr>
          <w:rFonts w:ascii="Arial" w:cs="Arial" w:eastAsia="Arial" w:hAnsi="Arial"/>
          <w:sz w:val="17"/>
          <w:szCs w:val="17"/>
          <w:color w:val="auto"/>
        </w:rPr>
      </w:pPr>
    </w:p>
    <w:p>
      <w:pPr>
        <w:ind w:left="1020" w:right="260" w:hanging="368"/>
        <w:spacing w:after="0" w:line="248"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ind w:left="1020" w:right="20" w:hanging="368"/>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does not reflect certain income and expenses not directly tied to the ongoing core operations of our business, such as legal reserves and settlements, restructuring and other related reorganization costs;</w:t>
      </w:r>
    </w:p>
    <w:p>
      <w:pPr>
        <w:spacing w:after="0" w:line="62" w:lineRule="exact"/>
        <w:rPr>
          <w:rFonts w:ascii="Arial" w:cs="Arial" w:eastAsia="Arial" w:hAnsi="Arial"/>
          <w:sz w:val="18"/>
          <w:szCs w:val="18"/>
          <w:color w:val="auto"/>
        </w:rPr>
      </w:pPr>
    </w:p>
    <w:p>
      <w:pPr>
        <w:ind w:left="1020" w:hanging="36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w:t>
      </w:r>
    </w:p>
    <w:p>
      <w:pPr>
        <w:spacing w:after="0" w:line="103" w:lineRule="exact"/>
        <w:rPr>
          <w:rFonts w:ascii="Arial" w:cs="Arial" w:eastAsia="Arial" w:hAnsi="Arial"/>
          <w:sz w:val="18"/>
          <w:szCs w:val="18"/>
          <w:color w:val="auto"/>
        </w:rPr>
      </w:pPr>
    </w:p>
    <w:p>
      <w:pPr>
        <w:ind w:left="1020" w:right="100" w:hanging="368"/>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is unaudited and does not conform to SEC Regulation S-X, and as a result such information may be presented differently in our future filings with the SEC; and</w:t>
      </w:r>
    </w:p>
    <w:p>
      <w:pPr>
        <w:spacing w:after="0" w:line="62" w:lineRule="exact"/>
        <w:rPr>
          <w:rFonts w:ascii="Arial" w:cs="Arial" w:eastAsia="Arial" w:hAnsi="Arial"/>
          <w:sz w:val="18"/>
          <w:szCs w:val="18"/>
          <w:color w:val="auto"/>
        </w:rPr>
      </w:pPr>
    </w:p>
    <w:p>
      <w:pPr>
        <w:ind w:left="1020" w:hanging="368"/>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71"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 following table presents a reconciliation of Adjusted EBITDA to Net Income (Loss), the most directly comparable financial measure calculated and presented in accordance with GAAP, for the periods presented:</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57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69"/>
        </w:trPr>
        <w:tc>
          <w:tcPr>
            <w:tcW w:w="5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214"/>
              <w:spacing w:after="0"/>
              <w:rPr>
                <w:sz w:val="20"/>
                <w:szCs w:val="20"/>
                <w:color w:val="auto"/>
              </w:rPr>
            </w:pPr>
            <w:r>
              <w:rPr>
                <w:rFonts w:ascii="Arial" w:cs="Arial" w:eastAsia="Arial" w:hAnsi="Arial"/>
                <w:sz w:val="14"/>
                <w:szCs w:val="14"/>
                <w:b w:val="1"/>
                <w:bCs w:val="1"/>
                <w:color w:val="auto"/>
                <w:w w:val="99"/>
              </w:rPr>
              <w:t>(in millions)</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57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Net income (loss)</w:t>
            </w:r>
          </w:p>
        </w:tc>
        <w:tc>
          <w:tcPr>
            <w:tcW w:w="860" w:type="dxa"/>
            <w:vAlign w:val="bottom"/>
            <w:shd w:val="clear" w:color="auto" w:fill="CFF0FC"/>
          </w:tcPr>
          <w:p>
            <w:pPr>
              <w:jc w:val="right"/>
              <w:ind w:right="676"/>
              <w:spacing w:after="0" w:line="202" w:lineRule="exact"/>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b w:val="1"/>
                <w:bCs w:val="1"/>
                <w:color w:val="auto"/>
                <w:w w:val="97"/>
              </w:rPr>
              <w:t>(148 )</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b w:val="1"/>
                <w:bCs w:val="1"/>
                <w:color w:val="auto"/>
              </w:rPr>
              <w:t>(289 )</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126</w:t>
            </w:r>
          </w:p>
        </w:tc>
        <w:tc>
          <w:tcPr>
            <w:tcW w:w="120" w:type="dxa"/>
            <w:vAlign w:val="bottom"/>
            <w:shd w:val="clear" w:color="auto" w:fill="CFF0FC"/>
          </w:tcPr>
          <w:p>
            <w:pPr>
              <w:spacing w:after="0"/>
              <w:rPr>
                <w:sz w:val="17"/>
                <w:szCs w:val="17"/>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Add: (Benefit) provision for income taxes</w:t>
            </w:r>
          </w:p>
        </w:tc>
        <w:tc>
          <w:tcPr>
            <w:tcW w:w="860" w:type="dxa"/>
            <w:vAlign w:val="bottom"/>
          </w:tcPr>
          <w:p>
            <w:pPr>
              <w:spacing w:after="0"/>
              <w:rPr>
                <w:sz w:val="17"/>
                <w:szCs w:val="17"/>
                <w:color w:val="auto"/>
              </w:rPr>
            </w:pPr>
          </w:p>
        </w:tc>
        <w:tc>
          <w:tcPr>
            <w:tcW w:w="66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(37 )</w:t>
            </w:r>
          </w:p>
        </w:tc>
        <w:tc>
          <w:tcPr>
            <w:tcW w:w="16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(80 )</w:t>
            </w: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120" w:type="dxa"/>
            <w:vAlign w:val="bottom"/>
          </w:tcPr>
          <w:p>
            <w:pPr>
              <w:spacing w:after="0"/>
              <w:rPr>
                <w:sz w:val="17"/>
                <w:szCs w:val="17"/>
                <w:color w:val="auto"/>
              </w:rPr>
            </w:pPr>
          </w:p>
        </w:tc>
      </w:tr>
      <w:tr>
        <w:trPr>
          <w:trHeight w:val="203"/>
        </w:trPr>
        <w:tc>
          <w:tcPr>
            <w:tcW w:w="5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Add: Other expense (income), net</w:t>
            </w:r>
          </w:p>
        </w:tc>
        <w:tc>
          <w:tcPr>
            <w:tcW w:w="8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(7 )</w:t>
            </w:r>
          </w:p>
        </w:tc>
      </w:tr>
      <w:tr>
        <w:trPr>
          <w:trHeight w:val="202"/>
        </w:trPr>
        <w:tc>
          <w:tcPr>
            <w:tcW w:w="5740" w:type="dxa"/>
            <w:vAlign w:val="bottom"/>
          </w:tcPr>
          <w:p>
            <w:pPr>
              <w:spacing w:after="0" w:line="202" w:lineRule="exact"/>
              <w:rPr>
                <w:sz w:val="20"/>
                <w:szCs w:val="20"/>
                <w:color w:val="auto"/>
              </w:rPr>
            </w:pPr>
            <w:r>
              <w:rPr>
                <w:rFonts w:ascii="Arial" w:cs="Arial" w:eastAsia="Arial" w:hAnsi="Arial"/>
                <w:sz w:val="18"/>
                <w:szCs w:val="18"/>
                <w:color w:val="auto"/>
              </w:rPr>
              <w:t>Add: Restructuring and other related reorganization costs</w:t>
            </w:r>
          </w:p>
        </w:tc>
        <w:tc>
          <w:tcPr>
            <w:tcW w:w="860" w:type="dxa"/>
            <w:vAlign w:val="bottom"/>
          </w:tcPr>
          <w:p>
            <w:pPr>
              <w:spacing w:after="0"/>
              <w:rPr>
                <w:sz w:val="17"/>
                <w:szCs w:val="17"/>
                <w:color w:val="auto"/>
              </w:rPr>
            </w:pPr>
          </w:p>
        </w:tc>
        <w:tc>
          <w:tcPr>
            <w:tcW w:w="66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r>
      <w:tr>
        <w:trPr>
          <w:trHeight w:val="203"/>
        </w:trPr>
        <w:tc>
          <w:tcPr>
            <w:tcW w:w="5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Add: Impairment of goodwill</w:t>
            </w:r>
          </w:p>
        </w:tc>
        <w:tc>
          <w:tcPr>
            <w:tcW w:w="8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Add: Stock-based compensation</w:t>
            </w:r>
          </w:p>
        </w:tc>
        <w:tc>
          <w:tcPr>
            <w:tcW w:w="86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120" w:type="dxa"/>
            <w:vAlign w:val="bottom"/>
          </w:tcPr>
          <w:p>
            <w:pPr>
              <w:spacing w:after="0"/>
              <w:rPr>
                <w:sz w:val="17"/>
                <w:szCs w:val="17"/>
                <w:color w:val="auto"/>
              </w:rPr>
            </w:pPr>
          </w:p>
        </w:tc>
      </w:tr>
      <w:tr>
        <w:trPr>
          <w:trHeight w:val="203"/>
        </w:trPr>
        <w:tc>
          <w:tcPr>
            <w:tcW w:w="57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Add: Depreciation and amortization</w:t>
            </w:r>
          </w:p>
        </w:tc>
        <w:tc>
          <w:tcPr>
            <w:tcW w:w="8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125</w:t>
            </w:r>
          </w:p>
        </w:tc>
        <w:tc>
          <w:tcPr>
            <w:tcW w:w="2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5740" w:type="dxa"/>
            <w:vAlign w:val="bottom"/>
          </w:tcPr>
          <w:p>
            <w:pPr>
              <w:spacing w:after="0" w:line="196" w:lineRule="exact"/>
              <w:rPr>
                <w:sz w:val="20"/>
                <w:szCs w:val="20"/>
                <w:color w:val="auto"/>
              </w:rPr>
            </w:pPr>
            <w:r>
              <w:rPr>
                <w:rFonts w:ascii="Arial" w:cs="Arial" w:eastAsia="Arial" w:hAnsi="Arial"/>
                <w:sz w:val="18"/>
                <w:szCs w:val="18"/>
                <w:color w:val="auto"/>
              </w:rPr>
              <w:t>Adjusted EBITDA</w:t>
            </w:r>
          </w:p>
        </w:tc>
        <w:tc>
          <w:tcPr>
            <w:tcW w:w="860" w:type="dxa"/>
            <w:vAlign w:val="bottom"/>
          </w:tcPr>
          <w:p>
            <w:pPr>
              <w:jc w:val="right"/>
              <w:ind w:right="676"/>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c>
          <w:tcPr>
            <w:tcW w:w="2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(51 )</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438</w:t>
            </w:r>
          </w:p>
        </w:tc>
        <w:tc>
          <w:tcPr>
            <w:tcW w:w="12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-159385</wp:posOffset>
            </wp:positionV>
            <wp:extent cx="7683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-159385</wp:posOffset>
            </wp:positionV>
            <wp:extent cx="685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-159385</wp:posOffset>
            </wp:positionV>
            <wp:extent cx="685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 xml:space="preserve">For a discussion of our liquidity and capital resources as of and our cash flow activities for the fiscal year ended December 31, 2019, see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of our Annual Report on Form 10-K for the year ended December 31, 2020, filed with the SEC on February 19, 2021.</w:t>
      </w:r>
    </w:p>
    <w:p>
      <w:pPr>
        <w:spacing w:after="0" w:line="18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Our principal source of liquidity is cash flow generated from operations and our existing cash and cash equivalents balance. Our liquidity needs can also be met through drawdowns under our Credit Facility. As of December 31, 2021 and 2020, we had $723 million and $418 million, respectively, of cash and cash equivalents, and $497 million of available borrowing capacity under our Credit Facility as of December 31, 2021. As of December 31, 2021, approximately $151 million of our cash and cash equivalents were held by our international subsidiaries outside of the U.S., of which approximately 50% was located in the U.K. As of December 31, 2021, the significant majority of our cash was denominated in U.S. dollars. As of December 31, 2021, the Company had $845 million in long-term debt, as a result of the issuance of our 2025 Senior Notes in July 2020 and 2026 Senior Notes in March 2021, as discussed below.</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7" w:name="page48"/>
    <w:bookmarkEnd w:id="47"/>
    <w:p>
      <w:pPr>
        <w:ind w:right="40" w:firstLine="509"/>
        <w:spacing w:after="0" w:line="241" w:lineRule="auto"/>
        <w:rPr>
          <w:sz w:val="20"/>
          <w:szCs w:val="20"/>
          <w:color w:val="auto"/>
        </w:rPr>
      </w:pPr>
      <w:r>
        <w:rPr>
          <w:rFonts w:ascii="Arial" w:cs="Arial" w:eastAsia="Arial" w:hAnsi="Arial"/>
          <w:sz w:val="18"/>
          <w:szCs w:val="18"/>
          <w:color w:val="auto"/>
        </w:rPr>
        <w:t xml:space="preserve">As of December 31, 2021, we had $427 million of cumulative undistributed earnings in foreign subsidiaries which were no longer considered to be indefinitely reinvested. As of December 31, 2021, we maintained a deferred income tax liability on our consolidated balance sheet, which was not material, for the U.S. federal and state income tax and foreign withholding tax liabilities on the cumulative undistributed foreign earnings that we no longer consider indefinitely reinvested. Refer to “Note 12: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consolidated financial statements in Item 8 on this Annual Report on Form 10-K for further information.</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Credit Facility</w:t>
      </w:r>
    </w:p>
    <w:p>
      <w:pPr>
        <w:spacing w:after="0" w:line="212"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As of December 31, 2021, we are party to our Credit Facility, which, among other things, provides for a $500 million revolving credit facility with a maturity date of May 12, 2024.</w:t>
      </w:r>
    </w:p>
    <w:p>
      <w:pPr>
        <w:spacing w:after="0" w:line="171" w:lineRule="exact"/>
        <w:rPr>
          <w:sz w:val="20"/>
          <w:szCs w:val="20"/>
          <w:color w:val="auto"/>
        </w:rPr>
      </w:pPr>
    </w:p>
    <w:p>
      <w:pPr>
        <w:ind w:right="120" w:firstLine="509"/>
        <w:spacing w:after="0" w:line="271" w:lineRule="auto"/>
        <w:rPr>
          <w:sz w:val="20"/>
          <w:szCs w:val="20"/>
          <w:color w:val="auto"/>
        </w:rPr>
      </w:pPr>
      <w:r>
        <w:rPr>
          <w:rFonts w:ascii="Arial" w:cs="Arial" w:eastAsia="Arial" w:hAnsi="Arial"/>
          <w:sz w:val="16"/>
          <w:szCs w:val="16"/>
          <w:color w:val="auto"/>
        </w:rPr>
        <w:t>The Credit Facility requires us to maintain a maximum leverage ratio and contains certain customary affirmative covenants and events of default, including a change of control. Borrowings under the Credit Facility generally bear interest, at the Company’s option, at a rate per annum equal to either (i) the Eurocurrency Borrowing rate, or the adjusted LIBO rate for the interest period in effect for such borrowing; plus an applicable margin ranging from</w:t>
      </w:r>
    </w:p>
    <w:p>
      <w:pPr>
        <w:spacing w:after="0" w:line="238" w:lineRule="auto"/>
        <w:rPr>
          <w:sz w:val="20"/>
          <w:szCs w:val="20"/>
          <w:color w:val="auto"/>
        </w:rPr>
      </w:pPr>
      <w:r>
        <w:rPr>
          <w:rFonts w:ascii="Arial" w:cs="Arial" w:eastAsia="Arial" w:hAnsi="Arial"/>
          <w:sz w:val="18"/>
          <w:szCs w:val="18"/>
          <w:color w:val="auto"/>
        </w:rPr>
        <w:t>1.25% to 2.00% (“Eurocurrency Spread”), based on the Company’s leverage ratio; or (ii) the Alternate Base Rate (“ABR”) Borrowing, which is the greatest of (a) the Prime Rate in effect on such day, (b) the New York Fed Bank Rate in effect on such day plus 1/2 of 1.00% per annum and (c) the Adjusted LIBO Rate (or LIBO rate multiplied by the Statutory Reserve Rate) for an interest period of one month plus 1.00%; in addition to an applicable margin ranging from 0.25% to 1.00% (“ABR Spread”), based on the Company’s leverage ratio.</w:t>
      </w:r>
    </w:p>
    <w:p>
      <w:pPr>
        <w:spacing w:after="0" w:line="189"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However, we amended the Credit Facility in May 2020 and December 2020, to among other things, suspend the leverage ratio covenant for quarterly testing of compliance beginning in the second quarter of 2020, replacing it with a minimum liquidity covenant through June 30, 2021 (requiring the Company to maintain $150 million of unrestricted cash, cash equivalent and short-term investments less deferred merchant payables plus available revolver capacity), until the earlier of (a) the first day after June 30, 2021 through maturity on which borrowings and other revolving credit utilizations under the revolving commitments exceed $200 million, and (b) the election of the Company, at which time the leverage ratio covenant will be reinstated (the “Leverage Covenant Holiday”).</w:t>
      </w:r>
    </w:p>
    <w:p>
      <w:pPr>
        <w:spacing w:after="0" w:line="18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Company remained in the Leverage Covenant Holiday as of December 31, 2021. During the Leverage Covenant Holiday, any borrowings under the Credit Facility bear interest at LIBOR plus a 2.25% margin with a LIBOR floor of 1% per annum. We are also required to pay a quarterly commitment fee, at an applicable rate of 0.5%, on the daily unused portion of the revolving credit facility for each fiscal quarter while the Leverage Covenant Holiday is in place. The Credit Facility includes restrictions on the Company’s ability to make certain payments and distributions, including share repurchases and dividends.</w:t>
      </w:r>
    </w:p>
    <w:p>
      <w:pPr>
        <w:spacing w:after="0" w:line="189" w:lineRule="exact"/>
        <w:rPr>
          <w:sz w:val="20"/>
          <w:szCs w:val="20"/>
          <w:color w:val="auto"/>
        </w:rPr>
      </w:pPr>
    </w:p>
    <w:p>
      <w:pPr>
        <w:ind w:right="300" w:firstLine="509"/>
        <w:spacing w:after="0" w:line="243" w:lineRule="auto"/>
        <w:rPr>
          <w:sz w:val="20"/>
          <w:szCs w:val="20"/>
          <w:color w:val="auto"/>
        </w:rPr>
      </w:pPr>
      <w:r>
        <w:rPr>
          <w:rFonts w:ascii="Arial" w:cs="Arial" w:eastAsia="Arial" w:hAnsi="Arial"/>
          <w:sz w:val="18"/>
          <w:szCs w:val="18"/>
          <w:color w:val="auto"/>
        </w:rPr>
        <w:t>As of December 31, 2021 and 2020, respectively, we had no outstanding borrowings and were in compliance with our covenant requirements in effect under the Credit Facility. While there can be no assurance that we will be able to meet the leverage ratio covenant after the Leverage Covenant Holiday ceases, based on our current projections, we do not believe there is a material risk we will not remain in compliance throughout the next twelve months.</w:t>
      </w:r>
    </w:p>
    <w:p>
      <w:pPr>
        <w:spacing w:after="0" w:line="188"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During the first quarter of 2020, the Company borrowed $700 million under the Credit Facility. These funds were drawn down as a precautionary measure to reinforce our liquidity position and preserve financial flexibility in light of uncertainty in the global markets resulting from the COVID-19 pandemic. The Company repaid those borrowings in full during the third quarter of 2020 with proceeds received from the 2025 Senior Notes, as discussed below.</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2025 Senior Notes</w:t>
      </w:r>
    </w:p>
    <w:p>
      <w:pPr>
        <w:spacing w:after="0" w:line="21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July 2020, the Company completed the sale of $500 million in 2025 Senior Notes. The 2025 Senior Notes provide, among other things, that interest, at an interest rate of 7.0% per annum, will be payable on January 15 and July 15 of each year, which began on January 15, 2021, until their maturity on July 15, 2025. The Company used the proceeds from the 2025 Senior Notes, or $490 million, net of approximately $10 million in debt issuance costs, to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ind w:right="320"/>
        <w:spacing w:after="0" w:line="261" w:lineRule="auto"/>
        <w:rPr>
          <w:sz w:val="20"/>
          <w:szCs w:val="20"/>
          <w:color w:val="auto"/>
        </w:rPr>
      </w:pPr>
      <w:r>
        <w:rPr>
          <w:rFonts w:ascii="Arial" w:cs="Arial" w:eastAsia="Arial" w:hAnsi="Arial"/>
          <w:sz w:val="18"/>
          <w:szCs w:val="18"/>
          <w:color w:val="auto"/>
        </w:rPr>
        <w:t>repay a portion of our outstanding borrowings under our Credit Facility, as noted above. The 2025 Senior Notes are senior unsecured obligations of the Company and are guaranteed by certain of the Company’s domestic subsidiaries.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2026 Senior Notes</w:t>
      </w:r>
    </w:p>
    <w:p>
      <w:pPr>
        <w:spacing w:after="0" w:line="212"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In March 2021, the Company completed the sale of $345 million of our 2026 Senior Notes. The 2026 Senior Notes provide, among other things, that interest, at an interest rate of 0.25% per annum, will be payable on April 1 and October 1 of each year, which began on October 1, 2021, until their maturity on April 1, 2026. Concurrently, the Company used a portion of the proceeds from the 2026 Senior Notes to enter into privately negotiated capped call transactions with certain of the initial purchasers of the 2026 Senior Notes and/or their respective affiliates and/or other financial institutions at a cost of approximately $35 million. The Company intends to use the remainder of the proceeds from this offering for general corporate purposes, which may include repayment of debt, including the partial redemption and/or purchase of the 2025 Senior Notes prior to maturity. The 2026 Senior Notes are senior unsecured obligations of the Company and are guaranteed by certain of the Company’s domestic subsidiaries.</w:t>
      </w:r>
    </w:p>
    <w:p>
      <w:pPr>
        <w:spacing w:after="0" w:line="163"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2025 Senior Notes and 2026 Senior Notes are not registered securities and there are currently no plans to register these notes as securities in the future. As a result, Rule 3-10 of Regulation S-X promulgated by the SEC is not applicable and no separate financial statements are required for the guarantor subsidiaries of these notes. We may from time to time repurchase our outstanding 2025 Senior Notes or 2026 Senior Notes through tender offers, open market purchases, privately negotiated transactions or otherwise. Such repurchases, if any, will depend on prevailing market conditions, our liquidity requirements, contractual restrictions and other factors.</w:t>
      </w:r>
    </w:p>
    <w:p>
      <w:pPr>
        <w:spacing w:after="0" w:line="189"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 xml:space="preserve">For further information on our Credit Facility, 2025 Senior Notes, and 2026 Senior Notes, refer to “Note 10: </w:t>
      </w:r>
      <w:r>
        <w:rPr>
          <w:rFonts w:ascii="Arial" w:cs="Arial" w:eastAsia="Arial" w:hAnsi="Arial"/>
          <w:sz w:val="18"/>
          <w:szCs w:val="18"/>
          <w:i w:val="1"/>
          <w:iCs w:val="1"/>
          <w:color w:val="auto"/>
        </w:rPr>
        <w:t>Debt</w:t>
      </w:r>
      <w:r>
        <w:rPr>
          <w:rFonts w:ascii="Arial" w:cs="Arial" w:eastAsia="Arial" w:hAnsi="Arial"/>
          <w:sz w:val="18"/>
          <w:szCs w:val="18"/>
          <w:color w:val="auto"/>
        </w:rPr>
        <w:t>” in the notes to our consolidated financial statements in Item 8 on this Annual Report on Form 10-K.</w:t>
      </w:r>
    </w:p>
    <w:p>
      <w:pPr>
        <w:spacing w:after="0" w:line="3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Significant uses of capital and other liquidity matters</w:t>
      </w:r>
    </w:p>
    <w:p>
      <w:pPr>
        <w:spacing w:after="0" w:line="21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During the years ended December 31, 2020 and 2019, we repurchased 4,707,450 and 2,059,846 shares, respectively, of the Company’s outstanding common stock at an aggregate cost of $115 million and $60 million, respectively, under our share repurchase program. The Company did not repurchase any shares of outstanding common stock under the share repurchase program during 2021 and had $75 million remaining available to repurchase shares of our common stock as of December 31, 2021. The terms of our Credit Agreement were amended to limit the Company from share repurchases during the Leverage Covenant Holiday and the terms of the 2025 Indenture related to the 2025 Senior Notes also impose certain limitations and restrictions on share repurchases.</w:t>
      </w:r>
    </w:p>
    <w:p>
      <w:pPr>
        <w:spacing w:after="0" w:line="189"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Our business typically experiences seasonal fluctuations that affect the timing of our annual cash flows during the year related to working capital. In our Experiences business and our Rentals free-to-list model, we receive cash from travelers at the time of booking or prior to the occurrence of an experience or rental, and we record these amounts, net of commissions, on our consolidated balance sheet as deferred merchant payables. We pay the operator, or the experience supplier and/or property rental owners, after the travelers’ use. Therefore, we generally receive cash from the traveler prior to paying the operator and this operating cycle represents a source or use of cash to us. During the first half of the year Experiences and Rentals bookings typically exceed the amount of completed experiences and rental stays, resulting in higher cash flow related to working capital, while during the second half of the year, particularly in the third quarter, this pattern reverses and cash flows from these transactions are typically negative. However, this seasonal trend was negatively and materially impacted by COVID-19’s impact on our business throughout the year of 2020, albeit unevenly, primarily reflecting the decline in consumer demand for our products and increased cancellations of reservations. Although consumer demand, traveler hotel and rental stays, and travel activities and experiences taken generally remains materially lower than historic levels, these trends improved during 2021, resulting in increased revenues, working capital and operating cash flow more akin to typical and historical seasonality trends. However, the ultimate extent and longevity of the COVID-19 pandemic, including new or existing variants (i.e. Delta and/or Omicron), and its impact on travel, regional and global markets, and overall economic activity in currently affected countries and/or globally remains unknown and impossible to predict with certainty, as such, the impacts on our business, including our operating cash flows, while generally improving, remain uncertain at this point in time. Other factors may also impact typical seasonal fluctuations, which include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9" w:name="page50"/>
    <w:bookmarkEnd w:id="49"/>
    <w:p>
      <w:pPr>
        <w:ind w:right="60"/>
        <w:spacing w:after="0" w:line="241" w:lineRule="auto"/>
        <w:rPr>
          <w:sz w:val="20"/>
          <w:szCs w:val="20"/>
          <w:color w:val="auto"/>
        </w:rPr>
      </w:pPr>
      <w:r>
        <w:rPr>
          <w:rFonts w:ascii="Arial" w:cs="Arial" w:eastAsia="Arial" w:hAnsi="Arial"/>
          <w:sz w:val="18"/>
          <w:szCs w:val="18"/>
          <w:color w:val="auto"/>
        </w:rPr>
        <w:t>further significant shifts in our business mix or adverse economic conditions unrelated to COVID-19 that could result in future seasonal patterns that are different from historical trends. In addition, new or different payment options offered to our customers could impact the timing of cash flows. For example, during the third quarter of 2019 we introduced a new payment option, “Reserve Now, Pay Later” which allows our travelers the option to reserve certain experiences and defer payment until a date no later than two days before the experience date, which although used in a minority of bookings through 2021, may affect the timing of our future cash flows and working capital.</w:t>
      </w:r>
    </w:p>
    <w:p>
      <w:pPr>
        <w:spacing w:after="0" w:line="189"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 xml:space="preserve">As discussed in “Note 12: </w:t>
      </w:r>
      <w:r>
        <w:rPr>
          <w:rFonts w:ascii="Arial" w:cs="Arial" w:eastAsia="Arial" w:hAnsi="Arial"/>
          <w:sz w:val="16"/>
          <w:szCs w:val="16"/>
          <w:i w:val="1"/>
          <w:iCs w:val="1"/>
          <w:color w:val="auto"/>
        </w:rPr>
        <w:t>Income Taxes</w:t>
      </w:r>
      <w:r>
        <w:rPr>
          <w:rFonts w:ascii="Arial" w:cs="Arial" w:eastAsia="Arial" w:hAnsi="Arial"/>
          <w:sz w:val="16"/>
          <w:szCs w:val="16"/>
          <w:color w:val="auto"/>
        </w:rPr>
        <w:t>” in the notes to our consolidated financial statements in Item 8 on this Annual Report on Form 10-K, we have received Notices of Proposed Adjustments issued by the IRS for tax years 2009 through 2016, as of December 31, 2021. These proposed adjustments are related to certain transfer pricing arrangements with our foreign subsidiaries, and would result in an increase to our worldwide income tax expense in an estimated range of $95 million to $105 million, exclusive of interest expense, at the close of the audit if the IRS prevails. In addition, we received from HM Revenue &amp; Customs (“HMRC") in the U.K. an issue closure notice relating to adjustments for 2012 through 2016 tax years, as of December 31, 2021. These proposed adjustments are related to certain transfer pricing arrangements with our foreign subsidiaries and would result in an increase to our worldwide income tax expense in an estimated range of $45 million to $55 million, exclusive of interest expense, at the close of the audit if HMRC prevails. We disagree with the proposed adjustments and we intend to defend our positions through applicable administrative and, if necessary, judicial remedies. Although the ultimate timing for resolution of these matters is uncertain, any future payments would negatively impact our operating cash flows.</w:t>
      </w:r>
    </w:p>
    <w:p>
      <w:pPr>
        <w:spacing w:after="0" w:line="169"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The CARES Act, enacted in March 2020, made tax law changes to provide financial relief to companies as a result of the business impacts of COVID-19. Key income tax provisions of the CARES Act include changes in net operating loss (“NOL”) carryback and carryforward rules, increase of the net interest expense deduction limit, and immediate write-off of qualified improvement property. The CARES Act allowed us to carryback our U.S. federal NOL incurred in 2020, generating an expected tax refund of $48 million, which is reported in income taxes receivable on our consolidated balance sheet as of December 31, 2021. This tax refund is expected to be received during 2022.</w:t>
      </w:r>
    </w:p>
    <w:p>
      <w:pPr>
        <w:spacing w:after="0" w:line="174"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We believe that our available cash and cash equivalents will be sufficient to fund our foreseeable working capital requirements, capital expenditures, existing business growth initiatives, debt and interest obligations, lease commitments, and other financial commitments through at least the next twelve months. Our future capital requirements may also include capital needs for acquisitions and/or other expenditures in support of our business strategy, which may potentially reduce our cash balance and/or require us to borrow under our Credit Facility or to seek other financing alternatives.</w:t>
      </w:r>
    </w:p>
    <w:p>
      <w:pPr>
        <w:spacing w:after="0" w:line="155"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In addition, our capital requirements may increase due to the continued impact of the COVID-19 pandemic, including new, if any, or existing variants (i.e. Delta and Omicron), which has resulted in reduced revenues and operating cash flows for the Company, and the extent and duration to which it may continue to impact the Company’s business and the travel industry remains unclear. Given the continued uncertainty in the uneven market and economic conditions related to the COVID-19 pandemic, we will continue to evaluate the nature and extent of the impact to our liquidity and capital requirements, and therefore our capital structure.</w:t>
      </w:r>
    </w:p>
    <w:p>
      <w:pPr>
        <w:spacing w:after="0" w:line="189"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Our cash flows from operating, investing and financing activities, as reflected in our consolidated statements of cash flows, are summarized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90"/>
              </w:rPr>
              <w:t>Year ended December 31,</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97"/>
              <w:spacing w:after="0"/>
              <w:rPr>
                <w:sz w:val="20"/>
                <w:szCs w:val="20"/>
                <w:color w:val="auto"/>
              </w:rPr>
            </w:pPr>
            <w:r>
              <w:rPr>
                <w:rFonts w:ascii="Arial" w:cs="Arial" w:eastAsia="Arial" w:hAnsi="Arial"/>
                <w:sz w:val="14"/>
                <w:szCs w:val="14"/>
                <w:b w:val="1"/>
                <w:bCs w:val="1"/>
                <w:color w:val="auto"/>
                <w:w w:val="99"/>
              </w:rPr>
              <w:t>(in millions)</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3"/>
        </w:trPr>
        <w:tc>
          <w:tcPr>
            <w:tcW w:w="580" w:type="dxa"/>
            <w:vAlign w:val="bottom"/>
          </w:tcPr>
          <w:p>
            <w:pPr>
              <w:spacing w:after="0"/>
              <w:rPr>
                <w:sz w:val="17"/>
                <w:szCs w:val="17"/>
                <w:color w:val="auto"/>
              </w:rPr>
            </w:pPr>
          </w:p>
        </w:tc>
        <w:tc>
          <w:tcPr>
            <w:tcW w:w="3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20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620" w:type="dxa"/>
            <w:vAlign w:val="bottom"/>
          </w:tcPr>
          <w:p>
            <w:pPr>
              <w:spacing w:after="0" w:line="202" w:lineRule="exact"/>
              <w:rPr>
                <w:sz w:val="20"/>
                <w:szCs w:val="20"/>
                <w:color w:val="auto"/>
              </w:rPr>
            </w:pPr>
            <w:r>
              <w:rPr>
                <w:rFonts w:ascii="Arial" w:cs="Arial" w:eastAsia="Arial" w:hAnsi="Arial"/>
                <w:sz w:val="18"/>
                <w:szCs w:val="18"/>
                <w:color w:val="auto"/>
              </w:rPr>
              <w:t>Operating activities</w:t>
            </w:r>
          </w:p>
        </w:tc>
        <w:tc>
          <w:tcPr>
            <w:tcW w:w="2980" w:type="dxa"/>
            <w:vAlign w:val="bottom"/>
            <w:gridSpan w:val="2"/>
          </w:tcPr>
          <w:p>
            <w:pPr>
              <w:jc w:val="right"/>
              <w:ind w:right="728"/>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80" w:type="dxa"/>
            <w:vAlign w:val="bottom"/>
          </w:tcPr>
          <w:p>
            <w:pPr>
              <w:spacing w:after="0"/>
              <w:rPr>
                <w:sz w:val="17"/>
                <w:szCs w:val="17"/>
                <w:color w:val="auto"/>
              </w:rPr>
            </w:pP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(194 )  $</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424</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Investing activities</w:t>
            </w:r>
          </w:p>
        </w:tc>
        <w:tc>
          <w:tcPr>
            <w:tcW w:w="20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(54 )</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(56 )</w:t>
            </w: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(176 )</w:t>
            </w:r>
          </w:p>
        </w:tc>
        <w:tc>
          <w:tcPr>
            <w:tcW w:w="56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Financing activities</w:t>
            </w:r>
          </w:p>
        </w:tc>
        <w:tc>
          <w:tcPr>
            <w:tcW w:w="2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(580 )</w:t>
            </w:r>
          </w:p>
        </w:tc>
        <w:tc>
          <w:tcPr>
            <w:tcW w:w="560" w:type="dxa"/>
            <w:vAlign w:val="bottom"/>
          </w:tcPr>
          <w:p>
            <w:pPr>
              <w:spacing w:after="0"/>
              <w:rPr>
                <w:sz w:val="20"/>
                <w:szCs w:val="20"/>
                <w:color w:val="auto"/>
              </w:rPr>
            </w:pPr>
          </w:p>
        </w:tc>
      </w:tr>
      <w:tr>
        <w:trPr>
          <w:trHeight w:val="634"/>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80" w:type="dxa"/>
            <w:vAlign w:val="bottom"/>
          </w:tcPr>
          <w:p>
            <w:pPr>
              <w:jc w:val="right"/>
              <w:ind w:right="470"/>
              <w:spacing w:after="0"/>
              <w:rPr>
                <w:sz w:val="20"/>
                <w:szCs w:val="20"/>
                <w:color w:val="auto"/>
              </w:rPr>
            </w:pPr>
            <w:r>
              <w:rPr>
                <w:rFonts w:ascii="Arial" w:cs="Arial" w:eastAsia="Arial" w:hAnsi="Arial"/>
                <w:sz w:val="18"/>
                <w:szCs w:val="18"/>
                <w:color w:val="auto"/>
              </w:rPr>
              <w:t>48</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62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ind w:firstLine="509"/>
        <w:spacing w:after="0" w:line="243" w:lineRule="auto"/>
        <w:rPr>
          <w:sz w:val="20"/>
          <w:szCs w:val="20"/>
          <w:color w:val="auto"/>
        </w:rPr>
      </w:pPr>
      <w:r>
        <w:rPr>
          <w:rFonts w:ascii="Arial" w:cs="Arial" w:eastAsia="Arial" w:hAnsi="Arial"/>
          <w:sz w:val="18"/>
          <w:szCs w:val="18"/>
          <w:color w:val="auto"/>
        </w:rPr>
        <w:t>During the year ended December 31, 2021, our primary use of cash was financing activities (including payment of withholding taxes on net share settlements of our equity awards of $44 million and purchase of Capped Calls of $35 million) and investing activities (including capital expenditures of $54 million). This use of cash was funded primarily with cash on hand, operating cash flow and financing activities, which includes $340 million of proceeds from the issuance of our 2026 Senior Notes, net of financing costs.</w:t>
      </w:r>
    </w:p>
    <w:p>
      <w:pPr>
        <w:spacing w:after="0" w:line="174"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For the year ended December 31, 2021, net cash provided by operating activities increased by $302 million when compared to the same period in 2020, primarily due to a decrease in net losses of $141 million and an increase in working capital of $227 million, primarily driven by an increase in deferred merchant payables and deferred revenue reflecting the cash received from travelers due to an increase in experiences bookings which exceeded our payments to traveler suppliers, an increase in marketing cost accruals and a decrease in income tax payments, partially offset by an increase in accounts receivable across the business, all largely reflective of the increasing consumer demand for travel activities during 2021, in addition to timing of vendor payments and collection of receivables, as well as, and to a lesser extent, a decrease in non-cash items of $66 million which was primarily due to an increase in deferred income tax benefits and a decrease in bad debt expense.</w:t>
      </w:r>
    </w:p>
    <w:p>
      <w:pPr>
        <w:spacing w:after="0" w:line="180"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For the year ended December 31, 2021, net cash used in investing activities decreased by $2 million when compared to the same period in 2020, as capital expenditures decreased slightly as part of cost-reduction measures across the business implemented during the first half of 2020 in response to COVID-19.</w:t>
      </w:r>
    </w:p>
    <w:p>
      <w:pPr>
        <w:spacing w:after="0" w:line="182"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For the year ended December 31, 2021, net cash provided by financing activities decreased by $78 million when compared to the same period in 2020, primarily due to cash provided from the issuance of our 2025 Senior Notes in the third quarter of 2020 of $490 million, net of financing costs, partially offset by cash used to purchase shares of our common stock under our share repurchase program of $115 million during the year ended December 31, 2020, both which did not reoccur in 2021, as contrasted to proceeds received from the issuance of our 2026 Senior Notes of $340 million in the first quarter of 2021, net of financing costs, and cash received for stock option exercises of $8 million during the year ended December 31, 2021, which was partially offset by payments of $35 million for the Capped Calls in connection with our 2026 Senior Notes, which also occurred during the first quarter of 2021, and an increase in payment of withholding taxes on net share settlements of equity awards of $23 million during the year ended December 31, 2021.</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current and long-term material cash requirements, both accrued and off-balance sheet, as of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By Period</w:t>
            </w: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860" w:type="dxa"/>
            <w:vAlign w:val="bottom"/>
          </w:tcPr>
          <w:p>
            <w:pPr>
              <w:jc w:val="right"/>
              <w:ind w:right="113"/>
              <w:spacing w:after="0" w:line="133" w:lineRule="exact"/>
              <w:rPr>
                <w:sz w:val="20"/>
                <w:szCs w:val="20"/>
                <w:color w:val="auto"/>
              </w:rPr>
            </w:pPr>
            <w:r>
              <w:rPr>
                <w:rFonts w:ascii="Arial" w:cs="Arial" w:eastAsia="Arial" w:hAnsi="Arial"/>
                <w:sz w:val="14"/>
                <w:szCs w:val="14"/>
                <w:b w:val="1"/>
                <w:bCs w:val="1"/>
                <w:color w:val="auto"/>
                <w:w w:val="97"/>
              </w:rPr>
              <w:t>Less than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5"/>
              </w:rPr>
              <w:t>1 to 3 years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3"/>
              </w:rPr>
              <w:t>3 to 5 years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93"/>
              <w:spacing w:after="0" w:line="133" w:lineRule="exact"/>
              <w:rPr>
                <w:sz w:val="20"/>
                <w:szCs w:val="20"/>
                <w:color w:val="auto"/>
              </w:rPr>
            </w:pPr>
            <w:r>
              <w:rPr>
                <w:rFonts w:ascii="Arial" w:cs="Arial" w:eastAsia="Arial" w:hAnsi="Arial"/>
                <w:sz w:val="14"/>
                <w:szCs w:val="14"/>
                <w:b w:val="1"/>
                <w:bCs w:val="1"/>
                <w:color w:val="auto"/>
                <w:w w:val="98"/>
              </w:rPr>
              <w:t>More than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33"/>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93"/>
              <w:spacing w:after="0"/>
              <w:rPr>
                <w:sz w:val="20"/>
                <w:szCs w:val="20"/>
                <w:color w:val="auto"/>
              </w:rPr>
            </w:pPr>
            <w:r>
              <w:rPr>
                <w:rFonts w:ascii="Arial" w:cs="Arial" w:eastAsia="Arial" w:hAnsi="Arial"/>
                <w:sz w:val="14"/>
                <w:szCs w:val="14"/>
                <w:b w:val="1"/>
                <w:bCs w:val="1"/>
                <w:color w:val="auto"/>
              </w:rPr>
              <w:t>5 years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1"/>
              </w:rPr>
              <w:t>(in millions)</w:t>
            </w: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2025 Senior Notes (1)</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0"/>
              <w:spacing w:after="0" w:line="202" w:lineRule="exact"/>
              <w:rPr>
                <w:sz w:val="20"/>
                <w:szCs w:val="20"/>
                <w:color w:val="auto"/>
              </w:rPr>
            </w:pPr>
            <w:r>
              <w:rPr>
                <w:rFonts w:ascii="Arial" w:cs="Arial" w:eastAsia="Arial" w:hAnsi="Arial"/>
                <w:sz w:val="18"/>
                <w:szCs w:val="18"/>
                <w:color w:val="auto"/>
              </w:rPr>
              <w:t>Expected interest payments on 2025 Senior Notes (2)</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 Senior Notes (3)</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345</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345</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0"/>
              <w:spacing w:after="0" w:line="202" w:lineRule="exact"/>
              <w:rPr>
                <w:sz w:val="20"/>
                <w:szCs w:val="20"/>
                <w:color w:val="auto"/>
              </w:rPr>
            </w:pPr>
            <w:r>
              <w:rPr>
                <w:rFonts w:ascii="Arial" w:cs="Arial" w:eastAsia="Arial" w:hAnsi="Arial"/>
                <w:sz w:val="18"/>
                <w:szCs w:val="18"/>
                <w:color w:val="auto"/>
              </w:rPr>
              <w:t>Expected interest payments on 2026 Senior Notes (4)</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lease obligations (5)</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obligations (6)</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commitment fee payments on Credit Facility (7)</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0"/>
              <w:spacing w:after="0" w:line="202" w:lineRule="exact"/>
              <w:rPr>
                <w:sz w:val="20"/>
                <w:szCs w:val="20"/>
                <w:color w:val="auto"/>
              </w:rPr>
            </w:pPr>
            <w:r>
              <w:rPr>
                <w:rFonts w:ascii="Arial" w:cs="Arial" w:eastAsia="Arial" w:hAnsi="Arial"/>
                <w:sz w:val="18"/>
                <w:szCs w:val="18"/>
                <w:color w:val="auto"/>
              </w:rPr>
              <w:t>Purchase obligations (8)</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(9)(10)</w:t>
            </w: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1,163</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w:t>
            </w:r>
          </w:p>
        </w:tc>
        <w:tc>
          <w:tcPr>
            <w:tcW w:w="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892</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-25400</wp:posOffset>
            </wp:positionV>
            <wp:extent cx="51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-8255</wp:posOffset>
            </wp:positionV>
            <wp:extent cx="51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-25400</wp:posOffset>
            </wp:positionV>
            <wp:extent cx="514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514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514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514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431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431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-25400</wp:posOffset>
            </wp:positionV>
            <wp:extent cx="431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-8255</wp:posOffset>
            </wp:positionV>
            <wp:extent cx="431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4" w:lineRule="exact"/>
        <w:rPr>
          <w:sz w:val="20"/>
          <w:szCs w:val="20"/>
          <w:color w:val="auto"/>
        </w:rPr>
      </w:pPr>
    </w:p>
    <w:p>
      <w:pPr>
        <w:ind w:left="1020" w:right="200" w:hanging="503"/>
        <w:spacing w:after="0" w:line="250" w:lineRule="auto"/>
        <w:tabs>
          <w:tab w:leader="none" w:pos="10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Represents outstanding principal on our 2025 Senior Notes due July 2025 and assumes that our existing debt is repaid at maturity. Refer to “Note 10: </w:t>
      </w:r>
      <w:r>
        <w:rPr>
          <w:rFonts w:ascii="Arial" w:cs="Arial" w:eastAsia="Arial" w:hAnsi="Arial"/>
          <w:sz w:val="14"/>
          <w:szCs w:val="14"/>
          <w:i w:val="1"/>
          <w:iCs w:val="1"/>
          <w:color w:val="auto"/>
        </w:rPr>
        <w:t>Debt</w:t>
      </w:r>
      <w:r>
        <w:rPr>
          <w:rFonts w:ascii="Arial" w:cs="Arial" w:eastAsia="Arial" w:hAnsi="Arial"/>
          <w:sz w:val="14"/>
          <w:szCs w:val="14"/>
          <w:color w:val="auto"/>
        </w:rPr>
        <w:t>” in the notes to our consolidated financial statements in Item 8 on this Annual Report on Form 10-K for further information.</w:t>
      </w:r>
    </w:p>
    <w:p>
      <w:pPr>
        <w:ind w:left="1020" w:right="540" w:hanging="503"/>
        <w:spacing w:after="0" w:line="293" w:lineRule="auto"/>
        <w:tabs>
          <w:tab w:leader="none" w:pos="10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 xml:space="preserve">Expected interest payments on our 2025 Senior Notes are based on a fixed interest rate of 7.0%, as of December 31, 2021 and assumes that our existing debt is repaid at maturity. Refer to “Note 10: </w:t>
      </w:r>
      <w:r>
        <w:rPr>
          <w:rFonts w:ascii="Arial" w:cs="Arial" w:eastAsia="Arial" w:hAnsi="Arial"/>
          <w:sz w:val="13"/>
          <w:szCs w:val="13"/>
          <w:i w:val="1"/>
          <w:iCs w:val="1"/>
          <w:color w:val="auto"/>
        </w:rPr>
        <w:t>Debt</w:t>
      </w:r>
      <w:r>
        <w:rPr>
          <w:rFonts w:ascii="Arial" w:cs="Arial" w:eastAsia="Arial" w:hAnsi="Arial"/>
          <w:sz w:val="13"/>
          <w:szCs w:val="13"/>
          <w:color w:val="auto"/>
        </w:rPr>
        <w:t>” in the notes to our consolidated financial statements in Item 8 on this Annual Report on Form 10-K for further information.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ind w:left="1020" w:right="140" w:hanging="503"/>
        <w:spacing w:after="0" w:line="250" w:lineRule="auto"/>
        <w:tabs>
          <w:tab w:leader="none" w:pos="10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Represents outstanding principal on our 2026 Senior Notes due April 2026 and assumes that our existing debt is repaid at maturity. Refer to “Note 10: </w:t>
      </w:r>
      <w:r>
        <w:rPr>
          <w:rFonts w:ascii="Arial" w:cs="Arial" w:eastAsia="Arial" w:hAnsi="Arial"/>
          <w:sz w:val="14"/>
          <w:szCs w:val="14"/>
          <w:i w:val="1"/>
          <w:iCs w:val="1"/>
          <w:color w:val="auto"/>
        </w:rPr>
        <w:t>Debt</w:t>
      </w:r>
      <w:r>
        <w:rPr>
          <w:rFonts w:ascii="Arial" w:cs="Arial" w:eastAsia="Arial" w:hAnsi="Arial"/>
          <w:sz w:val="14"/>
          <w:szCs w:val="14"/>
          <w:color w:val="auto"/>
        </w:rPr>
        <w:t>” in the notes to our consolidated financial statements in Item 8 on this Annual Report on Form 10-K for further information.</w:t>
      </w:r>
    </w:p>
    <w:p>
      <w:pPr>
        <w:ind w:left="1020" w:right="480" w:hanging="503"/>
        <w:spacing w:after="0" w:line="260" w:lineRule="auto"/>
        <w:tabs>
          <w:tab w:leader="none" w:pos="10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 xml:space="preserve">Expected interest payments on our 2026 Senior Notes are based on a fixed interest rate of 0.25%, as of December 31, 2021 and assumes that our existing debt is repaid at maturity. Refer to “Note 10: </w:t>
      </w:r>
      <w:r>
        <w:rPr>
          <w:rFonts w:ascii="Arial" w:cs="Arial" w:eastAsia="Arial" w:hAnsi="Arial"/>
          <w:sz w:val="13"/>
          <w:szCs w:val="13"/>
          <w:i w:val="1"/>
          <w:iCs w:val="1"/>
          <w:color w:val="auto"/>
        </w:rPr>
        <w:t>Debt</w:t>
      </w:r>
      <w:r>
        <w:rPr>
          <w:rFonts w:ascii="Arial" w:cs="Arial" w:eastAsia="Arial" w:hAnsi="Arial"/>
          <w:sz w:val="13"/>
          <w:szCs w:val="13"/>
          <w:color w:val="auto"/>
        </w:rPr>
        <w:t>” in the notes to our consolidated financial statements in Item 8 on this Annual Report on Form 10-K for further information.</w:t>
      </w:r>
    </w:p>
    <w:p>
      <w:pPr>
        <w:ind w:left="1020" w:right="100" w:hanging="503"/>
        <w:spacing w:after="0" w:line="241" w:lineRule="auto"/>
        <w:tabs>
          <w:tab w:leader="none" w:pos="10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Estimated future lease payments for our Headquarters Lease in Needham, Massachusetts. Refer to “Note 7: </w:t>
      </w:r>
      <w:r>
        <w:rPr>
          <w:rFonts w:ascii="Arial" w:cs="Arial" w:eastAsia="Arial" w:hAnsi="Arial"/>
          <w:sz w:val="14"/>
          <w:szCs w:val="14"/>
          <w:i w:val="1"/>
          <w:iCs w:val="1"/>
          <w:color w:val="auto"/>
        </w:rPr>
        <w:t>Leases</w:t>
      </w:r>
      <w:r>
        <w:rPr>
          <w:rFonts w:ascii="Arial" w:cs="Arial" w:eastAsia="Arial" w:hAnsi="Arial"/>
          <w:sz w:val="14"/>
          <w:szCs w:val="14"/>
          <w:color w:val="auto"/>
        </w:rPr>
        <w:t>” in the notes to our consolidated financial statements in Item 8 on this Annual Report on Form 10-K for further information.</w:t>
      </w:r>
    </w:p>
    <w:p>
      <w:pPr>
        <w:ind w:left="1020" w:right="60" w:hanging="503"/>
        <w:spacing w:after="0" w:line="260" w:lineRule="auto"/>
        <w:tabs>
          <w:tab w:leader="none" w:pos="10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 xml:space="preserve">Estimated future lease payments for our operating leases, primarily for office space, with non-cancelable lease terms. These amounts exclude expected rental income under non-cancelable subleases. Refer to “Note 7: </w:t>
      </w:r>
      <w:r>
        <w:rPr>
          <w:rFonts w:ascii="Arial" w:cs="Arial" w:eastAsia="Arial" w:hAnsi="Arial"/>
          <w:sz w:val="13"/>
          <w:szCs w:val="13"/>
          <w:i w:val="1"/>
          <w:iCs w:val="1"/>
          <w:color w:val="auto"/>
        </w:rPr>
        <w:t>Leases</w:t>
      </w:r>
      <w:r>
        <w:rPr>
          <w:rFonts w:ascii="Arial" w:cs="Arial" w:eastAsia="Arial" w:hAnsi="Arial"/>
          <w:sz w:val="13"/>
          <w:szCs w:val="13"/>
          <w:color w:val="auto"/>
        </w:rPr>
        <w:t>” in the notes to our consolidated financial statements in Item 8 on this Annual Report on Form 10-K for further information.</w:t>
      </w:r>
    </w:p>
    <w:p>
      <w:pPr>
        <w:ind w:left="1020" w:right="180" w:hanging="503"/>
        <w:spacing w:after="0" w:line="241" w:lineRule="auto"/>
        <w:tabs>
          <w:tab w:leader="none" w:pos="10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Expected commitment fee payments are based on the daily unused portion of the Credit Facility, issued letters of credit, and the effective commitment fee rate as of December 31, 2021; however, these variables could change significantly in the future. Refer to “Note 10: </w:t>
      </w:r>
      <w:r>
        <w:rPr>
          <w:rFonts w:ascii="Arial" w:cs="Arial" w:eastAsia="Arial" w:hAnsi="Arial"/>
          <w:sz w:val="14"/>
          <w:szCs w:val="14"/>
          <w:i w:val="1"/>
          <w:iCs w:val="1"/>
          <w:color w:val="auto"/>
        </w:rPr>
        <w:t>Debt</w:t>
      </w:r>
      <w:r>
        <w:rPr>
          <w:rFonts w:ascii="Arial" w:cs="Arial" w:eastAsia="Arial" w:hAnsi="Arial"/>
          <w:sz w:val="14"/>
          <w:szCs w:val="14"/>
          <w:color w:val="auto"/>
        </w:rPr>
        <w:t>” in the notes to our consolidated financial statements in Item 8 on this Annual Report on Form 10-K for further information.</w:t>
      </w:r>
    </w:p>
    <w:p>
      <w:pPr>
        <w:spacing w:after="0" w:line="1" w:lineRule="exact"/>
        <w:rPr>
          <w:rFonts w:ascii="Arial" w:cs="Arial" w:eastAsia="Arial" w:hAnsi="Arial"/>
          <w:sz w:val="14"/>
          <w:szCs w:val="14"/>
          <w:color w:val="auto"/>
        </w:rPr>
      </w:pPr>
    </w:p>
    <w:p>
      <w:pPr>
        <w:ind w:left="1020" w:right="160" w:hanging="503"/>
        <w:spacing w:after="0" w:line="241" w:lineRule="auto"/>
        <w:tabs>
          <w:tab w:leader="none" w:pos="10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Estimated purchase obligations that are fixed and determinable, primarily related to telecommunication and licensing contracts, with various expiration dates through approximately June 2029. These contracts have non-cancelable terms or are cancelable only upon payment of significant penalty. Timing of payments and actual amounts paid may be different depending on the time of receipt of goods or services or changes to agreed-upon amounts for some obligations.</w:t>
      </w:r>
    </w:p>
    <w:p>
      <w:pPr>
        <w:spacing w:after="0" w:line="1" w:lineRule="exact"/>
        <w:rPr>
          <w:rFonts w:ascii="Arial" w:cs="Arial" w:eastAsia="Arial" w:hAnsi="Arial"/>
          <w:sz w:val="14"/>
          <w:szCs w:val="14"/>
          <w:color w:val="auto"/>
        </w:rPr>
      </w:pPr>
    </w:p>
    <w:p>
      <w:pPr>
        <w:ind w:left="1020" w:right="40" w:hanging="503"/>
        <w:spacing w:after="0" w:line="241" w:lineRule="auto"/>
        <w:tabs>
          <w:tab w:leader="none" w:pos="10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Excluded from the table was $177 million of unrecognized tax benefits, including interest, which is included in other long-term liabilities on our consolidated balance sheet as of December 31, 2021, for which we cannot make a reasonably reliable estimate of the amount and period of payment. Refer to “Note 12: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in the notes to our consolidated financial statements in Item 8 on this Annual Report on Form 10-K for further discussion.</w:t>
      </w:r>
    </w:p>
    <w:p>
      <w:pPr>
        <w:spacing w:after="0" w:line="1" w:lineRule="exact"/>
        <w:rPr>
          <w:rFonts w:ascii="Arial" w:cs="Arial" w:eastAsia="Arial" w:hAnsi="Arial"/>
          <w:sz w:val="14"/>
          <w:szCs w:val="14"/>
          <w:color w:val="auto"/>
        </w:rPr>
      </w:pPr>
    </w:p>
    <w:p>
      <w:pPr>
        <w:ind w:left="1020" w:hanging="503"/>
        <w:spacing w:after="0"/>
        <w:tabs>
          <w:tab w:leader="none" w:pos="10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Excluded from the table was $3 million of undrawn standby letters of credit, primarily as security deposits for certain property leases as of December 31, 2021.</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2021, other than the items discussed above, we did not have any off-balance sheet arrangements, as defined in Item 303(a)(4)</w:t>
      </w:r>
    </w:p>
    <w:p>
      <w:pPr>
        <w:spacing w:after="0" w:line="35" w:lineRule="exact"/>
        <w:rPr>
          <w:sz w:val="20"/>
          <w:szCs w:val="20"/>
          <w:color w:val="auto"/>
        </w:rPr>
      </w:pPr>
    </w:p>
    <w:p>
      <w:pPr>
        <w:ind w:right="220" w:firstLine="8"/>
        <w:spacing w:after="0" w:line="243" w:lineRule="auto"/>
        <w:tabs>
          <w:tab w:leader="none" w:pos="2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 Regulation S-K promulgated by the SEC, that have, or are reasonably likely to have, a current or future effect on our financial condition, results of operations, liquidity, capital expenditures or capital resources.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Office Lease Commitments</w:t>
      </w:r>
    </w:p>
    <w:p>
      <w:pPr>
        <w:spacing w:after="0" w:line="30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As of December 31, 2021, we leased approximately 280,000 square feet of office space for our corporate headquarters in Needham, Massachusetts. Our Headquarters Lease, has an expiration date of December 2030, with an option to extend the lease term for two consecutive terms of five years each. We account for our Headquarters Lease as a finance lease as of December 31, 2021.</w:t>
      </w:r>
    </w:p>
    <w:p>
      <w:pPr>
        <w:spacing w:after="0" w:line="168" w:lineRule="exact"/>
        <w:rPr>
          <w:sz w:val="20"/>
          <w:szCs w:val="20"/>
          <w:color w:val="auto"/>
        </w:rPr>
      </w:pPr>
    </w:p>
    <w:p>
      <w:pPr>
        <w:ind w:right="180" w:firstLine="509"/>
        <w:spacing w:after="0" w:line="262" w:lineRule="auto"/>
        <w:rPr>
          <w:sz w:val="20"/>
          <w:szCs w:val="20"/>
          <w:color w:val="auto"/>
        </w:rPr>
      </w:pPr>
      <w:r>
        <w:rPr>
          <w:rFonts w:ascii="Arial" w:cs="Arial" w:eastAsia="Arial" w:hAnsi="Arial"/>
          <w:sz w:val="17"/>
          <w:szCs w:val="17"/>
          <w:color w:val="auto"/>
        </w:rPr>
        <w:t>In addition to our Headquarters Lease, we also have contractual obligations in the form of operating leases for office space, in which we lease an aggregate of approximately 430,000 square feet, at approximately 35 other locations across North America, Europe, Asia Pacific and South America, in cities such as New York, London, Sydney, Barcelona, Buenos Aires, and Paris, primarily used for sales offices, subsidiary headquarters, and international management teams, pursuant to leases with various expiration dates, with the latest expiring in June 2027.</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16" w:lineRule="exact"/>
        <w:rPr>
          <w:sz w:val="20"/>
          <w:szCs w:val="20"/>
          <w:color w:val="auto"/>
        </w:rPr>
      </w:pPr>
    </w:p>
    <w:p>
      <w:pPr>
        <w:ind w:right="100" w:firstLine="509"/>
        <w:spacing w:after="0" w:line="270" w:lineRule="auto"/>
        <w:rPr>
          <w:sz w:val="20"/>
          <w:szCs w:val="20"/>
          <w:color w:val="auto"/>
        </w:rPr>
      </w:pPr>
      <w:r>
        <w:rPr>
          <w:rFonts w:ascii="Arial" w:cs="Arial" w:eastAsia="Arial" w:hAnsi="Arial"/>
          <w:sz w:val="16"/>
          <w:szCs w:val="16"/>
          <w:color w:val="auto"/>
        </w:rPr>
        <w:t>In the ordinary course of business, we are party to regulatory and legal matters, including threats thereof, arising out of or in connection with our operations. These matters may involve claims involving patent and other intellectual property rights (including privacy, alleged infringement of third-party intellectual property rights), tax matters (including value-added, excise, transient occupancy and accommodation taxes), regulatory compliance (including competition, consumer matters and data privacy), defamation and reputational claims. Periodically, we review the status of all significant outstanding matters to assess any potential financial exposure. When (i) it is probable that an asset has been impaired or a liability has been incurred; and (ii) the amount of the loss can be reasonably estimated and is material,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ind w:right="500"/>
        <w:spacing w:after="0" w:line="261" w:lineRule="auto"/>
        <w:rPr>
          <w:sz w:val="20"/>
          <w:szCs w:val="20"/>
          <w:color w:val="auto"/>
        </w:rPr>
      </w:pPr>
      <w:r>
        <w:rPr>
          <w:rFonts w:ascii="Arial" w:cs="Arial" w:eastAsia="Arial" w:hAnsi="Arial"/>
          <w:sz w:val="18"/>
          <w:szCs w:val="18"/>
          <w:color w:val="auto"/>
        </w:rPr>
        <w:t>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71"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and non-income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9"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By virtue of consolidated income tax returns previously filed with Expedia, we are currently under an IRS audit for the 2009, 2010 and short-period 2011 tax years. We are separately under examination by the IRS for the short-period 2011, 2012 through 2016, and 2018 tax years, and have various ongoing audits for foreign and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During June 2021, we closed an employment tax audit by the IRS for the 2015 through 2017 tax years with no material assessments. As of December 31, 2021, no material assessments have resulted, except as noted below regarding our 2009, 2010, and 2011 IRS audit with Expedia and our 2012 through 2016 standalone IRS audit.</w:t>
      </w:r>
    </w:p>
    <w:p>
      <w:pPr>
        <w:spacing w:after="0" w:line="180" w:lineRule="exact"/>
        <w:rPr>
          <w:sz w:val="20"/>
          <w:szCs w:val="20"/>
          <w:color w:val="auto"/>
        </w:rPr>
      </w:pPr>
    </w:p>
    <w:p>
      <w:pPr>
        <w:jc w:val="both"/>
        <w:ind w:right="80" w:firstLine="509"/>
        <w:spacing w:after="0" w:line="271"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Subsequently, in September 2019, as part of Tripadvisor’s standalone audit, we received Notices of Proposed Adjustment from the IRS for the 2012 and 2013 tax years, and in August 2020, we received Notices of Proposed Adjustments from the IRS for the 2014, 2015 and 2016 tax years.</w:t>
      </w:r>
    </w:p>
    <w:p>
      <w:pPr>
        <w:ind w:right="120"/>
        <w:spacing w:after="0" w:line="250" w:lineRule="auto"/>
        <w:rPr>
          <w:sz w:val="20"/>
          <w:szCs w:val="20"/>
          <w:color w:val="auto"/>
        </w:rPr>
      </w:pPr>
      <w:r>
        <w:rPr>
          <w:rFonts w:ascii="Arial" w:cs="Arial" w:eastAsia="Arial" w:hAnsi="Arial"/>
          <w:sz w:val="17"/>
          <w:szCs w:val="17"/>
          <w:color w:val="auto"/>
        </w:rPr>
        <w:t>These proposed adjustments are related to certain transfer pricing arrangements with our foreign subsidiaries, and would result in an increase to our worldwide income tax expense in an estimated range of $95 million to $105 million at the close of the audit if the IRS prevails. The estimated range takes into consideration competent authority relief and transition tax regulations, and is exclusive of deferred tax consequences and interest expense, which would be significant.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through 2016 transactions, if the IRS were to seek transfer pricing adjustments of a similar nature for transactions in subsequent years, we would be subject to significant additional tax liabilities. We have requested competent authority assistance under Mutual Agreement Procedure (“MAP”) for tax years 2009 through 2016. We expect the competent authorities to present a resolution for the 2009 through 2011 tax years in the near future. Upon receipt, we will assess the resolution provided by the competent authorities as well as its impact on our existing income tax reserves for all subsequent years which remain open.</w:t>
      </w:r>
    </w:p>
    <w:p>
      <w:pPr>
        <w:spacing w:after="0" w:line="188"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In January 2021, we received an issue closure notice relating to adjustments for 2012 through 2016 tax years from HMRC. These proposed adjustments are related to certain transfer pricing arrangements with our foreign subsidiaries and would result in an increase to our worldwide income tax expense in an estimated range of $45 million to $55 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w:t>
      </w:r>
    </w:p>
    <w:p>
      <w:pPr>
        <w:spacing w:after="0" w:line="17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Over the last several years, the OECD has been working on a Base Erosion and Profit Shifting Project to address the tax challenges arising from digitalization. The OECD/G20 Inclusive Framework has issued various guidelines, policy notes, and proposals that if adopted could result in an overhaul of the international taxation system under which our current tax obligations are determined. In October 2021, more than 130 countries tentatively signed on to a framework, expected to be implemented in 2023, which calls for a minimum tax rate on corporations of 15% and a reallocation of profits from the largest and most profitable businesses to countries where they make sales. The proposed framework, once enacted, envisages new international tax rules and the removal of all digital services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ind w:right="20"/>
        <w:spacing w:after="0" w:line="259" w:lineRule="auto"/>
        <w:rPr>
          <w:sz w:val="20"/>
          <w:szCs w:val="20"/>
          <w:color w:val="auto"/>
        </w:rPr>
      </w:pPr>
      <w:r>
        <w:rPr>
          <w:rFonts w:ascii="Arial" w:cs="Arial" w:eastAsia="Arial" w:hAnsi="Arial"/>
          <w:sz w:val="17"/>
          <w:szCs w:val="17"/>
          <w:color w:val="auto"/>
        </w:rPr>
        <w:t>taxes. As this framework is subject to further negotiation and implementation by each member country, the timing and ultimate impact of any such changes on our tax obligations is uncertain. As the OECD/G20 continues to drive toward a consensus framework, several countries which have previously enacted unilateral digital services tax initiatives, such as France, Italy, Spain, and the U.K., will continue to impose these revenue-based taxes until implementation of the consensus framework. During the years ended December 31, 2021 and 2020, we recorded $1 million and $2 million, respectively, of digital service tax to general and administrative expense on our consolidated statement of operations.</w:t>
      </w:r>
    </w:p>
    <w:p>
      <w:pPr>
        <w:spacing w:after="0" w:line="174"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Due to the one-time transition tax on the deemed repatriation of undistributed foreign subsidiary earnings and profits in 2017, as a result of the 2017 Tax Act, the majority of previously unremitted earnings have been subjected to U.S. federal income tax. To the extent future distributions from these subsidiaries will be taxable, a deferred tax liability has been accrued which was not material as of December 31, 2021. As of December 31, 2021, $427 million of our cumulative undistributed foreign earnings were no longer considered to be indefinitely reinvested.</w:t>
      </w:r>
    </w:p>
    <w:p>
      <w:pPr>
        <w:spacing w:after="0" w:line="172"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 xml:space="preserve">Refer to “Note 12: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consolidated financial statements in Item 8 on this Annual Report on Form 10-K for further information on potential tax contingencies, including current audits by the IRS and various other domestic and foreign tax authorities, and other income tax and non-income tax matters.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94" w:lineRule="exact"/>
        <w:rPr>
          <w:sz w:val="20"/>
          <w:szCs w:val="20"/>
          <w:color w:val="auto"/>
        </w:rPr>
      </w:pPr>
    </w:p>
    <w:p>
      <w:pPr>
        <w:ind w:right="760" w:firstLine="509"/>
        <w:spacing w:after="0" w:line="246" w:lineRule="auto"/>
        <w:rPr>
          <w:sz w:val="20"/>
          <w:szCs w:val="20"/>
          <w:color w:val="auto"/>
        </w:rPr>
      </w:pPr>
      <w:r>
        <w:rPr>
          <w:rFonts w:ascii="Arial" w:cs="Arial" w:eastAsia="Arial" w:hAnsi="Arial"/>
          <w:sz w:val="18"/>
          <w:szCs w:val="18"/>
          <w:color w:val="auto"/>
        </w:rPr>
        <w:t xml:space="preserve">For information on our related party transactions, refer to “Note 19: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in the notes to our consolidated financial statements in Item 8 on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60"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There are certain critical estimates that we believe require that management use significant judgment and estimates in applying those policies in the preparation of our consolidated financial statements. We consider an accounting estimate to be critical if:</w:t>
      </w:r>
    </w:p>
    <w:p>
      <w:pPr>
        <w:spacing w:after="0" w:line="63" w:lineRule="exact"/>
        <w:rPr>
          <w:sz w:val="20"/>
          <w:szCs w:val="20"/>
          <w:color w:val="auto"/>
        </w:rPr>
      </w:pPr>
    </w:p>
    <w:p>
      <w:pPr>
        <w:ind w:left="760" w:right="280" w:hanging="378"/>
        <w:spacing w:after="0" w:line="244"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and/or</w:t>
      </w:r>
    </w:p>
    <w:p>
      <w:pPr>
        <w:ind w:left="760" w:hanging="378"/>
        <w:spacing w:after="0" w:line="243"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172"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our consolidated financial statements in Item 8 on this Annual Report on Form 10-K for an overview of our significant accounting policies and new accounting pronouncements that we have adopted or that we plan to adopt that have had or may have an impact on our financial statements.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discussion of information about the nature and rationale for our critical accounting estimates is below:</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509"/>
        <w:spacing w:after="0" w:line="246" w:lineRule="auto"/>
        <w:rPr>
          <w:sz w:val="20"/>
          <w:szCs w:val="20"/>
          <w:color w:val="auto"/>
        </w:rPr>
      </w:pPr>
      <w:r>
        <w:rPr>
          <w:rFonts w:ascii="Arial" w:cs="Arial" w:eastAsia="Arial" w:hAnsi="Arial"/>
          <w:sz w:val="17"/>
          <w:szCs w:val="17"/>
          <w:color w:val="auto"/>
        </w:rPr>
        <w:t>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income tax rates expected to be in effect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4" w:name="page55"/>
    <w:bookmarkEnd w:id="54"/>
    <w:p>
      <w:pPr>
        <w:ind w:right="60"/>
        <w:spacing w:after="0" w:line="255" w:lineRule="auto"/>
        <w:rPr>
          <w:sz w:val="20"/>
          <w:szCs w:val="20"/>
          <w:color w:val="auto"/>
        </w:rPr>
      </w:pPr>
      <w:r>
        <w:rPr>
          <w:rFonts w:ascii="Arial" w:cs="Arial" w:eastAsia="Arial" w:hAnsi="Arial"/>
          <w:sz w:val="16"/>
          <w:szCs w:val="16"/>
          <w:color w:val="auto"/>
        </w:rPr>
        <w:t>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As of December 31, 2021, we had a valuation allowance of approximately $123 million related to certain NOL carryforwards and other foreign deferred tax assets for which it is more likely than not, the tax benefit will not be realized. We classify deferred tax assets and liabilities as noncurrent on our consolidated balance sheet.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w:t>
      </w:r>
    </w:p>
    <w:p>
      <w:pPr>
        <w:spacing w:after="0" w:line="17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record liabilities to address uncertain tax positions we have taken in previously filed tax returns or that we expect to take in a future tax return. The determination for required liabilities is based upon an analysis of each individual tax position, taking into consideration whether it is more likely than not that our tax position, based on technical merits, will be sustained upon examination. For those positions for which we conclude it is more likely than not it will be sustained, we recognize the largest amount of tax benefit that is greater than 50% likely of being realized upon ultimate settlement with the taxing authority. The difference between the amount recognized and the total tax position is recorded as a liability. The ultimate resolution of these tax positions may be greater or less than the liabilities recorded.</w:t>
      </w:r>
    </w:p>
    <w:p>
      <w:pPr>
        <w:spacing w:after="0" w:line="189"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 xml:space="preserve">Refer to “Note 12: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consolidated financial statements in Item 8 on this Annual Report on Form 10-K and “Contingencies” above for further information, including certain uncertainties, estimates, and potential contingencies related to ongoing audits regarding income taxes.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Management</w:t>
      </w:r>
    </w:p>
    <w:p>
      <w:pPr>
        <w:spacing w:after="0" w:line="216"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which has been heightened during the COVID-19 pandemic. The risk of loss can be assessed from the perspective of adverse changes in our future earnings, cash flows, fair values of our assets, and financial condition. Our exposure to market risk, at any point in time, may include risk, including to any borrowings under our Credit Facility, or outstanding debt related to our 2025 Senior Notes and 2026 Senior Notes, derivative instruments, capped calls, cash and cash equivalents, short term and long term marketable securities, if any, accounts receivable, intercompany receivables/payables, accounts payable, deferred merchant payables and other balances and transactions denominated in foreign currencies. We have established policies, procedures and internal processes governing our management of market risks and the use of financial instruments to manage and attempt to mitigate our exposure to such risks.</w:t>
      </w:r>
    </w:p>
    <w:p>
      <w:pPr>
        <w:spacing w:after="0" w:line="184" w:lineRule="exact"/>
        <w:rPr>
          <w:sz w:val="20"/>
          <w:szCs w:val="20"/>
          <w:color w:val="auto"/>
        </w:rPr>
      </w:pPr>
    </w:p>
    <w:p>
      <w:pPr>
        <w:ind w:right="480" w:firstLine="509"/>
        <w:spacing w:after="0" w:line="270" w:lineRule="auto"/>
        <w:rPr>
          <w:sz w:val="20"/>
          <w:szCs w:val="20"/>
          <w:color w:val="auto"/>
        </w:rPr>
      </w:pPr>
      <w:r>
        <w:rPr>
          <w:rFonts w:ascii="Arial" w:cs="Arial" w:eastAsia="Arial" w:hAnsi="Arial"/>
          <w:sz w:val="17"/>
          <w:szCs w:val="17"/>
          <w:color w:val="auto"/>
        </w:rPr>
        <w:t>For a discussion of market conditions and impacts on our financials resulting from the COVID-19 pandemic, refer to Part I, Item 1A,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Part II, Item 7,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and “Note 1:</w:t>
      </w:r>
      <w:r>
        <w:rPr>
          <w:rFonts w:ascii="Arial" w:cs="Arial" w:eastAsia="Arial" w:hAnsi="Arial"/>
          <w:sz w:val="17"/>
          <w:szCs w:val="17"/>
          <w:i w:val="1"/>
          <w:iCs w:val="1"/>
          <w:color w:val="auto"/>
        </w:rPr>
        <w:t xml:space="preserve"> Organization </w:t>
      </w:r>
      <w:r>
        <w:rPr>
          <w:rFonts w:ascii="Arial" w:cs="Arial" w:eastAsia="Arial" w:hAnsi="Arial"/>
          <w:sz w:val="17"/>
          <w:szCs w:val="17"/>
          <w:color w:val="auto"/>
        </w:rPr>
        <w:t>and</w:t>
      </w:r>
      <w:r>
        <w:rPr>
          <w:rFonts w:ascii="Arial" w:cs="Arial" w:eastAsia="Arial" w:hAnsi="Arial"/>
          <w:sz w:val="17"/>
          <w:szCs w:val="17"/>
          <w:i w:val="1"/>
          <w:iCs w:val="1"/>
          <w:color w:val="auto"/>
        </w:rPr>
        <w:t xml:space="preserve"> Business Description</w:t>
      </w:r>
      <w:r>
        <w:rPr>
          <w:rFonts w:ascii="Arial" w:cs="Arial" w:eastAsia="Arial" w:hAnsi="Arial"/>
          <w:sz w:val="17"/>
          <w:szCs w:val="17"/>
          <w:color w:val="auto"/>
        </w:rPr>
        <w:t>” in the notes to our consolidated financial statements in Item 8, in this Annual Report on Form 10-K.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104"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Our primary exposure to changes in interest rates relates primarily to our cash, cash equivalents, investment portfolio at any point in time, 2025 and 2026 Senior Notes, and borrowings, if any, under our existing Credit Facility.</w:t>
      </w:r>
    </w:p>
    <w:p>
      <w:pPr>
        <w:spacing w:after="0" w:line="171"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Changes in interest rates affect the amount of interest earned on our cash, cash equivalents, and marketable securities, if any, and the fair value of those securities. Our interest income and expense is most sensitive to fluctuations in U.S. and LIBOR interest rates. We generally invest our excess cash in bank deposits at major global</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5" w:name="page56"/>
    <w:bookmarkEnd w:id="55"/>
    <w:p>
      <w:pPr>
        <w:ind w:right="560"/>
        <w:spacing w:after="0" w:line="294" w:lineRule="auto"/>
        <w:rPr>
          <w:sz w:val="20"/>
          <w:szCs w:val="20"/>
          <w:color w:val="auto"/>
        </w:rPr>
      </w:pPr>
      <w:r>
        <w:rPr>
          <w:rFonts w:ascii="Arial" w:cs="Arial" w:eastAsia="Arial" w:hAnsi="Arial"/>
          <w:sz w:val="16"/>
          <w:szCs w:val="16"/>
          <w:color w:val="auto"/>
        </w:rPr>
        <w:t>banks, money market funds, and marketable securities. Our investment policy and strategy are focused on preservation of capital and supporting our liquidity requirements. We invest in highly-rated securities, and our investment policy limits the amount of credit exposure to any one issuer. Our investment policy requires our investments to be investment grade, with the primary objective of minimizing the potential risk of principal loss.</w:t>
      </w:r>
    </w:p>
    <w:p>
      <w:pPr>
        <w:spacing w:after="0" w:line="147"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As of December 31, 2021 and 2020, respectively, we had no outstanding cash equivalents or marketable securities in our investment portfolio, and no outstanding borrowings under our Credit Facility. In July 2020, we issued 2025 Senior Notes with a principal balance of $500 million at a fixed rate of 7.0% and in March 2021, we issued 2026 Senior Notes with a principal balance of $345 million at a fixed rate of 0.25%. As of December 31, 2021, the fair value of our 2025 Senior Notes and 2026 Senior Notes were approximately $531 million and $305 million, respectively, based on recently reported market transactions and prices for identical or similar financial instruments obtained from a third-party pricing source. Since our 2025 Senior Notes and 2026 Senior Notes bear interest at a fixed rate, we are more sensitive to the equity market price volatility of our shares than changes in interest rates. The fair value of the 2025 Senior Notes and 2026 Senior Notes will likely change when the market price of our stock fluctuates.</w:t>
      </w:r>
    </w:p>
    <w:p>
      <w:pPr>
        <w:spacing w:after="0" w:line="163"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 xml:space="preserve">Refer to “Note 5: </w:t>
      </w:r>
      <w:r>
        <w:rPr>
          <w:rFonts w:ascii="Arial" w:cs="Arial" w:eastAsia="Arial" w:hAnsi="Arial"/>
          <w:sz w:val="18"/>
          <w:szCs w:val="18"/>
          <w:i w:val="1"/>
          <w:iCs w:val="1"/>
          <w:color w:val="auto"/>
        </w:rPr>
        <w:t>Financial Instruments and Fair Value Measurements</w:t>
      </w:r>
      <w:r>
        <w:rPr>
          <w:rFonts w:ascii="Arial" w:cs="Arial" w:eastAsia="Arial" w:hAnsi="Arial"/>
          <w:sz w:val="18"/>
          <w:szCs w:val="18"/>
          <w:color w:val="auto"/>
        </w:rPr>
        <w:t xml:space="preserve">” and “Note 10: </w:t>
      </w:r>
      <w:r>
        <w:rPr>
          <w:rFonts w:ascii="Arial" w:cs="Arial" w:eastAsia="Arial" w:hAnsi="Arial"/>
          <w:sz w:val="18"/>
          <w:szCs w:val="18"/>
          <w:i w:val="1"/>
          <w:iCs w:val="1"/>
          <w:color w:val="auto"/>
        </w:rPr>
        <w:t>Debt</w:t>
      </w:r>
      <w:r>
        <w:rPr>
          <w:rFonts w:ascii="Arial" w:cs="Arial" w:eastAsia="Arial" w:hAnsi="Arial"/>
          <w:sz w:val="18"/>
          <w:szCs w:val="18"/>
          <w:color w:val="auto"/>
        </w:rPr>
        <w:t>” in the notes to our consolidated financial statements in Item 8 on this Annual Report on Form 10-K for further information on our cash and cash equivalents, investments and other financial instruments, 2026 Senior Notes, 2025 Senior Notes and our Credit Facility.</w:t>
      </w:r>
    </w:p>
    <w:p>
      <w:pPr>
        <w:spacing w:after="0" w:line="182"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currently do not hedge our interest rate risk; however, we are continually evaluating the interest rate market, and if we become increasingly exposed to potentially volatile movements in interest rates, and if these movements are material, this could cause us to adjust our financing strategy. We did not experience material changes in interest rate exposures or any material financial impact from adverse changes in interest rates for the years ended December 31, 2021, 2020 or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Rates</w:t>
      </w:r>
    </w:p>
    <w:p>
      <w:pPr>
        <w:spacing w:after="0" w:line="10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We conduct business in certain international markets, largely in the Europe, including the U.K., and also in countries such as Singapore and Australia. Because we operate in international markets, we have exposure to different economic climates, political arenas, tax systems and regulations that could affect foreign currency exchange rates.</w:t>
      </w:r>
    </w:p>
    <w:p>
      <w:pPr>
        <w:spacing w:after="0" w:line="182"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Some of our subsidiaries maintain their accounting records in their respective local currencies other than the U.S. dollar. Consequently, changes in foreign currency exchange rates may impact the translation of those subsidiary’s financial statements into U.S. dollars. As a result, we face exposure to adverse movements in foreign currency exchange rates as the financial results of our non-U.S. dollar operations are translated from local currency, or functional currency, into U.S. dollars upon consolidation. If the U.S. dollar weakens against the functional currency, the translation of these foreign currency denominated balances will result in increased net assets, revenue, operating expenses, operating income and net income upon consolidation. Similarly, our net assets, revenue, operating expenses, operating income and net income will decrease upon consolidation if the U.S. dollar strengthens against the functional currency. The effect of foreign currency exchange on our business historically has varied from quarter to quarter and may continue to do so, potentially materially. In order to provide a meaningful assessment of the foreign currency exchange rate risk associated with our consolidated financial statements, we performed a sensitivity analysis. A hypothetical 10% decrease of the foreign currency exchange rates relative to the U.S. dollar, or strengthening of the U.S. dollar, would generate an estimated unrealized loss of approximately $44 million related to a decrease in our net assets as of December 31, 2021, which would initially be recorded to accumulated other comprehensive income (loss) on our consolidated balance sheet.</w:t>
      </w:r>
    </w:p>
    <w:p>
      <w:pPr>
        <w:spacing w:after="0" w:line="16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addition, foreign currency exchange rate fluctuations on transactions denominated in currencies other than the functional currency result in transactional gains and losses. We recognize these transactional gains and losses (primarily Euro and British pound currency transactions) in our consolidated statement of operations and have recorded net foreign currency exchange losses of $6 million and $3 million for the years ended December 31, 2021 and 2019, respectively, and a net foreign currency exchange gain of $4 million for the year ended December 31, 2020, in “other income (expense), net” on our consolidated statements of operations. Future transactional gains and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6" w:name="page57"/>
    <w:bookmarkEnd w:id="56"/>
    <w:p>
      <w:pPr>
        <w:ind w:right="260"/>
        <w:spacing w:after="0" w:line="261" w:lineRule="auto"/>
        <w:rPr>
          <w:sz w:val="20"/>
          <w:szCs w:val="20"/>
          <w:color w:val="auto"/>
        </w:rPr>
      </w:pPr>
      <w:r>
        <w:rPr>
          <w:rFonts w:ascii="Arial" w:cs="Arial" w:eastAsia="Arial" w:hAnsi="Arial"/>
          <w:sz w:val="18"/>
          <w:szCs w:val="18"/>
          <w:color w:val="auto"/>
        </w:rPr>
        <w:t>losses are inherently difficult to predict as they are reliant on how the multiple currencies in which we transact fluctuate in relation to the U.S. dollar and other functional currencies, and the relative composition and denomination of monetary assets and liabilities each period.</w:t>
      </w:r>
    </w:p>
    <w:p>
      <w:pPr>
        <w:spacing w:after="0" w:line="171"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We manage our exposure to foreign currency risk through internally established policies and procedures. To the extent practicable, we minimize our foreign currency exposures by maintaining natural hedges between our current assets and current liabilities in similarly denominated foreign currencies, as well as, using derivative financial instruments. We use foreign currency forward exchange contracts (“forward contracts”) to manage certain short-term foreign currency risk to try and reduce the effects of fluctuating foreign currency exchange rates on our cash flows denominated in foreign currencies. We do not use financial instruments for trading purposes and are not a party to any leveraged derivatives. Our objective is to hedge only those foreign currency exposures that can be confidently identified and quantified and that may result in significant impacts to our cash or the consolidated statement of operations. Our policy does not allow speculation in derivative instruments for profit or execution of derivative instrument contracts for which there are no underlying exposures.</w:t>
      </w:r>
    </w:p>
    <w:p>
      <w:pPr>
        <w:spacing w:after="0" w:line="194"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 xml:space="preserve">The forward contracts which we have entered into to date, have principally addressed foreign currency exchange fluctuation risk between the Euro and the U.S. dollar. We account for these forward contacts, which have not been designated as hedges under GAAP to date, as either assets or liabilities and carry them at fair value. We had outstanding forward contracts as of December 31, 2021 and 2020, with a total net notional value of $9 million and $3 million, respectively. These forward contracts were not designated as hedges and had maturities of less than 90 days. We recognize gains and losses from forward contracts in our consolidated statement of operations and recorded net gains of $2 million, $1 million, and $1 million for the years ended December 31, 2021, 2020 and 2019, respectively, in other income (expense), net on our consolidated statements of operations. Refer to “Note 5: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 and Fair Value Measurements</w:t>
      </w:r>
      <w:r>
        <w:rPr>
          <w:rFonts w:ascii="Arial" w:cs="Arial" w:eastAsia="Arial" w:hAnsi="Arial"/>
          <w:sz w:val="17"/>
          <w:szCs w:val="17"/>
          <w:color w:val="auto"/>
        </w:rPr>
        <w:t>” in the notes to the consolidated financial statements in Item 8 on this Annual Report on Form 10-K for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detail on our derivative instruments.</w:t>
      </w:r>
    </w:p>
    <w:p>
      <w:pPr>
        <w:spacing w:after="0" w:line="18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expect that we will increase our operations internationally as, or when, COVID-19 restrictions are fully lifted and as international markets continue to reopen. Our exposure to potentially volatile movements in foreign currency exchange rates will increase as we begin to increase our operations in these international markets. The economic impact to us of foreign currency exchange rate movements is linked to variability in real growth, inflation, interest rates, governmental actions, and other factors. These changes, if material, could cause us to adjust our foreign currency risk strategies. For example, Brexit (pursuant to which the United Kingdom ceased to be a member of the European Union) has caused volatility in currency exchange rates, including between the U.S. dollar and the British pound. Although, the U.K. and E.U. finalized the terms of the departure on December 24, 2020, certain decisions still need to be made on financial services, among others, and disputes may lead to tariffs being imposed on some goods in the future. Continued uncertainty regarding our international operations and U.K. and E.U. relations may result in future currency exchange rate volatility which may impact our business and results of operations.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984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40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9820" w:type="dxa"/>
            <w:vAlign w:val="bottom"/>
            <w:gridSpan w:val="9"/>
          </w:tcPr>
          <w:p>
            <w:pPr>
              <w:spacing w:after="0"/>
              <w:rPr>
                <w:sz w:val="20"/>
                <w:szCs w:val="20"/>
                <w:color w:val="auto"/>
              </w:rPr>
            </w:pPr>
            <w:r>
              <w:rPr>
                <w:rFonts w:ascii="Arial" w:cs="Arial" w:eastAsia="Arial" w:hAnsi="Arial"/>
                <w:sz w:val="18"/>
                <w:szCs w:val="18"/>
                <w:color w:val="auto"/>
              </w:rPr>
              <w:t>Index to Financial Statements and Supplementary Data:</w:t>
            </w:r>
          </w:p>
        </w:tc>
        <w:tc>
          <w:tcPr>
            <w:tcW w:w="140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9820" w:type="dxa"/>
            <w:vAlign w:val="bottom"/>
            <w:gridSpan w:val="9"/>
          </w:tcPr>
          <w:p>
            <w:pPr>
              <w:spacing w:after="0" w:line="190" w:lineRule="exact"/>
              <w:rPr>
                <w:rFonts w:ascii="Arial" w:cs="Arial" w:eastAsia="Arial" w:hAnsi="Arial"/>
                <w:sz w:val="18"/>
                <w:szCs w:val="18"/>
                <w:color w:val="0000FF"/>
              </w:rPr>
            </w:pPr>
            <w:hyperlink w:anchor="page59">
              <w:r>
                <w:rPr>
                  <w:rFonts w:ascii="Arial" w:cs="Arial" w:eastAsia="Arial" w:hAnsi="Arial"/>
                  <w:sz w:val="18"/>
                  <w:szCs w:val="18"/>
                  <w:color w:val="0000FF"/>
                </w:rPr>
                <w:t>Report of Independent Registered Public Accounting Firm (KPMG LLP, Boston, Massachusetts, Auditor Firm ID: 185)</w:t>
              </w:r>
            </w:hyperlink>
          </w:p>
        </w:tc>
        <w:tc>
          <w:tcPr>
            <w:tcW w:w="1400" w:type="dxa"/>
            <w:vAlign w:val="bottom"/>
          </w:tcPr>
          <w:p>
            <w:pPr>
              <w:jc w:val="right"/>
              <w:spacing w:after="0" w:line="190" w:lineRule="exact"/>
              <w:rPr>
                <w:sz w:val="20"/>
                <w:szCs w:val="20"/>
                <w:color w:val="auto"/>
              </w:rPr>
            </w:pPr>
            <w:r>
              <w:rPr>
                <w:rFonts w:ascii="Arial" w:cs="Arial" w:eastAsia="Arial" w:hAnsi="Arial"/>
                <w:sz w:val="18"/>
                <w:szCs w:val="18"/>
                <w:color w:val="auto"/>
              </w:rPr>
              <w:t>57</w:t>
            </w:r>
          </w:p>
        </w:tc>
      </w:tr>
      <w:tr>
        <w:trPr>
          <w:trHeight w:val="183"/>
        </w:trPr>
        <w:tc>
          <w:tcPr>
            <w:tcW w:w="20" w:type="dxa"/>
            <w:vAlign w:val="bottom"/>
            <w:tcBorders>
              <w:bottom w:val="single" w:sz="8" w:color="0000EE"/>
            </w:tcBorders>
          </w:tcPr>
          <w:p>
            <w:pPr>
              <w:spacing w:after="0"/>
              <w:rPr>
                <w:sz w:val="15"/>
                <w:szCs w:val="15"/>
                <w:color w:val="auto"/>
              </w:rPr>
            </w:pPr>
          </w:p>
        </w:tc>
        <w:tc>
          <w:tcPr>
            <w:tcW w:w="686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89"/>
              </w:rPr>
            </w:pPr>
            <w:hyperlink w:anchor="page61">
              <w:r>
                <w:rPr>
                  <w:rFonts w:ascii="Arial" w:cs="Arial" w:eastAsia="Arial" w:hAnsi="Arial"/>
                  <w:sz w:val="18"/>
                  <w:szCs w:val="18"/>
                  <w:color w:val="0000FF"/>
                  <w:w w:val="89"/>
                </w:rPr>
                <w:t>Consolidated Statements of Operations for the years ended December 31, 2021, 2020 and 2019</w:t>
              </w:r>
            </w:hyperlink>
          </w:p>
        </w:tc>
        <w:tc>
          <w:tcPr>
            <w:tcW w:w="20" w:type="dxa"/>
            <w:vAlign w:val="bottom"/>
            <w:tcBorders>
              <w:top w:val="single" w:sz="8" w:color="0000FF"/>
              <w:bottom w:val="single" w:sz="8" w:color="0000EE"/>
            </w:tcBorders>
          </w:tcPr>
          <w:p>
            <w:pPr>
              <w:spacing w:after="0"/>
              <w:rPr>
                <w:sz w:val="15"/>
                <w:szCs w:val="15"/>
                <w:color w:val="auto"/>
              </w:rPr>
            </w:pPr>
          </w:p>
        </w:tc>
        <w:tc>
          <w:tcPr>
            <w:tcW w:w="1740" w:type="dxa"/>
            <w:vAlign w:val="bottom"/>
            <w:tcBorders>
              <w:top w:val="single" w:sz="8" w:color="0000FF"/>
            </w:tcBorders>
            <w:gridSpan w:val="4"/>
          </w:tcPr>
          <w:p>
            <w:pPr>
              <w:spacing w:after="0"/>
              <w:rPr>
                <w:sz w:val="15"/>
                <w:szCs w:val="15"/>
                <w:color w:val="auto"/>
              </w:rPr>
            </w:pPr>
          </w:p>
        </w:tc>
        <w:tc>
          <w:tcPr>
            <w:tcW w:w="1200" w:type="dxa"/>
            <w:vAlign w:val="bottom"/>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r>
      <w:tr>
        <w:trPr>
          <w:trHeight w:val="183"/>
        </w:trPr>
        <w:tc>
          <w:tcPr>
            <w:tcW w:w="20" w:type="dxa"/>
            <w:vAlign w:val="bottom"/>
          </w:tcPr>
          <w:p>
            <w:pPr>
              <w:spacing w:after="0"/>
              <w:rPr>
                <w:sz w:val="15"/>
                <w:szCs w:val="15"/>
                <w:color w:val="auto"/>
              </w:rPr>
            </w:pPr>
          </w:p>
        </w:tc>
        <w:tc>
          <w:tcPr>
            <w:tcW w:w="6880" w:type="dxa"/>
            <w:vAlign w:val="bottom"/>
            <w:gridSpan w:val="4"/>
          </w:tcPr>
          <w:p>
            <w:pPr>
              <w:spacing w:after="0" w:line="182" w:lineRule="exact"/>
              <w:rPr>
                <w:rFonts w:ascii="Arial" w:cs="Arial" w:eastAsia="Arial" w:hAnsi="Arial"/>
                <w:sz w:val="18"/>
                <w:szCs w:val="18"/>
                <w:color w:val="0000FF"/>
                <w:w w:val="91"/>
              </w:rPr>
            </w:pPr>
            <w:hyperlink w:anchor="page62">
              <w:r>
                <w:rPr>
                  <w:rFonts w:ascii="Arial" w:cs="Arial" w:eastAsia="Arial" w:hAnsi="Arial"/>
                  <w:sz w:val="18"/>
                  <w:szCs w:val="18"/>
                  <w:color w:val="0000FF"/>
                  <w:w w:val="91"/>
                </w:rPr>
                <w:t>Consolidated Statements of Comprehensive Income (Loss) for the years ended December 31,</w:t>
              </w:r>
            </w:hyperlink>
          </w:p>
        </w:tc>
        <w:tc>
          <w:tcPr>
            <w:tcW w:w="2940" w:type="dxa"/>
            <w:vAlign w:val="bottom"/>
            <w:gridSpan w:val="5"/>
          </w:tcPr>
          <w:p>
            <w:pPr>
              <w:spacing w:after="0" w:line="182" w:lineRule="exact"/>
              <w:rPr>
                <w:rFonts w:ascii="Arial" w:cs="Arial" w:eastAsia="Arial" w:hAnsi="Arial"/>
                <w:sz w:val="18"/>
                <w:szCs w:val="18"/>
                <w:color w:val="0000FF"/>
              </w:rPr>
            </w:pPr>
            <w:hyperlink w:anchor="page62">
              <w:r>
                <w:rPr>
                  <w:rFonts w:ascii="Arial" w:cs="Arial" w:eastAsia="Arial" w:hAnsi="Arial"/>
                  <w:sz w:val="18"/>
                  <w:szCs w:val="18"/>
                  <w:color w:val="0000FF"/>
                </w:rPr>
                <w:t>2021, 2020 and 2019</w:t>
              </w:r>
            </w:hyperlink>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r>
      <w:tr>
        <w:trPr>
          <w:trHeight w:val="183"/>
        </w:trPr>
        <w:tc>
          <w:tcPr>
            <w:tcW w:w="20" w:type="dxa"/>
            <w:vAlign w:val="bottom"/>
            <w:tcBorders>
              <w:top w:val="single" w:sz="8" w:color="0000EE"/>
            </w:tcBorders>
          </w:tcPr>
          <w:p>
            <w:pPr>
              <w:spacing w:after="0"/>
              <w:rPr>
                <w:sz w:val="15"/>
                <w:szCs w:val="15"/>
                <w:color w:val="auto"/>
              </w:rPr>
            </w:pPr>
          </w:p>
        </w:tc>
        <w:tc>
          <w:tcPr>
            <w:tcW w:w="828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w:anchor="page63">
              <w:r>
                <w:rPr>
                  <w:rFonts w:ascii="Arial" w:cs="Arial" w:eastAsia="Arial" w:hAnsi="Arial"/>
                  <w:sz w:val="18"/>
                  <w:szCs w:val="18"/>
                  <w:color w:val="0000FF"/>
                </w:rPr>
                <w:t>Consolidated Balance Sheets as of December 31, 2021 and 2020</w:t>
              </w:r>
            </w:hyperlink>
          </w:p>
        </w:tc>
        <w:tc>
          <w:tcPr>
            <w:tcW w:w="16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r>
      <w:tr>
        <w:trPr>
          <w:trHeight w:val="183"/>
        </w:trPr>
        <w:tc>
          <w:tcPr>
            <w:tcW w:w="20" w:type="dxa"/>
            <w:vAlign w:val="bottom"/>
            <w:tcBorders>
              <w:top w:val="single" w:sz="8" w:color="0000EE"/>
            </w:tcBorders>
          </w:tcPr>
          <w:p>
            <w:pPr>
              <w:spacing w:after="0"/>
              <w:rPr>
                <w:sz w:val="15"/>
                <w:szCs w:val="15"/>
                <w:color w:val="auto"/>
              </w:rPr>
            </w:pPr>
          </w:p>
        </w:tc>
        <w:tc>
          <w:tcPr>
            <w:tcW w:w="4640" w:type="dxa"/>
            <w:vAlign w:val="bottom"/>
            <w:tcBorders>
              <w:top w:val="single" w:sz="8" w:color="0000FF"/>
            </w:tcBorders>
            <w:gridSpan w:val="2"/>
          </w:tcPr>
          <w:p>
            <w:pPr>
              <w:spacing w:after="0" w:line="182" w:lineRule="exact"/>
              <w:rPr>
                <w:rFonts w:ascii="Arial" w:cs="Arial" w:eastAsia="Arial" w:hAnsi="Arial"/>
                <w:sz w:val="18"/>
                <w:szCs w:val="18"/>
                <w:color w:val="0000FF"/>
                <w:w w:val="90"/>
              </w:rPr>
            </w:pPr>
            <w:hyperlink w:anchor="page64">
              <w:r>
                <w:rPr>
                  <w:rFonts w:ascii="Arial" w:cs="Arial" w:eastAsia="Arial" w:hAnsi="Arial"/>
                  <w:sz w:val="18"/>
                  <w:szCs w:val="18"/>
                  <w:color w:val="0000FF"/>
                  <w:w w:val="90"/>
                </w:rPr>
                <w:t>Consolidated Statements of Changes in Stockholders’ Equity for</w:t>
              </w:r>
            </w:hyperlink>
          </w:p>
        </w:tc>
        <w:tc>
          <w:tcPr>
            <w:tcW w:w="5180" w:type="dxa"/>
            <w:vAlign w:val="bottom"/>
            <w:gridSpan w:val="7"/>
          </w:tcPr>
          <w:p>
            <w:pPr>
              <w:ind w:left="60"/>
              <w:spacing w:after="0" w:line="182" w:lineRule="exact"/>
              <w:rPr>
                <w:rFonts w:ascii="Arial" w:cs="Arial" w:eastAsia="Arial" w:hAnsi="Arial"/>
                <w:sz w:val="18"/>
                <w:szCs w:val="18"/>
                <w:color w:val="0000FF"/>
              </w:rPr>
            </w:pPr>
            <w:hyperlink w:anchor="page64">
              <w:r>
                <w:rPr>
                  <w:rFonts w:ascii="Arial" w:cs="Arial" w:eastAsia="Arial" w:hAnsi="Arial"/>
                  <w:sz w:val="18"/>
                  <w:szCs w:val="18"/>
                  <w:color w:val="0000FF"/>
                </w:rPr>
                <w:t>the years ended December 31, 2021, 2020 and 2019</w:t>
              </w:r>
            </w:hyperlink>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r>
      <w:tr>
        <w:trPr>
          <w:trHeight w:val="183"/>
        </w:trPr>
        <w:tc>
          <w:tcPr>
            <w:tcW w:w="20" w:type="dxa"/>
            <w:vAlign w:val="bottom"/>
            <w:tcBorders>
              <w:top w:val="single" w:sz="8" w:color="0000EE"/>
            </w:tcBorders>
          </w:tcPr>
          <w:p>
            <w:pPr>
              <w:spacing w:after="0"/>
              <w:rPr>
                <w:sz w:val="15"/>
                <w:szCs w:val="15"/>
                <w:color w:val="auto"/>
              </w:rPr>
            </w:pPr>
          </w:p>
        </w:tc>
        <w:tc>
          <w:tcPr>
            <w:tcW w:w="844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w:anchor="page65">
              <w:r>
                <w:rPr>
                  <w:rFonts w:ascii="Arial" w:cs="Arial" w:eastAsia="Arial" w:hAnsi="Arial"/>
                  <w:sz w:val="18"/>
                  <w:szCs w:val="18"/>
                  <w:color w:val="0000FF"/>
                </w:rPr>
                <w:t>Consolidated Statements of Cash Flows for the years ended December 31, 2021, 2020 and 2019</w:t>
              </w:r>
            </w:hyperlink>
          </w:p>
        </w:tc>
        <w:tc>
          <w:tcPr>
            <w:tcW w:w="1380" w:type="dxa"/>
            <w:vAlign w:val="bottom"/>
            <w:gridSpan w:val="2"/>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r>
      <w:tr>
        <w:trPr>
          <w:trHeight w:val="183"/>
        </w:trPr>
        <w:tc>
          <w:tcPr>
            <w:tcW w:w="20" w:type="dxa"/>
            <w:vAlign w:val="bottom"/>
            <w:tcBorders>
              <w:top w:val="single" w:sz="8" w:color="0000EE"/>
            </w:tcBorders>
          </w:tcPr>
          <w:p>
            <w:pPr>
              <w:spacing w:after="0"/>
              <w:rPr>
                <w:sz w:val="15"/>
                <w:szCs w:val="15"/>
                <w:color w:val="auto"/>
              </w:rPr>
            </w:pPr>
          </w:p>
        </w:tc>
        <w:tc>
          <w:tcPr>
            <w:tcW w:w="6900" w:type="dxa"/>
            <w:vAlign w:val="bottom"/>
            <w:tcBorders>
              <w:top w:val="single" w:sz="8" w:color="0000FF"/>
            </w:tcBorders>
            <w:gridSpan w:val="5"/>
          </w:tcPr>
          <w:p>
            <w:pPr>
              <w:spacing w:after="0" w:line="182" w:lineRule="exact"/>
              <w:rPr>
                <w:rFonts w:ascii="Arial" w:cs="Arial" w:eastAsia="Arial" w:hAnsi="Arial"/>
                <w:sz w:val="18"/>
                <w:szCs w:val="18"/>
                <w:color w:val="0000FF"/>
              </w:rPr>
            </w:pPr>
            <w:hyperlink w:anchor="page66">
              <w:r>
                <w:rPr>
                  <w:rFonts w:ascii="Arial" w:cs="Arial" w:eastAsia="Arial" w:hAnsi="Arial"/>
                  <w:sz w:val="18"/>
                  <w:szCs w:val="18"/>
                  <w:color w:val="0000FF"/>
                </w:rPr>
                <w:t>Notes to Consolidated Financial Statements</w:t>
              </w:r>
            </w:hyperlink>
          </w:p>
        </w:tc>
        <w:tc>
          <w:tcPr>
            <w:tcW w:w="2920" w:type="dxa"/>
            <w:vAlign w:val="bottom"/>
            <w:gridSpan w:val="4"/>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64</w:t>
            </w:r>
          </w:p>
        </w:tc>
      </w:tr>
      <w:tr>
        <w:trPr>
          <w:trHeight w:val="912"/>
        </w:trPr>
        <w:tc>
          <w:tcPr>
            <w:tcW w:w="20" w:type="dxa"/>
            <w:vAlign w:val="bottom"/>
          </w:tcPr>
          <w:p>
            <w:pPr>
              <w:spacing w:after="0"/>
              <w:rPr>
                <w:sz w:val="24"/>
                <w:szCs w:val="24"/>
                <w:color w:val="auto"/>
              </w:rPr>
            </w:pPr>
          </w:p>
        </w:tc>
        <w:tc>
          <w:tcPr>
            <w:tcW w:w="3140" w:type="dxa"/>
            <w:vAlign w:val="bottom"/>
            <w:tcBorders>
              <w:top w:val="single" w:sz="8" w:color="0000FF"/>
            </w:tcBorders>
          </w:tcPr>
          <w:p>
            <w:pPr>
              <w:spacing w:after="0"/>
              <w:rPr>
                <w:sz w:val="24"/>
                <w:szCs w:val="24"/>
                <w:color w:val="auto"/>
              </w:rPr>
            </w:pPr>
          </w:p>
        </w:tc>
        <w:tc>
          <w:tcPr>
            <w:tcW w:w="3720" w:type="dxa"/>
            <w:vAlign w:val="bottom"/>
            <w:gridSpan w:val="2"/>
          </w:tcPr>
          <w:p>
            <w:pPr>
              <w:jc w:val="right"/>
              <w:ind w:right="107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31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accompanying consolidated balance sheets of Tripadvisor, Inc. and subsidiaries (the Company) as of December 31, 2021 and 2020, the related consolidated statements of operations, comprehensive income (loss), changes in stockholders’ equity,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189"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18, 2022 expressed an unqualified opinion on the effectiveness of the Company’s internal control over financial reporting.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Sufficiency of audit evidence over revenue</w:t>
      </w:r>
    </w:p>
    <w:p>
      <w:pPr>
        <w:spacing w:after="0" w:line="117"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As discussed in Notes 2 and 4 to the consolidated financial statements, and disclosed in the consolidated statements of operations, the Company had $902 million in revenue for the year ended December 31, 2021, of which $452 million was hotels related, $97 million was display and platform related, $307 million related to experiences and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9" w:name="page60"/>
    <w:bookmarkEnd w:id="59"/>
    <w:p>
      <w:pPr>
        <w:ind w:right="60"/>
        <w:spacing w:after="0" w:line="261" w:lineRule="auto"/>
        <w:rPr>
          <w:sz w:val="20"/>
          <w:szCs w:val="20"/>
          <w:color w:val="auto"/>
        </w:rPr>
      </w:pPr>
      <w:r>
        <w:rPr>
          <w:rFonts w:ascii="Arial" w:cs="Arial" w:eastAsia="Arial" w:hAnsi="Arial"/>
          <w:sz w:val="18"/>
          <w:szCs w:val="18"/>
          <w:color w:val="auto"/>
        </w:rPr>
        <w:t>dining and $46 million of other revenue. Each of these categories of revenue has multiple revenue streams and the Company’s processes and information technology (IT) systems differ between each revenue stream.</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identified the evaluation of sufficiency of audit evidence over revenue as a critical audit matter. This matter required especially subjective auditor judgment due to the number of revenue streams and the related IT applications utilized throughout the revenue recognition processes. Subjective auditor judgment was required to evaluate that relevant revenue data was captured and aggregated throughout these various IT applications which included the involvement of IT professionals with specialized skills and knowledge. This matter also included determining the revenue streams over which procedures would be performed and evaluating the nature and extent of evidence obtained over each revenue stream.</w:t>
      </w:r>
    </w:p>
    <w:p>
      <w:pPr>
        <w:spacing w:after="0" w:line="20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following are the primary procedures we performed to address this critical audit matter. We applied auditor judgment to determine the nature and extent of procedures to be performed over revenue. For each revenue stream where procedures were performed:</w:t>
      </w:r>
    </w:p>
    <w:p>
      <w:pPr>
        <w:spacing w:after="0" w:line="171" w:lineRule="exact"/>
        <w:rPr>
          <w:sz w:val="20"/>
          <w:szCs w:val="20"/>
          <w:color w:val="auto"/>
        </w:rPr>
      </w:pPr>
    </w:p>
    <w:p>
      <w:pPr>
        <w:ind w:left="760" w:right="380" w:hanging="379"/>
        <w:spacing w:after="0" w:line="266" w:lineRule="auto"/>
        <w:tabs>
          <w:tab w:leader="none" w:pos="760" w:val="left"/>
        </w:tabs>
        <w:numPr>
          <w:ilvl w:val="0"/>
          <w:numId w:val="29"/>
        </w:numPr>
        <w:rPr>
          <w:rFonts w:ascii="Arial" w:cs="Arial" w:eastAsia="Arial" w:hAnsi="Arial"/>
          <w:sz w:val="20"/>
          <w:szCs w:val="20"/>
          <w:color w:val="auto"/>
        </w:rPr>
      </w:pPr>
      <w:r>
        <w:rPr>
          <w:rFonts w:ascii="Arial" w:cs="Arial" w:eastAsia="Arial" w:hAnsi="Arial"/>
          <w:sz w:val="18"/>
          <w:szCs w:val="18"/>
          <w:color w:val="auto"/>
        </w:rPr>
        <w:t>We evaluated the design and tested the operating effectiveness of certain internal controls related to the critical audit matter. This included controls related to accurate recording of amounts.</w:t>
      </w:r>
    </w:p>
    <w:p>
      <w:pPr>
        <w:spacing w:after="0" w:line="150" w:lineRule="exact"/>
        <w:rPr>
          <w:rFonts w:ascii="Arial" w:cs="Arial" w:eastAsia="Arial" w:hAnsi="Arial"/>
          <w:sz w:val="20"/>
          <w:szCs w:val="20"/>
          <w:color w:val="auto"/>
        </w:rPr>
      </w:pPr>
    </w:p>
    <w:p>
      <w:pPr>
        <w:ind w:left="760" w:right="80" w:hanging="379"/>
        <w:spacing w:after="0" w:line="266" w:lineRule="auto"/>
        <w:tabs>
          <w:tab w:leader="none" w:pos="760" w:val="left"/>
        </w:tabs>
        <w:numPr>
          <w:ilvl w:val="0"/>
          <w:numId w:val="29"/>
        </w:numPr>
        <w:rPr>
          <w:rFonts w:ascii="Arial" w:cs="Arial" w:eastAsia="Arial" w:hAnsi="Arial"/>
          <w:sz w:val="20"/>
          <w:szCs w:val="20"/>
          <w:color w:val="auto"/>
        </w:rPr>
      </w:pPr>
      <w:r>
        <w:rPr>
          <w:rFonts w:ascii="Arial" w:cs="Arial" w:eastAsia="Arial" w:hAnsi="Arial"/>
          <w:sz w:val="18"/>
          <w:szCs w:val="18"/>
          <w:color w:val="auto"/>
        </w:rPr>
        <w:t>For certain revenue streams, we assessed the recorded revenue by selecting a sample of transactions and compared the amounts recognized for consistency with underlying documentation, including evidence of contracts with customers.</w:t>
      </w:r>
    </w:p>
    <w:p>
      <w:pPr>
        <w:spacing w:after="0" w:line="163" w:lineRule="exact"/>
        <w:rPr>
          <w:rFonts w:ascii="Arial" w:cs="Arial" w:eastAsia="Arial" w:hAnsi="Arial"/>
          <w:sz w:val="20"/>
          <w:szCs w:val="20"/>
          <w:color w:val="auto"/>
        </w:rPr>
      </w:pPr>
    </w:p>
    <w:p>
      <w:pPr>
        <w:ind w:left="760" w:right="60" w:hanging="379"/>
        <w:spacing w:after="0" w:line="266" w:lineRule="auto"/>
        <w:tabs>
          <w:tab w:leader="none" w:pos="760" w:val="left"/>
        </w:tabs>
        <w:numPr>
          <w:ilvl w:val="0"/>
          <w:numId w:val="29"/>
        </w:numPr>
        <w:rPr>
          <w:rFonts w:ascii="Arial" w:cs="Arial" w:eastAsia="Arial" w:hAnsi="Arial"/>
          <w:sz w:val="20"/>
          <w:szCs w:val="20"/>
          <w:color w:val="auto"/>
        </w:rPr>
      </w:pPr>
      <w:r>
        <w:rPr>
          <w:rFonts w:ascii="Arial" w:cs="Arial" w:eastAsia="Arial" w:hAnsi="Arial"/>
          <w:sz w:val="18"/>
          <w:szCs w:val="18"/>
          <w:color w:val="auto"/>
        </w:rPr>
        <w:t>For certain revenue streams, we assessed the recorded revenue by comparing the total cash received during the year to the revenue recognized, including evaluating the relevance and reliability of the inputs to the assessment.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 involved IT professionals with specialized skills and knowledge, who assisted in:</w:t>
      </w:r>
    </w:p>
    <w:p>
      <w:pPr>
        <w:spacing w:after="0" w:line="185" w:lineRule="exact"/>
        <w:rPr>
          <w:sz w:val="20"/>
          <w:szCs w:val="20"/>
          <w:color w:val="auto"/>
        </w:rPr>
      </w:pPr>
    </w:p>
    <w:p>
      <w:pPr>
        <w:ind w:left="760" w:hanging="379"/>
        <w:spacing w:after="0"/>
        <w:tabs>
          <w:tab w:leader="none" w:pos="760" w:val="left"/>
        </w:tabs>
        <w:numPr>
          <w:ilvl w:val="0"/>
          <w:numId w:val="30"/>
        </w:numPr>
        <w:rPr>
          <w:rFonts w:ascii="Arial" w:cs="Arial" w:eastAsia="Arial" w:hAnsi="Arial"/>
          <w:sz w:val="20"/>
          <w:szCs w:val="20"/>
          <w:color w:val="auto"/>
        </w:rPr>
      </w:pPr>
      <w:r>
        <w:rPr>
          <w:rFonts w:ascii="Arial" w:cs="Arial" w:eastAsia="Arial" w:hAnsi="Arial"/>
          <w:sz w:val="18"/>
          <w:szCs w:val="18"/>
          <w:color w:val="auto"/>
        </w:rPr>
        <w:t>Testing certain IT applications used by the Company in its revenue recognition processes.</w:t>
      </w:r>
    </w:p>
    <w:p>
      <w:pPr>
        <w:spacing w:after="0" w:line="175" w:lineRule="exact"/>
        <w:rPr>
          <w:rFonts w:ascii="Arial" w:cs="Arial" w:eastAsia="Arial" w:hAnsi="Arial"/>
          <w:sz w:val="20"/>
          <w:szCs w:val="20"/>
          <w:color w:val="auto"/>
        </w:rPr>
      </w:pPr>
    </w:p>
    <w:p>
      <w:pPr>
        <w:ind w:right="2280" w:firstLine="381"/>
        <w:spacing w:after="0" w:line="611" w:lineRule="auto"/>
        <w:tabs>
          <w:tab w:leader="none" w:pos="744" w:val="left"/>
        </w:tabs>
        <w:numPr>
          <w:ilvl w:val="0"/>
          <w:numId w:val="30"/>
        </w:numPr>
        <w:rPr>
          <w:rFonts w:ascii="Arial" w:cs="Arial" w:eastAsia="Arial" w:hAnsi="Arial"/>
          <w:sz w:val="18"/>
          <w:szCs w:val="18"/>
          <w:color w:val="auto"/>
        </w:rPr>
      </w:pPr>
      <w:r>
        <w:rPr>
          <w:rFonts w:ascii="Arial" w:cs="Arial" w:eastAsia="Arial" w:hAnsi="Arial"/>
          <w:sz w:val="16"/>
          <w:szCs w:val="16"/>
          <w:color w:val="auto"/>
        </w:rPr>
        <w:t>Testing the transfer of relevant revenue data between certain systems used in the revenue recognition processes. We evaluated the sufficiency of audit evidence obtained by assessing the results of procedures performed.</w:t>
      </w:r>
    </w:p>
    <w:p>
      <w:pPr>
        <w:spacing w:after="0" w:line="17"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 KPMG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pacing w:after="0" w:line="200" w:lineRule="exact"/>
        <w:rPr>
          <w:sz w:val="20"/>
          <w:szCs w:val="20"/>
          <w:color w:val="auto"/>
        </w:rPr>
      </w:pP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76" w:right="499" w:bottom="1440" w:gutter="0" w:footer="0" w:header="0"/>
        </w:sectPr>
      </w:pPr>
    </w:p>
    <w:bookmarkStart w:id="60" w:name="page61"/>
    <w:bookmarkEnd w:id="60"/>
    <w:p>
      <w:pPr>
        <w:jc w:val="center"/>
        <w:ind w:right="40"/>
        <w:spacing w:after="0"/>
        <w:rPr>
          <w:sz w:val="20"/>
          <w:szCs w:val="20"/>
          <w:color w:val="auto"/>
        </w:rPr>
      </w:pPr>
      <w:r>
        <w:rPr>
          <w:rFonts w:ascii="Arial" w:cs="Arial" w:eastAsia="Arial" w:hAnsi="Arial"/>
          <w:sz w:val="18"/>
          <w:szCs w:val="18"/>
          <w:b w:val="1"/>
          <w:bCs w:val="1"/>
          <w:color w:val="auto"/>
        </w:rPr>
        <w:t>TRIPADVISOR,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jc w:val="center"/>
        <w:ind w:right="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 (Note 4)</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96"/>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902</w:t>
            </w: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604</w:t>
            </w:r>
          </w:p>
        </w:tc>
        <w:tc>
          <w:tcPr>
            <w:tcW w:w="24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FF0FC"/>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Costs and expenses:</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Cost of revenue (1)(2)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6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Selling and marketing (2)</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469</w:t>
            </w: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w:t>
            </w:r>
          </w:p>
        </w:tc>
        <w:tc>
          <w:tcPr>
            <w:tcW w:w="24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Technology and content (2)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3"/>
        </w:trPr>
        <w:tc>
          <w:tcPr>
            <w:tcW w:w="6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 (2)</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167</w:t>
            </w: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w:t>
            </w:r>
          </w:p>
        </w:tc>
        <w:tc>
          <w:tcPr>
            <w:tcW w:w="24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3"/>
        </w:trPr>
        <w:tc>
          <w:tcPr>
            <w:tcW w:w="6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Impairment of goodwill (Note 8)</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5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jc w:val="right"/>
              <w:ind w:right="1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100" w:type="dxa"/>
            <w:vAlign w:val="bottom"/>
          </w:tcPr>
          <w:p>
            <w:pPr>
              <w:ind w:left="200"/>
              <w:spacing w:after="0" w:line="189" w:lineRule="exact"/>
              <w:rPr>
                <w:sz w:val="20"/>
                <w:szCs w:val="20"/>
                <w:color w:val="auto"/>
              </w:rPr>
            </w:pPr>
            <w:r>
              <w:rPr>
                <w:rFonts w:ascii="Arial" w:cs="Arial" w:eastAsia="Arial" w:hAnsi="Arial"/>
                <w:sz w:val="18"/>
                <w:szCs w:val="18"/>
                <w:color w:val="auto"/>
              </w:rPr>
              <w:t>Restructuring and other related reorganization costs (Note 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1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50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1,033</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933</w:t>
            </w: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right w:val="single" w:sz="8" w:color="CFF0FC"/>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196"/>
        </w:trPr>
        <w:tc>
          <w:tcPr>
            <w:tcW w:w="6100" w:type="dxa"/>
            <w:vAlign w:val="bottom"/>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(131 )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(329 )</w:t>
            </w:r>
          </w:p>
        </w:tc>
        <w:tc>
          <w:tcPr>
            <w:tcW w:w="340" w:type="dxa"/>
            <w:vAlign w:val="bottom"/>
          </w:tcPr>
          <w:p>
            <w:pPr>
              <w:spacing w:after="0"/>
              <w:rPr>
                <w:sz w:val="17"/>
                <w:szCs w:val="17"/>
                <w:color w:val="auto"/>
              </w:rPr>
            </w:pPr>
          </w:p>
        </w:tc>
        <w:tc>
          <w:tcPr>
            <w:tcW w:w="12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3"/>
        </w:trPr>
        <w:tc>
          <w:tcPr>
            <w:tcW w:w="6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(35 )</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3"/>
        </w:trPr>
        <w:tc>
          <w:tcPr>
            <w:tcW w:w="6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4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Other income (expense), net (Note 18)</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(8 )</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other income (expense), net</w:t>
            </w:r>
          </w:p>
        </w:tc>
        <w:tc>
          <w:tcPr>
            <w:tcW w:w="1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50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w:t>
            </w:r>
          </w:p>
        </w:tc>
        <w:tc>
          <w:tcPr>
            <w:tcW w:w="1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240" w:type="dxa"/>
            <w:vAlign w:val="bottom"/>
            <w:tcBorders>
              <w:bottom w:val="single" w:sz="8" w:color="CFF0FC"/>
              <w:right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right w:val="single" w:sz="8" w:color="CFF0FC"/>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6100" w:type="dxa"/>
            <w:vAlign w:val="bottom"/>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(185 )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(369 )</w:t>
            </w:r>
          </w:p>
        </w:tc>
        <w:tc>
          <w:tcPr>
            <w:tcW w:w="340" w:type="dxa"/>
            <w:vAlign w:val="bottom"/>
          </w:tcPr>
          <w:p>
            <w:pPr>
              <w:spacing w:after="0"/>
              <w:rPr>
                <w:sz w:val="17"/>
                <w:szCs w:val="17"/>
                <w:color w:val="auto"/>
              </w:rPr>
            </w:pPr>
          </w:p>
        </w:tc>
        <w:tc>
          <w:tcPr>
            <w:tcW w:w="12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6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(Provision) benefit for income taxes (Note 12)</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w:t>
            </w: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w:t>
            </w:r>
          </w:p>
        </w:tc>
        <w:tc>
          <w:tcPr>
            <w:tcW w:w="24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0"/>
        </w:trPr>
        <w:tc>
          <w:tcPr>
            <w:tcW w:w="6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Pr>
          <w:p>
            <w:pPr>
              <w:ind w:left="20"/>
              <w:spacing w:after="0" w:line="182" w:lineRule="exact"/>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7"/>
                <w:szCs w:val="17"/>
                <w:color w:val="auto"/>
              </w:rPr>
            </w:pPr>
          </w:p>
        </w:tc>
        <w:tc>
          <w:tcPr>
            <w:tcW w:w="980" w:type="dxa"/>
            <w:vAlign w:val="bottom"/>
          </w:tcPr>
          <w:p>
            <w:pPr>
              <w:jc w:val="right"/>
              <w:ind w:right="796"/>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(148 )</w:t>
            </w:r>
          </w:p>
        </w:tc>
        <w:tc>
          <w:tcPr>
            <w:tcW w:w="480" w:type="dxa"/>
            <w:vAlign w:val="bottom"/>
            <w:gridSpan w:val="2"/>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(289 )</w:t>
            </w:r>
          </w:p>
        </w:tc>
        <w:tc>
          <w:tcPr>
            <w:tcW w:w="340" w:type="dxa"/>
            <w:vAlign w:val="bottom"/>
          </w:tcPr>
          <w:p>
            <w:pPr>
              <w:jc w:val="right"/>
              <w:ind w:right="16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line="18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0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Earnings (loss) per share attributable to common stockholders (Note 17):</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Basic</w:t>
            </w:r>
          </w:p>
        </w:tc>
        <w:tc>
          <w:tcPr>
            <w:tcW w:w="1080" w:type="dxa"/>
            <w:vAlign w:val="bottom"/>
            <w:gridSpan w:val="2"/>
            <w:shd w:val="clear" w:color="auto" w:fill="CFF0FC"/>
          </w:tcPr>
          <w:p>
            <w:pPr>
              <w:jc w:val="right"/>
              <w:ind w:right="796"/>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(1.08 )</w:t>
            </w:r>
          </w:p>
        </w:tc>
        <w:tc>
          <w:tcPr>
            <w:tcW w:w="4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CFF0FC"/>
            </w:tcBorders>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(2.14 )</w:t>
            </w:r>
          </w:p>
        </w:tc>
        <w:tc>
          <w:tcPr>
            <w:tcW w:w="340" w:type="dxa"/>
            <w:vAlign w:val="bottom"/>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FF0FC"/>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Diluted</w:t>
            </w:r>
          </w:p>
        </w:tc>
        <w:tc>
          <w:tcPr>
            <w:tcW w:w="1080" w:type="dxa"/>
            <w:vAlign w:val="bottom"/>
            <w:gridSpan w:val="2"/>
          </w:tcPr>
          <w:p>
            <w:pPr>
              <w:jc w:val="right"/>
              <w:ind w:right="796"/>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(1.08 )</w:t>
            </w:r>
          </w:p>
        </w:tc>
        <w:tc>
          <w:tcPr>
            <w:tcW w:w="4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(2.14 )</w:t>
            </w:r>
          </w:p>
        </w:tc>
        <w:tc>
          <w:tcPr>
            <w:tcW w:w="340" w:type="dxa"/>
            <w:vAlign w:val="bottom"/>
          </w:tcPr>
          <w:p>
            <w:pPr>
              <w:jc w:val="right"/>
              <w:ind w:right="16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3"/>
        </w:trPr>
        <w:tc>
          <w:tcPr>
            <w:tcW w:w="6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 average common shares outstanding (Note 17):</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3"/>
        </w:trPr>
        <w:tc>
          <w:tcPr>
            <w:tcW w:w="6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137</w:t>
            </w: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w:t>
            </w:r>
          </w:p>
        </w:tc>
        <w:tc>
          <w:tcPr>
            <w:tcW w:w="24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(1) Excludes amortization expense as follows:</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tcBorders>
              <w:righ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200"/>
              <w:spacing w:after="0" w:line="162" w:lineRule="exact"/>
              <w:rPr>
                <w:sz w:val="20"/>
                <w:szCs w:val="20"/>
                <w:color w:val="auto"/>
              </w:rPr>
            </w:pPr>
            <w:r>
              <w:rPr>
                <w:rFonts w:ascii="Arial" w:cs="Arial" w:eastAsia="Arial" w:hAnsi="Arial"/>
                <w:sz w:val="18"/>
                <w:szCs w:val="18"/>
                <w:color w:val="auto"/>
              </w:rPr>
              <w:t>Amortization of acquired technology included in</w:t>
            </w:r>
          </w:p>
        </w:tc>
        <w:tc>
          <w:tcPr>
            <w:tcW w:w="1080" w:type="dxa"/>
            <w:vAlign w:val="bottom"/>
            <w:gridSpan w:val="2"/>
            <w:vMerge w:val="restart"/>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4"/>
                <w:szCs w:val="14"/>
                <w:color w:val="auto"/>
              </w:rPr>
            </w:pPr>
          </w:p>
        </w:tc>
        <w:tc>
          <w:tcPr>
            <w:tcW w:w="480" w:type="dxa"/>
            <w:vAlign w:val="bottom"/>
            <w:gridSpan w:val="2"/>
            <w:vMerge w:val="restart"/>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4"/>
                <w:szCs w:val="14"/>
                <w:color w:val="auto"/>
              </w:rPr>
            </w:pPr>
          </w:p>
        </w:tc>
        <w:tc>
          <w:tcPr>
            <w:tcW w:w="340" w:type="dxa"/>
            <w:vAlign w:val="bottom"/>
            <w:vMerge w:val="restart"/>
          </w:tcPr>
          <w:p>
            <w:pPr>
              <w:jc w:val="right"/>
              <w:ind w:right="180"/>
              <w:spacing w:after="0"/>
              <w:rPr>
                <w:sz w:val="20"/>
                <w:szCs w:val="20"/>
                <w:color w:val="auto"/>
              </w:rPr>
            </w:pPr>
            <w:r>
              <w:rPr>
                <w:rFonts w:ascii="Arial" w:cs="Arial" w:eastAsia="Arial" w:hAnsi="Arial"/>
                <w:sz w:val="15"/>
                <w:szCs w:val="15"/>
                <w:color w:val="auto"/>
                <w:w w:val="71"/>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100" w:type="dxa"/>
            <w:vAlign w:val="bottom"/>
          </w:tcPr>
          <w:p>
            <w:pPr>
              <w:ind w:left="340"/>
              <w:spacing w:after="0"/>
              <w:rPr>
                <w:sz w:val="20"/>
                <w:szCs w:val="20"/>
                <w:color w:val="auto"/>
              </w:rPr>
            </w:pPr>
            <w:r>
              <w:rPr>
                <w:rFonts w:ascii="Arial" w:cs="Arial" w:eastAsia="Arial" w:hAnsi="Arial"/>
                <w:sz w:val="18"/>
                <w:szCs w:val="18"/>
                <w:color w:val="auto"/>
              </w:rPr>
              <w:t>amortization</w:t>
            </w:r>
          </w:p>
        </w:tc>
        <w:tc>
          <w:tcPr>
            <w:tcW w:w="108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Amortization of capitalized website development costs included in</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6100" w:type="dxa"/>
            <w:vAlign w:val="bottom"/>
            <w:tcBorders>
              <w:bottom w:val="single" w:sz="8" w:color="CFF0FC"/>
            </w:tcBorders>
            <w:shd w:val="clear" w:color="auto" w:fill="CFF0FC"/>
          </w:tcPr>
          <w:p>
            <w:pPr>
              <w:ind w:left="340"/>
              <w:spacing w:after="0" w:line="202" w:lineRule="exact"/>
              <w:rPr>
                <w:sz w:val="20"/>
                <w:szCs w:val="20"/>
                <w:color w:val="auto"/>
              </w:rPr>
            </w:pPr>
            <w:r>
              <w:rPr>
                <w:rFonts w:ascii="Arial" w:cs="Arial" w:eastAsia="Arial" w:hAnsi="Arial"/>
                <w:sz w:val="18"/>
                <w:szCs w:val="18"/>
                <w:color w:val="auto"/>
              </w:rPr>
              <w:t>depreciation</w:t>
            </w:r>
          </w:p>
        </w:tc>
        <w:tc>
          <w:tcPr>
            <w:tcW w:w="1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right w:val="single" w:sz="8" w:color="CFF0FC"/>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right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1080" w:type="dxa"/>
            <w:vAlign w:val="bottom"/>
            <w:gridSpan w:val="2"/>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340" w:type="dxa"/>
            <w:vAlign w:val="bottom"/>
          </w:tcPr>
          <w:p>
            <w:pPr>
              <w:jc w:val="right"/>
              <w:ind w:right="18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 Includes stock-based compensation expense as follows (Note 15):</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tcBorders>
              <w:righ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Cost of revenue</w:t>
            </w:r>
          </w:p>
        </w:tc>
        <w:tc>
          <w:tcPr>
            <w:tcW w:w="1080" w:type="dxa"/>
            <w:vAlign w:val="bottom"/>
            <w:gridSpan w:val="2"/>
          </w:tcPr>
          <w:p>
            <w:pPr>
              <w:jc w:val="right"/>
              <w:ind w:right="876"/>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48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340" w:type="dxa"/>
            <w:vAlign w:val="bottom"/>
          </w:tcPr>
          <w:p>
            <w:pPr>
              <w:jc w:val="right"/>
              <w:ind w:right="18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6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Selling and marketing</w:t>
            </w:r>
          </w:p>
        </w:tc>
        <w:tc>
          <w:tcPr>
            <w:tcW w:w="1080" w:type="dxa"/>
            <w:vAlign w:val="bottom"/>
            <w:gridSpan w:val="2"/>
            <w:shd w:val="clear" w:color="auto" w:fill="CFF0FC"/>
          </w:tcPr>
          <w:p>
            <w:pPr>
              <w:jc w:val="right"/>
              <w:ind w:right="876"/>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24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jc w:val="right"/>
              <w:ind w:right="180"/>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Technology and content</w:t>
            </w:r>
          </w:p>
        </w:tc>
        <w:tc>
          <w:tcPr>
            <w:tcW w:w="1080" w:type="dxa"/>
            <w:vAlign w:val="bottom"/>
            <w:gridSpan w:val="2"/>
          </w:tcPr>
          <w:p>
            <w:pPr>
              <w:jc w:val="right"/>
              <w:ind w:right="876"/>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140" w:type="dxa"/>
            <w:vAlign w:val="bottom"/>
          </w:tcPr>
          <w:p>
            <w:pPr>
              <w:spacing w:after="0"/>
              <w:rPr>
                <w:sz w:val="17"/>
                <w:szCs w:val="17"/>
                <w:color w:val="auto"/>
              </w:rPr>
            </w:pPr>
          </w:p>
        </w:tc>
        <w:tc>
          <w:tcPr>
            <w:tcW w:w="48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40" w:type="dxa"/>
            <w:vAlign w:val="bottom"/>
          </w:tcPr>
          <w:p>
            <w:pPr>
              <w:spacing w:after="0"/>
              <w:rPr>
                <w:sz w:val="17"/>
                <w:szCs w:val="17"/>
                <w:color w:val="auto"/>
              </w:rPr>
            </w:pPr>
          </w:p>
        </w:tc>
        <w:tc>
          <w:tcPr>
            <w:tcW w:w="340" w:type="dxa"/>
            <w:vAlign w:val="bottom"/>
          </w:tcPr>
          <w:p>
            <w:pPr>
              <w:jc w:val="right"/>
              <w:ind w:right="18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6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080" w:type="dxa"/>
            <w:vAlign w:val="bottom"/>
            <w:gridSpan w:val="2"/>
            <w:shd w:val="clear" w:color="auto" w:fill="CFF0FC"/>
          </w:tcPr>
          <w:p>
            <w:pPr>
              <w:jc w:val="right"/>
              <w:ind w:right="876"/>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w:t>
            </w:r>
          </w:p>
        </w:tc>
        <w:tc>
          <w:tcPr>
            <w:tcW w:w="14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w:t>
            </w:r>
          </w:p>
        </w:tc>
        <w:tc>
          <w:tcPr>
            <w:tcW w:w="24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jc w:val="right"/>
              <w:ind w:right="180"/>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-3665220</wp:posOffset>
            </wp:positionV>
            <wp:extent cx="685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-3665220</wp:posOffset>
            </wp:positionV>
            <wp:extent cx="6032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-3665220</wp:posOffset>
            </wp:positionV>
            <wp:extent cx="5969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-2876550</wp:posOffset>
            </wp:positionV>
            <wp:extent cx="6858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-2876550</wp:posOffset>
            </wp:positionV>
            <wp:extent cx="6032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-2876550</wp:posOffset>
            </wp:positionV>
            <wp:extent cx="5969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-2611120</wp:posOffset>
            </wp:positionV>
            <wp:extent cx="6858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-2611120</wp:posOffset>
            </wp:positionV>
            <wp:extent cx="6032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-2611120</wp:posOffset>
            </wp:positionV>
            <wp:extent cx="5969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-802005</wp:posOffset>
            </wp:positionV>
            <wp:extent cx="5143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-802005</wp:posOffset>
            </wp:positionV>
            <wp:extent cx="431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-802005</wp:posOffset>
            </wp:positionV>
            <wp:extent cx="431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1" w:name="page62"/>
    <w:bookmarkEnd w:id="61"/>
    <w:p>
      <w:pPr>
        <w:jc w:val="center"/>
        <w:ind w:right="40"/>
        <w:spacing w:after="0"/>
        <w:rPr>
          <w:sz w:val="20"/>
          <w:szCs w:val="20"/>
          <w:color w:val="auto"/>
        </w:rPr>
      </w:pPr>
      <w:r>
        <w:rPr>
          <w:rFonts w:ascii="Arial" w:cs="Arial" w:eastAsia="Arial" w:hAnsi="Arial"/>
          <w:sz w:val="18"/>
          <w:szCs w:val="18"/>
          <w:b w:val="1"/>
          <w:bCs w:val="1"/>
          <w:color w:val="auto"/>
        </w:rPr>
        <w:t>TRIPADVISOR,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40" w:type="dxa"/>
            <w:vAlign w:val="bottom"/>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746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96"/>
        </w:trPr>
        <w:tc>
          <w:tcPr>
            <w:tcW w:w="7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700" w:type="dxa"/>
            <w:vAlign w:val="bottom"/>
            <w:shd w:val="clear" w:color="auto" w:fill="CFF0FC"/>
          </w:tcPr>
          <w:p>
            <w:pPr>
              <w:jc w:val="right"/>
              <w:ind w:right="516"/>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(148</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(289</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7"/>
                <w:szCs w:val="17"/>
                <w:color w:val="auto"/>
              </w:rPr>
            </w:pPr>
          </w:p>
        </w:tc>
      </w:tr>
      <w:tr>
        <w:trPr>
          <w:trHeight w:val="203"/>
        </w:trPr>
        <w:tc>
          <w:tcPr>
            <w:tcW w:w="746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adjustments, net of tax (1)</w:t>
            </w:r>
          </w:p>
        </w:tc>
        <w:tc>
          <w:tcPr>
            <w:tcW w:w="7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(24 )</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r>
      <w:tr>
        <w:trPr>
          <w:trHeight w:val="203"/>
        </w:trPr>
        <w:tc>
          <w:tcPr>
            <w:tcW w:w="7460" w:type="dxa"/>
            <w:vAlign w:val="bottom"/>
          </w:tcPr>
          <w:p>
            <w:pPr>
              <w:ind w:left="200"/>
              <w:spacing w:after="0" w:line="202" w:lineRule="exact"/>
              <w:rPr>
                <w:sz w:val="20"/>
                <w:szCs w:val="20"/>
                <w:color w:val="auto"/>
              </w:rPr>
            </w:pPr>
            <w:r>
              <w:rPr>
                <w:rFonts w:ascii="Arial" w:cs="Arial" w:eastAsia="Arial" w:hAnsi="Arial"/>
                <w:sz w:val="18"/>
                <w:szCs w:val="18"/>
                <w:color w:val="auto"/>
              </w:rPr>
              <w:t>Reclassification adjustments included in net income (loss), net of tax</w:t>
            </w:r>
          </w:p>
        </w:tc>
        <w:tc>
          <w:tcPr>
            <w:tcW w:w="7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(2 )</w:t>
            </w:r>
          </w:p>
        </w:tc>
      </w:tr>
      <w:tr>
        <w:trPr>
          <w:trHeight w:val="196"/>
        </w:trPr>
        <w:tc>
          <w:tcPr>
            <w:tcW w:w="74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other comprehensive income (loss), net of tax</w:t>
            </w:r>
          </w:p>
        </w:tc>
        <w:tc>
          <w:tcPr>
            <w:tcW w:w="700" w:type="dxa"/>
            <w:vAlign w:val="bottom"/>
            <w:tcBorders>
              <w:top w:val="single" w:sz="8" w:color="auto"/>
              <w:bottom w:val="single" w:sz="8" w:color="auto"/>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7460" w:type="dxa"/>
            <w:vAlign w:val="bottom"/>
          </w:tcPr>
          <w:p>
            <w:pPr>
              <w:ind w:left="20"/>
              <w:spacing w:after="0" w:line="182" w:lineRule="exact"/>
              <w:rPr>
                <w:sz w:val="20"/>
                <w:szCs w:val="20"/>
                <w:color w:val="auto"/>
              </w:rPr>
            </w:pPr>
            <w:r>
              <w:rPr>
                <w:rFonts w:ascii="Arial" w:cs="Arial" w:eastAsia="Arial" w:hAnsi="Arial"/>
                <w:sz w:val="18"/>
                <w:szCs w:val="18"/>
                <w:color w:val="auto"/>
              </w:rPr>
              <w:t>Comprehensive income (loss)</w:t>
            </w:r>
          </w:p>
        </w:tc>
        <w:tc>
          <w:tcPr>
            <w:tcW w:w="700" w:type="dxa"/>
            <w:vAlign w:val="bottom"/>
          </w:tcPr>
          <w:p>
            <w:pPr>
              <w:jc w:val="right"/>
              <w:ind w:right="516"/>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w w:val="89"/>
              </w:rPr>
              <w:t>(170 )</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(260 )</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125</w:t>
            </w:r>
          </w:p>
        </w:tc>
        <w:tc>
          <w:tcPr>
            <w:tcW w:w="100" w:type="dxa"/>
            <w:vAlign w:val="bottom"/>
          </w:tcPr>
          <w:p>
            <w:pPr>
              <w:spacing w:after="0"/>
              <w:rPr>
                <w:sz w:val="17"/>
                <w:szCs w:val="17"/>
                <w:color w:val="auto"/>
              </w:rPr>
            </w:pPr>
          </w:p>
        </w:tc>
      </w:tr>
      <w:tr>
        <w:trPr>
          <w:trHeight w:val="20"/>
        </w:trPr>
        <w:tc>
          <w:tcPr>
            <w:tcW w:w="7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-159385</wp:posOffset>
            </wp:positionV>
            <wp:extent cx="7747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-159385</wp:posOffset>
            </wp:positionV>
            <wp:extent cx="6858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65"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Deferred income tax liabilities related to these amounts are not material. Refer to “Note 12: </w:t>
      </w:r>
      <w:r>
        <w:rPr>
          <w:rFonts w:ascii="Arial" w:cs="Arial" w:eastAsia="Arial" w:hAnsi="Arial"/>
          <w:sz w:val="16"/>
          <w:szCs w:val="16"/>
          <w:i w:val="1"/>
          <w:iCs w:val="1"/>
          <w:color w:val="auto"/>
        </w:rPr>
        <w:t>Income Taxes</w:t>
      </w:r>
      <w:r>
        <w:rPr>
          <w:rFonts w:ascii="Arial" w:cs="Arial" w:eastAsia="Arial" w:hAnsi="Arial"/>
          <w:sz w:val="16"/>
          <w:szCs w:val="16"/>
          <w:color w:val="auto"/>
        </w:rPr>
        <w:t>” for further information.</w:t>
      </w:r>
    </w:p>
    <w:p>
      <w:pPr>
        <w:spacing w:after="0" w:line="216" w:lineRule="exact"/>
        <w:rPr>
          <w:rFonts w:ascii="Arial" w:cs="Arial" w:eastAsia="Arial" w:hAnsi="Arial"/>
          <w:sz w:val="16"/>
          <w:szCs w:val="16"/>
          <w:color w:val="auto"/>
        </w:rPr>
      </w:pPr>
    </w:p>
    <w:p>
      <w:pPr>
        <w:ind w:left="2460"/>
        <w:spacing w:after="0"/>
        <w:rPr>
          <w:rFonts w:ascii="Arial" w:cs="Arial" w:eastAsia="Arial" w:hAnsi="Arial"/>
          <w:sz w:val="16"/>
          <w:szCs w:val="16"/>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2" w:name="page63"/>
    <w:bookmarkEnd w:id="62"/>
    <w:p>
      <w:pPr>
        <w:jc w:val="center"/>
        <w:ind w:right="40"/>
        <w:spacing w:after="0"/>
        <w:rPr>
          <w:sz w:val="20"/>
          <w:szCs w:val="20"/>
          <w:color w:val="auto"/>
        </w:rPr>
      </w:pPr>
      <w:r>
        <w:rPr>
          <w:rFonts w:ascii="Arial" w:cs="Arial" w:eastAsia="Arial" w:hAnsi="Arial"/>
          <w:sz w:val="18"/>
          <w:szCs w:val="18"/>
          <w:b w:val="1"/>
          <w:bCs w:val="1"/>
          <w:color w:val="auto"/>
        </w:rPr>
        <w:t>TRIPADVISOR,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jc w:val="center"/>
        <w:ind w:right="40"/>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640" w:type="dxa"/>
            <w:vAlign w:val="bottom"/>
          </w:tcPr>
          <w:p>
            <w:pPr>
              <w:spacing w:after="0"/>
              <w:rPr>
                <w:sz w:val="16"/>
                <w:szCs w:val="16"/>
                <w:color w:val="auto"/>
              </w:rPr>
            </w:pPr>
          </w:p>
        </w:tc>
        <w:tc>
          <w:tcPr>
            <w:tcW w:w="12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1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 (Note 5)</w:t>
            </w:r>
          </w:p>
        </w:tc>
        <w:tc>
          <w:tcPr>
            <w:tcW w:w="1240" w:type="dxa"/>
            <w:vAlign w:val="bottom"/>
            <w:shd w:val="clear" w:color="auto" w:fill="CFF0FC"/>
          </w:tcPr>
          <w:p>
            <w:pPr>
              <w:jc w:val="right"/>
              <w:ind w:right="1062"/>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723</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40" w:type="dxa"/>
            <w:vAlign w:val="bottom"/>
          </w:tcPr>
          <w:p>
            <w:pPr>
              <w:ind w:left="200"/>
              <w:spacing w:after="0" w:line="152" w:lineRule="exact"/>
              <w:rPr>
                <w:sz w:val="20"/>
                <w:szCs w:val="20"/>
                <w:color w:val="auto"/>
              </w:rPr>
            </w:pPr>
            <w:r>
              <w:rPr>
                <w:rFonts w:ascii="Arial" w:cs="Arial" w:eastAsia="Arial" w:hAnsi="Arial"/>
                <w:sz w:val="16"/>
                <w:szCs w:val="16"/>
                <w:color w:val="auto"/>
              </w:rPr>
              <w:t>Accounts receivable and contract assets, net of allowance for credit losses</w:t>
            </w:r>
          </w:p>
        </w:tc>
        <w:tc>
          <w:tcPr>
            <w:tcW w:w="124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142</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640" w:type="dxa"/>
            <w:vAlign w:val="bottom"/>
          </w:tcPr>
          <w:p>
            <w:pPr>
              <w:ind w:left="320"/>
              <w:spacing w:after="0"/>
              <w:rPr>
                <w:sz w:val="20"/>
                <w:szCs w:val="20"/>
                <w:color w:val="auto"/>
              </w:rPr>
            </w:pPr>
            <w:r>
              <w:rPr>
                <w:rFonts w:ascii="Arial" w:cs="Arial" w:eastAsia="Arial" w:hAnsi="Arial"/>
                <w:sz w:val="16"/>
                <w:szCs w:val="16"/>
                <w:color w:val="auto"/>
              </w:rPr>
              <w:t>of $28 and $33, respectively (Note 2, Note 4)</w:t>
            </w:r>
          </w:p>
        </w:tc>
        <w:tc>
          <w:tcPr>
            <w:tcW w:w="124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taxes receivable (Note 12)</w:t>
            </w:r>
          </w:p>
        </w:tc>
        <w:tc>
          <w:tcPr>
            <w:tcW w:w="124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Total current assets</w:t>
            </w:r>
          </w:p>
        </w:tc>
        <w:tc>
          <w:tcPr>
            <w:tcW w:w="124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940</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573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Property and equipment, net (Note 6)</w:t>
            </w:r>
          </w:p>
        </w:tc>
        <w:tc>
          <w:tcPr>
            <w:tcW w:w="12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215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right-of-use assets (Note 7)</w:t>
            </w:r>
          </w:p>
        </w:tc>
        <w:tc>
          <w:tcPr>
            <w:tcW w:w="124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Intangible assets, net (Note 8)</w:t>
            </w:r>
          </w:p>
        </w:tc>
        <w:tc>
          <w:tcPr>
            <w:tcW w:w="12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Goodwill (Note 8)</w:t>
            </w:r>
          </w:p>
        </w:tc>
        <w:tc>
          <w:tcPr>
            <w:tcW w:w="124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843</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Non-marketable investments (Note 5)</w:t>
            </w:r>
          </w:p>
        </w:tc>
        <w:tc>
          <w:tcPr>
            <w:tcW w:w="12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income taxes, net (Note 12)</w:t>
            </w:r>
          </w:p>
        </w:tc>
        <w:tc>
          <w:tcPr>
            <w:tcW w:w="124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Other long-term assets, net of allowance for credit losses of $10 and $5, respectively</w:t>
            </w:r>
          </w:p>
        </w:tc>
        <w:tc>
          <w:tcPr>
            <w:tcW w:w="1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b w:val="1"/>
                <w:bCs w:val="1"/>
                <w:color w:val="auto"/>
              </w:rPr>
              <w:t>TOTAL ASSETS</w:t>
            </w:r>
          </w:p>
        </w:tc>
        <w:tc>
          <w:tcPr>
            <w:tcW w:w="1240" w:type="dxa"/>
            <w:vAlign w:val="bottom"/>
            <w:tcBorders>
              <w:bottom w:val="single" w:sz="8" w:color="auto"/>
            </w:tcBorders>
            <w:shd w:val="clear" w:color="auto" w:fill="CFF0FC"/>
          </w:tcPr>
          <w:p>
            <w:pPr>
              <w:jc w:val="right"/>
              <w:ind w:right="1062"/>
              <w:spacing w:after="0" w:line="169" w:lineRule="exact"/>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2,289</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1,969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64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1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1240" w:type="dxa"/>
            <w:vAlign w:val="bottom"/>
          </w:tcPr>
          <w:p>
            <w:pPr>
              <w:jc w:val="right"/>
              <w:ind w:right="106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27</w:t>
            </w:r>
          </w:p>
        </w:tc>
        <w:tc>
          <w:tcPr>
            <w:tcW w:w="28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merchant payables (Note 2)</w:t>
            </w:r>
          </w:p>
        </w:tc>
        <w:tc>
          <w:tcPr>
            <w:tcW w:w="124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Deferred revenue (Note 4)</w:t>
            </w:r>
          </w:p>
        </w:tc>
        <w:tc>
          <w:tcPr>
            <w:tcW w:w="12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Accrued expenses and other current liabilities (Note 9)</w:t>
            </w:r>
          </w:p>
        </w:tc>
        <w:tc>
          <w:tcPr>
            <w:tcW w:w="124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40" w:type="dxa"/>
            <w:vAlign w:val="bottom"/>
          </w:tcPr>
          <w:p>
            <w:pPr>
              <w:ind w:left="20"/>
              <w:spacing w:after="0" w:line="183" w:lineRule="exact"/>
              <w:rPr>
                <w:sz w:val="20"/>
                <w:szCs w:val="20"/>
                <w:color w:val="auto"/>
              </w:rPr>
            </w:pPr>
            <w:r>
              <w:rPr>
                <w:rFonts w:ascii="Arial" w:cs="Arial" w:eastAsia="Arial" w:hAnsi="Arial"/>
                <w:sz w:val="16"/>
                <w:szCs w:val="16"/>
                <w:color w:val="auto"/>
              </w:rPr>
              <w:t>Total current liabilities</w:t>
            </w:r>
          </w:p>
        </w:tc>
        <w:tc>
          <w:tcPr>
            <w:tcW w:w="1240" w:type="dxa"/>
            <w:vAlign w:val="bottom"/>
          </w:tcPr>
          <w:p>
            <w:pPr>
              <w:spacing w:after="0"/>
              <w:rPr>
                <w:sz w:val="15"/>
                <w:szCs w:val="15"/>
                <w:color w:val="auto"/>
              </w:rPr>
            </w:pPr>
          </w:p>
        </w:tc>
        <w:tc>
          <w:tcPr>
            <w:tcW w:w="380" w:type="dxa"/>
            <w:vAlign w:val="bottom"/>
          </w:tcPr>
          <w:p>
            <w:pPr>
              <w:jc w:val="right"/>
              <w:spacing w:after="0" w:line="183" w:lineRule="exact"/>
              <w:rPr>
                <w:sz w:val="20"/>
                <w:szCs w:val="20"/>
                <w:color w:val="auto"/>
              </w:rPr>
            </w:pPr>
            <w:r>
              <w:rPr>
                <w:rFonts w:ascii="Arial" w:cs="Arial" w:eastAsia="Arial" w:hAnsi="Arial"/>
                <w:sz w:val="16"/>
                <w:szCs w:val="16"/>
                <w:color w:val="auto"/>
              </w:rPr>
              <w:t>357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242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Long-term debt (Note 10)</w:t>
            </w:r>
          </w:p>
        </w:tc>
        <w:tc>
          <w:tcPr>
            <w:tcW w:w="124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833</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Finance lease obligation, net of current portion (Note 7)</w:t>
            </w:r>
          </w:p>
        </w:tc>
        <w:tc>
          <w:tcPr>
            <w:tcW w:w="12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liabilities, net of current portion (Note 7)</w:t>
            </w:r>
          </w:p>
        </w:tc>
        <w:tc>
          <w:tcPr>
            <w:tcW w:w="124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Deferred income taxes, net (Note 12)</w:t>
            </w:r>
          </w:p>
        </w:tc>
        <w:tc>
          <w:tcPr>
            <w:tcW w:w="12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long-term liabilities (Note 11)</w:t>
            </w:r>
          </w:p>
        </w:tc>
        <w:tc>
          <w:tcPr>
            <w:tcW w:w="124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215</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40" w:type="dxa"/>
            <w:vAlign w:val="bottom"/>
          </w:tcPr>
          <w:p>
            <w:pPr>
              <w:ind w:left="20"/>
              <w:spacing w:after="0" w:line="183" w:lineRule="exact"/>
              <w:rPr>
                <w:sz w:val="20"/>
                <w:szCs w:val="20"/>
                <w:color w:val="auto"/>
              </w:rPr>
            </w:pPr>
            <w:r>
              <w:rPr>
                <w:rFonts w:ascii="Arial" w:cs="Arial" w:eastAsia="Arial" w:hAnsi="Arial"/>
                <w:sz w:val="16"/>
                <w:szCs w:val="16"/>
                <w:color w:val="auto"/>
              </w:rPr>
              <w:t>Total Liabilities</w:t>
            </w:r>
          </w:p>
        </w:tc>
        <w:tc>
          <w:tcPr>
            <w:tcW w:w="1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1,500</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Commitments and contingencies (Note 13)</w:t>
            </w:r>
          </w:p>
        </w:tc>
        <w:tc>
          <w:tcPr>
            <w:tcW w:w="1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Stockholders’ equity: (Note 16)</w:t>
            </w: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Preferred stock, $0.001 par value</w:t>
            </w:r>
          </w:p>
        </w:tc>
        <w:tc>
          <w:tcPr>
            <w:tcW w:w="124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640" w:type="dxa"/>
            <w:vAlign w:val="bottom"/>
          </w:tcPr>
          <w:p>
            <w:pPr>
              <w:ind w:left="380"/>
              <w:spacing w:after="0"/>
              <w:rPr>
                <w:sz w:val="20"/>
                <w:szCs w:val="20"/>
                <w:color w:val="auto"/>
              </w:rPr>
            </w:pPr>
            <w:r>
              <w:rPr>
                <w:rFonts w:ascii="Arial" w:cs="Arial" w:eastAsia="Arial" w:hAnsi="Arial"/>
                <w:sz w:val="16"/>
                <w:szCs w:val="16"/>
                <w:color w:val="auto"/>
              </w:rPr>
              <w:t>Authorized shares: 100,000,000</w:t>
            </w: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Shares issued and outstanding: 0 and 0</w:t>
            </w:r>
          </w:p>
        </w:tc>
        <w:tc>
          <w:tcPr>
            <w:tcW w:w="1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Common stock, $0.001 par value</w:t>
            </w:r>
          </w:p>
        </w:tc>
        <w:tc>
          <w:tcPr>
            <w:tcW w:w="1240" w:type="dxa"/>
            <w:vAlign w:val="bottom"/>
          </w:tcPr>
          <w:p>
            <w:pPr>
              <w:spacing w:after="0"/>
              <w:rPr>
                <w:sz w:val="16"/>
                <w:szCs w:val="16"/>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Authorized shares: 1,600,000,000</w:t>
            </w:r>
          </w:p>
        </w:tc>
        <w:tc>
          <w:tcPr>
            <w:tcW w:w="1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380"/>
              <w:spacing w:after="0"/>
              <w:rPr>
                <w:sz w:val="20"/>
                <w:szCs w:val="20"/>
                <w:color w:val="auto"/>
              </w:rPr>
            </w:pPr>
            <w:r>
              <w:rPr>
                <w:rFonts w:ascii="Arial" w:cs="Arial" w:eastAsia="Arial" w:hAnsi="Arial"/>
                <w:sz w:val="16"/>
                <w:szCs w:val="16"/>
                <w:color w:val="auto"/>
              </w:rPr>
              <w:t>Shares issued: 144,656,649 and 140,775,221, respectively</w:t>
            </w: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Shares outstanding: 125,812,035 and 121,930,607, respectively</w:t>
            </w:r>
          </w:p>
        </w:tc>
        <w:tc>
          <w:tcPr>
            <w:tcW w:w="1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Class B common stock, $0.001 par value</w:t>
            </w:r>
          </w:p>
        </w:tc>
        <w:tc>
          <w:tcPr>
            <w:tcW w:w="1240" w:type="dxa"/>
            <w:vAlign w:val="bottom"/>
          </w:tcPr>
          <w:p>
            <w:pPr>
              <w:spacing w:after="0"/>
              <w:rPr>
                <w:sz w:val="16"/>
                <w:szCs w:val="16"/>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Authorized shares: 400,000,000</w:t>
            </w:r>
          </w:p>
        </w:tc>
        <w:tc>
          <w:tcPr>
            <w:tcW w:w="1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380"/>
              <w:spacing w:after="0"/>
              <w:rPr>
                <w:sz w:val="20"/>
                <w:szCs w:val="20"/>
                <w:color w:val="auto"/>
              </w:rPr>
            </w:pPr>
            <w:r>
              <w:rPr>
                <w:rFonts w:ascii="Arial" w:cs="Arial" w:eastAsia="Arial" w:hAnsi="Arial"/>
                <w:sz w:val="16"/>
                <w:szCs w:val="16"/>
                <w:color w:val="auto"/>
              </w:rPr>
              <w:t>Shares issued and outstanding: 12,799,999 and 12,799,999, respectively</w:t>
            </w: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Additional paid-in capital</w:t>
            </w:r>
          </w:p>
        </w:tc>
        <w:tc>
          <w:tcPr>
            <w:tcW w:w="124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1,326</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12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241</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124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(56 )</w:t>
            </w:r>
          </w:p>
        </w:tc>
        <w:tc>
          <w:tcPr>
            <w:tcW w:w="24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Treasury stock-common stock, at cost, 18,844,614 and 18,844,614 shares, respectively</w:t>
            </w:r>
          </w:p>
        </w:tc>
        <w:tc>
          <w:tcPr>
            <w:tcW w:w="124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(722 )</w:t>
            </w:r>
          </w:p>
        </w:tc>
        <w:tc>
          <w:tcPr>
            <w:tcW w:w="240" w:type="dxa"/>
            <w:vAlign w:val="bottom"/>
          </w:tcPr>
          <w:p>
            <w:pPr>
              <w:spacing w:after="0"/>
              <w:rPr>
                <w:sz w:val="16"/>
                <w:szCs w:val="16"/>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6"/>
                <w:szCs w:val="16"/>
                <w:color w:val="auto"/>
              </w:rPr>
              <w:t>(722 )</w:t>
            </w:r>
          </w:p>
        </w:tc>
        <w:tc>
          <w:tcPr>
            <w:tcW w:w="0" w:type="dxa"/>
            <w:vAlign w:val="bottom"/>
          </w:tcPr>
          <w:p>
            <w:pPr>
              <w:spacing w:after="0"/>
              <w:rPr>
                <w:sz w:val="1"/>
                <w:szCs w:val="1"/>
                <w:color w:val="auto"/>
              </w:rPr>
            </w:pPr>
          </w:p>
        </w:tc>
      </w:tr>
      <w:tr>
        <w:trPr>
          <w:trHeight w:val="183"/>
        </w:trPr>
        <w:tc>
          <w:tcPr>
            <w:tcW w:w="76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Stockholders’ Equity</w:t>
            </w:r>
          </w:p>
        </w:tc>
        <w:tc>
          <w:tcPr>
            <w:tcW w:w="1240" w:type="dxa"/>
            <w:vAlign w:val="bottom"/>
            <w:tcBorders>
              <w:top w:val="single" w:sz="8" w:color="auto"/>
              <w:bottom w:val="single" w:sz="8" w:color="auto"/>
            </w:tcBorders>
            <w:shd w:val="clear" w:color="auto" w:fill="CFF0FC"/>
          </w:tcPr>
          <w:p>
            <w:pPr>
              <w:spacing w:after="0"/>
              <w:rPr>
                <w:sz w:val="15"/>
                <w:szCs w:val="15"/>
                <w:color w:val="auto"/>
              </w:rPr>
            </w:pPr>
          </w:p>
        </w:tc>
        <w:tc>
          <w:tcPr>
            <w:tcW w:w="3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789</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13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886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40" w:type="dxa"/>
            <w:vAlign w:val="bottom"/>
          </w:tcPr>
          <w:p>
            <w:pPr>
              <w:ind w:left="20"/>
              <w:spacing w:after="0" w:line="169" w:lineRule="exact"/>
              <w:rPr>
                <w:sz w:val="20"/>
                <w:szCs w:val="20"/>
                <w:color w:val="auto"/>
              </w:rPr>
            </w:pPr>
            <w:r>
              <w:rPr>
                <w:rFonts w:ascii="Arial" w:cs="Arial" w:eastAsia="Arial" w:hAnsi="Arial"/>
                <w:sz w:val="16"/>
                <w:szCs w:val="16"/>
                <w:b w:val="1"/>
                <w:bCs w:val="1"/>
                <w:color w:val="auto"/>
              </w:rPr>
              <w:t>TOTAL LIABILITIES AND STOCKHOLDERS' EQUITY</w:t>
            </w:r>
          </w:p>
        </w:tc>
        <w:tc>
          <w:tcPr>
            <w:tcW w:w="1240" w:type="dxa"/>
            <w:vAlign w:val="bottom"/>
            <w:tcBorders>
              <w:bottom w:val="single" w:sz="8" w:color="auto"/>
            </w:tcBorders>
          </w:tcPr>
          <w:p>
            <w:pPr>
              <w:jc w:val="right"/>
              <w:ind w:right="1062"/>
              <w:spacing w:after="0" w:line="169" w:lineRule="exact"/>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2,289</w:t>
            </w:r>
          </w:p>
        </w:tc>
        <w:tc>
          <w:tcPr>
            <w:tcW w:w="280" w:type="dxa"/>
            <w:vAlign w:val="bottom"/>
          </w:tcPr>
          <w:p>
            <w:pPr>
              <w:spacing w:after="0"/>
              <w:rPr>
                <w:sz w:val="15"/>
                <w:szCs w:val="15"/>
                <w:color w:val="auto"/>
              </w:rPr>
            </w:pPr>
          </w:p>
        </w:tc>
        <w:tc>
          <w:tcPr>
            <w:tcW w:w="24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1,969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-3814445</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-3796665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-3814445</wp:posOffset>
            </wp:positionV>
            <wp:extent cx="596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-3796665</wp:posOffset>
            </wp:positionV>
            <wp:extent cx="596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-3065145</wp:posOffset>
            </wp:positionV>
            <wp:extent cx="6032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-3065145</wp:posOffset>
            </wp:positionV>
            <wp:extent cx="5969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-2336800</wp:posOffset>
            </wp:positionV>
            <wp:extent cx="6032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-2336800</wp:posOffset>
            </wp:positionV>
            <wp:extent cx="5969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-150495</wp:posOffset>
            </wp:positionV>
            <wp:extent cx="6032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-150495</wp:posOffset>
            </wp:positionV>
            <wp:extent cx="5969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p>
      <w:pPr>
        <w:jc w:val="center"/>
        <w:ind w:right="40"/>
        <w:spacing w:after="0"/>
        <w:rPr>
          <w:sz w:val="20"/>
          <w:szCs w:val="20"/>
          <w:color w:val="auto"/>
        </w:rPr>
      </w:pPr>
      <w:r>
        <w:rPr>
          <w:rFonts w:ascii="Arial" w:cs="Arial" w:eastAsia="Arial" w:hAnsi="Arial"/>
          <w:sz w:val="18"/>
          <w:szCs w:val="18"/>
          <w:b w:val="1"/>
          <w:bCs w:val="1"/>
          <w:color w:val="auto"/>
        </w:rPr>
        <w:t>TRIPADVISOR,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jc w:val="center"/>
        <w:ind w:right="40"/>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01"/>
              <w:spacing w:after="0"/>
              <w:rPr>
                <w:sz w:val="20"/>
                <w:szCs w:val="20"/>
                <w:color w:val="auto"/>
              </w:rPr>
            </w:pPr>
            <w:r>
              <w:rPr>
                <w:rFonts w:ascii="Arial" w:cs="Arial" w:eastAsia="Arial" w:hAnsi="Arial"/>
                <w:sz w:val="12"/>
                <w:szCs w:val="12"/>
                <w:b w:val="1"/>
                <w:bCs w:val="1"/>
                <w:color w:val="auto"/>
                <w:w w:val="87"/>
              </w:rPr>
              <w:t>Accumulated</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ind w:left="580"/>
              <w:spacing w:after="0"/>
              <w:rPr>
                <w:sz w:val="20"/>
                <w:szCs w:val="20"/>
                <w:color w:val="auto"/>
              </w:rPr>
            </w:pPr>
            <w:r>
              <w:rPr>
                <w:rFonts w:ascii="Arial" w:cs="Arial" w:eastAsia="Arial" w:hAnsi="Arial"/>
                <w:sz w:val="12"/>
                <w:szCs w:val="12"/>
                <w:b w:val="1"/>
                <w:bCs w:val="1"/>
                <w:color w:val="auto"/>
                <w:w w:val="86"/>
              </w:rPr>
              <w:t>Class B</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Additional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01"/>
              <w:spacing w:after="0"/>
              <w:rPr>
                <w:sz w:val="20"/>
                <w:szCs w:val="20"/>
                <w:color w:val="auto"/>
              </w:rPr>
            </w:pPr>
            <w:r>
              <w:rPr>
                <w:rFonts w:ascii="Arial" w:cs="Arial" w:eastAsia="Arial" w:hAnsi="Arial"/>
                <w:sz w:val="12"/>
                <w:szCs w:val="12"/>
                <w:b w:val="1"/>
                <w:bCs w:val="1"/>
                <w:color w:val="auto"/>
                <w:w w:val="86"/>
              </w:rPr>
              <w:t>other</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680" w:type="dxa"/>
            <w:vAlign w:val="bottom"/>
          </w:tcPr>
          <w:p>
            <w:pPr>
              <w:spacing w:after="0"/>
              <w:rPr>
                <w:sz w:val="13"/>
                <w:szCs w:val="13"/>
                <w:color w:val="auto"/>
              </w:rPr>
            </w:pPr>
          </w:p>
        </w:tc>
        <w:tc>
          <w:tcPr>
            <w:tcW w:w="128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2"/>
                <w:szCs w:val="12"/>
                <w:b w:val="1"/>
                <w:bCs w:val="1"/>
                <w:color w:val="auto"/>
              </w:rPr>
              <w:t>Common stock</w:t>
            </w:r>
          </w:p>
        </w:tc>
        <w:tc>
          <w:tcPr>
            <w:tcW w:w="2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2"/>
                <w:szCs w:val="12"/>
                <w:b w:val="1"/>
                <w:bCs w:val="1"/>
                <w:color w:val="auto"/>
              </w:rPr>
              <w:t>common stock</w:t>
            </w:r>
          </w:p>
        </w:tc>
        <w:tc>
          <w:tcPr>
            <w:tcW w:w="2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1"/>
              </w:rPr>
              <w:t>paid-in</w:t>
            </w: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86"/>
              </w:rPr>
              <w:t>Retained</w:t>
            </w:r>
          </w:p>
        </w:tc>
        <w:tc>
          <w:tcPr>
            <w:tcW w:w="80" w:type="dxa"/>
            <w:vAlign w:val="bottom"/>
          </w:tcPr>
          <w:p>
            <w:pPr>
              <w:spacing w:after="0"/>
              <w:rPr>
                <w:sz w:val="13"/>
                <w:szCs w:val="13"/>
                <w:color w:val="auto"/>
              </w:rPr>
            </w:pPr>
          </w:p>
        </w:tc>
        <w:tc>
          <w:tcPr>
            <w:tcW w:w="1020" w:type="dxa"/>
            <w:vAlign w:val="bottom"/>
            <w:gridSpan w:val="2"/>
          </w:tcPr>
          <w:p>
            <w:pPr>
              <w:jc w:val="center"/>
              <w:ind w:right="201"/>
              <w:spacing w:after="0"/>
              <w:rPr>
                <w:sz w:val="20"/>
                <w:szCs w:val="20"/>
                <w:color w:val="auto"/>
              </w:rPr>
            </w:pPr>
            <w:r>
              <w:rPr>
                <w:rFonts w:ascii="Arial" w:cs="Arial" w:eastAsia="Arial" w:hAnsi="Arial"/>
                <w:sz w:val="12"/>
                <w:szCs w:val="12"/>
                <w:b w:val="1"/>
                <w:bCs w:val="1"/>
                <w:color w:val="auto"/>
                <w:w w:val="84"/>
              </w:rPr>
              <w:t>comprehensive</w:t>
            </w: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Treasury stock</w:t>
            </w:r>
          </w:p>
        </w:tc>
        <w:tc>
          <w:tcPr>
            <w:tcW w:w="3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820" w:type="dxa"/>
            <w:vAlign w:val="bottom"/>
          </w:tcPr>
          <w:p>
            <w:pPr>
              <w:jc w:val="right"/>
              <w:ind w:right="175"/>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2"/>
                <w:szCs w:val="12"/>
                <w:color w:val="auto"/>
              </w:rPr>
            </w:pPr>
          </w:p>
        </w:tc>
        <w:tc>
          <w:tcPr>
            <w:tcW w:w="5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2"/>
                <w:szCs w:val="12"/>
                <w:color w:val="auto"/>
              </w:rPr>
            </w:pPr>
          </w:p>
        </w:tc>
        <w:tc>
          <w:tcPr>
            <w:tcW w:w="980" w:type="dxa"/>
            <w:vAlign w:val="bottom"/>
            <w:gridSpan w:val="2"/>
          </w:tcPr>
          <w:p>
            <w:pPr>
              <w:ind w:left="240"/>
              <w:spacing w:after="0"/>
              <w:rPr>
                <w:sz w:val="20"/>
                <w:szCs w:val="20"/>
                <w:color w:val="auto"/>
              </w:rPr>
            </w:pPr>
            <w:r>
              <w:rPr>
                <w:rFonts w:ascii="Arial" w:cs="Arial" w:eastAsia="Arial" w:hAnsi="Arial"/>
                <w:sz w:val="12"/>
                <w:szCs w:val="12"/>
                <w:b w:val="1"/>
                <w:bCs w:val="1"/>
                <w:color w:val="auto"/>
              </w:rPr>
              <w:t>Shares</w:t>
            </w:r>
          </w:p>
        </w:tc>
        <w:tc>
          <w:tcPr>
            <w:tcW w:w="5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80"/>
              <w:spacing w:after="0" w:line="136" w:lineRule="exact"/>
              <w:rPr>
                <w:sz w:val="20"/>
                <w:szCs w:val="20"/>
                <w:color w:val="auto"/>
              </w:rPr>
            </w:pPr>
            <w:r>
              <w:rPr>
                <w:rFonts w:ascii="Arial" w:cs="Arial" w:eastAsia="Arial" w:hAnsi="Arial"/>
                <w:sz w:val="12"/>
                <w:szCs w:val="12"/>
                <w:b w:val="1"/>
                <w:bCs w:val="1"/>
                <w:color w:val="auto"/>
                <w:w w:val="89"/>
              </w:rPr>
              <w:t>capital</w:t>
            </w: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36" w:lineRule="exact"/>
              <w:rPr>
                <w:sz w:val="20"/>
                <w:szCs w:val="20"/>
                <w:color w:val="auto"/>
              </w:rPr>
            </w:pPr>
            <w:r>
              <w:rPr>
                <w:rFonts w:ascii="Arial" w:cs="Arial" w:eastAsia="Arial" w:hAnsi="Arial"/>
                <w:sz w:val="12"/>
                <w:szCs w:val="12"/>
                <w:b w:val="1"/>
                <w:bCs w:val="1"/>
                <w:color w:val="auto"/>
                <w:w w:val="83"/>
              </w:rPr>
              <w:t>earnings</w:t>
            </w:r>
          </w:p>
        </w:tc>
        <w:tc>
          <w:tcPr>
            <w:tcW w:w="80" w:type="dxa"/>
            <w:vAlign w:val="bottom"/>
          </w:tcPr>
          <w:p>
            <w:pPr>
              <w:spacing w:after="0"/>
              <w:rPr>
                <w:sz w:val="12"/>
                <w:szCs w:val="12"/>
                <w:color w:val="auto"/>
              </w:rPr>
            </w:pPr>
          </w:p>
        </w:tc>
        <w:tc>
          <w:tcPr>
            <w:tcW w:w="1020" w:type="dxa"/>
            <w:vAlign w:val="bottom"/>
            <w:gridSpan w:val="2"/>
          </w:tcPr>
          <w:p>
            <w:pPr>
              <w:jc w:val="center"/>
              <w:ind w:right="221"/>
              <w:spacing w:after="0" w:line="136" w:lineRule="exact"/>
              <w:rPr>
                <w:sz w:val="20"/>
                <w:szCs w:val="20"/>
                <w:color w:val="auto"/>
              </w:rPr>
            </w:pPr>
            <w:r>
              <w:rPr>
                <w:rFonts w:ascii="Arial" w:cs="Arial" w:eastAsia="Arial" w:hAnsi="Arial"/>
                <w:sz w:val="12"/>
                <w:szCs w:val="12"/>
                <w:b w:val="1"/>
                <w:bCs w:val="1"/>
                <w:color w:val="auto"/>
                <w:w w:val="82"/>
              </w:rPr>
              <w:t>income (loss)</w:t>
            </w:r>
          </w:p>
        </w:tc>
        <w:tc>
          <w:tcPr>
            <w:tcW w:w="920" w:type="dxa"/>
            <w:vAlign w:val="bottom"/>
            <w:gridSpan w:val="2"/>
          </w:tcPr>
          <w:p>
            <w:pPr>
              <w:jc w:val="right"/>
              <w:ind w:right="313"/>
              <w:spacing w:after="0"/>
              <w:rPr>
                <w:sz w:val="20"/>
                <w:szCs w:val="20"/>
                <w:color w:val="auto"/>
              </w:rPr>
            </w:pPr>
            <w:r>
              <w:rPr>
                <w:rFonts w:ascii="Arial" w:cs="Arial" w:eastAsia="Arial" w:hAnsi="Arial"/>
                <w:sz w:val="12"/>
                <w:szCs w:val="12"/>
                <w:b w:val="1"/>
                <w:bCs w:val="1"/>
                <w:color w:val="auto"/>
              </w:rPr>
              <w:t>Shares</w:t>
            </w: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w w:val="96"/>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3"/>
              <w:spacing w:after="0" w:line="136"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56"/>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December 31, 2018</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137,158,010</w:t>
            </w:r>
          </w:p>
        </w:tc>
        <w:tc>
          <w:tcPr>
            <w:tcW w:w="16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ind w:right="154"/>
              <w:spacing w:after="0"/>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12,799,999</w:t>
            </w:r>
          </w:p>
        </w:tc>
        <w:tc>
          <w:tcPr>
            <w:tcW w:w="18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jc w:val="right"/>
              <w:ind w:right="114"/>
              <w:spacing w:after="0"/>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3"/>
                <w:szCs w:val="13"/>
                <w:b w:val="1"/>
                <w:bCs w:val="1"/>
                <w:color w:val="auto"/>
                <w:w w:val="91"/>
              </w:rPr>
              <w:t>—</w:t>
            </w:r>
          </w:p>
        </w:tc>
        <w:tc>
          <w:tcPr>
            <w:tcW w:w="14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1,037</w:t>
            </w:r>
          </w:p>
        </w:tc>
        <w:tc>
          <w:tcPr>
            <w:tcW w:w="16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1,043</w:t>
            </w:r>
          </w:p>
        </w:tc>
        <w:tc>
          <w:tcPr>
            <w:tcW w:w="16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(62</w:t>
            </w:r>
          </w:p>
        </w:tc>
        <w:tc>
          <w:tcPr>
            <w:tcW w:w="160" w:type="dxa"/>
            <w:vAlign w:val="bottom"/>
            <w:shd w:val="clear" w:color="auto" w:fill="CFF0FC"/>
          </w:tcPr>
          <w:p>
            <w:pPr>
              <w:jc w:val="right"/>
              <w:ind w:right="81"/>
              <w:spacing w:after="0"/>
              <w:rPr>
                <w:sz w:val="20"/>
                <w:szCs w:val="20"/>
                <w:color w:val="auto"/>
              </w:rPr>
            </w:pPr>
            <w:r>
              <w:rPr>
                <w:rFonts w:ascii="Arial" w:cs="Arial" w:eastAsia="Arial" w:hAnsi="Arial"/>
                <w:sz w:val="8"/>
                <w:szCs w:val="8"/>
                <w:b w:val="1"/>
                <w:bCs w:val="1"/>
                <w:color w:val="auto"/>
                <w:w w:val="73"/>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(12,056,688</w:t>
            </w:r>
          </w:p>
        </w:tc>
        <w:tc>
          <w:tcPr>
            <w:tcW w:w="180" w:type="dxa"/>
            <w:vAlign w:val="bottom"/>
            <w:shd w:val="clear" w:color="auto" w:fill="CFF0FC"/>
          </w:tcPr>
          <w:p>
            <w:pPr>
              <w:jc w:val="right"/>
              <w:ind w:right="53"/>
              <w:spacing w:after="0"/>
              <w:rPr>
                <w:sz w:val="20"/>
                <w:szCs w:val="20"/>
                <w:color w:val="auto"/>
              </w:rPr>
            </w:pPr>
            <w:r>
              <w:rPr>
                <w:rFonts w:ascii="Arial" w:cs="Arial" w:eastAsia="Arial" w:hAnsi="Arial"/>
                <w:sz w:val="13"/>
                <w:szCs w:val="13"/>
                <w:b w:val="1"/>
                <w:bCs w:val="1"/>
                <w:color w:val="auto"/>
                <w:w w:val="91"/>
              </w:rPr>
              <w:t>)</w:t>
            </w:r>
          </w:p>
        </w:tc>
        <w:tc>
          <w:tcPr>
            <w:tcW w:w="220" w:type="dxa"/>
            <w:vAlign w:val="bottom"/>
            <w:tcBorders>
              <w:top w:val="single" w:sz="8" w:color="auto"/>
            </w:tcBorders>
            <w:shd w:val="clear" w:color="auto" w:fill="CFF0FC"/>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99"/>
              </w:rPr>
              <w:t>(547</w:t>
            </w:r>
          </w:p>
        </w:tc>
        <w:tc>
          <w:tcPr>
            <w:tcW w:w="160" w:type="dxa"/>
            <w:vAlign w:val="bottom"/>
            <w:shd w:val="clear" w:color="auto" w:fill="CFF0FC"/>
          </w:tcPr>
          <w:p>
            <w:pPr>
              <w:jc w:val="right"/>
              <w:ind w:right="33"/>
              <w:spacing w:after="0"/>
              <w:rPr>
                <w:sz w:val="20"/>
                <w:szCs w:val="20"/>
                <w:color w:val="auto"/>
              </w:rPr>
            </w:pPr>
            <w:r>
              <w:rPr>
                <w:rFonts w:ascii="Arial" w:cs="Arial" w:eastAsia="Arial" w:hAnsi="Arial"/>
                <w:sz w:val="13"/>
                <w:szCs w:val="13"/>
                <w:b w:val="1"/>
                <w:bCs w:val="1"/>
                <w:color w:val="auto"/>
                <w:w w:val="91"/>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1,471</w:t>
            </w:r>
          </w:p>
        </w:tc>
        <w:tc>
          <w:tcPr>
            <w:tcW w:w="0" w:type="dxa"/>
            <w:vAlign w:val="bottom"/>
          </w:tcPr>
          <w:p>
            <w:pPr>
              <w:spacing w:after="0"/>
              <w:rPr>
                <w:sz w:val="1"/>
                <w:szCs w:val="1"/>
                <w:color w:val="auto"/>
              </w:rPr>
            </w:pPr>
          </w:p>
        </w:tc>
      </w:tr>
      <w:tr>
        <w:trPr>
          <w:trHeight w:val="162"/>
        </w:trPr>
        <w:tc>
          <w:tcPr>
            <w:tcW w:w="268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24"/>
        </w:trPr>
        <w:tc>
          <w:tcPr>
            <w:tcW w:w="268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color w:val="auto"/>
              </w:rPr>
              <w:t>Cumulative effect adjustment from adoption</w:t>
            </w:r>
          </w:p>
        </w:tc>
        <w:tc>
          <w:tcPr>
            <w:tcW w:w="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3"/>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of new accounting guidance</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tcBorders>
              <w:right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20"/>
              <w:spacing w:after="0"/>
              <w:rPr>
                <w:sz w:val="20"/>
                <w:szCs w:val="20"/>
                <w:color w:val="auto"/>
              </w:rPr>
            </w:pPr>
            <w:r>
              <w:rPr>
                <w:rFonts w:ascii="Arial" w:cs="Arial" w:eastAsia="Arial" w:hAnsi="Arial"/>
                <w:sz w:val="13"/>
                <w:szCs w:val="13"/>
                <w:color w:val="auto"/>
                <w:w w:val="99"/>
              </w:rPr>
              <w:t>Other comprehensive income (loss), net of tax</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3"/>
                <w:szCs w:val="13"/>
                <w:color w:val="auto"/>
              </w:rPr>
              <w:t>(1 )</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24"/>
        </w:trPr>
        <w:tc>
          <w:tcPr>
            <w:tcW w:w="268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color w:val="auto"/>
              </w:rPr>
              <w:t>Issuance of common stock related to exercise</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1,540,297</w:t>
            </w: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3"/>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of options and vesting of RSUs</w:t>
            </w:r>
          </w:p>
        </w:tc>
        <w:tc>
          <w:tcPr>
            <w:tcW w:w="82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tcBorders>
              <w:right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20"/>
              <w:spacing w:after="0"/>
              <w:rPr>
                <w:sz w:val="20"/>
                <w:szCs w:val="20"/>
                <w:color w:val="auto"/>
              </w:rPr>
            </w:pPr>
            <w:r>
              <w:rPr>
                <w:rFonts w:ascii="Arial" w:cs="Arial" w:eastAsia="Arial" w:hAnsi="Arial"/>
                <w:sz w:val="13"/>
                <w:szCs w:val="13"/>
                <w:color w:val="auto"/>
              </w:rPr>
              <w:t>Repurchase of common stock (Note 16)</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53"/>
              <w:spacing w:after="0"/>
              <w:rPr>
                <w:sz w:val="20"/>
                <w:szCs w:val="20"/>
                <w:color w:val="auto"/>
              </w:rPr>
            </w:pPr>
            <w:r>
              <w:rPr>
                <w:rFonts w:ascii="Arial" w:cs="Arial" w:eastAsia="Arial" w:hAnsi="Arial"/>
                <w:sz w:val="13"/>
                <w:szCs w:val="13"/>
                <w:color w:val="auto"/>
              </w:rPr>
              <w:t>(2,059,846 )</w:t>
            </w:r>
          </w:p>
        </w:tc>
        <w:tc>
          <w:tcPr>
            <w:tcW w:w="220" w:type="dxa"/>
            <w:vAlign w:val="bottom"/>
          </w:tcPr>
          <w:p>
            <w:pPr>
              <w:spacing w:after="0"/>
              <w:rPr>
                <w:sz w:val="14"/>
                <w:szCs w:val="14"/>
                <w:color w:val="auto"/>
              </w:rPr>
            </w:pPr>
          </w:p>
        </w:tc>
        <w:tc>
          <w:tcPr>
            <w:tcW w:w="460" w:type="dxa"/>
            <w:vAlign w:val="bottom"/>
            <w:gridSpan w:val="2"/>
          </w:tcPr>
          <w:p>
            <w:pPr>
              <w:jc w:val="right"/>
              <w:ind w:right="33"/>
              <w:spacing w:after="0"/>
              <w:rPr>
                <w:sz w:val="20"/>
                <w:szCs w:val="20"/>
                <w:color w:val="auto"/>
              </w:rPr>
            </w:pPr>
            <w:r>
              <w:rPr>
                <w:rFonts w:ascii="Arial" w:cs="Arial" w:eastAsia="Arial" w:hAnsi="Arial"/>
                <w:sz w:val="13"/>
                <w:szCs w:val="13"/>
                <w:color w:val="auto"/>
              </w:rPr>
              <w:t>(60 )</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(60 )</w:t>
            </w:r>
          </w:p>
        </w:tc>
        <w:tc>
          <w:tcPr>
            <w:tcW w:w="0" w:type="dxa"/>
            <w:vAlign w:val="bottom"/>
          </w:tcPr>
          <w:p>
            <w:pPr>
              <w:spacing w:after="0"/>
              <w:rPr>
                <w:sz w:val="1"/>
                <w:szCs w:val="1"/>
                <w:color w:val="auto"/>
              </w:rPr>
            </w:pPr>
          </w:p>
        </w:tc>
      </w:tr>
      <w:tr>
        <w:trPr>
          <w:trHeight w:val="124"/>
        </w:trPr>
        <w:tc>
          <w:tcPr>
            <w:tcW w:w="268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color w:val="auto"/>
              </w:rPr>
              <w:t>Cash dividends declared to common</w:t>
            </w:r>
          </w:p>
        </w:tc>
        <w:tc>
          <w:tcPr>
            <w:tcW w:w="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tcBorders>
              <w:right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8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stockholders (declared at $3.50 per share)</w:t>
            </w: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(488 )</w:t>
            </w: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(488 )</w:t>
            </w:r>
          </w:p>
        </w:tc>
        <w:tc>
          <w:tcPr>
            <w:tcW w:w="0" w:type="dxa"/>
            <w:vAlign w:val="bottom"/>
          </w:tcPr>
          <w:p>
            <w:pPr>
              <w:spacing w:after="0"/>
              <w:rPr>
                <w:sz w:val="1"/>
                <w:szCs w:val="1"/>
                <w:color w:val="auto"/>
              </w:rPr>
            </w:pPr>
          </w:p>
        </w:tc>
      </w:tr>
      <w:tr>
        <w:trPr>
          <w:trHeight w:val="173"/>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(Note 16)</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gridSpan w:val="2"/>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tcBorders>
              <w:right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680" w:type="dxa"/>
            <w:vAlign w:val="bottom"/>
          </w:tcPr>
          <w:p>
            <w:pPr>
              <w:ind w:left="20"/>
              <w:spacing w:after="0" w:line="124" w:lineRule="exact"/>
              <w:rPr>
                <w:sz w:val="20"/>
                <w:szCs w:val="20"/>
                <w:color w:val="auto"/>
              </w:rPr>
            </w:pPr>
            <w:r>
              <w:rPr>
                <w:rFonts w:ascii="Arial" w:cs="Arial" w:eastAsia="Arial" w:hAnsi="Arial"/>
                <w:sz w:val="13"/>
                <w:szCs w:val="13"/>
                <w:color w:val="auto"/>
              </w:rPr>
              <w:t>Common stock dividend equivalents awarded</w:t>
            </w: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line="135" w:lineRule="exact"/>
              <w:rPr>
                <w:sz w:val="20"/>
                <w:szCs w:val="20"/>
                <w:color w:val="auto"/>
              </w:rPr>
            </w:pPr>
            <w:r>
              <w:rPr>
                <w:rFonts w:ascii="Arial" w:cs="Arial" w:eastAsia="Arial" w:hAnsi="Arial"/>
                <w:sz w:val="13"/>
                <w:szCs w:val="13"/>
                <w:color w:val="auto"/>
              </w:rPr>
              <w:t>to holders of nonvested restricted stock units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(3 )</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(3 )</w:t>
            </w:r>
          </w:p>
        </w:tc>
        <w:tc>
          <w:tcPr>
            <w:tcW w:w="0" w:type="dxa"/>
            <w:vAlign w:val="bottom"/>
          </w:tcPr>
          <w:p>
            <w:pPr>
              <w:spacing w:after="0"/>
              <w:rPr>
                <w:sz w:val="1"/>
                <w:szCs w:val="1"/>
                <w:color w:val="auto"/>
              </w:rPr>
            </w:pPr>
          </w:p>
        </w:tc>
      </w:tr>
      <w:tr>
        <w:trPr>
          <w:trHeight w:val="173"/>
        </w:trPr>
        <w:tc>
          <w:tcPr>
            <w:tcW w:w="2680" w:type="dxa"/>
            <w:vAlign w:val="bottom"/>
          </w:tcPr>
          <w:p>
            <w:pPr>
              <w:ind w:left="20"/>
              <w:spacing w:after="0"/>
              <w:rPr>
                <w:sz w:val="20"/>
                <w:szCs w:val="20"/>
                <w:color w:val="auto"/>
              </w:rPr>
            </w:pPr>
            <w:r>
              <w:rPr>
                <w:rFonts w:ascii="Arial" w:cs="Arial" w:eastAsia="Arial" w:hAnsi="Arial"/>
                <w:sz w:val="13"/>
                <w:szCs w:val="13"/>
                <w:color w:val="auto"/>
              </w:rPr>
              <w:t>(Note 16)</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68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color w:val="auto"/>
              </w:rPr>
              <w:t>Withholding taxes on net share settlements of</w:t>
            </w:r>
          </w:p>
        </w:tc>
        <w:tc>
          <w:tcPr>
            <w:tcW w:w="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(29 )</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(29 )</w:t>
            </w:r>
          </w:p>
        </w:tc>
        <w:tc>
          <w:tcPr>
            <w:tcW w:w="0" w:type="dxa"/>
            <w:vAlign w:val="bottom"/>
          </w:tcPr>
          <w:p>
            <w:pPr>
              <w:spacing w:after="0"/>
              <w:rPr>
                <w:sz w:val="1"/>
                <w:szCs w:val="1"/>
                <w:color w:val="auto"/>
              </w:rPr>
            </w:pPr>
          </w:p>
        </w:tc>
      </w:tr>
      <w:tr>
        <w:trPr>
          <w:trHeight w:val="173"/>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equity awards</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tcBorders>
              <w:right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20"/>
              <w:spacing w:after="0"/>
              <w:rPr>
                <w:sz w:val="20"/>
                <w:szCs w:val="20"/>
                <w:color w:val="auto"/>
              </w:rPr>
            </w:pPr>
            <w:r>
              <w:rPr>
                <w:rFonts w:ascii="Arial" w:cs="Arial" w:eastAsia="Arial" w:hAnsi="Arial"/>
                <w:sz w:val="13"/>
                <w:szCs w:val="13"/>
                <w:color w:val="auto"/>
              </w:rPr>
              <w:t>Stock-based compensation (Note 15)</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56"/>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December 31, 2019</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138,698,307</w:t>
            </w: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54"/>
              <w:spacing w:after="0"/>
              <w:rPr>
                <w:sz w:val="20"/>
                <w:szCs w:val="20"/>
                <w:color w:val="auto"/>
              </w:rPr>
            </w:pPr>
            <w:r>
              <w:rPr>
                <w:rFonts w:ascii="Arial" w:cs="Arial" w:eastAsia="Arial" w:hAnsi="Arial"/>
                <w:sz w:val="13"/>
                <w:szCs w:val="13"/>
                <w:b w:val="1"/>
                <w:bCs w:val="1"/>
                <w:color w:val="auto"/>
                <w:w w:val="82"/>
              </w:rPr>
              <w:t>$</w:t>
            </w:r>
          </w:p>
        </w:tc>
        <w:tc>
          <w:tcPr>
            <w:tcW w:w="28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12,799,999</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14"/>
              <w:spacing w:after="0"/>
              <w:rPr>
                <w:sz w:val="20"/>
                <w:szCs w:val="20"/>
                <w:color w:val="auto"/>
              </w:rPr>
            </w:pPr>
            <w:r>
              <w:rPr>
                <w:rFonts w:ascii="Arial" w:cs="Arial" w:eastAsia="Arial" w:hAnsi="Arial"/>
                <w:sz w:val="13"/>
                <w:szCs w:val="13"/>
                <w:b w:val="1"/>
                <w:bCs w:val="1"/>
                <w:color w:val="auto"/>
                <w:w w:val="82"/>
              </w:rPr>
              <w:t>$</w:t>
            </w: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b w:val="1"/>
                <w:bCs w:val="1"/>
                <w:color w:val="auto"/>
                <w:w w:val="91"/>
              </w:rPr>
              <w:t>—</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1,150</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681</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(63</w:t>
            </w:r>
          </w:p>
        </w:tc>
        <w:tc>
          <w:tcPr>
            <w:tcW w:w="160" w:type="dxa"/>
            <w:vAlign w:val="bottom"/>
            <w:shd w:val="clear" w:color="auto" w:fill="CFF0FC"/>
          </w:tcPr>
          <w:p>
            <w:pPr>
              <w:jc w:val="right"/>
              <w:ind w:right="81"/>
              <w:spacing w:after="0"/>
              <w:rPr>
                <w:sz w:val="20"/>
                <w:szCs w:val="20"/>
                <w:color w:val="auto"/>
              </w:rPr>
            </w:pPr>
            <w:r>
              <w:rPr>
                <w:rFonts w:ascii="Arial" w:cs="Arial" w:eastAsia="Arial" w:hAnsi="Arial"/>
                <w:sz w:val="8"/>
                <w:szCs w:val="8"/>
                <w:b w:val="1"/>
                <w:bCs w:val="1"/>
                <w:color w:val="auto"/>
                <w:w w:val="73"/>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(14,116,534</w:t>
            </w:r>
          </w:p>
        </w:tc>
        <w:tc>
          <w:tcPr>
            <w:tcW w:w="180" w:type="dxa"/>
            <w:vAlign w:val="bottom"/>
            <w:shd w:val="clear" w:color="auto" w:fill="CFF0FC"/>
          </w:tcPr>
          <w:p>
            <w:pPr>
              <w:jc w:val="right"/>
              <w:ind w:right="53"/>
              <w:spacing w:after="0"/>
              <w:rPr>
                <w:sz w:val="20"/>
                <w:szCs w:val="20"/>
                <w:color w:val="auto"/>
              </w:rPr>
            </w:pPr>
            <w:r>
              <w:rPr>
                <w:rFonts w:ascii="Arial" w:cs="Arial" w:eastAsia="Arial" w:hAnsi="Arial"/>
                <w:sz w:val="13"/>
                <w:szCs w:val="13"/>
                <w:b w:val="1"/>
                <w:bCs w:val="1"/>
                <w:color w:val="auto"/>
                <w:w w:val="91"/>
              </w:rPr>
              <w:t>)</w:t>
            </w:r>
          </w:p>
        </w:tc>
        <w:tc>
          <w:tcPr>
            <w:tcW w:w="220" w:type="dxa"/>
            <w:vAlign w:val="bottom"/>
            <w:shd w:val="clear" w:color="auto" w:fill="CFF0FC"/>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99"/>
              </w:rPr>
              <w:t>(607</w:t>
            </w:r>
          </w:p>
        </w:tc>
        <w:tc>
          <w:tcPr>
            <w:tcW w:w="160" w:type="dxa"/>
            <w:vAlign w:val="bottom"/>
            <w:shd w:val="clear" w:color="auto" w:fill="CFF0FC"/>
          </w:tcPr>
          <w:p>
            <w:pPr>
              <w:jc w:val="right"/>
              <w:ind w:right="33"/>
              <w:spacing w:after="0"/>
              <w:rPr>
                <w:sz w:val="20"/>
                <w:szCs w:val="20"/>
                <w:color w:val="auto"/>
              </w:rPr>
            </w:pPr>
            <w:r>
              <w:rPr>
                <w:rFonts w:ascii="Arial" w:cs="Arial" w:eastAsia="Arial" w:hAnsi="Arial"/>
                <w:sz w:val="13"/>
                <w:szCs w:val="13"/>
                <w:b w:val="1"/>
                <w:bCs w:val="1"/>
                <w:color w:val="auto"/>
                <w:w w:val="91"/>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1,161</w:t>
            </w:r>
          </w:p>
        </w:tc>
        <w:tc>
          <w:tcPr>
            <w:tcW w:w="0" w:type="dxa"/>
            <w:vAlign w:val="bottom"/>
          </w:tcPr>
          <w:p>
            <w:pPr>
              <w:spacing w:after="0"/>
              <w:rPr>
                <w:sz w:val="1"/>
                <w:szCs w:val="1"/>
                <w:color w:val="auto"/>
              </w:rPr>
            </w:pPr>
          </w:p>
        </w:tc>
      </w:tr>
      <w:tr>
        <w:trPr>
          <w:trHeight w:val="162"/>
        </w:trPr>
        <w:tc>
          <w:tcPr>
            <w:tcW w:w="268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(289 )</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(289 )</w:t>
            </w:r>
          </w:p>
        </w:tc>
        <w:tc>
          <w:tcPr>
            <w:tcW w:w="0" w:type="dxa"/>
            <w:vAlign w:val="bottom"/>
          </w:tcPr>
          <w:p>
            <w:pPr>
              <w:spacing w:after="0"/>
              <w:rPr>
                <w:sz w:val="1"/>
                <w:szCs w:val="1"/>
                <w:color w:val="auto"/>
              </w:rPr>
            </w:pPr>
          </w:p>
        </w:tc>
      </w:tr>
      <w:tr>
        <w:trPr>
          <w:trHeight w:val="124"/>
        </w:trPr>
        <w:tc>
          <w:tcPr>
            <w:tcW w:w="268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color w:val="auto"/>
              </w:rPr>
              <w:t>Cumulative effect adjustment from adoption</w:t>
            </w:r>
          </w:p>
        </w:tc>
        <w:tc>
          <w:tcPr>
            <w:tcW w:w="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(3 )</w:t>
            </w: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(3 )</w:t>
            </w:r>
          </w:p>
        </w:tc>
        <w:tc>
          <w:tcPr>
            <w:tcW w:w="0" w:type="dxa"/>
            <w:vAlign w:val="bottom"/>
          </w:tcPr>
          <w:p>
            <w:pPr>
              <w:spacing w:after="0"/>
              <w:rPr>
                <w:sz w:val="1"/>
                <w:szCs w:val="1"/>
                <w:color w:val="auto"/>
              </w:rPr>
            </w:pPr>
          </w:p>
        </w:tc>
      </w:tr>
      <w:tr>
        <w:trPr>
          <w:trHeight w:val="173"/>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of new accounting guidance</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gridSpan w:val="2"/>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tcBorders>
              <w:right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20"/>
              <w:spacing w:after="0"/>
              <w:rPr>
                <w:sz w:val="20"/>
                <w:szCs w:val="20"/>
                <w:color w:val="auto"/>
              </w:rPr>
            </w:pPr>
            <w:r>
              <w:rPr>
                <w:rFonts w:ascii="Arial" w:cs="Arial" w:eastAsia="Arial" w:hAnsi="Arial"/>
                <w:sz w:val="13"/>
                <w:szCs w:val="13"/>
                <w:color w:val="auto"/>
                <w:w w:val="99"/>
              </w:rPr>
              <w:t>Other comprehensive income (loss), net of tax</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29</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24"/>
        </w:trPr>
        <w:tc>
          <w:tcPr>
            <w:tcW w:w="268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color w:val="auto"/>
              </w:rPr>
              <w:t>Issuance of common stock related to exercise</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2,076,914</w:t>
            </w: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of options and vesting of RSUs</w:t>
            </w:r>
          </w:p>
        </w:tc>
        <w:tc>
          <w:tcPr>
            <w:tcW w:w="82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tcBorders>
              <w:right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20"/>
              <w:spacing w:after="0"/>
              <w:rPr>
                <w:sz w:val="20"/>
                <w:szCs w:val="20"/>
                <w:color w:val="auto"/>
              </w:rPr>
            </w:pPr>
            <w:r>
              <w:rPr>
                <w:rFonts w:ascii="Arial" w:cs="Arial" w:eastAsia="Arial" w:hAnsi="Arial"/>
                <w:sz w:val="13"/>
                <w:szCs w:val="13"/>
                <w:color w:val="auto"/>
              </w:rPr>
              <w:t>Repurchase of common stock (Note 16)</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53"/>
              <w:spacing w:after="0"/>
              <w:rPr>
                <w:sz w:val="20"/>
                <w:szCs w:val="20"/>
                <w:color w:val="auto"/>
              </w:rPr>
            </w:pPr>
            <w:r>
              <w:rPr>
                <w:rFonts w:ascii="Arial" w:cs="Arial" w:eastAsia="Arial" w:hAnsi="Arial"/>
                <w:sz w:val="13"/>
                <w:szCs w:val="13"/>
                <w:color w:val="auto"/>
              </w:rPr>
              <w:t>(4,707,450 )</w:t>
            </w:r>
          </w:p>
        </w:tc>
        <w:tc>
          <w:tcPr>
            <w:tcW w:w="220" w:type="dxa"/>
            <w:vAlign w:val="bottom"/>
          </w:tcPr>
          <w:p>
            <w:pPr>
              <w:spacing w:after="0"/>
              <w:rPr>
                <w:sz w:val="14"/>
                <w:szCs w:val="14"/>
                <w:color w:val="auto"/>
              </w:rPr>
            </w:pPr>
          </w:p>
        </w:tc>
        <w:tc>
          <w:tcPr>
            <w:tcW w:w="460" w:type="dxa"/>
            <w:vAlign w:val="bottom"/>
            <w:gridSpan w:val="2"/>
          </w:tcPr>
          <w:p>
            <w:pPr>
              <w:jc w:val="right"/>
              <w:ind w:right="33"/>
              <w:spacing w:after="0"/>
              <w:rPr>
                <w:sz w:val="20"/>
                <w:szCs w:val="20"/>
                <w:color w:val="auto"/>
              </w:rPr>
            </w:pPr>
            <w:r>
              <w:rPr>
                <w:rFonts w:ascii="Arial" w:cs="Arial" w:eastAsia="Arial" w:hAnsi="Arial"/>
                <w:sz w:val="13"/>
                <w:szCs w:val="13"/>
                <w:color w:val="auto"/>
                <w:w w:val="99"/>
              </w:rPr>
              <w:t>(115 )</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(115 )</w:t>
            </w:r>
          </w:p>
        </w:tc>
        <w:tc>
          <w:tcPr>
            <w:tcW w:w="0" w:type="dxa"/>
            <w:vAlign w:val="bottom"/>
          </w:tcPr>
          <w:p>
            <w:pPr>
              <w:spacing w:after="0"/>
              <w:rPr>
                <w:sz w:val="1"/>
                <w:szCs w:val="1"/>
                <w:color w:val="auto"/>
              </w:rPr>
            </w:pPr>
          </w:p>
        </w:tc>
      </w:tr>
      <w:tr>
        <w:trPr>
          <w:trHeight w:val="124"/>
        </w:trPr>
        <w:tc>
          <w:tcPr>
            <w:tcW w:w="268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color w:val="auto"/>
              </w:rPr>
              <w:t>Withholding taxes on net share settlements of</w:t>
            </w:r>
          </w:p>
        </w:tc>
        <w:tc>
          <w:tcPr>
            <w:tcW w:w="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(21 )</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(21 )</w:t>
            </w:r>
          </w:p>
        </w:tc>
        <w:tc>
          <w:tcPr>
            <w:tcW w:w="0" w:type="dxa"/>
            <w:vAlign w:val="bottom"/>
          </w:tcPr>
          <w:p>
            <w:pPr>
              <w:spacing w:after="0"/>
              <w:rPr>
                <w:sz w:val="1"/>
                <w:szCs w:val="1"/>
                <w:color w:val="auto"/>
              </w:rPr>
            </w:pPr>
          </w:p>
        </w:tc>
      </w:tr>
      <w:tr>
        <w:trPr>
          <w:trHeight w:val="173"/>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equity awards</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tcBorders>
              <w:right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20"/>
              <w:spacing w:after="0"/>
              <w:rPr>
                <w:sz w:val="20"/>
                <w:szCs w:val="20"/>
                <w:color w:val="auto"/>
              </w:rPr>
            </w:pPr>
            <w:r>
              <w:rPr>
                <w:rFonts w:ascii="Arial" w:cs="Arial" w:eastAsia="Arial" w:hAnsi="Arial"/>
                <w:sz w:val="13"/>
                <w:szCs w:val="13"/>
                <w:color w:val="auto"/>
              </w:rPr>
              <w:t>Stock-based compensation (Note 15)</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w:t>
            </w: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53"/>
              <w:spacing w:after="0"/>
              <w:rPr>
                <w:sz w:val="20"/>
                <w:szCs w:val="20"/>
                <w:color w:val="auto"/>
              </w:rPr>
            </w:pPr>
            <w:r>
              <w:rPr>
                <w:rFonts w:ascii="Arial" w:cs="Arial" w:eastAsia="Arial" w:hAnsi="Arial"/>
                <w:sz w:val="13"/>
                <w:szCs w:val="13"/>
                <w:color w:val="auto"/>
              </w:rPr>
              <w:t>(20,630 )</w:t>
            </w:r>
          </w:p>
        </w:tc>
        <w:tc>
          <w:tcPr>
            <w:tcW w:w="22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80" w:type="dxa"/>
            <w:vAlign w:val="bottom"/>
          </w:tcPr>
          <w:p>
            <w:pPr>
              <w:ind w:left="20"/>
              <w:spacing w:after="0"/>
              <w:rPr>
                <w:sz w:val="20"/>
                <w:szCs w:val="20"/>
                <w:color w:val="auto"/>
              </w:rPr>
            </w:pPr>
            <w:r>
              <w:rPr>
                <w:rFonts w:ascii="Arial" w:cs="Arial" w:eastAsia="Arial" w:hAnsi="Arial"/>
                <w:sz w:val="13"/>
                <w:szCs w:val="13"/>
                <w:b w:val="1"/>
                <w:bCs w:val="1"/>
                <w:color w:val="auto"/>
              </w:rPr>
              <w:t>Balance as of December 31, 2020</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140,775,221</w:t>
            </w:r>
          </w:p>
        </w:tc>
        <w:tc>
          <w:tcPr>
            <w:tcW w:w="160" w:type="dxa"/>
            <w:vAlign w:val="bottom"/>
          </w:tcPr>
          <w:p>
            <w:pPr>
              <w:spacing w:after="0"/>
              <w:rPr>
                <w:sz w:val="13"/>
                <w:szCs w:val="13"/>
                <w:color w:val="auto"/>
              </w:rPr>
            </w:pPr>
          </w:p>
        </w:tc>
        <w:tc>
          <w:tcPr>
            <w:tcW w:w="300" w:type="dxa"/>
            <w:vAlign w:val="bottom"/>
          </w:tcPr>
          <w:p>
            <w:pPr>
              <w:jc w:val="right"/>
              <w:ind w:right="154"/>
              <w:spacing w:after="0"/>
              <w:rPr>
                <w:sz w:val="20"/>
                <w:szCs w:val="20"/>
                <w:color w:val="auto"/>
              </w:rPr>
            </w:pPr>
            <w:r>
              <w:rPr>
                <w:rFonts w:ascii="Arial" w:cs="Arial" w:eastAsia="Arial" w:hAnsi="Arial"/>
                <w:sz w:val="13"/>
                <w:szCs w:val="13"/>
                <w:b w:val="1"/>
                <w:bCs w:val="1"/>
                <w:color w:val="auto"/>
                <w:w w:val="82"/>
              </w:rPr>
              <w:t>$</w:t>
            </w:r>
          </w:p>
        </w:tc>
        <w:tc>
          <w:tcPr>
            <w:tcW w:w="280" w:type="dxa"/>
            <w:vAlign w:val="bottom"/>
          </w:tcPr>
          <w:p>
            <w:pPr>
              <w:ind w:left="12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12,799,999</w:t>
            </w:r>
          </w:p>
        </w:tc>
        <w:tc>
          <w:tcPr>
            <w:tcW w:w="180" w:type="dxa"/>
            <w:vAlign w:val="bottom"/>
          </w:tcPr>
          <w:p>
            <w:pPr>
              <w:spacing w:after="0"/>
              <w:rPr>
                <w:sz w:val="13"/>
                <w:szCs w:val="13"/>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b w:val="1"/>
                <w:bCs w:val="1"/>
                <w:color w:val="auto"/>
                <w:w w:val="82"/>
              </w:rPr>
              <w:t>$</w:t>
            </w:r>
          </w:p>
        </w:tc>
        <w:tc>
          <w:tcPr>
            <w:tcW w:w="280" w:type="dxa"/>
            <w:vAlign w:val="bottom"/>
          </w:tcPr>
          <w:p>
            <w:pPr>
              <w:ind w:left="140"/>
              <w:spacing w:after="0"/>
              <w:rPr>
                <w:sz w:val="20"/>
                <w:szCs w:val="20"/>
                <w:color w:val="auto"/>
              </w:rPr>
            </w:pPr>
            <w:r>
              <w:rPr>
                <w:rFonts w:ascii="Arial" w:cs="Arial" w:eastAsia="Arial" w:hAnsi="Arial"/>
                <w:sz w:val="13"/>
                <w:szCs w:val="13"/>
                <w:b w:val="1"/>
                <w:bCs w:val="1"/>
                <w:color w:val="auto"/>
                <w:w w:val="91"/>
              </w:rPr>
              <w:t>—</w:t>
            </w:r>
          </w:p>
        </w:tc>
        <w:tc>
          <w:tcPr>
            <w:tcW w:w="1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1,253</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389</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020" w:type="dxa"/>
            <w:vAlign w:val="bottom"/>
            <w:gridSpan w:val="2"/>
          </w:tcPr>
          <w:p>
            <w:pPr>
              <w:jc w:val="right"/>
              <w:ind w:right="81"/>
              <w:spacing w:after="0"/>
              <w:rPr>
                <w:sz w:val="20"/>
                <w:szCs w:val="20"/>
                <w:color w:val="auto"/>
              </w:rPr>
            </w:pPr>
            <w:r>
              <w:rPr>
                <w:rFonts w:ascii="Arial" w:cs="Arial" w:eastAsia="Arial" w:hAnsi="Arial"/>
                <w:sz w:val="13"/>
                <w:szCs w:val="13"/>
                <w:b w:val="1"/>
                <w:bCs w:val="1"/>
                <w:color w:val="auto"/>
              </w:rPr>
              <w:t>(34 )</w:t>
            </w:r>
          </w:p>
        </w:tc>
        <w:tc>
          <w:tcPr>
            <w:tcW w:w="92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(18,844,614 )</w:t>
            </w:r>
          </w:p>
        </w:tc>
        <w:tc>
          <w:tcPr>
            <w:tcW w:w="220" w:type="dxa"/>
            <w:vAlign w:val="bottom"/>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46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w w:val="99"/>
              </w:rPr>
              <w:t>(722 )</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886</w:t>
            </w: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 (loss)</w:t>
            </w: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(148 )</w:t>
            </w: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(148 )</w:t>
            </w:r>
          </w:p>
        </w:tc>
        <w:tc>
          <w:tcPr>
            <w:tcW w:w="0" w:type="dxa"/>
            <w:vAlign w:val="bottom"/>
          </w:tcPr>
          <w:p>
            <w:pPr>
              <w:spacing w:after="0"/>
              <w:rPr>
                <w:sz w:val="1"/>
                <w:szCs w:val="1"/>
                <w:color w:val="auto"/>
              </w:rPr>
            </w:pPr>
          </w:p>
        </w:tc>
      </w:tr>
      <w:tr>
        <w:trPr>
          <w:trHeight w:val="162"/>
        </w:trPr>
        <w:tc>
          <w:tcPr>
            <w:tcW w:w="2680" w:type="dxa"/>
            <w:vAlign w:val="bottom"/>
          </w:tcPr>
          <w:p>
            <w:pPr>
              <w:ind w:left="20"/>
              <w:spacing w:after="0"/>
              <w:rPr>
                <w:sz w:val="20"/>
                <w:szCs w:val="20"/>
                <w:color w:val="auto"/>
              </w:rPr>
            </w:pPr>
            <w:r>
              <w:rPr>
                <w:rFonts w:ascii="Arial" w:cs="Arial" w:eastAsia="Arial" w:hAnsi="Arial"/>
                <w:sz w:val="13"/>
                <w:szCs w:val="13"/>
                <w:color w:val="auto"/>
                <w:w w:val="99"/>
              </w:rPr>
              <w:t>Other comprehensive income (loss), net of tax</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3"/>
                <w:szCs w:val="13"/>
                <w:color w:val="auto"/>
              </w:rPr>
              <w:t>(22 )</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(22 )</w:t>
            </w:r>
          </w:p>
        </w:tc>
        <w:tc>
          <w:tcPr>
            <w:tcW w:w="0" w:type="dxa"/>
            <w:vAlign w:val="bottom"/>
          </w:tcPr>
          <w:p>
            <w:pPr>
              <w:spacing w:after="0"/>
              <w:rPr>
                <w:sz w:val="1"/>
                <w:szCs w:val="1"/>
                <w:color w:val="auto"/>
              </w:rPr>
            </w:pPr>
          </w:p>
        </w:tc>
      </w:tr>
      <w:tr>
        <w:trPr>
          <w:trHeight w:val="124"/>
        </w:trPr>
        <w:tc>
          <w:tcPr>
            <w:tcW w:w="268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color w:val="auto"/>
              </w:rPr>
              <w:t>Issuance of common stock related to exercise</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3,881,428</w:t>
            </w: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3"/>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of options and vesting of RSUs</w:t>
            </w:r>
          </w:p>
        </w:tc>
        <w:tc>
          <w:tcPr>
            <w:tcW w:w="82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tcBorders>
              <w:right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680" w:type="dxa"/>
            <w:vAlign w:val="bottom"/>
          </w:tcPr>
          <w:p>
            <w:pPr>
              <w:ind w:left="20"/>
              <w:spacing w:after="0" w:line="124" w:lineRule="exact"/>
              <w:rPr>
                <w:sz w:val="20"/>
                <w:szCs w:val="20"/>
                <w:color w:val="auto"/>
              </w:rPr>
            </w:pPr>
            <w:r>
              <w:rPr>
                <w:rFonts w:ascii="Arial" w:cs="Arial" w:eastAsia="Arial" w:hAnsi="Arial"/>
                <w:sz w:val="13"/>
                <w:szCs w:val="13"/>
                <w:color w:val="auto"/>
              </w:rPr>
              <w:t>Purchase of capped calls, net of tax of</w:t>
            </w: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(26 )</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(26 )</w:t>
            </w:r>
          </w:p>
        </w:tc>
        <w:tc>
          <w:tcPr>
            <w:tcW w:w="0" w:type="dxa"/>
            <w:vAlign w:val="bottom"/>
          </w:tcPr>
          <w:p>
            <w:pPr>
              <w:spacing w:after="0"/>
              <w:rPr>
                <w:sz w:val="1"/>
                <w:szCs w:val="1"/>
                <w:color w:val="auto"/>
              </w:rPr>
            </w:pPr>
          </w:p>
        </w:tc>
      </w:tr>
      <w:tr>
        <w:trPr>
          <w:trHeight w:val="173"/>
        </w:trPr>
        <w:tc>
          <w:tcPr>
            <w:tcW w:w="2680" w:type="dxa"/>
            <w:vAlign w:val="bottom"/>
          </w:tcPr>
          <w:p>
            <w:pPr>
              <w:ind w:left="20"/>
              <w:spacing w:after="0"/>
              <w:rPr>
                <w:sz w:val="20"/>
                <w:szCs w:val="20"/>
                <w:color w:val="auto"/>
              </w:rPr>
            </w:pPr>
            <w:r>
              <w:rPr>
                <w:rFonts w:ascii="Arial" w:cs="Arial" w:eastAsia="Arial" w:hAnsi="Arial"/>
                <w:sz w:val="13"/>
                <w:szCs w:val="13"/>
                <w:color w:val="auto"/>
              </w:rPr>
              <w:t>$9 million (Note 10)</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68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color w:val="auto"/>
              </w:rPr>
              <w:t>Withholding taxes on net share settlements of</w:t>
            </w:r>
          </w:p>
        </w:tc>
        <w:tc>
          <w:tcPr>
            <w:tcW w:w="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(44 )</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(44 )</w:t>
            </w:r>
          </w:p>
        </w:tc>
        <w:tc>
          <w:tcPr>
            <w:tcW w:w="0" w:type="dxa"/>
            <w:vAlign w:val="bottom"/>
          </w:tcPr>
          <w:p>
            <w:pPr>
              <w:spacing w:after="0"/>
              <w:rPr>
                <w:sz w:val="1"/>
                <w:szCs w:val="1"/>
                <w:color w:val="auto"/>
              </w:rPr>
            </w:pPr>
          </w:p>
        </w:tc>
      </w:tr>
      <w:tr>
        <w:trPr>
          <w:trHeight w:val="173"/>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equity awards</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tcBorders>
              <w:right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20"/>
              <w:spacing w:after="0"/>
              <w:rPr>
                <w:sz w:val="20"/>
                <w:szCs w:val="20"/>
                <w:color w:val="auto"/>
              </w:rPr>
            </w:pPr>
            <w:r>
              <w:rPr>
                <w:rFonts w:ascii="Arial" w:cs="Arial" w:eastAsia="Arial" w:hAnsi="Arial"/>
                <w:sz w:val="13"/>
                <w:szCs w:val="13"/>
                <w:color w:val="auto"/>
              </w:rPr>
              <w:t>Stock-based compensation (Note 15)</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95"/>
        </w:trPr>
        <w:tc>
          <w:tcPr>
            <w:tcW w:w="268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Balance as of December 31, 2021</w:t>
            </w: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144,656,649</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54"/>
              <w:spacing w:after="0" w:line="142" w:lineRule="exact"/>
              <w:rPr>
                <w:sz w:val="20"/>
                <w:szCs w:val="20"/>
                <w:color w:val="auto"/>
              </w:rPr>
            </w:pPr>
            <w:r>
              <w:rPr>
                <w:rFonts w:ascii="Arial" w:cs="Arial" w:eastAsia="Arial" w:hAnsi="Arial"/>
                <w:sz w:val="13"/>
                <w:szCs w:val="13"/>
                <w:b w:val="1"/>
                <w:bCs w:val="1"/>
                <w:color w:val="auto"/>
                <w:w w:val="82"/>
              </w:rPr>
              <w:t>$</w:t>
            </w:r>
          </w:p>
        </w:tc>
        <w:tc>
          <w:tcPr>
            <w:tcW w:w="280" w:type="dxa"/>
            <w:vAlign w:val="bottom"/>
            <w:tcBorders>
              <w:bottom w:val="single" w:sz="8" w:color="auto"/>
            </w:tcBorders>
            <w:shd w:val="clear" w:color="auto" w:fill="CFF0FC"/>
          </w:tcPr>
          <w:p>
            <w:pPr>
              <w:ind w:left="120"/>
              <w:spacing w:after="0" w:line="142" w:lineRule="exact"/>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12,799,999</w:t>
            </w:r>
          </w:p>
        </w:tc>
        <w:tc>
          <w:tcPr>
            <w:tcW w:w="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14"/>
              <w:spacing w:after="0" w:line="142" w:lineRule="exact"/>
              <w:rPr>
                <w:sz w:val="20"/>
                <w:szCs w:val="20"/>
                <w:color w:val="auto"/>
              </w:rPr>
            </w:pPr>
            <w:r>
              <w:rPr>
                <w:rFonts w:ascii="Arial" w:cs="Arial" w:eastAsia="Arial" w:hAnsi="Arial"/>
                <w:sz w:val="13"/>
                <w:szCs w:val="13"/>
                <w:b w:val="1"/>
                <w:bCs w:val="1"/>
                <w:color w:val="auto"/>
                <w:w w:val="82"/>
              </w:rPr>
              <w:t>$</w:t>
            </w:r>
          </w:p>
        </w:tc>
        <w:tc>
          <w:tcPr>
            <w:tcW w:w="280" w:type="dxa"/>
            <w:vAlign w:val="bottom"/>
            <w:tcBorders>
              <w:bottom w:val="single" w:sz="8" w:color="auto"/>
            </w:tcBorders>
            <w:shd w:val="clear" w:color="auto" w:fill="CFF0FC"/>
          </w:tcPr>
          <w:p>
            <w:pPr>
              <w:ind w:left="140"/>
              <w:spacing w:after="0" w:line="142" w:lineRule="exact"/>
              <w:rPr>
                <w:sz w:val="20"/>
                <w:szCs w:val="20"/>
                <w:color w:val="auto"/>
              </w:rPr>
            </w:pPr>
            <w:r>
              <w:rPr>
                <w:rFonts w:ascii="Arial" w:cs="Arial" w:eastAsia="Arial" w:hAnsi="Arial"/>
                <w:sz w:val="13"/>
                <w:szCs w:val="13"/>
                <w:b w:val="1"/>
                <w:bCs w:val="1"/>
                <w:color w:val="auto"/>
                <w:w w:val="91"/>
              </w:rPr>
              <w:t>—</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1,326</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241</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(56</w:t>
            </w:r>
          </w:p>
        </w:tc>
        <w:tc>
          <w:tcPr>
            <w:tcW w:w="16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8"/>
                <w:szCs w:val="8"/>
                <w:b w:val="1"/>
                <w:bCs w:val="1"/>
                <w:color w:val="auto"/>
                <w:w w:val="73"/>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(18,844,614</w:t>
            </w:r>
          </w:p>
        </w:tc>
        <w:tc>
          <w:tcPr>
            <w:tcW w:w="180" w:type="dxa"/>
            <w:vAlign w:val="bottom"/>
            <w:tcBorders>
              <w:bottom w:val="single" w:sz="8" w:color="CFF0FC"/>
            </w:tcBorders>
            <w:shd w:val="clear" w:color="auto" w:fill="CFF0FC"/>
          </w:tcPr>
          <w:p>
            <w:pPr>
              <w:jc w:val="right"/>
              <w:ind w:right="53"/>
              <w:spacing w:after="0" w:line="142" w:lineRule="exact"/>
              <w:rPr>
                <w:sz w:val="20"/>
                <w:szCs w:val="20"/>
                <w:color w:val="auto"/>
              </w:rPr>
            </w:pPr>
            <w:r>
              <w:rPr>
                <w:rFonts w:ascii="Arial" w:cs="Arial" w:eastAsia="Arial" w:hAnsi="Arial"/>
                <w:sz w:val="13"/>
                <w:szCs w:val="13"/>
                <w:b w:val="1"/>
                <w:bCs w:val="1"/>
                <w:color w:val="auto"/>
                <w:w w:val="91"/>
              </w:rPr>
              <w:t>)</w:t>
            </w:r>
          </w:p>
        </w:tc>
        <w:tc>
          <w:tcPr>
            <w:tcW w:w="220" w:type="dxa"/>
            <w:vAlign w:val="bottom"/>
            <w:tcBorders>
              <w:bottom w:val="single" w:sz="8" w:color="auto"/>
            </w:tcBorders>
            <w:shd w:val="clear" w:color="auto" w:fill="CFF0FC"/>
          </w:tcPr>
          <w:p>
            <w:pPr>
              <w:jc w:val="right"/>
              <w:ind w:right="74"/>
              <w:spacing w:after="0" w:line="142" w:lineRule="exact"/>
              <w:rPr>
                <w:sz w:val="20"/>
                <w:szCs w:val="20"/>
                <w:color w:val="auto"/>
              </w:rPr>
            </w:pPr>
            <w:r>
              <w:rPr>
                <w:rFonts w:ascii="Arial" w:cs="Arial" w:eastAsia="Arial" w:hAnsi="Arial"/>
                <w:sz w:val="13"/>
                <w:szCs w:val="13"/>
                <w:b w:val="1"/>
                <w:bCs w:val="1"/>
                <w:color w:val="auto"/>
                <w:w w:val="82"/>
              </w:rPr>
              <w:t>$</w:t>
            </w:r>
          </w:p>
        </w:tc>
        <w:tc>
          <w:tcPr>
            <w:tcW w:w="3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99"/>
              </w:rPr>
              <w:t>(722</w:t>
            </w:r>
          </w:p>
        </w:tc>
        <w:tc>
          <w:tcPr>
            <w:tcW w:w="160" w:type="dxa"/>
            <w:vAlign w:val="bottom"/>
            <w:tcBorders>
              <w:bottom w:val="single" w:sz="8" w:color="CFF0FC"/>
            </w:tcBorders>
            <w:shd w:val="clear" w:color="auto" w:fill="CFF0FC"/>
          </w:tcPr>
          <w:p>
            <w:pPr>
              <w:jc w:val="right"/>
              <w:ind w:right="33"/>
              <w:spacing w:after="0" w:line="142" w:lineRule="exact"/>
              <w:rPr>
                <w:sz w:val="20"/>
                <w:szCs w:val="20"/>
                <w:color w:val="auto"/>
              </w:rPr>
            </w:pPr>
            <w:r>
              <w:rPr>
                <w:rFonts w:ascii="Arial" w:cs="Arial" w:eastAsia="Arial" w:hAnsi="Arial"/>
                <w:sz w:val="13"/>
                <w:szCs w:val="13"/>
                <w:b w:val="1"/>
                <w:bCs w:val="1"/>
                <w:color w:val="auto"/>
                <w:w w:val="91"/>
              </w:rPr>
              <w:t>)</w:t>
            </w: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480" w:type="dxa"/>
            <w:vAlign w:val="bottom"/>
            <w:tcBorders>
              <w:bottom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789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-1119505</wp:posOffset>
            </wp:positionV>
            <wp:extent cx="3429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-1119505</wp:posOffset>
            </wp:positionV>
            <wp:extent cx="3429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-1119505</wp:posOffset>
            </wp:positionV>
            <wp:extent cx="3429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-1119505</wp:posOffset>
            </wp:positionV>
            <wp:extent cx="2540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-1119505</wp:posOffset>
            </wp:positionV>
            <wp:extent cx="3429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-1119505</wp:posOffset>
            </wp:positionV>
            <wp:extent cx="3429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-1119505</wp:posOffset>
            </wp:positionV>
            <wp:extent cx="3429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-1119505</wp:posOffset>
            </wp:positionV>
            <wp:extent cx="3429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-1119505</wp:posOffset>
            </wp:positionV>
            <wp:extent cx="3429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-1119505</wp:posOffset>
            </wp:positionV>
            <wp:extent cx="3429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-24765</wp:posOffset>
            </wp:positionV>
            <wp:extent cx="342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-7620</wp:posOffset>
            </wp:positionV>
            <wp:extent cx="342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-24765</wp:posOffset>
            </wp:positionV>
            <wp:extent cx="342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-7620</wp:posOffset>
            </wp:positionV>
            <wp:extent cx="342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-24765</wp:posOffset>
            </wp:positionV>
            <wp:extent cx="342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342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254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254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342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342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342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342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342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342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342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342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-24765</wp:posOffset>
            </wp:positionV>
            <wp:extent cx="342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-7620</wp:posOffset>
            </wp:positionV>
            <wp:extent cx="342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4" w:name="page65"/>
    <w:bookmarkEnd w:id="64"/>
    <w:p>
      <w:pPr>
        <w:jc w:val="center"/>
        <w:ind w:right="40"/>
        <w:spacing w:after="0"/>
        <w:rPr>
          <w:sz w:val="20"/>
          <w:szCs w:val="20"/>
          <w:color w:val="auto"/>
        </w:rPr>
      </w:pPr>
      <w:r>
        <w:rPr>
          <w:rFonts w:ascii="Arial" w:cs="Arial" w:eastAsia="Arial" w:hAnsi="Arial"/>
          <w:sz w:val="18"/>
          <w:szCs w:val="18"/>
          <w:b w:val="1"/>
          <w:bCs w:val="1"/>
          <w:color w:val="auto"/>
        </w:rPr>
        <w:t>TRIPADVISOR,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w w:val="90"/>
              </w:rPr>
              <w:t>Year ended December 31,</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Operating activities:</w:t>
            </w:r>
          </w:p>
        </w:tc>
        <w:tc>
          <w:tcPr>
            <w:tcW w:w="7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0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700" w:type="dxa"/>
            <w:vAlign w:val="bottom"/>
          </w:tcPr>
          <w:p>
            <w:pPr>
              <w:jc w:val="right"/>
              <w:ind w:right="544"/>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4"/>
              <w:spacing w:after="0"/>
              <w:rPr>
                <w:sz w:val="20"/>
                <w:szCs w:val="20"/>
                <w:color w:val="auto"/>
              </w:rPr>
            </w:pPr>
            <w:r>
              <w:rPr>
                <w:rFonts w:ascii="Arial" w:cs="Arial" w:eastAsia="Arial" w:hAnsi="Arial"/>
                <w:sz w:val="15"/>
                <w:szCs w:val="15"/>
                <w:color w:val="auto"/>
                <w:w w:val="96"/>
              </w:rPr>
              <w:t>(148 )</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4"/>
              <w:spacing w:after="0"/>
              <w:rPr>
                <w:sz w:val="20"/>
                <w:szCs w:val="20"/>
                <w:color w:val="auto"/>
              </w:rPr>
            </w:pPr>
            <w:r>
              <w:rPr>
                <w:rFonts w:ascii="Arial" w:cs="Arial" w:eastAsia="Arial" w:hAnsi="Arial"/>
                <w:sz w:val="15"/>
                <w:szCs w:val="15"/>
                <w:color w:val="auto"/>
              </w:rPr>
              <w:t>(289 )</w:t>
            </w:r>
          </w:p>
        </w:tc>
        <w:tc>
          <w:tcPr>
            <w:tcW w:w="2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126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00" w:type="dxa"/>
            <w:vAlign w:val="bottom"/>
            <w:shd w:val="clear" w:color="auto" w:fill="CFF0FC"/>
          </w:tcPr>
          <w:p>
            <w:pPr>
              <w:ind w:left="20"/>
              <w:spacing w:after="0"/>
              <w:rPr>
                <w:sz w:val="20"/>
                <w:szCs w:val="20"/>
                <w:color w:val="auto"/>
              </w:rPr>
            </w:pPr>
            <w:r>
              <w:rPr>
                <w:rFonts w:ascii="Arial" w:cs="Arial" w:eastAsia="Arial" w:hAnsi="Arial"/>
                <w:sz w:val="15"/>
                <w:szCs w:val="15"/>
                <w:color w:val="auto"/>
              </w:rPr>
              <w:t>Adjustments to reconcile net income (loss) to net cash provided by (used in) operating activities:</w:t>
            </w: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00" w:type="dxa"/>
            <w:vAlign w:val="bottom"/>
          </w:tcPr>
          <w:p>
            <w:pPr>
              <w:ind w:left="200"/>
              <w:spacing w:after="0"/>
              <w:rPr>
                <w:sz w:val="20"/>
                <w:szCs w:val="20"/>
                <w:color w:val="auto"/>
              </w:rPr>
            </w:pPr>
            <w:r>
              <w:rPr>
                <w:rFonts w:ascii="Arial" w:cs="Arial" w:eastAsia="Arial" w:hAnsi="Arial"/>
                <w:sz w:val="15"/>
                <w:szCs w:val="15"/>
                <w:color w:val="auto"/>
              </w:rPr>
              <w:t>Depreciation and amortization</w:t>
            </w:r>
          </w:p>
        </w:tc>
        <w:tc>
          <w:tcPr>
            <w:tcW w:w="7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111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125</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Stock-based compensation expense (Note 15)</w:t>
            </w: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w:t>
            </w: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00" w:type="dxa"/>
            <w:vAlign w:val="bottom"/>
          </w:tcPr>
          <w:p>
            <w:pPr>
              <w:ind w:left="200"/>
              <w:spacing w:after="0"/>
              <w:rPr>
                <w:sz w:val="20"/>
                <w:szCs w:val="20"/>
                <w:color w:val="auto"/>
              </w:rPr>
            </w:pPr>
            <w:r>
              <w:rPr>
                <w:rFonts w:ascii="Arial" w:cs="Arial" w:eastAsia="Arial" w:hAnsi="Arial"/>
                <w:sz w:val="15"/>
                <w:szCs w:val="15"/>
                <w:color w:val="auto"/>
              </w:rPr>
              <w:t>Deferred income tax expense (benefit) (Note 12)</w:t>
            </w:r>
          </w:p>
        </w:tc>
        <w:tc>
          <w:tcPr>
            <w:tcW w:w="700" w:type="dxa"/>
            <w:vAlign w:val="bottom"/>
          </w:tcPr>
          <w:p>
            <w:pPr>
              <w:spacing w:after="0"/>
              <w:rPr>
                <w:sz w:val="15"/>
                <w:szCs w:val="15"/>
                <w:color w:val="auto"/>
              </w:rPr>
            </w:pPr>
          </w:p>
        </w:tc>
        <w:tc>
          <w:tcPr>
            <w:tcW w:w="600" w:type="dxa"/>
            <w:vAlign w:val="bottom"/>
            <w:gridSpan w:val="2"/>
          </w:tcPr>
          <w:p>
            <w:pPr>
              <w:jc w:val="right"/>
              <w:ind w:right="124"/>
              <w:spacing w:after="0"/>
              <w:rPr>
                <w:sz w:val="20"/>
                <w:szCs w:val="20"/>
                <w:color w:val="auto"/>
              </w:rPr>
            </w:pPr>
            <w:r>
              <w:rPr>
                <w:rFonts w:ascii="Arial" w:cs="Arial" w:eastAsia="Arial" w:hAnsi="Arial"/>
                <w:sz w:val="15"/>
                <w:szCs w:val="15"/>
                <w:color w:val="auto"/>
              </w:rPr>
              <w:t>(44 )</w:t>
            </w:r>
          </w:p>
        </w:tc>
        <w:tc>
          <w:tcPr>
            <w:tcW w:w="220" w:type="dxa"/>
            <w:vAlign w:val="bottom"/>
          </w:tcPr>
          <w:p>
            <w:pPr>
              <w:spacing w:after="0"/>
              <w:rPr>
                <w:sz w:val="15"/>
                <w:szCs w:val="15"/>
                <w:color w:val="auto"/>
              </w:rPr>
            </w:pPr>
          </w:p>
        </w:tc>
        <w:tc>
          <w:tcPr>
            <w:tcW w:w="1020" w:type="dxa"/>
            <w:vAlign w:val="bottom"/>
            <w:gridSpan w:val="2"/>
          </w:tcPr>
          <w:p>
            <w:pPr>
              <w:jc w:val="right"/>
              <w:ind w:right="84"/>
              <w:spacing w:after="0"/>
              <w:rPr>
                <w:sz w:val="20"/>
                <w:szCs w:val="20"/>
                <w:color w:val="auto"/>
              </w:rPr>
            </w:pPr>
            <w:r>
              <w:rPr>
                <w:rFonts w:ascii="Arial" w:cs="Arial" w:eastAsia="Arial" w:hAnsi="Arial"/>
                <w:sz w:val="15"/>
                <w:szCs w:val="15"/>
                <w:color w:val="auto"/>
              </w:rPr>
              <w:t>(1 )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Provision for expected credit losses (Note 2)</w:t>
            </w: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w:t>
            </w: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00" w:type="dxa"/>
            <w:vAlign w:val="bottom"/>
          </w:tcPr>
          <w:p>
            <w:pPr>
              <w:ind w:left="200"/>
              <w:spacing w:after="0"/>
              <w:rPr>
                <w:sz w:val="20"/>
                <w:szCs w:val="20"/>
                <w:color w:val="auto"/>
              </w:rPr>
            </w:pPr>
            <w:r>
              <w:rPr>
                <w:rFonts w:ascii="Arial" w:cs="Arial" w:eastAsia="Arial" w:hAnsi="Arial"/>
                <w:sz w:val="15"/>
                <w:szCs w:val="15"/>
                <w:color w:val="auto"/>
              </w:rPr>
              <w:t>Impairment of goodwill (Note 8)</w:t>
            </w:r>
          </w:p>
        </w:tc>
        <w:tc>
          <w:tcPr>
            <w:tcW w:w="700" w:type="dxa"/>
            <w:vAlign w:val="bottom"/>
          </w:tcPr>
          <w:p>
            <w:pPr>
              <w:spacing w:after="0"/>
              <w:rPr>
                <w:sz w:val="15"/>
                <w:szCs w:val="15"/>
                <w:color w:val="auto"/>
              </w:rPr>
            </w:pPr>
          </w:p>
        </w:tc>
        <w:tc>
          <w:tcPr>
            <w:tcW w:w="600" w:type="dxa"/>
            <w:vAlign w:val="bottom"/>
            <w:gridSpan w:val="2"/>
          </w:tcPr>
          <w:p>
            <w:pPr>
              <w:jc w:val="right"/>
              <w:ind w:right="2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Loss on sale/disposal of business (Note 18)</w:t>
            </w:r>
          </w:p>
        </w:tc>
        <w:tc>
          <w:tcPr>
            <w:tcW w:w="7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600" w:type="dxa"/>
            <w:vAlign w:val="bottom"/>
          </w:tcPr>
          <w:p>
            <w:pPr>
              <w:ind w:left="200"/>
              <w:spacing w:after="0"/>
              <w:rPr>
                <w:sz w:val="20"/>
                <w:szCs w:val="20"/>
                <w:color w:val="auto"/>
              </w:rPr>
            </w:pPr>
            <w:r>
              <w:rPr>
                <w:rFonts w:ascii="Arial" w:cs="Arial" w:eastAsia="Arial" w:hAnsi="Arial"/>
                <w:sz w:val="15"/>
                <w:szCs w:val="15"/>
                <w:color w:val="auto"/>
              </w:rPr>
              <w:t>Other, net</w:t>
            </w:r>
          </w:p>
        </w:tc>
        <w:tc>
          <w:tcPr>
            <w:tcW w:w="7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19</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(3 )</w:t>
            </w:r>
          </w:p>
        </w:tc>
        <w:tc>
          <w:tcPr>
            <w:tcW w:w="0" w:type="dxa"/>
            <w:vAlign w:val="bottom"/>
          </w:tcPr>
          <w:p>
            <w:pPr>
              <w:spacing w:after="0"/>
              <w:rPr>
                <w:sz w:val="1"/>
                <w:szCs w:val="1"/>
                <w:color w:val="auto"/>
              </w:rPr>
            </w:pPr>
          </w:p>
        </w:tc>
      </w:tr>
      <w:tr>
        <w:trPr>
          <w:trHeight w:val="135"/>
        </w:trPr>
        <w:tc>
          <w:tcPr>
            <w:tcW w:w="7600" w:type="dxa"/>
            <w:vAlign w:val="bottom"/>
            <w:shd w:val="clear" w:color="auto" w:fill="CFF0FC"/>
          </w:tcPr>
          <w:p>
            <w:pPr>
              <w:ind w:left="200"/>
              <w:spacing w:after="0" w:line="136" w:lineRule="exact"/>
              <w:rPr>
                <w:sz w:val="20"/>
                <w:szCs w:val="20"/>
                <w:color w:val="auto"/>
              </w:rPr>
            </w:pPr>
            <w:r>
              <w:rPr>
                <w:rFonts w:ascii="Arial" w:cs="Arial" w:eastAsia="Arial" w:hAnsi="Arial"/>
                <w:sz w:val="15"/>
                <w:szCs w:val="15"/>
                <w:color w:val="auto"/>
              </w:rPr>
              <w:t>Changes in operating assets and liabilities, net of effects from acquisitions and other</w:t>
            </w:r>
          </w:p>
        </w:tc>
        <w:tc>
          <w:tcPr>
            <w:tcW w:w="7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FF0FC"/>
          </w:tcPr>
          <w:p>
            <w:pPr>
              <w:ind w:left="320"/>
              <w:spacing w:after="0"/>
              <w:rPr>
                <w:sz w:val="20"/>
                <w:szCs w:val="20"/>
                <w:color w:val="auto"/>
              </w:rPr>
            </w:pPr>
            <w:r>
              <w:rPr>
                <w:rFonts w:ascii="Arial" w:cs="Arial" w:eastAsia="Arial" w:hAnsi="Arial"/>
                <w:sz w:val="15"/>
                <w:szCs w:val="15"/>
                <w:color w:val="auto"/>
              </w:rPr>
              <w:t>investments:</w:t>
            </w:r>
          </w:p>
        </w:tc>
        <w:tc>
          <w:tcPr>
            <w:tcW w:w="7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600" w:type="dxa"/>
            <w:vAlign w:val="bottom"/>
          </w:tcPr>
          <w:p>
            <w:pPr>
              <w:ind w:left="380"/>
              <w:spacing w:after="0"/>
              <w:rPr>
                <w:sz w:val="20"/>
                <w:szCs w:val="20"/>
                <w:color w:val="auto"/>
              </w:rPr>
            </w:pPr>
            <w:r>
              <w:rPr>
                <w:rFonts w:ascii="Arial" w:cs="Arial" w:eastAsia="Arial" w:hAnsi="Arial"/>
                <w:sz w:val="15"/>
                <w:szCs w:val="15"/>
                <w:color w:val="auto"/>
              </w:rPr>
              <w:t>Accounts receivable and contract assets, prepaid expenses and other assets</w:t>
            </w:r>
          </w:p>
        </w:tc>
        <w:tc>
          <w:tcPr>
            <w:tcW w:w="700" w:type="dxa"/>
            <w:vAlign w:val="bottom"/>
          </w:tcPr>
          <w:p>
            <w:pPr>
              <w:spacing w:after="0"/>
              <w:rPr>
                <w:sz w:val="15"/>
                <w:szCs w:val="15"/>
                <w:color w:val="auto"/>
              </w:rPr>
            </w:pPr>
          </w:p>
        </w:tc>
        <w:tc>
          <w:tcPr>
            <w:tcW w:w="600" w:type="dxa"/>
            <w:vAlign w:val="bottom"/>
            <w:gridSpan w:val="2"/>
          </w:tcPr>
          <w:p>
            <w:pPr>
              <w:jc w:val="right"/>
              <w:ind w:right="124"/>
              <w:spacing w:after="0"/>
              <w:rPr>
                <w:sz w:val="20"/>
                <w:szCs w:val="20"/>
                <w:color w:val="auto"/>
              </w:rPr>
            </w:pPr>
            <w:r>
              <w:rPr>
                <w:rFonts w:ascii="Arial" w:cs="Arial" w:eastAsia="Arial" w:hAnsi="Arial"/>
                <w:sz w:val="15"/>
                <w:szCs w:val="15"/>
                <w:color w:val="auto"/>
              </w:rPr>
              <w:t>(73 )</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Accounts payable, accrued expenses and other liabilities</w:t>
            </w: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(28 )</w:t>
            </w: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175"/>
        </w:trPr>
        <w:tc>
          <w:tcPr>
            <w:tcW w:w="7600" w:type="dxa"/>
            <w:vAlign w:val="bottom"/>
          </w:tcPr>
          <w:p>
            <w:pPr>
              <w:ind w:left="380"/>
              <w:spacing w:after="0"/>
              <w:rPr>
                <w:sz w:val="20"/>
                <w:szCs w:val="20"/>
                <w:color w:val="auto"/>
              </w:rPr>
            </w:pPr>
            <w:r>
              <w:rPr>
                <w:rFonts w:ascii="Arial" w:cs="Arial" w:eastAsia="Arial" w:hAnsi="Arial"/>
                <w:sz w:val="15"/>
                <w:szCs w:val="15"/>
                <w:color w:val="auto"/>
              </w:rPr>
              <w:t>Deferred merchant payables</w:t>
            </w:r>
          </w:p>
        </w:tc>
        <w:tc>
          <w:tcPr>
            <w:tcW w:w="7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81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84"/>
              <w:spacing w:after="0"/>
              <w:rPr>
                <w:sz w:val="20"/>
                <w:szCs w:val="20"/>
                <w:color w:val="auto"/>
              </w:rPr>
            </w:pPr>
            <w:r>
              <w:rPr>
                <w:rFonts w:ascii="Arial" w:cs="Arial" w:eastAsia="Arial" w:hAnsi="Arial"/>
                <w:sz w:val="15"/>
                <w:szCs w:val="15"/>
                <w:color w:val="auto"/>
              </w:rPr>
              <w:t>(124 )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(3 )</w:t>
            </w:r>
          </w:p>
        </w:tc>
        <w:tc>
          <w:tcPr>
            <w:tcW w:w="0" w:type="dxa"/>
            <w:vAlign w:val="bottom"/>
          </w:tcPr>
          <w:p>
            <w:pPr>
              <w:spacing w:after="0"/>
              <w:rPr>
                <w:sz w:val="1"/>
                <w:szCs w:val="1"/>
                <w:color w:val="auto"/>
              </w:rPr>
            </w:pPr>
          </w:p>
        </w:tc>
      </w:tr>
      <w:tr>
        <w:trPr>
          <w:trHeight w:val="176"/>
        </w:trPr>
        <w:tc>
          <w:tcPr>
            <w:tcW w:w="76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Income tax receivables/payables, net</w:t>
            </w: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(81 )</w:t>
            </w: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00" w:type="dxa"/>
            <w:vAlign w:val="bottom"/>
          </w:tcPr>
          <w:p>
            <w:pPr>
              <w:ind w:left="380"/>
              <w:spacing w:after="0"/>
              <w:rPr>
                <w:sz w:val="20"/>
                <w:szCs w:val="20"/>
                <w:color w:val="auto"/>
              </w:rPr>
            </w:pPr>
            <w:r>
              <w:rPr>
                <w:rFonts w:ascii="Arial" w:cs="Arial" w:eastAsia="Arial" w:hAnsi="Arial"/>
                <w:sz w:val="15"/>
                <w:szCs w:val="15"/>
                <w:color w:val="auto"/>
              </w:rPr>
              <w:t>Deferred revenue</w:t>
            </w:r>
          </w:p>
        </w:tc>
        <w:tc>
          <w:tcPr>
            <w:tcW w:w="7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8</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84"/>
              <w:spacing w:after="0"/>
              <w:rPr>
                <w:sz w:val="20"/>
                <w:szCs w:val="20"/>
                <w:color w:val="auto"/>
              </w:rPr>
            </w:pPr>
            <w:r>
              <w:rPr>
                <w:rFonts w:ascii="Arial" w:cs="Arial" w:eastAsia="Arial" w:hAnsi="Arial"/>
                <w:sz w:val="15"/>
                <w:szCs w:val="15"/>
                <w:color w:val="auto"/>
              </w:rPr>
              <w:t>(34 )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(2 )</w:t>
            </w:r>
          </w:p>
        </w:tc>
        <w:tc>
          <w:tcPr>
            <w:tcW w:w="0" w:type="dxa"/>
            <w:vAlign w:val="bottom"/>
          </w:tcPr>
          <w:p>
            <w:pPr>
              <w:spacing w:after="0"/>
              <w:rPr>
                <w:sz w:val="1"/>
                <w:szCs w:val="1"/>
                <w:color w:val="auto"/>
              </w:rPr>
            </w:pPr>
          </w:p>
        </w:tc>
      </w:tr>
      <w:tr>
        <w:trPr>
          <w:trHeight w:val="169"/>
        </w:trPr>
        <w:tc>
          <w:tcPr>
            <w:tcW w:w="760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Net cash provided by (used in) operating activities</w:t>
            </w:r>
          </w:p>
        </w:tc>
        <w:tc>
          <w:tcPr>
            <w:tcW w:w="70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108</w:t>
            </w:r>
          </w:p>
        </w:tc>
        <w:tc>
          <w:tcPr>
            <w:tcW w:w="26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(194</w:t>
            </w:r>
          </w:p>
        </w:tc>
        <w:tc>
          <w:tcPr>
            <w:tcW w:w="220" w:type="dxa"/>
            <w:vAlign w:val="bottom"/>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w w:val="79"/>
              </w:rPr>
              <w:t>)</w:t>
            </w:r>
          </w:p>
        </w:tc>
        <w:tc>
          <w:tcPr>
            <w:tcW w:w="2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424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0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Capital expenditures, including capitalized website development</w:t>
            </w:r>
          </w:p>
        </w:tc>
        <w:tc>
          <w:tcPr>
            <w:tcW w:w="7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(54 )</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(55 )</w:t>
            </w: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(83 )</w:t>
            </w:r>
          </w:p>
        </w:tc>
        <w:tc>
          <w:tcPr>
            <w:tcW w:w="0" w:type="dxa"/>
            <w:vAlign w:val="bottom"/>
          </w:tcPr>
          <w:p>
            <w:pPr>
              <w:spacing w:after="0"/>
              <w:rPr>
                <w:sz w:val="1"/>
                <w:szCs w:val="1"/>
                <w:color w:val="auto"/>
              </w:rPr>
            </w:pPr>
          </w:p>
        </w:tc>
      </w:tr>
      <w:tr>
        <w:trPr>
          <w:trHeight w:val="176"/>
        </w:trPr>
        <w:tc>
          <w:tcPr>
            <w:tcW w:w="7600" w:type="dxa"/>
            <w:vAlign w:val="bottom"/>
          </w:tcPr>
          <w:p>
            <w:pPr>
              <w:ind w:left="200"/>
              <w:spacing w:after="0"/>
              <w:rPr>
                <w:sz w:val="20"/>
                <w:szCs w:val="20"/>
                <w:color w:val="auto"/>
              </w:rPr>
            </w:pPr>
            <w:r>
              <w:rPr>
                <w:rFonts w:ascii="Arial" w:cs="Arial" w:eastAsia="Arial" w:hAnsi="Arial"/>
                <w:sz w:val="15"/>
                <w:szCs w:val="15"/>
                <w:color w:val="auto"/>
              </w:rPr>
              <w:t>Acquisitions and other investments, net of cash acquired (Note 3)</w:t>
            </w:r>
          </w:p>
        </w:tc>
        <w:tc>
          <w:tcPr>
            <w:tcW w:w="700" w:type="dxa"/>
            <w:vAlign w:val="bottom"/>
          </w:tcPr>
          <w:p>
            <w:pPr>
              <w:spacing w:after="0"/>
              <w:rPr>
                <w:sz w:val="15"/>
                <w:szCs w:val="15"/>
                <w:color w:val="auto"/>
              </w:rPr>
            </w:pPr>
          </w:p>
        </w:tc>
        <w:tc>
          <w:tcPr>
            <w:tcW w:w="600" w:type="dxa"/>
            <w:vAlign w:val="bottom"/>
            <w:gridSpan w:val="2"/>
          </w:tcPr>
          <w:p>
            <w:pPr>
              <w:jc w:val="right"/>
              <w:ind w:right="2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84"/>
              <w:spacing w:after="0"/>
              <w:rPr>
                <w:sz w:val="20"/>
                <w:szCs w:val="20"/>
                <w:color w:val="auto"/>
              </w:rPr>
            </w:pPr>
            <w:r>
              <w:rPr>
                <w:rFonts w:ascii="Arial" w:cs="Arial" w:eastAsia="Arial" w:hAnsi="Arial"/>
                <w:sz w:val="15"/>
                <w:szCs w:val="15"/>
                <w:color w:val="auto"/>
              </w:rPr>
              <w:t>(4 )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(110 )</w:t>
            </w:r>
          </w:p>
        </w:tc>
        <w:tc>
          <w:tcPr>
            <w:tcW w:w="0" w:type="dxa"/>
            <w:vAlign w:val="bottom"/>
          </w:tcPr>
          <w:p>
            <w:pPr>
              <w:spacing w:after="0"/>
              <w:rPr>
                <w:sz w:val="1"/>
                <w:szCs w:val="1"/>
                <w:color w:val="auto"/>
              </w:rPr>
            </w:pPr>
          </w:p>
        </w:tc>
      </w:tr>
      <w:tr>
        <w:trPr>
          <w:trHeight w:val="176"/>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Purchases of marketable securities</w:t>
            </w:r>
          </w:p>
        </w:tc>
        <w:tc>
          <w:tcPr>
            <w:tcW w:w="7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(133 )</w:t>
            </w:r>
          </w:p>
        </w:tc>
        <w:tc>
          <w:tcPr>
            <w:tcW w:w="0" w:type="dxa"/>
            <w:vAlign w:val="bottom"/>
          </w:tcPr>
          <w:p>
            <w:pPr>
              <w:spacing w:after="0"/>
              <w:rPr>
                <w:sz w:val="1"/>
                <w:szCs w:val="1"/>
                <w:color w:val="auto"/>
              </w:rPr>
            </w:pPr>
          </w:p>
        </w:tc>
      </w:tr>
      <w:tr>
        <w:trPr>
          <w:trHeight w:val="175"/>
        </w:trPr>
        <w:tc>
          <w:tcPr>
            <w:tcW w:w="7600" w:type="dxa"/>
            <w:vAlign w:val="bottom"/>
          </w:tcPr>
          <w:p>
            <w:pPr>
              <w:ind w:left="200"/>
              <w:spacing w:after="0"/>
              <w:rPr>
                <w:sz w:val="20"/>
                <w:szCs w:val="20"/>
                <w:color w:val="auto"/>
              </w:rPr>
            </w:pPr>
            <w:r>
              <w:rPr>
                <w:rFonts w:ascii="Arial" w:cs="Arial" w:eastAsia="Arial" w:hAnsi="Arial"/>
                <w:sz w:val="15"/>
                <w:szCs w:val="15"/>
                <w:color w:val="auto"/>
              </w:rPr>
              <w:t>Sales of marketable securities</w:t>
            </w:r>
          </w:p>
        </w:tc>
        <w:tc>
          <w:tcPr>
            <w:tcW w:w="700" w:type="dxa"/>
            <w:vAlign w:val="bottom"/>
          </w:tcPr>
          <w:p>
            <w:pPr>
              <w:spacing w:after="0"/>
              <w:rPr>
                <w:sz w:val="15"/>
                <w:szCs w:val="15"/>
                <w:color w:val="auto"/>
              </w:rPr>
            </w:pPr>
          </w:p>
        </w:tc>
        <w:tc>
          <w:tcPr>
            <w:tcW w:w="600" w:type="dxa"/>
            <w:vAlign w:val="bottom"/>
            <w:gridSpan w:val="2"/>
          </w:tcPr>
          <w:p>
            <w:pPr>
              <w:jc w:val="right"/>
              <w:ind w:right="2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Maturities of marketable securities</w:t>
            </w:r>
          </w:p>
        </w:tc>
        <w:tc>
          <w:tcPr>
            <w:tcW w:w="7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00" w:type="dxa"/>
            <w:vAlign w:val="bottom"/>
          </w:tcPr>
          <w:p>
            <w:pPr>
              <w:ind w:left="200"/>
              <w:spacing w:after="0"/>
              <w:rPr>
                <w:sz w:val="20"/>
                <w:szCs w:val="20"/>
                <w:color w:val="auto"/>
              </w:rPr>
            </w:pPr>
            <w:r>
              <w:rPr>
                <w:rFonts w:ascii="Arial" w:cs="Arial" w:eastAsia="Arial" w:hAnsi="Arial"/>
                <w:sz w:val="15"/>
                <w:szCs w:val="15"/>
                <w:color w:val="auto"/>
              </w:rPr>
              <w:t>Other investing activities, net</w:t>
            </w:r>
          </w:p>
        </w:tc>
        <w:tc>
          <w:tcPr>
            <w:tcW w:w="700" w:type="dxa"/>
            <w:vAlign w:val="bottom"/>
          </w:tcPr>
          <w:p>
            <w:pPr>
              <w:spacing w:after="0"/>
              <w:rPr>
                <w:sz w:val="15"/>
                <w:szCs w:val="15"/>
                <w:color w:val="auto"/>
              </w:rPr>
            </w:pPr>
          </w:p>
        </w:tc>
        <w:tc>
          <w:tcPr>
            <w:tcW w:w="600" w:type="dxa"/>
            <w:vAlign w:val="bottom"/>
            <w:gridSpan w:val="2"/>
          </w:tcPr>
          <w:p>
            <w:pPr>
              <w:jc w:val="right"/>
              <w:ind w:right="2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760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Net cash provided by (used in) investing activities</w:t>
            </w:r>
          </w:p>
        </w:tc>
        <w:tc>
          <w:tcPr>
            <w:tcW w:w="70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(54</w:t>
            </w:r>
          </w:p>
        </w:tc>
        <w:tc>
          <w:tcPr>
            <w:tcW w:w="260" w:type="dxa"/>
            <w:vAlign w:val="bottom"/>
            <w:shd w:val="clear" w:color="auto" w:fill="CFF0FC"/>
          </w:tcPr>
          <w:p>
            <w:pPr>
              <w:jc w:val="right"/>
              <w:ind w:right="124"/>
              <w:spacing w:after="0" w:line="169" w:lineRule="exact"/>
              <w:rPr>
                <w:sz w:val="20"/>
                <w:szCs w:val="20"/>
                <w:color w:val="auto"/>
              </w:rPr>
            </w:pPr>
            <w:r>
              <w:rPr>
                <w:rFonts w:ascii="Arial" w:cs="Arial" w:eastAsia="Arial" w:hAnsi="Arial"/>
                <w:sz w:val="15"/>
                <w:szCs w:val="15"/>
                <w:color w:val="auto"/>
                <w:w w:val="79"/>
              </w:rPr>
              <w:t>)</w:t>
            </w:r>
          </w:p>
        </w:tc>
        <w:tc>
          <w:tcPr>
            <w:tcW w:w="2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(56</w:t>
            </w:r>
          </w:p>
        </w:tc>
        <w:tc>
          <w:tcPr>
            <w:tcW w:w="220" w:type="dxa"/>
            <w:vAlign w:val="bottom"/>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w w:val="79"/>
              </w:rPr>
              <w:t>)</w:t>
            </w:r>
          </w:p>
        </w:tc>
        <w:tc>
          <w:tcPr>
            <w:tcW w:w="2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(176</w:t>
            </w:r>
          </w:p>
        </w:tc>
        <w:tc>
          <w:tcPr>
            <w:tcW w:w="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76"/>
        </w:trPr>
        <w:tc>
          <w:tcPr>
            <w:tcW w:w="7600" w:type="dxa"/>
            <w:vAlign w:val="bottom"/>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Repurchase of common stock (Note 16)</w:t>
            </w:r>
          </w:p>
        </w:tc>
        <w:tc>
          <w:tcPr>
            <w:tcW w:w="7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(115 )</w:t>
            </w: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(60 )</w:t>
            </w:r>
          </w:p>
        </w:tc>
        <w:tc>
          <w:tcPr>
            <w:tcW w:w="0" w:type="dxa"/>
            <w:vAlign w:val="bottom"/>
          </w:tcPr>
          <w:p>
            <w:pPr>
              <w:spacing w:after="0"/>
              <w:rPr>
                <w:sz w:val="1"/>
                <w:szCs w:val="1"/>
                <w:color w:val="auto"/>
              </w:rPr>
            </w:pPr>
          </w:p>
        </w:tc>
      </w:tr>
      <w:tr>
        <w:trPr>
          <w:trHeight w:val="176"/>
        </w:trPr>
        <w:tc>
          <w:tcPr>
            <w:tcW w:w="7600" w:type="dxa"/>
            <w:vAlign w:val="bottom"/>
          </w:tcPr>
          <w:p>
            <w:pPr>
              <w:ind w:left="200"/>
              <w:spacing w:after="0"/>
              <w:rPr>
                <w:sz w:val="20"/>
                <w:szCs w:val="20"/>
                <w:color w:val="auto"/>
              </w:rPr>
            </w:pPr>
            <w:r>
              <w:rPr>
                <w:rFonts w:ascii="Arial" w:cs="Arial" w:eastAsia="Arial" w:hAnsi="Arial"/>
                <w:sz w:val="15"/>
                <w:szCs w:val="15"/>
                <w:color w:val="auto"/>
              </w:rPr>
              <w:t>Payment of common stock cash dividends to stockholders (Note 16)</w:t>
            </w:r>
          </w:p>
        </w:tc>
        <w:tc>
          <w:tcPr>
            <w:tcW w:w="700" w:type="dxa"/>
            <w:vAlign w:val="bottom"/>
          </w:tcPr>
          <w:p>
            <w:pPr>
              <w:spacing w:after="0"/>
              <w:rPr>
                <w:sz w:val="15"/>
                <w:szCs w:val="15"/>
                <w:color w:val="auto"/>
              </w:rPr>
            </w:pPr>
          </w:p>
        </w:tc>
        <w:tc>
          <w:tcPr>
            <w:tcW w:w="600" w:type="dxa"/>
            <w:vAlign w:val="bottom"/>
            <w:gridSpan w:val="2"/>
          </w:tcPr>
          <w:p>
            <w:pPr>
              <w:jc w:val="right"/>
              <w:ind w:right="2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(488 )</w:t>
            </w:r>
          </w:p>
        </w:tc>
        <w:tc>
          <w:tcPr>
            <w:tcW w:w="0" w:type="dxa"/>
            <w:vAlign w:val="bottom"/>
          </w:tcPr>
          <w:p>
            <w:pPr>
              <w:spacing w:after="0"/>
              <w:rPr>
                <w:sz w:val="1"/>
                <w:szCs w:val="1"/>
                <w:color w:val="auto"/>
              </w:rPr>
            </w:pPr>
          </w:p>
        </w:tc>
      </w:tr>
      <w:tr>
        <w:trPr>
          <w:trHeight w:val="175"/>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from issuance of 2026 Senior Notes, net of financing costs (Note 10)</w:t>
            </w: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340</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600" w:type="dxa"/>
            <w:vAlign w:val="bottom"/>
          </w:tcPr>
          <w:p>
            <w:pPr>
              <w:ind w:left="200"/>
              <w:spacing w:after="0"/>
              <w:rPr>
                <w:sz w:val="20"/>
                <w:szCs w:val="20"/>
                <w:color w:val="auto"/>
              </w:rPr>
            </w:pPr>
            <w:r>
              <w:rPr>
                <w:rFonts w:ascii="Arial" w:cs="Arial" w:eastAsia="Arial" w:hAnsi="Arial"/>
                <w:sz w:val="15"/>
                <w:szCs w:val="15"/>
                <w:color w:val="auto"/>
              </w:rPr>
              <w:t>Purchase of capped calls in connection with 2026 Senior Notes (Note 10)</w:t>
            </w:r>
          </w:p>
        </w:tc>
        <w:tc>
          <w:tcPr>
            <w:tcW w:w="700" w:type="dxa"/>
            <w:vAlign w:val="bottom"/>
          </w:tcPr>
          <w:p>
            <w:pPr>
              <w:spacing w:after="0"/>
              <w:rPr>
                <w:sz w:val="15"/>
                <w:szCs w:val="15"/>
                <w:color w:val="auto"/>
              </w:rPr>
            </w:pPr>
          </w:p>
        </w:tc>
        <w:tc>
          <w:tcPr>
            <w:tcW w:w="600" w:type="dxa"/>
            <w:vAlign w:val="bottom"/>
            <w:gridSpan w:val="2"/>
          </w:tcPr>
          <w:p>
            <w:pPr>
              <w:jc w:val="right"/>
              <w:ind w:right="124"/>
              <w:spacing w:after="0"/>
              <w:rPr>
                <w:sz w:val="20"/>
                <w:szCs w:val="20"/>
                <w:color w:val="auto"/>
              </w:rPr>
            </w:pPr>
            <w:r>
              <w:rPr>
                <w:rFonts w:ascii="Arial" w:cs="Arial" w:eastAsia="Arial" w:hAnsi="Arial"/>
                <w:sz w:val="15"/>
                <w:szCs w:val="15"/>
                <w:color w:val="auto"/>
              </w:rPr>
              <w:t>(35 )</w:t>
            </w:r>
          </w:p>
        </w:tc>
        <w:tc>
          <w:tcPr>
            <w:tcW w:w="220" w:type="dxa"/>
            <w:vAlign w:val="bottom"/>
          </w:tcPr>
          <w:p>
            <w:pPr>
              <w:spacing w:after="0"/>
              <w:rPr>
                <w:sz w:val="15"/>
                <w:szCs w:val="15"/>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from issuance of 2025 Senior Notes (Note 10)</w:t>
            </w:r>
          </w:p>
        </w:tc>
        <w:tc>
          <w:tcPr>
            <w:tcW w:w="7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500</w:t>
            </w: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600" w:type="dxa"/>
            <w:vAlign w:val="bottom"/>
          </w:tcPr>
          <w:p>
            <w:pPr>
              <w:ind w:left="200"/>
              <w:spacing w:after="0"/>
              <w:rPr>
                <w:sz w:val="20"/>
                <w:szCs w:val="20"/>
                <w:color w:val="auto"/>
              </w:rPr>
            </w:pPr>
            <w:r>
              <w:rPr>
                <w:rFonts w:ascii="Arial" w:cs="Arial" w:eastAsia="Arial" w:hAnsi="Arial"/>
                <w:sz w:val="15"/>
                <w:szCs w:val="15"/>
                <w:color w:val="auto"/>
              </w:rPr>
              <w:t>Payment of financing costs for the issuance of 2025 Senior Notes (Note 10)</w:t>
            </w:r>
          </w:p>
        </w:tc>
        <w:tc>
          <w:tcPr>
            <w:tcW w:w="700" w:type="dxa"/>
            <w:vAlign w:val="bottom"/>
          </w:tcPr>
          <w:p>
            <w:pPr>
              <w:spacing w:after="0"/>
              <w:rPr>
                <w:sz w:val="15"/>
                <w:szCs w:val="15"/>
                <w:color w:val="auto"/>
              </w:rPr>
            </w:pPr>
          </w:p>
        </w:tc>
        <w:tc>
          <w:tcPr>
            <w:tcW w:w="600" w:type="dxa"/>
            <w:vAlign w:val="bottom"/>
            <w:gridSpan w:val="2"/>
          </w:tcPr>
          <w:p>
            <w:pPr>
              <w:jc w:val="right"/>
              <w:ind w:right="2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84"/>
              <w:spacing w:after="0"/>
              <w:rPr>
                <w:sz w:val="20"/>
                <w:szCs w:val="20"/>
                <w:color w:val="auto"/>
              </w:rPr>
            </w:pPr>
            <w:r>
              <w:rPr>
                <w:rFonts w:ascii="Arial" w:cs="Arial" w:eastAsia="Arial" w:hAnsi="Arial"/>
                <w:sz w:val="15"/>
                <w:szCs w:val="15"/>
                <w:color w:val="auto"/>
              </w:rPr>
              <w:t>(10 )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from Credit Facility (Note 10)</w:t>
            </w:r>
          </w:p>
        </w:tc>
        <w:tc>
          <w:tcPr>
            <w:tcW w:w="7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700</w:t>
            </w: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600" w:type="dxa"/>
            <w:vAlign w:val="bottom"/>
          </w:tcPr>
          <w:p>
            <w:pPr>
              <w:ind w:left="200"/>
              <w:spacing w:after="0"/>
              <w:rPr>
                <w:sz w:val="20"/>
                <w:szCs w:val="20"/>
                <w:color w:val="auto"/>
              </w:rPr>
            </w:pPr>
            <w:r>
              <w:rPr>
                <w:rFonts w:ascii="Arial" w:cs="Arial" w:eastAsia="Arial" w:hAnsi="Arial"/>
                <w:sz w:val="15"/>
                <w:szCs w:val="15"/>
                <w:color w:val="auto"/>
              </w:rPr>
              <w:t>Payment of financing costs related to Credit Facility (Note 10)</w:t>
            </w:r>
          </w:p>
        </w:tc>
        <w:tc>
          <w:tcPr>
            <w:tcW w:w="700" w:type="dxa"/>
            <w:vAlign w:val="bottom"/>
          </w:tcPr>
          <w:p>
            <w:pPr>
              <w:spacing w:after="0"/>
              <w:rPr>
                <w:sz w:val="15"/>
                <w:szCs w:val="15"/>
                <w:color w:val="auto"/>
              </w:rPr>
            </w:pPr>
          </w:p>
        </w:tc>
        <w:tc>
          <w:tcPr>
            <w:tcW w:w="600" w:type="dxa"/>
            <w:vAlign w:val="bottom"/>
            <w:gridSpan w:val="2"/>
          </w:tcPr>
          <w:p>
            <w:pPr>
              <w:jc w:val="right"/>
              <w:ind w:right="2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84"/>
              <w:spacing w:after="0"/>
              <w:rPr>
                <w:sz w:val="20"/>
                <w:szCs w:val="20"/>
                <w:color w:val="auto"/>
              </w:rPr>
            </w:pPr>
            <w:r>
              <w:rPr>
                <w:rFonts w:ascii="Arial" w:cs="Arial" w:eastAsia="Arial" w:hAnsi="Arial"/>
                <w:sz w:val="15"/>
                <w:szCs w:val="15"/>
                <w:color w:val="auto"/>
              </w:rPr>
              <w:t>(7 )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Payments to Credit Facility (Note 10)</w:t>
            </w:r>
          </w:p>
        </w:tc>
        <w:tc>
          <w:tcPr>
            <w:tcW w:w="7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(700 )</w:t>
            </w: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600" w:type="dxa"/>
            <w:vAlign w:val="bottom"/>
          </w:tcPr>
          <w:p>
            <w:pPr>
              <w:ind w:left="200"/>
              <w:spacing w:after="0"/>
              <w:rPr>
                <w:sz w:val="20"/>
                <w:szCs w:val="20"/>
                <w:color w:val="auto"/>
              </w:rPr>
            </w:pPr>
            <w:r>
              <w:rPr>
                <w:rFonts w:ascii="Arial" w:cs="Arial" w:eastAsia="Arial" w:hAnsi="Arial"/>
                <w:sz w:val="15"/>
                <w:szCs w:val="15"/>
                <w:color w:val="auto"/>
              </w:rPr>
              <w:t>Proceeds from exercise of stock options (Note 15)</w:t>
            </w:r>
          </w:p>
        </w:tc>
        <w:tc>
          <w:tcPr>
            <w:tcW w:w="7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8</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Payment of withholding taxes on net share settlements of equity awards</w:t>
            </w:r>
          </w:p>
        </w:tc>
        <w:tc>
          <w:tcPr>
            <w:tcW w:w="7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(44 )</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(21 )</w:t>
            </w: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(29 )</w:t>
            </w:r>
          </w:p>
        </w:tc>
        <w:tc>
          <w:tcPr>
            <w:tcW w:w="0" w:type="dxa"/>
            <w:vAlign w:val="bottom"/>
          </w:tcPr>
          <w:p>
            <w:pPr>
              <w:spacing w:after="0"/>
              <w:rPr>
                <w:sz w:val="1"/>
                <w:szCs w:val="1"/>
                <w:color w:val="auto"/>
              </w:rPr>
            </w:pPr>
          </w:p>
        </w:tc>
      </w:tr>
      <w:tr>
        <w:trPr>
          <w:trHeight w:val="175"/>
        </w:trPr>
        <w:tc>
          <w:tcPr>
            <w:tcW w:w="7600" w:type="dxa"/>
            <w:vAlign w:val="bottom"/>
          </w:tcPr>
          <w:p>
            <w:pPr>
              <w:ind w:left="200"/>
              <w:spacing w:after="0"/>
              <w:rPr>
                <w:sz w:val="20"/>
                <w:szCs w:val="20"/>
                <w:color w:val="auto"/>
              </w:rPr>
            </w:pPr>
            <w:r>
              <w:rPr>
                <w:rFonts w:ascii="Arial" w:cs="Arial" w:eastAsia="Arial" w:hAnsi="Arial"/>
                <w:sz w:val="15"/>
                <w:szCs w:val="15"/>
                <w:color w:val="auto"/>
              </w:rPr>
              <w:t>Payments of finance lease obligation (Note 7)</w:t>
            </w:r>
          </w:p>
        </w:tc>
        <w:tc>
          <w:tcPr>
            <w:tcW w:w="700" w:type="dxa"/>
            <w:vAlign w:val="bottom"/>
          </w:tcPr>
          <w:p>
            <w:pPr>
              <w:spacing w:after="0"/>
              <w:rPr>
                <w:sz w:val="15"/>
                <w:szCs w:val="15"/>
                <w:color w:val="auto"/>
              </w:rPr>
            </w:pPr>
          </w:p>
        </w:tc>
        <w:tc>
          <w:tcPr>
            <w:tcW w:w="600" w:type="dxa"/>
            <w:vAlign w:val="bottom"/>
            <w:gridSpan w:val="2"/>
          </w:tcPr>
          <w:p>
            <w:pPr>
              <w:jc w:val="right"/>
              <w:ind w:right="124"/>
              <w:spacing w:after="0"/>
              <w:rPr>
                <w:sz w:val="20"/>
                <w:szCs w:val="20"/>
                <w:color w:val="auto"/>
              </w:rPr>
            </w:pPr>
            <w:r>
              <w:rPr>
                <w:rFonts w:ascii="Arial" w:cs="Arial" w:eastAsia="Arial" w:hAnsi="Arial"/>
                <w:sz w:val="15"/>
                <w:szCs w:val="15"/>
                <w:color w:val="auto"/>
              </w:rPr>
              <w:t>(6 )</w:t>
            </w:r>
          </w:p>
        </w:tc>
        <w:tc>
          <w:tcPr>
            <w:tcW w:w="220" w:type="dxa"/>
            <w:vAlign w:val="bottom"/>
          </w:tcPr>
          <w:p>
            <w:pPr>
              <w:spacing w:after="0"/>
              <w:rPr>
                <w:sz w:val="15"/>
                <w:szCs w:val="15"/>
                <w:color w:val="auto"/>
              </w:rPr>
            </w:pPr>
          </w:p>
        </w:tc>
        <w:tc>
          <w:tcPr>
            <w:tcW w:w="1020" w:type="dxa"/>
            <w:vAlign w:val="bottom"/>
            <w:gridSpan w:val="2"/>
          </w:tcPr>
          <w:p>
            <w:pPr>
              <w:jc w:val="right"/>
              <w:ind w:right="84"/>
              <w:spacing w:after="0"/>
              <w:rPr>
                <w:sz w:val="20"/>
                <w:szCs w:val="20"/>
                <w:color w:val="auto"/>
              </w:rPr>
            </w:pPr>
            <w:r>
              <w:rPr>
                <w:rFonts w:ascii="Arial" w:cs="Arial" w:eastAsia="Arial" w:hAnsi="Arial"/>
                <w:sz w:val="15"/>
                <w:szCs w:val="15"/>
                <w:color w:val="auto"/>
              </w:rPr>
              <w:t>(6 )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(5 )</w:t>
            </w:r>
          </w:p>
        </w:tc>
        <w:tc>
          <w:tcPr>
            <w:tcW w:w="0" w:type="dxa"/>
            <w:vAlign w:val="bottom"/>
          </w:tcPr>
          <w:p>
            <w:pPr>
              <w:spacing w:after="0"/>
              <w:rPr>
                <w:sz w:val="1"/>
                <w:szCs w:val="1"/>
                <w:color w:val="auto"/>
              </w:rPr>
            </w:pPr>
          </w:p>
        </w:tc>
      </w:tr>
      <w:tr>
        <w:trPr>
          <w:trHeight w:val="169"/>
        </w:trPr>
        <w:tc>
          <w:tcPr>
            <w:tcW w:w="760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Net cash provided by (used in) financing activities</w:t>
            </w:r>
          </w:p>
        </w:tc>
        <w:tc>
          <w:tcPr>
            <w:tcW w:w="70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263</w:t>
            </w:r>
          </w:p>
        </w:tc>
        <w:tc>
          <w:tcPr>
            <w:tcW w:w="26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341</w:t>
            </w:r>
          </w:p>
        </w:tc>
        <w:tc>
          <w:tcPr>
            <w:tcW w:w="220" w:type="dxa"/>
            <w:vAlign w:val="bottom"/>
            <w:shd w:val="clear" w:color="auto" w:fill="CFF0FC"/>
          </w:tcPr>
          <w:p>
            <w:pPr>
              <w:spacing w:after="0"/>
              <w:rPr>
                <w:sz w:val="14"/>
                <w:szCs w:val="14"/>
                <w:color w:val="auto"/>
              </w:rPr>
            </w:pPr>
          </w:p>
        </w:tc>
        <w:tc>
          <w:tcPr>
            <w:tcW w:w="2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(580</w:t>
            </w:r>
          </w:p>
        </w:tc>
        <w:tc>
          <w:tcPr>
            <w:tcW w:w="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75"/>
        </w:trPr>
        <w:tc>
          <w:tcPr>
            <w:tcW w:w="7600" w:type="dxa"/>
            <w:vAlign w:val="bottom"/>
          </w:tcPr>
          <w:p>
            <w:pPr>
              <w:ind w:left="20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700" w:type="dxa"/>
            <w:vAlign w:val="bottom"/>
          </w:tcPr>
          <w:p>
            <w:pPr>
              <w:spacing w:after="0"/>
              <w:rPr>
                <w:sz w:val="15"/>
                <w:szCs w:val="15"/>
                <w:color w:val="auto"/>
              </w:rPr>
            </w:pPr>
          </w:p>
        </w:tc>
        <w:tc>
          <w:tcPr>
            <w:tcW w:w="600" w:type="dxa"/>
            <w:vAlign w:val="bottom"/>
            <w:gridSpan w:val="2"/>
          </w:tcPr>
          <w:p>
            <w:pPr>
              <w:jc w:val="right"/>
              <w:ind w:right="124"/>
              <w:spacing w:after="0"/>
              <w:rPr>
                <w:sz w:val="20"/>
                <w:szCs w:val="20"/>
                <w:color w:val="auto"/>
              </w:rPr>
            </w:pPr>
            <w:r>
              <w:rPr>
                <w:rFonts w:ascii="Arial" w:cs="Arial" w:eastAsia="Arial" w:hAnsi="Arial"/>
                <w:sz w:val="15"/>
                <w:szCs w:val="15"/>
                <w:color w:val="auto"/>
              </w:rPr>
              <w:t>(12 )</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(4 )</w:t>
            </w:r>
          </w:p>
        </w:tc>
        <w:tc>
          <w:tcPr>
            <w:tcW w:w="0" w:type="dxa"/>
            <w:vAlign w:val="bottom"/>
          </w:tcPr>
          <w:p>
            <w:pPr>
              <w:spacing w:after="0"/>
              <w:rPr>
                <w:sz w:val="1"/>
                <w:szCs w:val="1"/>
                <w:color w:val="auto"/>
              </w:rPr>
            </w:pPr>
          </w:p>
        </w:tc>
      </w:tr>
      <w:tr>
        <w:trPr>
          <w:trHeight w:val="169"/>
        </w:trPr>
        <w:tc>
          <w:tcPr>
            <w:tcW w:w="760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Net increase (decrease) in cash, cash equivalents and restricted cash</w:t>
            </w:r>
          </w:p>
        </w:tc>
        <w:tc>
          <w:tcPr>
            <w:tcW w:w="70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305</w:t>
            </w:r>
          </w:p>
        </w:tc>
        <w:tc>
          <w:tcPr>
            <w:tcW w:w="26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99</w:t>
            </w:r>
          </w:p>
        </w:tc>
        <w:tc>
          <w:tcPr>
            <w:tcW w:w="220" w:type="dxa"/>
            <w:vAlign w:val="bottom"/>
            <w:shd w:val="clear" w:color="auto" w:fill="CFF0FC"/>
          </w:tcPr>
          <w:p>
            <w:pPr>
              <w:spacing w:after="0"/>
              <w:rPr>
                <w:sz w:val="14"/>
                <w:szCs w:val="14"/>
                <w:color w:val="auto"/>
              </w:rPr>
            </w:pPr>
          </w:p>
        </w:tc>
        <w:tc>
          <w:tcPr>
            <w:tcW w:w="2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(336</w:t>
            </w:r>
          </w:p>
        </w:tc>
        <w:tc>
          <w:tcPr>
            <w:tcW w:w="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75"/>
        </w:trPr>
        <w:tc>
          <w:tcPr>
            <w:tcW w:w="760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at beginning of period</w:t>
            </w:r>
          </w:p>
        </w:tc>
        <w:tc>
          <w:tcPr>
            <w:tcW w:w="7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319</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0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Cash, cash equivalents and restricted cash at end of period</w:t>
            </w:r>
          </w:p>
        </w:tc>
        <w:tc>
          <w:tcPr>
            <w:tcW w:w="700" w:type="dxa"/>
            <w:vAlign w:val="bottom"/>
            <w:tcBorders>
              <w:bottom w:val="single" w:sz="8" w:color="auto"/>
            </w:tcBorders>
            <w:shd w:val="clear" w:color="auto" w:fill="CFF0FC"/>
          </w:tcPr>
          <w:p>
            <w:pPr>
              <w:jc w:val="right"/>
              <w:ind w:right="544"/>
              <w:spacing w:after="0" w:line="169" w:lineRule="exact"/>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723</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418</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319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60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Supplemental disclosure of cash flow information:</w:t>
            </w: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Cash paid during the period for income taxes, net of refunds</w:t>
            </w:r>
          </w:p>
        </w:tc>
        <w:tc>
          <w:tcPr>
            <w:tcW w:w="700" w:type="dxa"/>
            <w:vAlign w:val="bottom"/>
            <w:shd w:val="clear" w:color="auto" w:fill="CFF0FC"/>
          </w:tcPr>
          <w:p>
            <w:pPr>
              <w:jc w:val="right"/>
              <w:ind w:right="544"/>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00" w:type="dxa"/>
            <w:vAlign w:val="bottom"/>
          </w:tcPr>
          <w:p>
            <w:pPr>
              <w:ind w:left="200"/>
              <w:spacing w:after="0"/>
              <w:rPr>
                <w:sz w:val="20"/>
                <w:szCs w:val="20"/>
                <w:color w:val="auto"/>
              </w:rPr>
            </w:pPr>
            <w:r>
              <w:rPr>
                <w:rFonts w:ascii="Arial" w:cs="Arial" w:eastAsia="Arial" w:hAnsi="Arial"/>
                <w:sz w:val="15"/>
                <w:szCs w:val="15"/>
                <w:color w:val="auto"/>
              </w:rPr>
              <w:t>Cash paid during the period for interest</w:t>
            </w:r>
          </w:p>
        </w:tc>
        <w:tc>
          <w:tcPr>
            <w:tcW w:w="700" w:type="dxa"/>
            <w:vAlign w:val="bottom"/>
          </w:tcPr>
          <w:p>
            <w:pPr>
              <w:jc w:val="right"/>
              <w:ind w:right="544"/>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43</w:t>
            </w:r>
          </w:p>
        </w:tc>
        <w:tc>
          <w:tcPr>
            <w:tcW w:w="26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0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600" w:type="dxa"/>
            <w:vAlign w:val="bottom"/>
          </w:tcPr>
          <w:p>
            <w:pPr>
              <w:ind w:left="200"/>
              <w:spacing w:after="0" w:line="136" w:lineRule="exact"/>
              <w:rPr>
                <w:sz w:val="20"/>
                <w:szCs w:val="20"/>
                <w:color w:val="auto"/>
              </w:rPr>
            </w:pPr>
            <w:r>
              <w:rPr>
                <w:rFonts w:ascii="Arial" w:cs="Arial" w:eastAsia="Arial" w:hAnsi="Arial"/>
                <w:sz w:val="15"/>
                <w:szCs w:val="15"/>
                <w:color w:val="auto"/>
              </w:rPr>
              <w:t>Stock-based compensation capitalized website</w:t>
            </w:r>
          </w:p>
        </w:tc>
        <w:tc>
          <w:tcPr>
            <w:tcW w:w="700" w:type="dxa"/>
            <w:vAlign w:val="bottom"/>
            <w:vMerge w:val="restart"/>
          </w:tcPr>
          <w:p>
            <w:pPr>
              <w:jc w:val="right"/>
              <w:ind w:right="544"/>
              <w:spacing w:after="0"/>
              <w:rPr>
                <w:sz w:val="20"/>
                <w:szCs w:val="20"/>
                <w:color w:val="auto"/>
              </w:rPr>
            </w:pPr>
            <w:r>
              <w:rPr>
                <w:rFonts w:ascii="Arial" w:cs="Arial" w:eastAsia="Arial" w:hAnsi="Arial"/>
                <w:sz w:val="15"/>
                <w:szCs w:val="15"/>
                <w:color w:val="auto"/>
                <w:w w:val="71"/>
              </w:rPr>
              <w:t>$</w:t>
            </w:r>
          </w:p>
        </w:tc>
        <w:tc>
          <w:tcPr>
            <w:tcW w:w="340" w:type="dxa"/>
            <w:vAlign w:val="bottom"/>
            <w:vMerge w:val="restart"/>
          </w:tcPr>
          <w:p>
            <w:pPr>
              <w:jc w:val="right"/>
              <w:spacing w:after="0"/>
              <w:rPr>
                <w:sz w:val="20"/>
                <w:szCs w:val="20"/>
                <w:color w:val="auto"/>
              </w:rPr>
            </w:pPr>
            <w:r>
              <w:rPr>
                <w:rFonts w:ascii="Arial" w:cs="Arial" w:eastAsia="Arial" w:hAnsi="Arial"/>
                <w:sz w:val="15"/>
                <w:szCs w:val="15"/>
                <w:color w:val="auto"/>
              </w:rPr>
              <w:t>13</w:t>
            </w:r>
          </w:p>
        </w:tc>
        <w:tc>
          <w:tcPr>
            <w:tcW w:w="260" w:type="dxa"/>
            <w:vAlign w:val="bottom"/>
          </w:tcPr>
          <w:p>
            <w:pPr>
              <w:spacing w:after="0"/>
              <w:rPr>
                <w:sz w:val="11"/>
                <w:szCs w:val="11"/>
                <w:color w:val="auto"/>
              </w:rPr>
            </w:pPr>
          </w:p>
        </w:tc>
        <w:tc>
          <w:tcPr>
            <w:tcW w:w="220" w:type="dxa"/>
            <w:vAlign w:val="bottom"/>
            <w:vMerge w:val="restart"/>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15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vMerge w:val="restart"/>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600" w:type="dxa"/>
            <w:vAlign w:val="bottom"/>
          </w:tcPr>
          <w:p>
            <w:pPr>
              <w:ind w:left="320"/>
              <w:spacing w:after="0"/>
              <w:rPr>
                <w:sz w:val="20"/>
                <w:szCs w:val="20"/>
                <w:color w:val="auto"/>
              </w:rPr>
            </w:pPr>
            <w:r>
              <w:rPr>
                <w:rFonts w:ascii="Arial" w:cs="Arial" w:eastAsia="Arial" w:hAnsi="Arial"/>
                <w:sz w:val="15"/>
                <w:szCs w:val="15"/>
                <w:color w:val="auto"/>
              </w:rPr>
              <w:t>development costs (Note 15)</w:t>
            </w:r>
          </w:p>
        </w:tc>
        <w:tc>
          <w:tcPr>
            <w:tcW w:w="70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Equity method investment acquired for non-cash consideration (Note 5)</w:t>
            </w:r>
          </w:p>
        </w:tc>
        <w:tc>
          <w:tcPr>
            <w:tcW w:w="700" w:type="dxa"/>
            <w:vAlign w:val="bottom"/>
            <w:shd w:val="clear" w:color="auto" w:fill="CFF0FC"/>
          </w:tcPr>
          <w:p>
            <w:pPr>
              <w:jc w:val="right"/>
              <w:ind w:right="544"/>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-788035</wp:posOffset>
            </wp:positionV>
            <wp:extent cx="603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-770890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-788035</wp:posOffset>
            </wp:positionV>
            <wp:extent cx="51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-770890</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-788035</wp:posOffset>
            </wp:positionV>
            <wp:extent cx="514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-770890</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5" w:name="page66"/>
    <w:bookmarkEnd w:id="65"/>
    <w:p>
      <w:pPr>
        <w:jc w:val="center"/>
        <w:ind w:right="20"/>
        <w:spacing w:after="0"/>
        <w:rPr>
          <w:sz w:val="20"/>
          <w:szCs w:val="20"/>
          <w:color w:val="auto"/>
        </w:rPr>
      </w:pPr>
      <w:r>
        <w:rPr>
          <w:rFonts w:ascii="Arial" w:cs="Arial" w:eastAsia="Arial" w:hAnsi="Arial"/>
          <w:sz w:val="18"/>
          <w:szCs w:val="18"/>
          <w:b w:val="1"/>
          <w:bCs w:val="1"/>
          <w:color w:val="auto"/>
        </w:rPr>
        <w:t>TRIPADVISOR,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BUSINESS DESCRIPTION</w:t>
      </w:r>
    </w:p>
    <w:p>
      <w:pPr>
        <w:spacing w:after="0" w:line="108"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consolidated financial statements.</w:t>
      </w:r>
    </w:p>
    <w:p>
      <w:pPr>
        <w:spacing w:after="0" w:line="171"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On December 20, 2011, Expedia Group, Inc. (“Expedia”) completed a spin-off of Tripadvisor into a separate publicly traded Delaware corporation. We refer to this transaction as the “Spin-Off.” Tripadvisor’s common stock began trading on The Nasdaq as an independent public company on December 21, 2011, under the trading symbol “TRIP.”</w:t>
      </w:r>
    </w:p>
    <w:p>
      <w:pPr>
        <w:spacing w:after="0" w:line="18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On December 11, 2012, Liberty Interactive Corporation, or Liberty, purchased an aggregate of approximately 4.8 million shares of common stock of Tripadvisor from Barry Diller, our former Chairman of the Board of Directors and Senior Executive, and certain of his affiliates. As a result, Liberty beneficially owned approximately 18.2 million shares of our common stock and 12.8 million shares of our Class B common stock.</w:t>
      </w:r>
    </w:p>
    <w:p>
      <w:pPr>
        <w:spacing w:after="0" w:line="164"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On August 27, 2014, the entire beneficial ownership of our common stock and Class B common stock held by Liberty was acquired by Liberty TripAdvisor Holdings, Inc., or LTRIP. Simultaneously, Liberty, LTRIP’s former parent company, distributed, by means of a dividend, to the holders of its Liberty Ventures common stock, Liberty’s entire equity interest in LTRIP. We refer to this transaction as the “Liberty Spin-Off”. As a result of the Liberty Spin-Off, effective August 27, 2014, LTRIP became a separate, publicly traded company holding 100% of Liberty’s interest in Tripadvisor.</w:t>
      </w:r>
    </w:p>
    <w:p>
      <w:pPr>
        <w:spacing w:after="0" w:line="155"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As a result of these transactions, and as of December 31, 2021, LTRIP beneficially owned approximately 16.4 million shares of our common stock and 12.8 million shares of our Class B common stock, which constitute approximately 13% of the outstanding shares of common stock and 100% of the outstanding shares of Class B common stock. Assuming the conversion of all of LTRIP’s shares of Class B common stock into common stock, LTRIP would beneficially own approximately 21% of the outstanding common stock. Because each share of Class B common stock is entitled to ten votes per share and each share of common stock is entitled to one vote per share, LTRIP may be deemed to beneficially own equity securities representing nearly 57% of our voting power.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right="80" w:firstLine="509"/>
        <w:spacing w:after="0" w:line="235" w:lineRule="auto"/>
        <w:rPr>
          <w:sz w:val="20"/>
          <w:szCs w:val="20"/>
          <w:color w:val="auto"/>
        </w:rPr>
      </w:pPr>
      <w:r>
        <w:rPr>
          <w:rFonts w:ascii="Arial" w:cs="Arial" w:eastAsia="Arial" w:hAnsi="Arial"/>
          <w:sz w:val="18"/>
          <w:szCs w:val="18"/>
          <w:color w:val="auto"/>
        </w:rPr>
        <w:t>Tripadvisor operates the world’s largest travel guidance platform, connecting a global audience of prospective travelers with travel partners through rich content, price comparison tools, and online reservation and related services for destinations, accommodations, travel activities and experiences, and restaurants. Our mission is to help people around the world plan, book and experience the perfect trip.</w:t>
      </w:r>
    </w:p>
    <w:p>
      <w:pPr>
        <w:spacing w:after="0" w:line="188"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In 2000, under our flagship brand Tripadvisor, we launched www.Tripadvisor.com in the U.S. Since then, we have built a portfolio of travel guidance brands and businesses, seamlessly connecting travelers to destinations, accommodations, travel activities and experiences, and restaurants in over 40 markets and over 20 languages worldwide. Tripadvisor features more than 1 billion reviews and opinions on nearly 8 million hotels and other accommodations, restaurants, experiences, airlines and cruises. In addition to the flagship Tripadvisor brand, we own and operate a portfolio of travel media brands and businesses, operating under various websites, including the following: www.bokun.io, www.cruisecritic.com, www.flipkey.com, www.thefork.com, www.helloreco.com, www.holidaylettings.co.uk, www.housetrip.com, www.jetsetter.com, www.niumba.com, www.seatguru.com, www.singleplatform.com, www.vacationhomerentals.com, and www.viator.com.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12" w:lineRule="exact"/>
        <w:rPr>
          <w:sz w:val="20"/>
          <w:szCs w:val="20"/>
          <w:color w:val="auto"/>
        </w:rPr>
      </w:pPr>
    </w:p>
    <w:p>
      <w:pPr>
        <w:ind w:right="360" w:firstLine="509"/>
        <w:spacing w:after="0" w:line="248" w:lineRule="auto"/>
        <w:rPr>
          <w:sz w:val="20"/>
          <w:szCs w:val="20"/>
          <w:color w:val="auto"/>
        </w:rPr>
      </w:pPr>
      <w:r>
        <w:rPr>
          <w:rFonts w:ascii="Arial" w:cs="Arial" w:eastAsia="Arial" w:hAnsi="Arial"/>
          <w:sz w:val="18"/>
          <w:szCs w:val="18"/>
          <w:color w:val="auto"/>
        </w:rPr>
        <w:t>In December 2019, a novel strain of coronavirus (“COVID-19”) was reported in Wuhan, China, and on March 11, 2020 was declared a global pandemic. COVID-19 has caused material and adverse declines in consumer demand within the travel, hospitality, restaurant, and leisure industry. The pandemic’s proliferation, concurrent with travel</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6" w:name="page67"/>
    <w:bookmarkEnd w:id="66"/>
    <w:p>
      <w:pPr>
        <w:ind w:right="120"/>
        <w:spacing w:after="0" w:line="243" w:lineRule="auto"/>
        <w:rPr>
          <w:sz w:val="20"/>
          <w:szCs w:val="20"/>
          <w:color w:val="auto"/>
        </w:rPr>
      </w:pPr>
      <w:r>
        <w:rPr>
          <w:rFonts w:ascii="Arial" w:cs="Arial" w:eastAsia="Arial" w:hAnsi="Arial"/>
          <w:sz w:val="18"/>
          <w:szCs w:val="18"/>
          <w:color w:val="auto"/>
        </w:rPr>
        <w:t>bans, varying levels of governmental restrictions and mandates globally to limit the spread of the virus, has dampened consumer demand for our products and services, and impacted consumer sentiment and discretionary spending patterns, all of which have adversely and materially impacted our results of operations, liquidity and financial condition during the year ended December 31, 2020, and to a lesser degree during the year ended December 31, 2021 as the travel industry experienced, albeit uneven, ongoing recovery.</w:t>
      </w:r>
    </w:p>
    <w:p>
      <w:pPr>
        <w:spacing w:after="0" w:line="188"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 xml:space="preserve">In response to the COVID-19 pandemic, we took several steps to further strengthen our financial position and balance sheet including but not limited to, restructuring activities, primarily by significantly reducing our ongoing operating expenses and headcount. During the year ended December 31, 2020, the Company incurred total restructuring and other related reorganization costs of $41 million which consisted of employee severance and related benefits. These costs were fully paid by the Company as of December 31, 2020. In addition, in order to maintain financial liquidity and flexibility during this time period, the Company (i) borrowed $700 million from our Credit Facility in the first quarter of 2020 (subsequently repaid during the third quarter of 2020); (ii) amended our Credit Agreement, which included short-term financial covenant relief and the extension of the maturity date from May 12, 2022 to May 12, 2024; and (iii) raised additional financing through the issuance of $500 million in Senior Notes by the Company in July 2020, all which are described in more detail in “Note 10: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194"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In the fourth quarter of 2020, multiple COVID-19 vaccines were approved for widespread distribution throughout various parts of the world, including the United States and Europe, and in the first quarter of 2021, vaccination distribution programs were initiated around the world. Vaccine programs in our largest markets, the U.S. and Europe, appear to be progressing well, and we expect the same for much of the rest of the world. We are encouraged by these developments; however, while we have seen varying degrees of containment of the virus (including variants) in various countries and positive signs of growing travel demand recovery during 2021, the degree of containment and the recovery in travel has varied both region-to-region on a global basis, as well as state-to-state in the U.S. For example, as COVID-19 cases resurged or as new variants were identified, government restrictions and mandates were reinstated in certain geographies globally during 2021.</w:t>
      </w:r>
    </w:p>
    <w:p>
      <w:pPr>
        <w:spacing w:after="0" w:line="180"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Therefore, we continue to be subject to risks and uncertainties as a result of the COVID-19 pandemic. The timing of widespread vaccine distributions, efficacy against any future or recent variants (e.g., Delta and Omicron) of COVID-19, whether there will be resurgences of the virus and subsequent government restrictions, the extent and effectiveness of containment actions taken, and whether consumers demand for travel and hospitality services will continue to be negatively impacted remain uncertain. We do not know the future path or rate of global or regional COVID-19 transmission, including existing COVID-19 variants (e.g., Delta and Omicron) or future variants, if any, nor do we have visibility into when remaining or reinstated restrictions will be lifted, and where additional restrictions may be implemented or reinstated in the future due to resurgence of the virus. Correspondingly, we still do not have forward-looking visibility into the long-term impacts related to consumer demand for travel, usage patterns on our platform, and travel behavior patterns when all travel bans and other government restrictions and mandates are fully lifted.</w:t>
      </w:r>
    </w:p>
    <w:p>
      <w:pPr>
        <w:spacing w:after="0" w:line="181"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Therefore, the continuing extent of the impact of the COVID-19 pandemic on our business, results of operations, liquidity and financial condition remains uncertain, and is dependent on future developments that cannot be accurately predicted at this time. We continue to believe the travel, leisure, hospitality, and restaurant industries (collectively, the “travel industry”), and our financial results, will continue to be adversely and materially affected while the pandemic continues, new variants emerge, and lingering travel bans and other government restrictions and mandates continue to remain in place or be reinstated, all of which negatively impact consumer demand, sentiment and discretionary spending patterns.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 xml:space="preserve">Consumers’ travel expenditures have historically followed a seasonal pattern. Correspondingly, travel partners’ advertising investments, and therefore our revenue and operating profits, have also historically followed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w:t>
      </w:r>
      <w:r>
        <w:rPr>
          <w:rFonts w:ascii="Arial" w:cs="Arial" w:eastAsia="Arial" w:hAnsi="Arial"/>
          <w:sz w:val="17"/>
          <w:szCs w:val="17"/>
          <w:color w:val="231F20"/>
        </w:rPr>
        <w:t>During the first half of the year, experience and rentals</w:t>
      </w:r>
      <w:r>
        <w:rPr>
          <w:rFonts w:ascii="Arial" w:cs="Arial" w:eastAsia="Arial" w:hAnsi="Arial"/>
          <w:sz w:val="17"/>
          <w:szCs w:val="17"/>
          <w:color w:val="auto"/>
        </w:rPr>
        <w:t xml:space="preserve"> </w:t>
      </w:r>
      <w:r>
        <w:rPr>
          <w:rFonts w:ascii="Arial" w:cs="Arial" w:eastAsia="Arial" w:hAnsi="Arial"/>
          <w:sz w:val="17"/>
          <w:szCs w:val="17"/>
          <w:color w:val="231F20"/>
        </w:rPr>
        <w:t>bookings typically exceed the amount of completed experiences and rental</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7" w:name="page68"/>
    <w:bookmarkEnd w:id="67"/>
    <w:p>
      <w:pPr>
        <w:ind w:right="20"/>
        <w:spacing w:after="0" w:line="261" w:lineRule="auto"/>
        <w:rPr>
          <w:sz w:val="20"/>
          <w:szCs w:val="20"/>
          <w:color w:val="auto"/>
        </w:rPr>
      </w:pPr>
      <w:r>
        <w:rPr>
          <w:rFonts w:ascii="Arial" w:cs="Arial" w:eastAsia="Arial" w:hAnsi="Arial"/>
          <w:sz w:val="18"/>
          <w:szCs w:val="18"/>
          <w:color w:val="231F20"/>
        </w:rPr>
        <w:t>stays, resulting in higher cash flow related to working capital, while during the second half of the year, particularly in the third quarter, this pattern reverses and cash flows from these transactions are typically negative</w:t>
      </w:r>
      <w:r>
        <w:rPr>
          <w:rFonts w:ascii="Arial" w:cs="Arial" w:eastAsia="Arial" w:hAnsi="Arial"/>
          <w:sz w:val="18"/>
          <w:szCs w:val="18"/>
          <w:color w:val="000000"/>
        </w:rPr>
        <w:t>.</w:t>
      </w:r>
    </w:p>
    <w:p>
      <w:pPr>
        <w:spacing w:after="0" w:line="63"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231F20"/>
        </w:rPr>
        <w:t>Other factors may also impact typical seasonal fluctuations, which include further significant shifts in our business mix or adverse economic conditions that could result in future seasonal patterns that are different from historical trends. For example, due to the impact of COVID -19 on our business, we did not experience our typical seasonal pattern for revenue and operating profits during the year ended December 31, 2020. COVID-19 contributed significantly to unfavorable working capital trends and material negative operating cash flow during the year ended December 31, 2020, most notably occurring during the first half of 2020, when we typically generate significant positive cash flow.</w:t>
      </w:r>
    </w:p>
    <w:p>
      <w:pPr>
        <w:spacing w:after="0" w:line="66"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Although consumer demand, traveler hotel and rental stays, and travel activities and experiences taken generally remain materially lower than historic levels, these trends have improved during 2021, resulting in increased revenues, and working capital and operating cash flow more akin to typical historical seasonality trends. However, it is difficult to predict the seasonality for 2022, given the sustained uncertainty related to the continued economic impact of the COVID-19 pandemic, and the ultimate shape and timing of a recovery in our key markets.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90" w:lineRule="exact"/>
        <w:rPr>
          <w:sz w:val="20"/>
          <w:szCs w:val="20"/>
          <w:color w:val="auto"/>
        </w:rPr>
      </w:pPr>
    </w:p>
    <w:p>
      <w:pPr>
        <w:ind w:right="200" w:firstLine="509"/>
        <w:spacing w:after="0"/>
        <w:rPr>
          <w:sz w:val="20"/>
          <w:szCs w:val="20"/>
          <w:color w:val="auto"/>
        </w:rPr>
      </w:pPr>
      <w:r>
        <w:rPr>
          <w:rFonts w:ascii="Arial" w:cs="Arial" w:eastAsia="Arial" w:hAnsi="Arial"/>
          <w:sz w:val="17"/>
          <w:szCs w:val="17"/>
          <w:color w:val="auto"/>
        </w:rPr>
        <w:t>The accompanying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Additionally, certain prior period amounts have been reclassified for comparability with the current period presentation. The accompanying consolidated financial statements have been prepared in accordance with generally accepted accounting principles in the United States (“GAAP”). We believe that the assumptions underlying our consolidated financial statements are reasonable. However, these consolidated financial statements do not present our future financial position, the results of our future operations and cash flows.</w:t>
      </w:r>
    </w:p>
    <w:p>
      <w:pPr>
        <w:spacing w:after="0" w:line="69" w:lineRule="exact"/>
        <w:rPr>
          <w:sz w:val="20"/>
          <w:szCs w:val="20"/>
          <w:color w:val="auto"/>
        </w:rPr>
      </w:pPr>
    </w:p>
    <w:p>
      <w:pPr>
        <w:ind w:firstLine="509"/>
        <w:spacing w:after="0" w:line="227" w:lineRule="auto"/>
        <w:rPr>
          <w:sz w:val="20"/>
          <w:szCs w:val="20"/>
          <w:color w:val="auto"/>
        </w:rPr>
      </w:pPr>
      <w:r>
        <w:rPr>
          <w:rFonts w:ascii="Arial" w:cs="Arial" w:eastAsia="Arial" w:hAnsi="Arial"/>
          <w:sz w:val="18"/>
          <w:szCs w:val="18"/>
          <w:color w:val="auto"/>
        </w:rPr>
        <w:t>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90" w:lineRule="exact"/>
        <w:rPr>
          <w:sz w:val="20"/>
          <w:szCs w:val="20"/>
          <w:color w:val="auto"/>
        </w:rPr>
      </w:pPr>
    </w:p>
    <w:p>
      <w:pPr>
        <w:ind w:right="20" w:firstLine="509"/>
        <w:spacing w:after="0" w:line="225" w:lineRule="auto"/>
        <w:rPr>
          <w:sz w:val="20"/>
          <w:szCs w:val="20"/>
          <w:color w:val="auto"/>
        </w:rPr>
      </w:pPr>
      <w:r>
        <w:rPr>
          <w:rFonts w:ascii="Arial" w:cs="Arial" w:eastAsia="Arial" w:hAnsi="Arial"/>
          <w:sz w:val="18"/>
          <w:szCs w:val="18"/>
          <w:color w:val="auto"/>
        </w:rPr>
        <w:t>We use estimates and assumptions in the preparation of our consolidated financial statements in accordance with GAAP. Our estimates and assumptions affect the reported amounts of assets and liabilities and disclosure of contingent assets and liabilities as of the date of our consolidated financial statements. These estimates and assumptions also affect the reported amount of net income or loss during any period. Our actual financial results could differ significantly from these estimates. The significant estimate underlying our consolidated financial statements is accounting for income taxes. The COVID-19 pandemic has created significant uncertainty in macroeconomic conditions, which may cause further business disruptions and continue to adversely and materially impact our results of operations. As a result, some of our estimates and assumptions required increased judgment and carry a higher degree of variability and volatility. As events continue to evolve and additional information becomes available, our estimates may change materially in future periods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for a discussion about our revenue recognition policies and other financial disclosures.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200" w:firstLine="509"/>
        <w:spacing w:after="0" w:line="246" w:lineRule="auto"/>
        <w:rPr>
          <w:sz w:val="20"/>
          <w:szCs w:val="20"/>
          <w:color w:val="auto"/>
        </w:rPr>
      </w:pPr>
      <w:r>
        <w:rPr>
          <w:rFonts w:ascii="Arial" w:cs="Arial" w:eastAsia="Arial" w:hAnsi="Arial"/>
          <w:sz w:val="17"/>
          <w:szCs w:val="17"/>
          <w:color w:val="auto"/>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90"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Selling and marketing expenses consist of direct costs, including traffic generation costs from SEM and other online traffic acquisition costs, syndication costs and affiliate marketing commissions, social media costs, brand advertising (including television and other offline advertising), promotions and public relations. In addition, our selling and marketing expenses consist of indirect costs such as personnel and overhead expenses, including salaries, commissions, benefits, stock-based compensation, and bonuses for sales, sales support, customer support and marketing employees.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20" w:firstLine="509"/>
        <w:spacing w:after="0"/>
        <w:rPr>
          <w:sz w:val="20"/>
          <w:szCs w:val="20"/>
          <w:color w:val="auto"/>
        </w:rPr>
      </w:pPr>
      <w:r>
        <w:rPr>
          <w:rFonts w:ascii="Arial" w:cs="Arial" w:eastAsia="Arial" w:hAnsi="Arial"/>
          <w:sz w:val="17"/>
          <w:szCs w:val="17"/>
          <w:color w:val="auto"/>
        </w:rPr>
        <w:t>We incur advertising costs, consisting of online advertising expense, primarily SEM and other online traffic costs, and offline advertising costs, including television, to promote our brands. We expense the costs associated with communicating the advertisements in the period in which the advertisement takes place. We expense the production costs associated with advertisements in the period in which the advertisement first takes place. For the years ended December 31, 2021, 2020 and 2019, we recorded advertising expense of $282 million, $118 million, and $423 million, respectively, in selling and marketing expense on our consolidated statements of operations. We include prepaid advertising expenses in prepaid expenses and other current assets on our consolidated balance sheet, which was not material as of December 31, 2021 and 2020.</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104"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platform. Other costs include licensing, maintenance expense, computer supplies, telecom costs, content translation and localization costs, and consulting costs.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and other non-income related taxes.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2"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Our employee stock options generally consist of service based awards. The exercise price is equal to the market price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underlying shares of our common stock at the date of grant. In this regard, when granting stock option awards, our practice is to determine the applicable grant date and to specify that the exercise price shall be the closing price of our common stock on the date of grant. Our stock options generally have a term of ten years from the date of grant and typically vest equally over a four-year requisite service period. We amortize the grant-date fair value of our stock option grants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67"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The estimated grant-date fair value of stock options is calculated using a Black-Scholes Merton option-pricing model (“Black-Scholes model”). The Black-Scholes model incorporates assumptions to fair value stock-based awards, which includes the risk-free rate of return, expected volatility, expected term, and expected dividend yield.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9" w:name="page70"/>
    <w:bookmarkEnd w:id="69"/>
    <w:p>
      <w:pPr>
        <w:ind w:right="20"/>
        <w:spacing w:after="0" w:line="238" w:lineRule="auto"/>
        <w:rPr>
          <w:sz w:val="20"/>
          <w:szCs w:val="20"/>
          <w:color w:val="auto"/>
        </w:rPr>
      </w:pPr>
      <w:r>
        <w:rPr>
          <w:rFonts w:ascii="Arial" w:cs="Arial" w:eastAsia="Arial" w:hAnsi="Arial"/>
          <w:sz w:val="18"/>
          <w:szCs w:val="18"/>
          <w:color w:val="auto"/>
        </w:rPr>
        <w:t>Our risk-free interest rate is based on the yields currently available on zero-coupon U.S. Treasury issues, in effect at the time of the grant, whose remaining maturity period most closely approximates the stock option’s expected term assumption. Our expected volatility is calculated by equally weighting the historical volatility and implied volatility on our own common stock. Historical volatility is determined using actual daily price observations of our common stock price over a period equivalent to or approximate to the expected term of our stock option grants to date. Implied volatility represents the volatility calculated from the observed prices of our actively traded options on our common stock. When measuring implied volatility for a specific employee stock option grant, we generally rely on traded contracts with six month maturities or more and exercise prices approximately equal to the exercise price of the specific option grant. We estimate our expected term using historical exercise behavior and expected post-vest termination data. Our expected dividend yield is zero as we have not historically paid regular cash dividends on our common stock and do not expect to pay regular cash dividends for the foreseeable future.</w:t>
      </w:r>
    </w:p>
    <w:p>
      <w:pPr>
        <w:spacing w:after="0" w:line="191"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Restricted stock units (“RSUs”) are stock awards that are granted to employees entitling the holder to shares of our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as the award vests. RSUs are measured at fair value based on the quoted price of our common stock at the date of grant. We amortize the fair value of RSUs as stock-based compensation expense over the vesting term, which is typically over a four-year requisite service period on a straight-line basis, with the amount of compensation expense recognized at any date at least equaling the portion of the grant-date fair value of the award that is vested at that date.</w:t>
      </w:r>
    </w:p>
    <w:p>
      <w:pPr>
        <w:spacing w:after="0" w:line="155" w:lineRule="exact"/>
        <w:rPr>
          <w:sz w:val="20"/>
          <w:szCs w:val="20"/>
          <w:color w:val="auto"/>
        </w:rPr>
      </w:pPr>
    </w:p>
    <w:p>
      <w:pPr>
        <w:ind w:right="80" w:firstLine="509"/>
        <w:spacing w:after="0" w:line="270" w:lineRule="auto"/>
        <w:rPr>
          <w:sz w:val="20"/>
          <w:szCs w:val="20"/>
          <w:color w:val="auto"/>
        </w:rPr>
      </w:pPr>
      <w:r>
        <w:rPr>
          <w:rFonts w:ascii="Arial" w:cs="Arial" w:eastAsia="Arial" w:hAnsi="Arial"/>
          <w:sz w:val="16"/>
          <w:szCs w:val="16"/>
          <w:i w:val="1"/>
          <w:iCs w:val="1"/>
          <w:color w:val="auto"/>
        </w:rPr>
        <w:t xml:space="preserve">Performance-Based Awards. </w:t>
      </w:r>
      <w:r>
        <w:rPr>
          <w:rFonts w:ascii="Arial" w:cs="Arial" w:eastAsia="Arial" w:hAnsi="Arial"/>
          <w:sz w:val="16"/>
          <w:szCs w:val="16"/>
          <w:color w:val="auto"/>
        </w:rPr>
        <w:t>Performance-based stock options and RSUs vest upon achievement of certain company-based performance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a requisite service period. On the date of grant, the fair value of a performance-based award is calculated using the same method as our service based stock options and RSUs described above. We then assess whether it is probable that the individual performance targets would be achieved. If assessed as probable, compensation expense will be recorded for these awards over the estimated performance period. At each reporting period, we reassess the probability of achieving the performance targets and the performance period required to meet those targets. The estimation of whether the performance targets will be achieved and of the performance period required to achieve the targets requires judgment, and to the extent actual results or updated estimates differ from our current estimates, the cumulative effect on current and prior periods of those changes will be recorded in the period estimates are revised, or the change in estimate will be applied prospectively depending on whether the change affects the estimate of total compensation cost to be recognized or merely affects the period over which compensation cost is to be recognized. The ultimate number of shares issued and the related compensation expense recognized will be based on a comparison of the final performance metrics to the specified targets.</w:t>
      </w:r>
    </w:p>
    <w:p>
      <w:pPr>
        <w:spacing w:after="0" w:line="17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i w:val="1"/>
          <w:iCs w:val="1"/>
          <w:color w:val="auto"/>
        </w:rPr>
        <w:t>Market-Based Awards</w:t>
      </w:r>
      <w:r>
        <w:rPr>
          <w:rFonts w:ascii="Arial" w:cs="Arial" w:eastAsia="Arial" w:hAnsi="Arial"/>
          <w:sz w:val="18"/>
          <w:szCs w:val="18"/>
          <w:color w:val="auto"/>
        </w:rPr>
        <w:t>. We issue market-based performance RSUs, or MSUs, which vest upon achievement of specified levels of market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our MSUs is estimated at the date of grant using a Monte-Carlo simulation model. The probabilities of the actual number of market-based performance units expected to vest and resultant actual number of shares of common stock expected to be awarded are reflected in the grant date fair values; therefore, the compensation expense for these awards will be recognized assuming the requisite service period is rendered and are not adjusted based on the actual number of awards that ultimately vest.</w:t>
      </w:r>
    </w:p>
    <w:p>
      <w:pPr>
        <w:spacing w:after="0" w:line="189"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Estimates of fair value are not intended to predict actual future events or the value ultimately realized by employees who receive these awards, and subsequent events are not indicative of the reasonableness of our original estimates of fair value. The Company accounts for forfeitures in the period in which they occur, rather than estimate expected forfeitures.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income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70" w:name="page71"/>
    <w:bookmarkEnd w:id="70"/>
    <w:p>
      <w:pPr>
        <w:ind w:right="140"/>
        <w:spacing w:after="0" w:line="284" w:lineRule="auto"/>
        <w:rPr>
          <w:sz w:val="20"/>
          <w:szCs w:val="20"/>
          <w:color w:val="auto"/>
        </w:rPr>
      </w:pPr>
      <w:r>
        <w:rPr>
          <w:rFonts w:ascii="Arial" w:cs="Arial" w:eastAsia="Arial" w:hAnsi="Arial"/>
          <w:sz w:val="16"/>
          <w:szCs w:val="16"/>
          <w:color w:val="auto"/>
        </w:rPr>
        <w:t>well as assessing available tax planning strategies. We may establish a valuation allowance to reduce deferred tax assets to the amount we believe is more likely than not to be realized.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 We classify deferred tax assets and liabilities as noncurrent on our consolidated balance sheet.</w:t>
      </w:r>
    </w:p>
    <w:p>
      <w:pPr>
        <w:spacing w:after="0" w:line="155"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We record liabilities to address uncertain tax positions we have taken in previously filed tax returns or that we expect to take in a future tax return. The determination for required liabilities is based upon an analysis of each individual tax position, taking into consideration whether it is more likely than not that our tax position, based on technical merits, will be sustained upon examination.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cash consists of bank deposits held in global financial institutions. Our cash equivalents generally consist of highly liquid investments,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generally including money market funds, overnight demand deposits, and marketable securities, with maturities of 90 days or less at the date of purchase.</w:t>
      </w:r>
    </w:p>
    <w:p>
      <w:pPr>
        <w:spacing w:after="0" w:line="219"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For all periods presented, our restricted cash, which primarily consists of escrowed security deposits, was not material and is included in other long-term assets on our consolidated balance sheet.</w:t>
      </w:r>
    </w:p>
    <w:p>
      <w:pPr>
        <w:spacing w:after="0" w:line="17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classify marketable securities as either short-term or long-term based on each instrument’s underlying contractual maturity date and as to whether and when we intend to sell a particular security prior to its maturity date. Marketable securities with maturities greater than 90 days at the date of purchase and 12 months or less remaining at the balance sheet date will be classified as short-term and marketable securities with maturities greater than 12 months from the balance sheet date will generally be classified as long-term. We classify marketable equity securities, limited by policy to money market funds and mutual funds, as either a cash equivalent, short-term or long-term based on the nature of each security and its availability for use in current operations.</w:t>
      </w:r>
    </w:p>
    <w:p>
      <w:pPr>
        <w:spacing w:after="0" w:line="8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Our marketable securities are classified and accounted for as available-for-sale, and therefore are carried at fair value, with unrealized gains and losses, net of taxes, reported in accumulated other comprehensive income (loss) as a component of stockholders’ equity. Fair values are determined for each individual security in the investment portfolio. We determine the appropriate classification of our marketable securities at the time of purchase and reevaluate the designations at each balance sheet date. We invest in highly-rated securities, and our investment policy limits the amount of credit exposure to any one issuer, industry group and currency. The policy requires investments to be investment grade, with the primary objective of minimizing the potential risk of principal loss and providing liquidity of investments sufficient to meet our operating and capital spending requirements and debt repayments. Realized gains and losses on the sale of marketable securities are determined by specific identification of each security’s cost basis. We may sell certain of our marketable securities prior to their stated maturities for strategic reasons including, but not limited to, anticipation of credit deterioration, liquidity, and duration management. The weighted average maturity of our total invested cash shall not exceed 18 months, and no security shall have a final maturity date greater than three years, according to our investment policy.</w:t>
      </w:r>
    </w:p>
    <w:p>
      <w:pPr>
        <w:spacing w:after="0" w:line="180"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We continually review any available-for-sale securities to determine whether their fair value is below their carrying value. If the fair value of an available-for-sale security is below their carrying value, and either we intend to sell the security or we will be required to sell before recovery, then the difference between fair value and carrying value is recognized as a loss in other income (expense), net on our consolidated statements of operations. If we do not intend to sell and we will not be required to sell before recovery, then we analyze whether a portion of the unrealized loss is the result of a credit loss. When a portion of the unrealized loss is the result of a credit loss, we recognize an allowance for credit losses on our consolidated balance sheet and a corresponding loss in other income (expense), net on our consolidated statements of operations. Any portion of the unrealized loss on the available-for-sale securities that is not attributable to a credit loss would be recognized as an unrealized loss in accumulated other comprehensive income (loss) within our consolidated statements of changes in stockholders’ equity.</w:t>
      </w:r>
    </w:p>
    <w:p>
      <w:pPr>
        <w:spacing w:after="0" w:line="181" w:lineRule="exact"/>
        <w:rPr>
          <w:sz w:val="20"/>
          <w:szCs w:val="20"/>
          <w:color w:val="auto"/>
        </w:rPr>
      </w:pPr>
    </w:p>
    <w:p>
      <w:pPr>
        <w:ind w:right="680" w:firstLine="509"/>
        <w:spacing w:after="0" w:line="261" w:lineRule="auto"/>
        <w:rPr>
          <w:sz w:val="20"/>
          <w:szCs w:val="20"/>
          <w:color w:val="auto"/>
        </w:rPr>
      </w:pPr>
      <w:r>
        <w:rPr>
          <w:rFonts w:ascii="Arial" w:cs="Arial" w:eastAsia="Arial" w:hAnsi="Arial"/>
          <w:sz w:val="18"/>
          <w:szCs w:val="18"/>
          <w:color w:val="auto"/>
        </w:rPr>
        <w:t>The Company's investment portfolio at any point in time may contain investments, including, in U.S. treasury and U.S. government agency securities, taxable and tax-exempt municipal notes, corporate notes and bonds,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71" w:name="page72"/>
    <w:bookmarkEnd w:id="71"/>
    <w:p>
      <w:pPr>
        <w:ind w:right="100"/>
        <w:spacing w:after="0" w:line="241" w:lineRule="auto"/>
        <w:rPr>
          <w:sz w:val="20"/>
          <w:szCs w:val="20"/>
          <w:color w:val="auto"/>
        </w:rPr>
      </w:pPr>
      <w:r>
        <w:rPr>
          <w:rFonts w:ascii="Arial" w:cs="Arial" w:eastAsia="Arial" w:hAnsi="Arial"/>
          <w:sz w:val="18"/>
          <w:szCs w:val="18"/>
          <w:color w:val="auto"/>
        </w:rPr>
        <w:t>commercial paper, non-U.S. government agency securities, overnight demand deposits, and money market funds. The Company segments its portfolio based on the underlying risk profiles of the securities and has a zero loss expectation for U.S. treasury and U.S. government agency securities. The Company regularly reviews the securities in an unrealized loss position and evaluates the expected credit loss risk by considering factors such as historical experience, market data, issuer-specific factors, and current economic conditions. As of December 31, 2021 and 2020, the Company had no available-for-sale securities.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 xml:space="preserve">Accounts receivable are recognized when the right to consideration becomes unconditional and are recorded net of an allowance for credit losses. We record accounts receivable at the invoiced amount. Our customer invoices are generally due 30 days from the time of invoicing. The Company historically recorded an allowance for doubtful accounts using the incurred loss model. Upon adoption of ASC 326 –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(“ASC 326”), the Company transitioned to the “expected credit loss” methodology in estimating its allowance for credit losses, which the Company adopted on January 1, 2020.</w:t>
      </w:r>
    </w:p>
    <w:p>
      <w:pPr>
        <w:spacing w:after="0" w:line="189"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We apply the “expected credit loss” methodology by first assessing our historical losses based on credit sales and then adding in an assessment of expected changes in the foreseeable future, whether positive or negative, to the Company’s ability to collect its outstanding accounts receivables, or the expectation for future losses. The Company develops its expectation for future losses by assessing the profiles of its customers using their historical payment patterns, any known changes to those customers’ ability to fulfill their payment obligations, and assessing broader economic conditions that may impact our customers’ ability to pay their obligations. Where appropriate, the Company performs this analysis using a portfolio approach. Portfolios comprise customers with similar characteristics and payment history, and we have concluded that the aggregation of these customers into various portfolios does not produce a result that is materially different from considering the affected customers individually. Customers are assigned internal credit ratings, as determined by the Company, based on our collection profiles. Customers whose outstanding obligations are less likely to experience a credit loss are assigned a higher internal credit rating, and those customers whose outstanding obligations are more likely to experience a credit loss are assigned a lower credit rating. We recognize a greater credit loss allowance on the accounts receivable due from those customers in the lower credit tranche, as determined by the Company. When the Company becomes aware of facts and circumstances affecting an individual customer, it also takes that specific customer information into account as part of its calculation of expected credit losses.</w:t>
      </w:r>
    </w:p>
    <w:p>
      <w:pPr>
        <w:spacing w:after="0" w:line="158" w:lineRule="exact"/>
        <w:rPr>
          <w:sz w:val="20"/>
          <w:szCs w:val="20"/>
          <w:color w:val="auto"/>
        </w:rPr>
      </w:pPr>
    </w:p>
    <w:p>
      <w:pPr>
        <w:ind w:right="440" w:firstLine="509"/>
        <w:spacing w:after="0" w:line="248" w:lineRule="auto"/>
        <w:rPr>
          <w:sz w:val="20"/>
          <w:szCs w:val="20"/>
          <w:color w:val="auto"/>
        </w:rPr>
      </w:pPr>
      <w:r>
        <w:rPr>
          <w:rFonts w:ascii="Arial" w:cs="Arial" w:eastAsia="Arial" w:hAnsi="Arial"/>
          <w:sz w:val="18"/>
          <w:szCs w:val="18"/>
          <w:color w:val="auto"/>
        </w:rPr>
        <w:t>The Company's exposure to credit losses may increase if our customers are adversely affected by changes in macroeconomic pressures or uncertainty associated with local or global economic recessions, including the economic impact to our customers associated with COVID-19, or other customer-specific factors.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changes in our allowance for credit losses for the periods presented:</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Allowance for credit losses:</w:t>
            </w:r>
          </w:p>
        </w:tc>
        <w:tc>
          <w:tcPr>
            <w:tcW w:w="7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180"/>
              <w:spacing w:after="0" w:line="202" w:lineRule="exact"/>
              <w:rPr>
                <w:sz w:val="20"/>
                <w:szCs w:val="20"/>
                <w:color w:val="auto"/>
              </w:rPr>
            </w:pPr>
            <w:r>
              <w:rPr>
                <w:rFonts w:ascii="Arial" w:cs="Arial" w:eastAsia="Arial" w:hAnsi="Arial"/>
                <w:sz w:val="18"/>
                <w:szCs w:val="18"/>
                <w:color w:val="auto"/>
              </w:rPr>
              <w:t>Balance, beginning of period</w:t>
            </w:r>
          </w:p>
        </w:tc>
        <w:tc>
          <w:tcPr>
            <w:tcW w:w="720" w:type="dxa"/>
            <w:vAlign w:val="bottom"/>
          </w:tcPr>
          <w:p>
            <w:pPr>
              <w:jc w:val="right"/>
              <w:ind w:right="536"/>
              <w:spacing w:after="0" w:line="202" w:lineRule="exact"/>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260" w:type="dxa"/>
            <w:vAlign w:val="bottom"/>
          </w:tcPr>
          <w:p>
            <w:pPr>
              <w:spacing w:after="0"/>
              <w:rPr>
                <w:sz w:val="17"/>
                <w:szCs w:val="17"/>
                <w:color w:val="auto"/>
              </w:rPr>
            </w:pPr>
          </w:p>
        </w:tc>
        <w:tc>
          <w:tcPr>
            <w:tcW w:w="220" w:type="dxa"/>
            <w:vAlign w:val="bottom"/>
          </w:tcPr>
          <w:p>
            <w:pPr>
              <w:jc w:val="right"/>
              <w:ind w:right="39"/>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4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Provision charged to expense</w:t>
            </w: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440" w:type="dxa"/>
            <w:vAlign w:val="bottom"/>
          </w:tcPr>
          <w:p>
            <w:pPr>
              <w:ind w:left="180"/>
              <w:spacing w:after="0" w:line="162" w:lineRule="exact"/>
              <w:rPr>
                <w:sz w:val="20"/>
                <w:szCs w:val="20"/>
                <w:color w:val="auto"/>
              </w:rPr>
            </w:pPr>
            <w:r>
              <w:rPr>
                <w:rFonts w:ascii="Arial" w:cs="Arial" w:eastAsia="Arial" w:hAnsi="Arial"/>
                <w:sz w:val="18"/>
                <w:szCs w:val="18"/>
                <w:color w:val="auto"/>
              </w:rPr>
              <w:t>Write-offs, net of recoveries and other</w:t>
            </w:r>
          </w:p>
        </w:tc>
        <w:tc>
          <w:tcPr>
            <w:tcW w:w="720" w:type="dxa"/>
            <w:vAlign w:val="bottom"/>
          </w:tcPr>
          <w:p>
            <w:pPr>
              <w:spacing w:after="0"/>
              <w:rPr>
                <w:sz w:val="14"/>
                <w:szCs w:val="14"/>
                <w:color w:val="auto"/>
              </w:rPr>
            </w:pP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(8 )</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(9 )</w:t>
            </w:r>
          </w:p>
        </w:tc>
        <w:tc>
          <w:tcPr>
            <w:tcW w:w="220" w:type="dxa"/>
            <w:vAlign w:val="bottom"/>
          </w:tcPr>
          <w:p>
            <w:pPr>
              <w:spacing w:after="0"/>
              <w:rPr>
                <w:sz w:val="14"/>
                <w:szCs w:val="14"/>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3"/>
        </w:trPr>
        <w:tc>
          <w:tcPr>
            <w:tcW w:w="5440" w:type="dxa"/>
            <w:vAlign w:val="bottom"/>
          </w:tcPr>
          <w:p>
            <w:pPr>
              <w:ind w:left="320"/>
              <w:spacing w:after="0" w:line="202" w:lineRule="exact"/>
              <w:rPr>
                <w:sz w:val="20"/>
                <w:szCs w:val="20"/>
                <w:color w:val="auto"/>
              </w:rPr>
            </w:pPr>
            <w:r>
              <w:rPr>
                <w:rFonts w:ascii="Arial" w:cs="Arial" w:eastAsia="Arial" w:hAnsi="Arial"/>
                <w:sz w:val="18"/>
                <w:szCs w:val="18"/>
                <w:color w:val="auto"/>
              </w:rPr>
              <w:t>adjustments</w:t>
            </w:r>
          </w:p>
        </w:tc>
        <w:tc>
          <w:tcPr>
            <w:tcW w:w="72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Balance, end of period</w:t>
            </w:r>
          </w:p>
        </w:tc>
        <w:tc>
          <w:tcPr>
            <w:tcW w:w="720" w:type="dxa"/>
            <w:vAlign w:val="bottom"/>
            <w:tcBorders>
              <w:top w:val="single" w:sz="8" w:color="auto"/>
              <w:bottom w:val="single" w:sz="8" w:color="auto"/>
            </w:tcBorders>
            <w:shd w:val="clear" w:color="auto" w:fill="CFF0FC"/>
          </w:tcPr>
          <w:p>
            <w:pPr>
              <w:jc w:val="right"/>
              <w:ind w:right="536"/>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-24765</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4"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We record property and equipment at cost, net of accumulated depreciation. We capitalize certain costs incurred during the application development stage related to the development of websites and internal use software when it is probable the project will be completed and the software will be used as intended. Capitalized costs include internal and external costs, if direct and incremental, and deemed by management to be significant. We expense costs related to the planning and post-implementation phases of website development as these costs are incurred.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2" w:name="page73"/>
    <w:bookmarkEnd w:id="72"/>
    <w:p>
      <w:pPr>
        <w:ind w:right="20"/>
        <w:spacing w:after="0" w:line="291" w:lineRule="auto"/>
        <w:rPr>
          <w:sz w:val="20"/>
          <w:szCs w:val="20"/>
          <w:color w:val="auto"/>
        </w:rPr>
      </w:pPr>
      <w:r>
        <w:rPr>
          <w:rFonts w:ascii="Arial" w:cs="Arial" w:eastAsia="Arial" w:hAnsi="Arial"/>
          <w:sz w:val="17"/>
          <w:szCs w:val="17"/>
          <w:color w:val="auto"/>
        </w:rPr>
        <w:t>Maintenance and enhancement costs (including those costs in the post-implementation stages) are typically expensed as incurred, unless such costs relate to substantial upgrades and enhancements to the website or software resulting in added functionality, in which case the costs are capitalized.</w:t>
      </w:r>
    </w:p>
    <w:p>
      <w:pPr>
        <w:spacing w:after="0" w:line="147"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We compute depreciation using the straight-line method over the estimated useful lives of the assets, which is three to five years for computer equipment, capitalized website development, office furniture and other equipment. We depreciate leasehold improvements using the straight-line method, over the shorter of the estimated useful life of the improvement or the remaining term of the lease.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jc w:val="both"/>
        <w:ind w:right="280" w:firstLine="509"/>
        <w:spacing w:after="0" w:line="262" w:lineRule="auto"/>
        <w:rPr>
          <w:sz w:val="20"/>
          <w:szCs w:val="20"/>
          <w:color w:val="auto"/>
        </w:rPr>
      </w:pPr>
      <w:r>
        <w:rPr>
          <w:rFonts w:ascii="Arial" w:cs="Arial" w:eastAsia="Arial" w:hAnsi="Arial"/>
          <w:sz w:val="17"/>
          <w:szCs w:val="17"/>
          <w:color w:val="auto"/>
        </w:rPr>
        <w:t xml:space="preserve">We lease office space in a number of countries around the world, generally under non-cancelable operating lease agreements. Our Headquarters Lease is our most significant office space lease and is accounted for as a finance lease under GAAP. The Company has also entered into data center and certain equipment leases, such as network equipment and other leases, which are not material to our consolidated financial statements. Refer to “Note 7: </w:t>
      </w:r>
      <w:r>
        <w:rPr>
          <w:rFonts w:ascii="Arial" w:cs="Arial" w:eastAsia="Arial" w:hAnsi="Arial"/>
          <w:sz w:val="17"/>
          <w:szCs w:val="17"/>
          <w:i w:val="1"/>
          <w:iCs w:val="1"/>
          <w:color w:val="auto"/>
        </w:rPr>
        <w:t xml:space="preserve">Leases” </w:t>
      </w:r>
      <w:r>
        <w:rPr>
          <w:rFonts w:ascii="Arial" w:cs="Arial" w:eastAsia="Arial" w:hAnsi="Arial"/>
          <w:sz w:val="17"/>
          <w:szCs w:val="17"/>
          <w:color w:val="auto"/>
        </w:rPr>
        <w:t>for a discussion of our lease accounting policy and other required financial disclosures.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Non-Marketable Equity Investments</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We account for non-marketable equity investments through which we exercise significant influence but do not have control over the investee under the equity method. Under this method, the investment, originally recorded at cost, is adjusted to recognize the Company’s share of net earnings or losses of the investment as they occur rather than as dividends or other distributions are received. Losses are limited to the extent of the Company’s investment in, advances to and commitments for the investee. In the event we are unable to obtain accurate financial information from the investee in a timely manner, we record our share of earnings or losses of such equity investment on a lag.</w:t>
      </w:r>
    </w:p>
    <w:p>
      <w:pPr>
        <w:spacing w:after="0" w:line="160"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Non-marketable equity investments that are not accounted for under the equity method and that do not have a readily determinable fair value are accounted for under the measurement alternative. Under the measurement alternative, the carrying value is measured at cost, less any impairment, plus or minus changes resulting from observable price changes in orderly transactions for identical or similar investments of the same issuer. Adjustments are determined primarily based on a market approach as of the transaction date. We classify our non-marketable equity investments as long-term assets on our consolidated balance sheet as those investments do not have stated contractual maturity dates.</w:t>
      </w:r>
    </w:p>
    <w:p>
      <w:pPr>
        <w:spacing w:after="0" w:line="160" w:lineRule="exact"/>
        <w:rPr>
          <w:sz w:val="20"/>
          <w:szCs w:val="20"/>
          <w:color w:val="auto"/>
        </w:rPr>
      </w:pPr>
    </w:p>
    <w:p>
      <w:pPr>
        <w:ind w:right="260" w:firstLine="509"/>
        <w:spacing w:after="0" w:line="257" w:lineRule="auto"/>
        <w:rPr>
          <w:sz w:val="20"/>
          <w:szCs w:val="20"/>
          <w:color w:val="auto"/>
        </w:rPr>
      </w:pPr>
      <w:r>
        <w:rPr>
          <w:rFonts w:ascii="Arial" w:cs="Arial" w:eastAsia="Arial" w:hAnsi="Arial"/>
          <w:sz w:val="17"/>
          <w:szCs w:val="17"/>
          <w:color w:val="auto"/>
        </w:rPr>
        <w:t>On a quarterly basis, we perform a qualitative assessment considering impairment indicators to evaluate whether these investments are impaired. Qualitative factors considered include industry and market conditions, financial performance, business prospects, and other relevant events and factors. When indicators of impairment exist, we prepare a quantitative assessment of the fair value of our equity investments, which may include using both the market and income approaches which require judgment and the use of estimates, including discount rates, investee revenues and costs, and available comparable market data of private and public companies, among others. When our assessment indicates that an impairment exists, we measure our non-marketable equity investments at fair value.</w:t>
      </w:r>
    </w:p>
    <w:p>
      <w:pPr>
        <w:spacing w:after="0" w:line="16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Valuations of such privately-held companies are inherently complex and uncertain due to the lack of liquid market for such company’s securities. In addition, such investments are inherently risky in that such companies are typically at an early stage of development, may have no or limited revenues, may not be or may never become profitable, may not be able to secure additional funding or their technologies, services or products may not be successfully developed or introduced into the market.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0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We account for acquired businesses using the acquisition method of accounting which requires that tangible assets and identifiable intangible assets acquired and assumed liabilities be recorded at the date of acquisition at their respective fair values. Any excess purchase price over the estimated fair value of the net tangible and intangible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3" w:name="page74"/>
    <w:bookmarkEnd w:id="73"/>
    <w:p>
      <w:pPr>
        <w:ind w:right="20"/>
        <w:spacing w:after="0" w:line="254" w:lineRule="auto"/>
        <w:rPr>
          <w:sz w:val="20"/>
          <w:szCs w:val="20"/>
          <w:color w:val="auto"/>
        </w:rPr>
      </w:pPr>
      <w:r>
        <w:rPr>
          <w:rFonts w:ascii="Arial" w:cs="Arial" w:eastAsia="Arial" w:hAnsi="Arial"/>
          <w:sz w:val="17"/>
          <w:szCs w:val="17"/>
          <w:color w:val="auto"/>
        </w:rPr>
        <w:t>assets acquired is allocated to goodwill. When determining the fair values of assets acquired and liabilities assumed, management makes estimates and assumptions, especially with respect to intangible assets. Significant estimates in valuing certain intangible assets may include but are not limited to future expected cash flows from customer and supplier relationships,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Valuations are performed by management or third-party valuation specialists under management's supervision, where appropriate. Any changes to provisional amounts identified during the measurement period, calculated as if the accounting had been completed as of the acquisition date, are recognized in the consolidated financial statements in the reporting period in which the adjustment amounts are determined.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Goodwill</w:t>
      </w:r>
    </w:p>
    <w:p>
      <w:pPr>
        <w:spacing w:after="0" w:line="104" w:lineRule="exact"/>
        <w:rPr>
          <w:sz w:val="20"/>
          <w:szCs w:val="20"/>
          <w:color w:val="auto"/>
        </w:rPr>
      </w:pPr>
    </w:p>
    <w:p>
      <w:pPr>
        <w:ind w:right="360" w:firstLine="509"/>
        <w:spacing w:after="0" w:line="276" w:lineRule="auto"/>
        <w:rPr>
          <w:sz w:val="20"/>
          <w:szCs w:val="20"/>
          <w:color w:val="auto"/>
        </w:rPr>
      </w:pPr>
      <w:r>
        <w:rPr>
          <w:rFonts w:ascii="Arial" w:cs="Arial" w:eastAsia="Arial" w:hAnsi="Arial"/>
          <w:sz w:val="16"/>
          <w:szCs w:val="16"/>
          <w:color w:val="auto"/>
        </w:rPr>
        <w:t>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in which such goodwill was generated as of the acquisition date. We evaluate our reporting units when changes in our operating structure occur, and if necessary, reassign goodwill using a relative fair value allocation approach.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w:t>
      </w:r>
    </w:p>
    <w:p>
      <w:pPr>
        <w:spacing w:after="0" w:line="5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The Company has the option to qualitatively assess whether it is more likely than not that the fair value of a reporting unit is less than its carrying value. In the evaluation of goodwill for impairment, we generally first perform a qualitative assessment to determine whether it is more likely than not (i.e., a likelihood of more than 50%) that the estimated fair value of the reporting unit is less than the carrying amount. Periodically, we may choose to forgo the initial qualitative assessment and proceed directly to a quantitative analysis to assist in our annual evaluation. When assessing goodwill for impairment, our decision to perform a qualitative impairment assessment for an individual reporting unit in a given year is influenced by a number of factors, including, but not limited to the size of the reporting unit's goodwill, the significance of the excess of the reporting unit's estimated fair value over carrying value at the last quantitative assessment date, the amount of time in between quantitative fair value assessments from the date of acquisition to establish an updated baseline quantitative analysis, and other performance and market indicators. During a qualitative assessment, if we determine that it is not more likely than not that the implied fair value of the goodwill is less than its carrying amount, no further testing is necessary. If, however, we determine that it is more likely than not that the implied fair value of the goodwill is less than its carrying amount, we then perform a quantitative assessment and compare the estimated fair value of the reporting unit to the carrying value. If the carrying value of a reporting unit exceeds its estimated fair value, the goodwill impairment is measured using the difference between the carrying value and the fair value of the reporting unit; however, any loss recognized cannot exceed the total amount of goodwill allocated to that reporting unit.</w:t>
      </w:r>
    </w:p>
    <w:p>
      <w:pPr>
        <w:spacing w:after="0" w:line="180"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In determining the estimated fair values of reporting units in a quantitative goodwill impairment test, we generally use a blend, of the following recognized valuation methods: the income approach (discounted cash flows model) and the market valuation approach, which we believe compensates for the inherent risks of using either model on a stand-alone basis. The discounted cash flows model indicates the fair value of the reporting units based on the present value of the cash flows that we expect the reporting units to generate in the future. Our significant estimates in the discounted cash flows model include: weighted average cost of capital; long-term rate of growth and profitability of the reporting unit; income tax rates and working capital effects. The market valuation approach indicates the fair value of the business based on a comparison to comparable publicly traded firms in similar lines of business and other precedent transactions. Our significant estimates in the market approach model include identifying similar companies with comparable business factors such as size, growth, profitability, risk and return on investment and assessing comparable revenue and/or income multiples in estimating the fair value of the reporting units. Valuations are performed by management or third-party valuation specialists under management's supervision, where appropriate. We believe that the estimated fair values assigned to our reporting units in impairment tests are based on reasonable assumptions that marketplace participants would use. However, such assumptions are inherently uncertain and actual results could differ from those estimates. The use of different assumptions, estimates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or judgments could trigger the need for an impairment charge, or materially increase or decrease the amount of any such impairment charge.</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Intangible Assets</w:t>
      </w:r>
    </w:p>
    <w:p>
      <w:pPr>
        <w:spacing w:after="0" w:line="21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Intangible assets with estimable useful lives, or definite-lived intangibles, are carried at cost and are amortized on a straight-line basis over their estimated useful lives and reviewed for impairment upon certain triggering events. We routinely review the remaining estimated useful lives of our definite-lived intangible assets. If we reduce the estimated useful life assumption, the remaining unamortized balance is amortized over the revised estimated useful life.</w:t>
      </w:r>
    </w:p>
    <w:p>
      <w:pPr>
        <w:spacing w:after="0" w:line="80" w:lineRule="exact"/>
        <w:rPr>
          <w:sz w:val="20"/>
          <w:szCs w:val="20"/>
          <w:color w:val="auto"/>
        </w:rPr>
      </w:pPr>
    </w:p>
    <w:p>
      <w:pPr>
        <w:ind w:right="20" w:firstLine="509"/>
        <w:spacing w:after="0" w:line="251" w:lineRule="auto"/>
        <w:rPr>
          <w:sz w:val="20"/>
          <w:szCs w:val="20"/>
          <w:color w:val="auto"/>
        </w:rPr>
      </w:pPr>
      <w:r>
        <w:rPr>
          <w:rFonts w:ascii="Arial" w:cs="Arial" w:eastAsia="Arial" w:hAnsi="Arial"/>
          <w:sz w:val="17"/>
          <w:szCs w:val="17"/>
          <w:color w:val="auto"/>
        </w:rPr>
        <w:t>Intangible assets that have indefinite lives are not amortized and are tested for impairment annually during the fourth quarter, or whenever events or changes in circumstances indicate that the carrying value may not be recoverable. Similar to the qualitative assessment for goodwill, we may assess qualitative factors to determine if it is more likely than not that the implied fair value of the indefinite-lived intangible asset is less than its carrying amount. If we determine that it is not more likely than not that the implied fair value of the indefinite-lived intangible asset is less than its carrying amount, no further testing is necessary. If, however, we determine that it is more likely than not that the implied fair value of the indefinite-lived intangible asset is less than its carrying amount, we compare the implied fair value of the indefinite-lived asset with its carrying amount. If the carrying amount of an individual indefinite-lived intangible asset exceeds its implied fair value, the individual asset is written down by an amount equal to such excess. The assessment of qualitative factors is optional and at our discretion. We may bypass the qualitative assessment for any indefinite-lived intangible asset in any period and resume performing the qualitative assessment in any subsequent period. We base our quantitative measurement of fair value of indefinite-lived intangible assets, using the relief-from-royalty method. This method assumes that the trade name and trademarks have value to the extent that their owner is relieved of the obligation to pay royalties for the benefits received from them. This method requires us to estimate future revenues, the appropriate royalty rate and the weighted average cost of capital, however, such assumptions are inherently uncertain and actual results could differ from those estimates. The use of different assumptions, estimates or judgments could trigger the need for an impairment charge, or materially increase or decrease the amount of any such impairment charge.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periodically review the carrying amount of our definite-lived intangible assets and other long-term assets, including property and equipment and capitalized website development, to determine whether current events or circumstances indicate that such carrying amounts may not be recoverable. 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If such facts indicate a potential impairment, we assess the recoverability of the asset group by determining if the carrying value of the asset group exceeds the sum of the projected undiscounted cash flows expected to result from the use and eventual disposition of the assets over the remaining economic life of the primary asset of the group. If the recoverability test indicates that the carrying value of the asset group is not recoverable, we will estimate the fair value of the asset group using appropriate valuation methodologies which would typically include an estimate of discounted cash flows, using an appropriate discount rate. Any impairment would be measured by the amount that the carrying values, of such asset groups, exceed their fair value and would be included in operating income (loss) on the consolidated statement of operations. Considerable management judgment is necessary to estimate the fair value of asset groups. Accordingly, actual results could vary significantly from such estimates. We have not identified any circumstances that would warrant an impairment charge for any recorded definite-lived intangibles or other long-term assets on our consolidated balance sheets at December 31, 2021 or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Merchant Payables</w:t>
      </w:r>
    </w:p>
    <w:p>
      <w:pPr>
        <w:spacing w:after="0" w:line="104" w:lineRule="exact"/>
        <w:rPr>
          <w:sz w:val="20"/>
          <w:szCs w:val="20"/>
          <w:color w:val="auto"/>
        </w:rPr>
      </w:pPr>
    </w:p>
    <w:p>
      <w:pPr>
        <w:ind w:right="200" w:firstLine="509"/>
        <w:spacing w:after="0" w:line="294" w:lineRule="auto"/>
        <w:rPr>
          <w:sz w:val="20"/>
          <w:szCs w:val="20"/>
          <w:color w:val="auto"/>
        </w:rPr>
      </w:pPr>
      <w:r>
        <w:rPr>
          <w:rFonts w:ascii="Arial" w:cs="Arial" w:eastAsia="Arial" w:hAnsi="Arial"/>
          <w:sz w:val="16"/>
          <w:szCs w:val="16"/>
          <w:color w:val="auto"/>
        </w:rPr>
        <w:t>In our Experiences and Rentals free-to-list offerings, we receive payment from travelers at the time of booking or prior to the experience date, and we record these amounts, net of our commissions, on our consolidated balance sheet as deferred merchant payables. We pay the operators, generally the third-party experience providers and vacation rental owners, after the travelers’ use. Therefore, we receive payment from the traveler prior to paying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5" w:name="page76"/>
    <w:bookmarkEnd w:id="75"/>
    <w:p>
      <w:pPr>
        <w:ind w:right="40"/>
        <w:spacing w:after="0" w:line="241" w:lineRule="auto"/>
        <w:rPr>
          <w:sz w:val="20"/>
          <w:szCs w:val="20"/>
          <w:color w:val="auto"/>
        </w:rPr>
      </w:pPr>
      <w:r>
        <w:rPr>
          <w:rFonts w:ascii="Arial" w:cs="Arial" w:eastAsia="Arial" w:hAnsi="Arial"/>
          <w:sz w:val="18"/>
          <w:szCs w:val="18"/>
          <w:color w:val="auto"/>
        </w:rPr>
        <w:t xml:space="preserve">operator and this operating cycle represents a working capital source or use of cash to us. Our deferred merchant payables balance was $113 million and $36 million at December 31, 2021 and 2020, respectively, on our consolidated balance sheets. </w:t>
      </w:r>
      <w:r>
        <w:rPr>
          <w:rFonts w:ascii="Arial" w:cs="Arial" w:eastAsia="Arial" w:hAnsi="Arial"/>
          <w:sz w:val="18"/>
          <w:szCs w:val="18"/>
          <w:color w:val="231F20"/>
        </w:rPr>
        <w:t>The increase in our deferred merchant payables during the</w:t>
      </w:r>
      <w:r>
        <w:rPr>
          <w:rFonts w:ascii="Arial" w:cs="Arial" w:eastAsia="Arial" w:hAnsi="Arial"/>
          <w:sz w:val="18"/>
          <w:szCs w:val="18"/>
          <w:color w:val="auto"/>
        </w:rPr>
        <w:t xml:space="preserve"> </w:t>
      </w:r>
      <w:r>
        <w:rPr>
          <w:rFonts w:ascii="Arial" w:cs="Arial" w:eastAsia="Arial" w:hAnsi="Arial"/>
          <w:sz w:val="18"/>
          <w:szCs w:val="18"/>
          <w:color w:val="231F20"/>
        </w:rPr>
        <w:t>year ended December 31, 2021 was primarily due to the ongoing recovery in the business from the impact of COVID-19 on our results of operations</w:t>
      </w:r>
      <w:r>
        <w:rPr>
          <w:rFonts w:ascii="Arial" w:cs="Arial" w:eastAsia="Arial" w:hAnsi="Arial"/>
          <w:sz w:val="18"/>
          <w:szCs w:val="18"/>
          <w:color w:val="000000"/>
        </w:rPr>
        <w:t>. Refer</w:t>
      </w:r>
      <w:r>
        <w:rPr>
          <w:rFonts w:ascii="Arial" w:cs="Arial" w:eastAsia="Arial" w:hAnsi="Arial"/>
          <w:sz w:val="18"/>
          <w:szCs w:val="18"/>
          <w:color w:val="231F20"/>
        </w:rPr>
        <w:t xml:space="preserve"> </w:t>
      </w:r>
      <w:r>
        <w:rPr>
          <w:rFonts w:ascii="Arial" w:cs="Arial" w:eastAsia="Arial" w:hAnsi="Arial"/>
          <w:sz w:val="18"/>
          <w:szCs w:val="18"/>
          <w:color w:val="000000"/>
        </w:rPr>
        <w:t xml:space="preserve">to “Note 4: </w:t>
      </w:r>
      <w:r>
        <w:rPr>
          <w:rFonts w:ascii="Arial" w:cs="Arial" w:eastAsia="Arial" w:hAnsi="Arial"/>
          <w:sz w:val="18"/>
          <w:szCs w:val="18"/>
          <w:i w:val="1"/>
          <w:iCs w:val="1"/>
          <w:color w:val="000000"/>
        </w:rPr>
        <w:t>Revenue Recognition</w:t>
      </w:r>
      <w:r>
        <w:rPr>
          <w:rFonts w:ascii="Arial" w:cs="Arial" w:eastAsia="Arial" w:hAnsi="Arial"/>
          <w:sz w:val="18"/>
          <w:szCs w:val="18"/>
          <w:color w:val="000000"/>
        </w:rPr>
        <w:t>” for further discussion of the impact COVID-19 had on our deferred merchant payables balance in our consolidated balance sheets.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12"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 xml:space="preserve">We account for derivative instruments that do not qualify for hedge accounting as either assets or liabilities and carry them at fair value, with any subsequent adjustments to fair value recorded in other income (expense), net on our consolidated statements of operations. Monetary assets and liabilities denominated in a currency other than the functional currency of a given subsidiary are remeasured at spot rates in effect on the balance sheet date with the effects of changes in foreign currency exchange rates reported in other income (expense), net on our consolidated statements of operations. In certain circumstances, we enter into forward contracts to reduce, to the extent practical, our potential exposure to the effects of fluctuating foreign currency exchange rates on our cash flows denominated in foreign currencies. Accordingly, fair value changes in the forward contracts help mitigate the changes in the value of the remeasured assets and liabilities attributable to changes in foreign currency exchange rates, except to the extent of the spot-forward differences. These differences are not expected to be significant due to the short-term nature of the contracts, which to date, have typically had maturities at inception of 90 days or less. The net cash received or paid related to our derivative instruments are classified in other investing activities in our consolidated statements of cash flows. Counterparties to forward contracts consist of major international financial institutions. We monitor our positions and the credit ratings of the counterparties involved and, by policy limits, the amount of credit exposure to any one party. We do not use derivatives for trading or speculative purposes. We did not enter into any cash flow, fair value or net investment hedges during the years ended December 31, 2021, 2020 or 2019. Refer to “Note 5: </w:t>
      </w:r>
      <w:r>
        <w:rPr>
          <w:rFonts w:ascii="Arial" w:cs="Arial" w:eastAsia="Arial" w:hAnsi="Arial"/>
          <w:sz w:val="16"/>
          <w:szCs w:val="16"/>
          <w:i w:val="1"/>
          <w:iCs w:val="1"/>
          <w:color w:val="auto"/>
        </w:rPr>
        <w:t>Financial Instruments and Fair Value Measurements”</w:t>
      </w:r>
      <w:r>
        <w:rPr>
          <w:rFonts w:ascii="Arial" w:cs="Arial" w:eastAsia="Arial" w:hAnsi="Arial"/>
          <w:sz w:val="16"/>
          <w:szCs w:val="16"/>
          <w:color w:val="auto"/>
        </w:rPr>
        <w:t xml:space="preserve"> for additional information on derivatives.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 Gains and Losses</w:t>
      </w:r>
    </w:p>
    <w:p>
      <w:pPr>
        <w:spacing w:after="0" w:line="10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consolidated financial statements are reported in U.S. dollars. Certain of our subsidiaries outside of the U.S. use the local currency as their functional currency and not the U.S. dollar. Therefore assets and liabilities of our foreign subsidiaries are translated at the spot rate in effect at the applicable reporting date, and the consolidated statements of operations are translated at the average exchange rates in effect during the applicable reporting period. The resulting unrealized cumulative translation adjustment is recorded as a component of accumulated other comprehensive income (loss) in stockholders’ equity on our consolidated balance sheet.</w:t>
      </w:r>
    </w:p>
    <w:p>
      <w:pPr>
        <w:spacing w:after="0" w:line="81"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In addition, our subsidiaries also engage in transactions in currencies other than its functional currency. Transactions denominated in currencies other than the functional currency are recorded based on foreign currency exchange rates at the time such transactions arise. Subsequent changes in foreign currency exchange rates result in transaction gains and losses which are reflected in our consolidated statements of operations as unrealized (based on the applicable period-end exchange rate) or realized upon settlement of the transactions. Accordingly, we have recorded net foreign currency exchange losses of $4 million and $2 million for the years ended December 31, 2021 and 2019, respectively, and a net foreign currency exchange gain of $5 million for the year ended December 31, 2020, in other income (expense), net on our consolidated statements of operations. These amounts also include transaction gains and losses, both realized and unrealized from forward contracts.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and Disclosures</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apply fair value accounting for all financial assets and liabilities and non-financial assets and liabilities that are recognized or disclosed at fair value in the financial statements on a recurring basis. We measure assets and liabilities at fair value based on the expected exit price, which is the amount that would be received on the sale of an asset or amount paid to transfer a liability, as the case may be, in an orderly transaction between market participants in the principal or most advantageous market in which we would transact. As such, fair value may be based on assumptions that market participants would use in pricing an asset or liability at the measurement date. The authoritative guidance on fair value measurements establishes a consistent framework for measuring fair value on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6" w:name="page77"/>
    <w:bookmarkEnd w:id="76"/>
    <w:p>
      <w:pPr>
        <w:ind w:right="460"/>
        <w:spacing w:after="0" w:line="261" w:lineRule="auto"/>
        <w:rPr>
          <w:sz w:val="20"/>
          <w:szCs w:val="20"/>
          <w:color w:val="auto"/>
        </w:rPr>
      </w:pPr>
      <w:r>
        <w:rPr>
          <w:rFonts w:ascii="Arial" w:cs="Arial" w:eastAsia="Arial" w:hAnsi="Arial"/>
          <w:sz w:val="18"/>
          <w:szCs w:val="18"/>
          <w:color w:val="auto"/>
        </w:rPr>
        <w:t>either a recurring or nonrecurring basis whereby inputs, used in valuation techniques, are assigned a hierarchical level. GAAP provides the following hierarchical levels of inputs used to measure fair value:</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Level 1—Valuations are based on quoted market prices for identical assets and liabilities in active markets.</w:t>
      </w:r>
    </w:p>
    <w:p>
      <w:pPr>
        <w:spacing w:after="0" w:line="104" w:lineRule="exact"/>
        <w:rPr>
          <w:sz w:val="20"/>
          <w:szCs w:val="20"/>
          <w:color w:val="auto"/>
        </w:rPr>
      </w:pPr>
    </w:p>
    <w:p>
      <w:pPr>
        <w:jc w:val="both"/>
        <w:ind w:left="520" w:right="180" w:firstLine="509"/>
        <w:spacing w:after="0" w:line="248" w:lineRule="auto"/>
        <w:rPr>
          <w:sz w:val="20"/>
          <w:szCs w:val="20"/>
          <w:color w:val="auto"/>
        </w:rPr>
      </w:pPr>
      <w:r>
        <w:rPr>
          <w:rFonts w:ascii="Arial" w:cs="Arial" w:eastAsia="Arial" w:hAnsi="Arial"/>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4" w:lineRule="exact"/>
        <w:rPr>
          <w:sz w:val="20"/>
          <w:szCs w:val="20"/>
          <w:color w:val="auto"/>
        </w:rPr>
      </w:pPr>
    </w:p>
    <w:p>
      <w:pPr>
        <w:ind w:left="520" w:right="320" w:firstLine="509"/>
        <w:spacing w:after="0" w:line="261" w:lineRule="auto"/>
        <w:rPr>
          <w:sz w:val="20"/>
          <w:szCs w:val="20"/>
          <w:color w:val="auto"/>
        </w:rPr>
      </w:pPr>
      <w:r>
        <w:rPr>
          <w:rFonts w:ascii="Arial" w:cs="Arial" w:eastAsia="Arial" w:hAnsi="Arial"/>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0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We defer costs we incur to issue debt, which are presented in the balance sheet as a direct deduction from the carrying amount of the related debt liability, and amortize these costs using the effective interest rate method to interest expense over the term of the debt. We also defer costs we incur to enter into or amend a revolving credit facility, which are presented in the balance sheet as a long-term asset, and amortize these costs using the effective interest rate method to interest expense over the term of the credit facility.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Risks and Concentrations</w:t>
      </w:r>
    </w:p>
    <w:p>
      <w:pPr>
        <w:spacing w:after="0" w:line="212"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 xml:space="preserve">In addition to the impact of COVID-19, which is discussed in “Note 1: </w:t>
      </w:r>
      <w:r>
        <w:rPr>
          <w:rFonts w:ascii="Arial" w:cs="Arial" w:eastAsia="Arial" w:hAnsi="Arial"/>
          <w:sz w:val="17"/>
          <w:szCs w:val="17"/>
          <w:i w:val="1"/>
          <w:iCs w:val="1"/>
          <w:color w:val="auto"/>
        </w:rPr>
        <w:t>Organization and Business Description”,</w:t>
      </w:r>
      <w:r>
        <w:rPr>
          <w:rFonts w:ascii="Arial" w:cs="Arial" w:eastAsia="Arial" w:hAnsi="Arial"/>
          <w:sz w:val="17"/>
          <w:szCs w:val="17"/>
          <w:color w:val="auto"/>
        </w:rPr>
        <w:t xml:space="preserve"> our business is subject to certain risks and concentrations, including a concentration related to dependence on our relationships with our customers. For the years ended December 31, 2021, 2020 and 2019 our two most significant travel partners, Expedia (and its subsidiaries) and Booking (and its subsidiaries), each accounted for 10% or more of our consolidated revenue and together accounted for approximately 34%, 25% and 33%, respectively, of our consolidated revenue, with nearly all of this revenue concentrated in our Hotels, Media &amp; Platform segment. Additionally, our business is dependent on relationships with third-party service operators that we rely on to fulfill service obligations to our customers where the Company is the merchant of record, such as our experience providers and vacation rental owners. However, no one operator’s inventory resulted in more than 10% of our revenue on a consolidated basis in any period presented. Refer to “Note 4: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“Note 20: </w:t>
      </w:r>
      <w:r>
        <w:rPr>
          <w:rFonts w:ascii="Arial" w:cs="Arial" w:eastAsia="Arial" w:hAnsi="Arial"/>
          <w:sz w:val="17"/>
          <w:szCs w:val="17"/>
          <w:i w:val="1"/>
          <w:iCs w:val="1"/>
          <w:color w:val="auto"/>
        </w:rPr>
        <w:t>Segment and Geographic Information”</w:t>
      </w:r>
      <w:r>
        <w:rPr>
          <w:rFonts w:ascii="Arial" w:cs="Arial" w:eastAsia="Arial" w:hAnsi="Arial"/>
          <w:sz w:val="17"/>
          <w:szCs w:val="17"/>
          <w:color w:val="auto"/>
        </w:rPr>
        <w:t xml:space="preserve"> for information regarding concentrations related to geographic and product revenues.</w:t>
      </w:r>
    </w:p>
    <w:p>
      <w:pPr>
        <w:spacing w:after="0" w:line="184" w:lineRule="exact"/>
        <w:rPr>
          <w:sz w:val="20"/>
          <w:szCs w:val="20"/>
          <w:color w:val="auto"/>
        </w:rPr>
      </w:pPr>
    </w:p>
    <w:p>
      <w:pPr>
        <w:ind w:firstLine="554"/>
        <w:spacing w:after="0" w:line="254" w:lineRule="auto"/>
        <w:rPr>
          <w:sz w:val="20"/>
          <w:szCs w:val="20"/>
          <w:color w:val="auto"/>
        </w:rPr>
      </w:pPr>
      <w:r>
        <w:rPr>
          <w:rFonts w:ascii="Arial" w:cs="Arial" w:eastAsia="Arial" w:hAnsi="Arial"/>
          <w:sz w:val="17"/>
          <w:szCs w:val="17"/>
          <w:color w:val="auto"/>
        </w:rPr>
        <w:t>Financial instruments, which potentially subject us to concentration of credit risk at any point in time, generally consist, at any point in time; cash and cash equivalents, corporate debt securities, forward contracts, and accounts receivable. We maintain some cash balances with financial institutions that are in excess of Federal Deposit Insurance Corporation insurance limits. Our cash is generally composed of available on demand bank balances with financial institutions primarily denominated in U.S. dollars, Euros, British pounds, and Australian dollars. We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Forward contracts are transacted with major international financial institutions with high credit standings, which to date, have typically had maturities of less than 90 days. Our overall credit risk related to accounts receivable is mitigated by the relatively short collection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04" w:lineRule="exact"/>
        <w:rPr>
          <w:sz w:val="20"/>
          <w:szCs w:val="20"/>
          <w:color w:val="auto"/>
        </w:rPr>
      </w:pPr>
    </w:p>
    <w:p>
      <w:pPr>
        <w:ind w:right="220" w:firstLine="509"/>
        <w:spacing w:after="0" w:line="294" w:lineRule="auto"/>
        <w:rPr>
          <w:sz w:val="20"/>
          <w:szCs w:val="20"/>
          <w:color w:val="auto"/>
        </w:rPr>
      </w:pPr>
      <w:r>
        <w:rPr>
          <w:rFonts w:ascii="Arial" w:cs="Arial" w:eastAsia="Arial" w:hAnsi="Arial"/>
          <w:sz w:val="16"/>
          <w:szCs w:val="16"/>
          <w:color w:val="auto"/>
        </w:rPr>
        <w:t>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 in the notes to the consolidated financial statements for loss contingencies that do not meet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77" w:name="page78"/>
    <w:bookmarkEnd w:id="77"/>
    <w:p>
      <w:pPr>
        <w:spacing w:after="0" w:line="243" w:lineRule="auto"/>
        <w:rPr>
          <w:sz w:val="20"/>
          <w:szCs w:val="20"/>
          <w:color w:val="auto"/>
        </w:rPr>
      </w:pPr>
      <w:r>
        <w:rPr>
          <w:rFonts w:ascii="Arial" w:cs="Arial" w:eastAsia="Arial" w:hAnsi="Arial"/>
          <w:sz w:val="18"/>
          <w:szCs w:val="18"/>
          <w:color w:val="auto"/>
        </w:rPr>
        <w:t>both these conditions if there is a reasonable possibility that a loss may have been incurred that would be material to the consolidated financial statements. Significant judgment may be required to determine the probability that a liability has been incurred and whether such liability is reasonably estimable. We base accruals made on the best information available at the time which can be highly subjective. The final outcome of these matters could vary significantly from the amounts included in the accompanying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04"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Shares of our common stock repurchased are recorded at cost as treasury stock and result in the reduction of stockholders' equity on our consolidated balance sheet. We may reissue these treasury shares. When treasury shares are reissued, we use the average cost method for determining the cost of reissued shares. If the issuance price is higher than the cost, the excess of the issuance price over the cost is credited to additional paid-in-capital. If the issuance price is lower than the cost, the difference is first charged against any credit balance in additional paid-in-capital from the previous issuances of treasury stock and any remaining balance is charged to retained earnings.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 (“EPS”)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Refer to “Note 17: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for a discussion as to how we compute Basic EPS and Diluted EPS.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8"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 xml:space="preserve">In August 2020, the Financial Accounting Standards Board (“FASB”) issued new accounting guidance which simplifies the accounting for convertible debt instruments by reducing the number of accounting models and embedded conversion features that could be recognized separately from the primary contract. The new accounting guidance requires a convertible debt instrument to be accounted for as a single liability measured at its amortized cost, as long as no other features require bifurcation and recognition as derivatives. The new accounting guidance requires an entity to use the if-converted method in the diluted earnings per share calculation for convertible instruments. This guidance is effective for fiscal years and interim periods within those fiscal years, beginning after December 15, 2021, with early adoption permitted, including adoption in any interim period. We early adopted this new guidance in the first quarter of 2021 and there was no impact to any prior periods. Refer to “Note 10: </w:t>
      </w:r>
      <w:r>
        <w:rPr>
          <w:rFonts w:ascii="Arial" w:cs="Arial" w:eastAsia="Arial" w:hAnsi="Arial"/>
          <w:sz w:val="18"/>
          <w:szCs w:val="18"/>
          <w:i w:val="1"/>
          <w:iCs w:val="1"/>
          <w:color w:val="auto"/>
        </w:rPr>
        <w:t>Debt</w:t>
      </w:r>
      <w:r>
        <w:rPr>
          <w:rFonts w:ascii="Arial" w:cs="Arial" w:eastAsia="Arial" w:hAnsi="Arial"/>
          <w:sz w:val="18"/>
          <w:szCs w:val="18"/>
          <w:color w:val="auto"/>
        </w:rPr>
        <w:t>” as the Company applied this guidance to its 2026 Senior Notes.</w:t>
      </w:r>
    </w:p>
    <w:p>
      <w:pPr>
        <w:spacing w:after="0" w:line="194"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As of December 31, 2021, there are no other newly issued accounting standards expected to have a material impact on the Company’s financial statements or disclosures.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OTHER INVESTMENTS</w:t>
      </w:r>
    </w:p>
    <w:p>
      <w:pPr>
        <w:spacing w:after="0" w:line="108"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color w:val="auto"/>
        </w:rPr>
        <w:t>We had no material acquisitions during the years ended December 31, 2021 and 2020, respectively. During the year ended December 31, 2019, we acquired companies which were accounted for as purchases of businesses under the acquisition method, or GAAP. The fair value of purchase consideration has been allocated to tangible and identifiable intangible assets acquired and liabilities assumed, based on their respective fair values on the acquisition date, with the remaining amount recorded to goodwill. Acquired goodwill represents the premium we paid over the fair value of the net tangible and intangible assets acquired. We paid a premium in each of these transactions for a number of reasons, including expected operational synergies, the assembled workforces, and the future development initiatives of the assembled workforces. The results of each of these acquired businesses have been included in the consolidated financial statements beginning on the respective acquisition dates. Pro-forma results of operations for these acquisitions have not been presented as the financial impact to our consolidated financial statements, both individually and in aggregate, would not be materially different from historical results. Acquisition-related costs were expensed as incurred. For the year ended December 31, 2019, these costs were $2 million and are included in general and administrative expenses on our consolidated statement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Acquisition of Businesses and Other Investments</w:t>
      </w:r>
    </w:p>
    <w:p>
      <w:pPr>
        <w:spacing w:after="0" w:line="104"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During the year ended December 31, 2019, we completed three acquisitions with a total purchase price consideration of $109 million for 100% ownership of the following: (1) SinglePlatform, an online content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8" w:name="page79"/>
    <w:bookmarkEnd w:id="78"/>
    <w:p>
      <w:pPr>
        <w:jc w:val="both"/>
        <w:ind w:right="480"/>
        <w:spacing w:after="0" w:line="294" w:lineRule="auto"/>
        <w:rPr>
          <w:sz w:val="20"/>
          <w:szCs w:val="20"/>
          <w:color w:val="auto"/>
        </w:rPr>
      </w:pPr>
      <w:r>
        <w:rPr>
          <w:rFonts w:ascii="Arial" w:cs="Arial" w:eastAsia="Arial" w:hAnsi="Arial"/>
          <w:sz w:val="16"/>
          <w:szCs w:val="16"/>
          <w:color w:val="auto"/>
        </w:rPr>
        <w:t>management and syndication platform company based in the U.S. acquired in December 2019, (2) BookaTable, an online restaurant reservation and booking platform company based in the U.K. acquired in December 2019; and (3) Restorando, an online restaurant reservation and booking platform company based in Argentina acquired in February 2019. We paid cash consideration of $107 million, net of $2 million of cash acquired.</w:t>
      </w:r>
    </w:p>
    <w:p>
      <w:pPr>
        <w:spacing w:after="0" w:line="147"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aggregate purchase price consideration was allocated to the fair value of assets acquired and liabilities assumed. The following summarizes the final purchase price allocation, in millions: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7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Total</w:t>
            </w:r>
          </w:p>
        </w:tc>
      </w:tr>
      <w:tr>
        <w:trPr>
          <w:trHeight w:val="196"/>
        </w:trPr>
        <w:tc>
          <w:tcPr>
            <w:tcW w:w="7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Goodwill (1)</w:t>
            </w:r>
          </w:p>
        </w:tc>
        <w:tc>
          <w:tcPr>
            <w:tcW w:w="380" w:type="dxa"/>
            <w:vAlign w:val="bottom"/>
            <w:tcBorders>
              <w:top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7"/>
                <w:szCs w:val="17"/>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Intangible assets (2)</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r>
      <w:tr>
        <w:trPr>
          <w:trHeight w:val="203"/>
        </w:trPr>
        <w:tc>
          <w:tcPr>
            <w:tcW w:w="7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tangible assets (liabilities) (3)</w:t>
            </w: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(5 )</w:t>
            </w:r>
          </w:p>
        </w:tc>
      </w:tr>
      <w:tr>
        <w:trPr>
          <w:trHeight w:val="196"/>
        </w:trPr>
        <w:tc>
          <w:tcPr>
            <w:tcW w:w="7260" w:type="dxa"/>
            <w:vAlign w:val="bottom"/>
            <w:tcBorders>
              <w:top w:val="single" w:sz="8" w:color="CFF0FC"/>
            </w:tcBorders>
          </w:tcPr>
          <w:p>
            <w:pPr>
              <w:ind w:left="180"/>
              <w:spacing w:after="0" w:line="182" w:lineRule="exact"/>
              <w:rPr>
                <w:sz w:val="20"/>
                <w:szCs w:val="20"/>
                <w:color w:val="auto"/>
              </w:rPr>
            </w:pPr>
            <w:r>
              <w:rPr>
                <w:rFonts w:ascii="Arial" w:cs="Arial" w:eastAsia="Arial" w:hAnsi="Arial"/>
                <w:sz w:val="18"/>
                <w:szCs w:val="18"/>
                <w:color w:val="auto"/>
              </w:rPr>
              <w:t>Total purchase price consideration</w:t>
            </w:r>
          </w:p>
        </w:tc>
        <w:tc>
          <w:tcPr>
            <w:tcW w:w="380" w:type="dxa"/>
            <w:vAlign w:val="bottom"/>
            <w:tcBorders>
              <w:top w:val="single" w:sz="8" w:color="auto"/>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109</w:t>
            </w:r>
          </w:p>
        </w:tc>
        <w:tc>
          <w:tcPr>
            <w:tcW w:w="100" w:type="dxa"/>
            <w:vAlign w:val="bottom"/>
            <w:tcBorders>
              <w:top w:val="single" w:sz="8" w:color="CFF0FC"/>
            </w:tcBorders>
          </w:tcPr>
          <w:p>
            <w:pPr>
              <w:spacing w:after="0"/>
              <w:rPr>
                <w:sz w:val="17"/>
                <w:szCs w:val="17"/>
                <w:color w:val="auto"/>
              </w:rPr>
            </w:pPr>
          </w:p>
        </w:tc>
      </w:tr>
      <w:tr>
        <w:trPr>
          <w:trHeight w:val="20"/>
        </w:trPr>
        <w:tc>
          <w:tcPr>
            <w:tcW w:w="7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6356985</wp:posOffset>
            </wp:positionH>
            <wp:positionV relativeFrom="paragraph">
              <wp:posOffset>-159385</wp:posOffset>
            </wp:positionV>
            <wp:extent cx="6858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Goodwill of $53 million is not deductible for tax purposes.</w:t>
      </w:r>
    </w:p>
    <w:p>
      <w:pPr>
        <w:spacing w:after="0" w:line="11" w:lineRule="exact"/>
        <w:rPr>
          <w:rFonts w:ascii="Arial" w:cs="Arial" w:eastAsia="Arial" w:hAnsi="Arial"/>
          <w:sz w:val="18"/>
          <w:szCs w:val="18"/>
          <w:color w:val="auto"/>
        </w:rPr>
      </w:pPr>
    </w:p>
    <w:p>
      <w:pPr>
        <w:ind w:left="520" w:right="20" w:hanging="512"/>
        <w:spacing w:after="0" w:line="234"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Identifiable definite-lived intangible assets acquired were comprised of trade names of $2 million with a weighted average life of 2 years, customer lists and supplier relationships of $10 million with a weighted average life of 8 years, subscriber relationships of $6 million with a weighted average life of approximately 3 years, and technology and other of $8 million with a weighted average life of approximately 6 years. The overall weighted-average life of the identifiable definite-lived intangible assets acquired in the purchase of these businesses was 6 years, and are being amortized on a straight-line basis over their estimated useful lives from acquisition date.</w:t>
      </w:r>
    </w:p>
    <w:p>
      <w:pPr>
        <w:spacing w:after="0" w:line="3" w:lineRule="exact"/>
        <w:rPr>
          <w:rFonts w:ascii="Arial" w:cs="Arial" w:eastAsia="Arial" w:hAnsi="Arial"/>
          <w:sz w:val="18"/>
          <w:szCs w:val="18"/>
          <w:color w:val="auto"/>
        </w:rPr>
      </w:pPr>
    </w:p>
    <w:p>
      <w:pPr>
        <w:ind w:left="520" w:right="280" w:hanging="512"/>
        <w:spacing w:after="0" w:line="239"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Primarily includes cash acquired of $2 million, accounts receivable of $3 million, prepaid expenses and other current assets of $2 million and liabilities assumed of $10 million, including accounts payable, accrued expenses and other current liabilities, and deferred revenue, which reflect their respective fair values at acquisition.</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year ended December 31, 2019, we also invested $2 million in the equity securities of a privately-held company. Refer to “Note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Financial Instruments and Fair Value Measurements” </w:t>
      </w:r>
      <w:r>
        <w:rPr>
          <w:rFonts w:ascii="Arial" w:cs="Arial" w:eastAsia="Arial" w:hAnsi="Arial"/>
          <w:sz w:val="18"/>
          <w:szCs w:val="18"/>
          <w:color w:val="auto"/>
        </w:rPr>
        <w:t>for further disclosure of our non-marketable investments.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243"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We generate all of our revenue from contracts with customers. We recognize revenue when we satisfy a performance obligation by transferring control of the promised services to a customer in an amount that reflects the consideration that we expect to receive in exchange for those services. When we act as an agent in the transaction, we recognize revenue for only our commission on the arrangement. We determine revenue recognition through the following steps:</w:t>
      </w:r>
    </w:p>
    <w:p>
      <w:pPr>
        <w:spacing w:after="0" w:line="201" w:lineRule="exact"/>
        <w:rPr>
          <w:sz w:val="20"/>
          <w:szCs w:val="20"/>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ind w:left="760" w:hanging="378"/>
        <w:spacing w:after="0" w:line="234"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ind w:left="760" w:hanging="378"/>
        <w:spacing w:after="0" w:line="234"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09"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At contract inception, we assess the services promised in our contracts with customers and identify a performance obligation for each promise to transfer to the customer a service (or bundle of services) that is distinct. To identify the performance obligations, we consider all of the services promised in the contract regardless of whether they are explicitly stated or are implied by customary business practices. We have provided qualitative information about our performance obligations for our principal revenue streams discussed below. There was no significant revenue recognized in the years ended December 31, 2021, 2020 and 2019 related to performance obligations satisfied in prior periods, respectively. We have applied a practical expedient and do not disclose the value of unsatisfied performance obligations that have an original expected duration of less than one year, and we do not have any material unsatisfied performance obligations over one year. The value related to our remaining or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79" w:name="page80"/>
    <w:bookmarkEnd w:id="79"/>
    <w:p>
      <w:pPr>
        <w:jc w:val="both"/>
        <w:ind w:right="60"/>
        <w:spacing w:after="0" w:line="248" w:lineRule="auto"/>
        <w:rPr>
          <w:sz w:val="20"/>
          <w:szCs w:val="20"/>
          <w:color w:val="auto"/>
        </w:rPr>
      </w:pPr>
      <w:r>
        <w:rPr>
          <w:rFonts w:ascii="Arial" w:cs="Arial" w:eastAsia="Arial" w:hAnsi="Arial"/>
          <w:sz w:val="18"/>
          <w:szCs w:val="18"/>
          <w:color w:val="auto"/>
        </w:rPr>
        <w:t>partially satisfied performance obligations relates to subscription services that are satisfied over time or services that are recognized at a point in time, but not yet achieved. Our timing of services, invoicing and payments are discussed in more detail below and do not include a significant financing component. Our customer invoices are generally due 30 days from the time of invoicing.</w:t>
      </w:r>
    </w:p>
    <w:p>
      <w:pPr>
        <w:spacing w:after="0" w:line="182"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We recognize an asset for the incremental costs of obtaining a contract with a customer if we expect the benefit of those costs to be longer than one year. Although the substantial majority of our contract costs have an amortization period of less than one year, we have determined contract costs arising from certain sales incentives have an amortization period in excess of one year given the high likelihood of contract renewal. Sales incentives are not paid upon renewal of these contracts and therefore are not commensurate with the initial sales incentive costs. As of both December 31, 2021 and 2020, there were $4 million of unamortized contract costs in other long-term assets on our consolidated balance sheet. We amortize these contract costs on a straight-line basis over the estimated customer life, which is based on historical customer retention rates. Amortization expense recorded to selling and marketing expense on our consolidated statements of operations during each of the years ended December 31, 2021, 2020 and 2019, were $1 million. We assess such asset for impairment when events or circumstances indicate that the carrying amount may not be recoverable. No impairments were recognized during the years ended December 31, 2021, 2020 and 2019.</w:t>
      </w:r>
    </w:p>
    <w:p>
      <w:pPr>
        <w:spacing w:after="0" w:line="18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The recognition of revenue may require the application of judgment related to the determination of the performance obligations, the timing of when the performance obligations are satisfied and other areas. The determination of our performance obligations does not require significant judgment given that we generally do not provide multiple services to a customer in a transaction, and the point in which control is transferred to the customer is readily determinable. In instances where we recognize revenue over time, we generally have either a subscription service that is recognized over time on a straight-line basis using the time-elapsed output method, or based on other output measures that provide a faithful depiction of the transfer of our services. When an estimate for cancellations is included in the transaction price, we base our estimate on historical cancellation rates and current trends. Taxes assessed by a government authority that are both imposed on and concurrent with a specific revenue–producing transaction, that are collected by us from a customer, are reported on a net basis, or in other words excluded from revenue on our consolidated financial statements.</w:t>
      </w:r>
    </w:p>
    <w:p>
      <w:pPr>
        <w:spacing w:after="0" w:line="168"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 application of our revenue recognition policies and a description of our principal activities, organized by segment, from which we generate our revenue, are presented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221" w:lineRule="exact"/>
        <w:rPr>
          <w:sz w:val="20"/>
          <w:szCs w:val="20"/>
          <w:color w:val="auto"/>
        </w:rPr>
      </w:pPr>
    </w:p>
    <w:p>
      <w:pPr>
        <w:ind w:right="60" w:firstLine="509"/>
        <w:spacing w:after="0" w:line="268" w:lineRule="auto"/>
        <w:rPr>
          <w:sz w:val="20"/>
          <w:szCs w:val="20"/>
          <w:color w:val="auto"/>
        </w:rPr>
      </w:pPr>
      <w:r>
        <w:rPr>
          <w:rFonts w:ascii="Arial" w:cs="Arial" w:eastAsia="Arial" w:hAnsi="Arial"/>
          <w:sz w:val="16"/>
          <w:szCs w:val="16"/>
          <w:b w:val="1"/>
          <w:bCs w:val="1"/>
          <w:color w:val="auto"/>
        </w:rPr>
        <w:t>Tripadvisor-branded Hotels Revenue</w:t>
      </w:r>
      <w:r>
        <w:rPr>
          <w:rFonts w:ascii="Arial" w:cs="Arial" w:eastAsia="Arial" w:hAnsi="Arial"/>
          <w:sz w:val="16"/>
          <w:szCs w:val="16"/>
          <w:color w:val="auto"/>
        </w:rPr>
        <w:t>. Our largest source of Hotels, Media &amp; Platform segment revenue is generated from click-based advertising</w:t>
      </w:r>
      <w:r>
        <w:rPr>
          <w:rFonts w:ascii="Arial" w:cs="Arial" w:eastAsia="Arial" w:hAnsi="Arial"/>
          <w:sz w:val="16"/>
          <w:szCs w:val="16"/>
          <w:b w:val="1"/>
          <w:bCs w:val="1"/>
          <w:color w:val="auto"/>
        </w:rPr>
        <w:t xml:space="preserve"> </w:t>
      </w:r>
      <w:r>
        <w:rPr>
          <w:rFonts w:ascii="Arial" w:cs="Arial" w:eastAsia="Arial" w:hAnsi="Arial"/>
          <w:sz w:val="16"/>
          <w:szCs w:val="16"/>
          <w:color w:val="auto"/>
        </w:rPr>
        <w:t>on Tripadvisor-branded websites, or hotel auction revenue, which is primarily comprised of contextually-relevant booking links to our travel partners’ websites. Our click-based travel partners are predominantly OTAs and hotels. Click-based advertising is generally priced on a cost-per-click, or “CPC”, basis, with payments from travel partners determined by the number of travelers who click on a link multiplied by the CPC rate for each specific click. CPC rates are determined in a dynamic, competitive auction process, where our travel partner CPC bids for rates and availability to be listed on our platform are submitted. When a CPC bid is submitted, the travel partner agrees to pay us the bid amount each time a traveler clicks on the link to that travel partner’s websites. Bids can be submitted periodically – as often as daily – on a property-by-property basis. We record click-based advertising revenue as the click occurs and traveler leads are sent to the travel partner websites as our performance obligation is fulfilled at that time. Click-based revenue is generally billed to our travel partners on a monthly basis consistent with the timing of the service. We also generate revenue from our cost-per-action, or “CPA” model, which consists of contextually-relevant booking links to our travel partners’ websites which are advertised on our platform. We earn a commission from our travel partners, based on a pre-determined contractual commission rate, for each traveler who clicks to and books a hotel reservation on the travel partners’ website, which results in a traveler stay. CPA revenue is billable only upon the completion of each traveler’s stay resulting from a hotel reservation. The travel partners provide the service to the travelers and we act as an agent under ASC 606 – Revenue from Contracts with Customers (“ASC 606”). Our performance obligation is complete at the time of the hotel reservation booking, and the commission earned is recognized upon booking, as we have no post-booking service obligations. We recognize this revenue net of an estimate of the impact of cancellations, using historical cancellation rates and current trends. Contract assets are recognized at the time of booking for</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80" w:name="page81"/>
    <w:bookmarkEnd w:id="80"/>
    <w:p>
      <w:pPr>
        <w:ind w:right="80"/>
        <w:spacing w:after="0" w:line="261" w:lineRule="auto"/>
        <w:rPr>
          <w:sz w:val="20"/>
          <w:szCs w:val="20"/>
          <w:color w:val="auto"/>
        </w:rPr>
      </w:pPr>
      <w:r>
        <w:rPr>
          <w:rFonts w:ascii="Arial" w:cs="Arial" w:eastAsia="Arial" w:hAnsi="Arial"/>
          <w:sz w:val="18"/>
          <w:szCs w:val="18"/>
          <w:color w:val="auto"/>
        </w:rPr>
        <w:t>commissions that are billable at the time of stay. CPA revenue is generally billed to our travel partners on a monthly basis consistent with the timing of the service.</w:t>
      </w:r>
    </w:p>
    <w:p>
      <w:pPr>
        <w:spacing w:after="0" w:line="171" w:lineRule="exact"/>
        <w:rPr>
          <w:sz w:val="20"/>
          <w:szCs w:val="20"/>
          <w:color w:val="auto"/>
        </w:rPr>
      </w:pPr>
    </w:p>
    <w:p>
      <w:pPr>
        <w:ind w:right="100" w:firstLine="509"/>
        <w:spacing w:after="0" w:line="268" w:lineRule="auto"/>
        <w:rPr>
          <w:sz w:val="20"/>
          <w:szCs w:val="20"/>
          <w:color w:val="auto"/>
        </w:rPr>
      </w:pPr>
      <w:r>
        <w:rPr>
          <w:rFonts w:ascii="Arial" w:cs="Arial" w:eastAsia="Arial" w:hAnsi="Arial"/>
          <w:sz w:val="16"/>
          <w:szCs w:val="16"/>
          <w:color w:val="auto"/>
        </w:rPr>
        <w:t>In addition, we offer hotel business to business (“B2B”) solutions, including subscription-based advertising to hotels, owners of B&amp;Bs and other specialty lodging properties. Our performance obligation is generally to enable subscribers to advertise their businesses on our platform, as well as to manage and promote their website URL, email address, phone number, special offers and other information related to their business. Subscription-based advertising services are predominantly sold for a flat fee for a contracted period of time of one year or less and revenue is recognized on a straight-line basis over the period of the subscription service as efforts are expended evenly throughout the contract period. Subscription-based advertising services are generally billed at the inception of the service. When prepayments are received, we recognize deferred revenue initially on our consolidated balance sheet for the amount of prepayment in excess of revenue recognized, until the performance obligation is satisfied. To a lesser extent, we offer travel partners the opportunity to advertise and promote their business through hotel sponsored placements on our platform. This service is generally priced on a CPC basis, with payments from travel partners determined by the number of travelers who click on the sponsored link multiplied by the CPC rate for each specific click. CPC rates for hotel sponsored placements that our travel partners pay are generally based on bids submitted as part of an auction by our travel partners. When a CPC bid is submitted, the travel partner agrees to pay us the bid amount each time a traveler clicks on a link to our travel partner’s websites. Bids may be submitted periodically – as often as daily – on a property-by-property basis. We record this click-based advertising revenue as the click occurs and traveler leads are sent to the travel partner as our performance obligation is fulfilled at that time. Hotel sponsored placements revenue is generally billed to our travel partners on a monthly basis consistent with the timing of the service.</w:t>
      </w:r>
    </w:p>
    <w:p>
      <w:pPr>
        <w:spacing w:after="0" w:line="17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b w:val="1"/>
          <w:bCs w:val="1"/>
          <w:color w:val="auto"/>
        </w:rPr>
        <w:t xml:space="preserve">Tripadvisor-branded Display and Platform Revenue. </w:t>
      </w:r>
      <w:r>
        <w:rPr>
          <w:rFonts w:ascii="Arial" w:cs="Arial" w:eastAsia="Arial" w:hAnsi="Arial"/>
          <w:sz w:val="17"/>
          <w:szCs w:val="17"/>
          <w:color w:val="auto"/>
        </w:rPr>
        <w:t>We offer travel partners the ability to promote their brands through display-based</w:t>
      </w:r>
      <w:r>
        <w:rPr>
          <w:rFonts w:ascii="Arial" w:cs="Arial" w:eastAsia="Arial" w:hAnsi="Arial"/>
          <w:sz w:val="17"/>
          <w:szCs w:val="17"/>
          <w:b w:val="1"/>
          <w:bCs w:val="1"/>
          <w:color w:val="auto"/>
        </w:rPr>
        <w:t xml:space="preserve"> </w:t>
      </w:r>
      <w:r>
        <w:rPr>
          <w:rFonts w:ascii="Arial" w:cs="Arial" w:eastAsia="Arial" w:hAnsi="Arial"/>
          <w:sz w:val="17"/>
          <w:szCs w:val="17"/>
          <w:color w:val="auto"/>
        </w:rPr>
        <w:t>advertising placements on our platform across all of our segments and business units. Our display-based advertising clients are predominantly direct suppliers of hotels, airlines and cruises, as well as destination marketing organizations. We also sell display-based advertising to OTAs and other travel related businesses, as well as advertisers from non-travel categories. Display-based advertising is sold predominantly on a cost per thousand impressions, or CPM, basis. The performance obligation in our display-based advertising arrangements is to display a number of advertising impressions on our platform and we recognize revenue for impressions as they are delivered. Services are generally billed monthly. We have applied the practical expedient to measure progress toward completion, as we have the right to invoice the customer in an amount that directly corresponds with the value to the customer of our performance to date, which is measured based on impressions delivered.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25" w:lineRule="exact"/>
        <w:rPr>
          <w:sz w:val="20"/>
          <w:szCs w:val="20"/>
          <w:color w:val="auto"/>
        </w:rPr>
      </w:pPr>
    </w:p>
    <w:p>
      <w:pPr>
        <w:ind w:right="260" w:firstLine="509"/>
        <w:spacing w:after="0" w:line="270" w:lineRule="auto"/>
        <w:rPr>
          <w:sz w:val="20"/>
          <w:szCs w:val="20"/>
          <w:color w:val="auto"/>
        </w:rPr>
      </w:pPr>
      <w:r>
        <w:rPr>
          <w:rFonts w:ascii="Arial" w:cs="Arial" w:eastAsia="Arial" w:hAnsi="Arial"/>
          <w:sz w:val="17"/>
          <w:szCs w:val="17"/>
          <w:color w:val="auto"/>
        </w:rPr>
        <w:t>We provide information and services that allow travelers to research and book tours, activities and attractions in popular travel destinations in our Viator online marketplace. We also power travel tours, activities and attractions booking capabilities to travelers on third-party distribution partner websites, including the Tripadvisor platform, and some of the world’s top airlines, hotel chains, and online and offline travel agencies.</w:t>
      </w:r>
    </w:p>
    <w:p>
      <w:pPr>
        <w:spacing w:after="0" w:line="164" w:lineRule="exact"/>
        <w:rPr>
          <w:sz w:val="20"/>
          <w:szCs w:val="20"/>
          <w:color w:val="auto"/>
        </w:rPr>
      </w:pPr>
    </w:p>
    <w:p>
      <w:pPr>
        <w:ind w:right="20" w:firstLine="554"/>
        <w:spacing w:after="0" w:line="274" w:lineRule="auto"/>
        <w:rPr>
          <w:sz w:val="20"/>
          <w:szCs w:val="20"/>
          <w:color w:val="auto"/>
        </w:rPr>
      </w:pPr>
      <w:r>
        <w:rPr>
          <w:rFonts w:ascii="Arial" w:cs="Arial" w:eastAsia="Arial" w:hAnsi="Arial"/>
          <w:sz w:val="16"/>
          <w:szCs w:val="16"/>
          <w:color w:val="auto"/>
        </w:rPr>
        <w:t>We work with local tour, activities, and attraction operators (the “operator”) to provide travelers (the “customer”) the ability to book tours, activities and attractions (the “experience”) in destinations worldwide. We generate commissions for each booking transaction we facilitate through our online reservation system, in exchange for certain activities, including the use of the Company’s booking platform, post-booking customer support (24/7) until the time of the experience and payment processing activities as merchant of record, which is the completion of the performance obligation. These activities are not distinct from each other and are not separate performance obligations. As a result, the Company’s single performance obligation is to facilitate an experience, which is complete upon the time the experience occurs, and when revenue is recognized. We do not control the experience or have inventory risk before the operator provides the experience to our customer and therefore act as agent for substantially all of these transactions under ASC 606.</w:t>
      </w:r>
    </w:p>
    <w:p>
      <w:pPr>
        <w:spacing w:after="0" w:line="163" w:lineRule="exact"/>
        <w:rPr>
          <w:sz w:val="20"/>
          <w:szCs w:val="20"/>
          <w:color w:val="auto"/>
        </w:rPr>
      </w:pPr>
    </w:p>
    <w:p>
      <w:pPr>
        <w:ind w:right="160" w:firstLine="554"/>
        <w:spacing w:after="0" w:line="261" w:lineRule="auto"/>
        <w:rPr>
          <w:sz w:val="20"/>
          <w:szCs w:val="20"/>
          <w:color w:val="auto"/>
        </w:rPr>
      </w:pPr>
      <w:r>
        <w:rPr>
          <w:rFonts w:ascii="Arial" w:cs="Arial" w:eastAsia="Arial" w:hAnsi="Arial"/>
          <w:sz w:val="18"/>
          <w:szCs w:val="18"/>
          <w:color w:val="auto"/>
        </w:rPr>
        <w:t>We collect payment from the customer prior to the experience occurring, which includes both our commission and the amount due to the operator. We record our commissions as deferred revenue on our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1" w:name="page82"/>
    <w:bookmarkEnd w:id="81"/>
    <w:p>
      <w:pPr>
        <w:ind w:right="60"/>
        <w:spacing w:after="0" w:line="248" w:lineRule="auto"/>
        <w:rPr>
          <w:sz w:val="20"/>
          <w:szCs w:val="20"/>
          <w:color w:val="auto"/>
        </w:rPr>
      </w:pPr>
      <w:r>
        <w:rPr>
          <w:rFonts w:ascii="Arial" w:cs="Arial" w:eastAsia="Arial" w:hAnsi="Arial"/>
          <w:sz w:val="18"/>
          <w:szCs w:val="18"/>
          <w:color w:val="auto"/>
        </w:rPr>
        <w:t>consolidated balance sheet when payment is received, including amounts which are refundable subject to cancellation, until the experience occurs when revenue is recognized. The amount due to the operator is recorded as deferred merchant payables on our consolidated balance sheet until completion of the experience when payment is made to the operator.</w:t>
      </w:r>
    </w:p>
    <w:p>
      <w:pPr>
        <w:spacing w:after="0" w:line="182" w:lineRule="exact"/>
        <w:rPr>
          <w:sz w:val="20"/>
          <w:szCs w:val="20"/>
          <w:color w:val="auto"/>
        </w:rPr>
      </w:pPr>
    </w:p>
    <w:p>
      <w:pPr>
        <w:ind w:firstLine="554"/>
        <w:spacing w:after="0" w:line="238" w:lineRule="auto"/>
        <w:rPr>
          <w:sz w:val="20"/>
          <w:szCs w:val="20"/>
          <w:color w:val="auto"/>
        </w:rPr>
      </w:pPr>
      <w:r>
        <w:rPr>
          <w:rFonts w:ascii="Arial" w:cs="Arial" w:eastAsia="Arial" w:hAnsi="Arial"/>
          <w:sz w:val="18"/>
          <w:szCs w:val="18"/>
          <w:color w:val="auto"/>
        </w:rPr>
        <w:t>To a much lesser extent, we earn commissions from third-party merchant partners (the “customer”) who display and promote on their websites the operator experiences available on our platform to generate bookings. In these transactions, where we are not the merchant of record, and we generally invoice and receive commissions directly from the third-party merchant partners. Our performance obligation is to allow the third-party distribution partners to display and promote on their website experiences, offered by operators who utilize our platform, and we earn a commission when travelers book and complete an experience on the third-party merchant partner website. We do not control the service or have inventory risk, and therefore act as an agent for these transactions under ASC 606. We receive payment shortly after the booking in the majority of these transactions and make payments to the operators after the experience is complete. Our performance obligation is complete, and revenue is recognized at the time of the booking, as we have no post-booking obligations to the customer. We recognize this revenue net of an estimate of the impact of cancellations, which is not material, using historical cancellation rates and current trends. Contract assets are recognized for commissions that are contractually billable contingent upon completion of the experience.</w:t>
      </w:r>
    </w:p>
    <w:p>
      <w:pPr>
        <w:spacing w:after="0" w:line="188" w:lineRule="exact"/>
        <w:rPr>
          <w:sz w:val="20"/>
          <w:szCs w:val="20"/>
          <w:color w:val="auto"/>
        </w:rPr>
      </w:pPr>
    </w:p>
    <w:p>
      <w:pPr>
        <w:ind w:right="40" w:firstLine="509"/>
        <w:spacing w:after="0" w:line="268" w:lineRule="auto"/>
        <w:rPr>
          <w:sz w:val="20"/>
          <w:szCs w:val="20"/>
          <w:color w:val="auto"/>
        </w:rPr>
      </w:pPr>
      <w:r>
        <w:rPr>
          <w:rFonts w:ascii="Arial" w:cs="Arial" w:eastAsia="Arial" w:hAnsi="Arial"/>
          <w:sz w:val="16"/>
          <w:szCs w:val="16"/>
          <w:color w:val="auto"/>
        </w:rPr>
        <w:t>We also provide information and services for consumers to research and book restaurant reservations in popular travel destinations through our dedicated online restaurant reservations offering, TheFork, and on our Tripadvisor-branded websites and mobile apps. We primarily generate transaction fees (or per seated diner fees) that are paid by our restaurant customers for diners seated primarily from bookings through TheFork’s online reservation system. The transaction fee is recognized as revenue after the reservation is fulfilled, or as diners are seated by our restaurant customers. We invoice restaurants monthly for transaction fees. To a lesser extent, we also generate subscription fees for subscription-based advertising to restaurants, access to certain online reservation management services, marketing analytic tools, and menu syndication services provided by TheFork and Tripadvisor. As the performance obligation is to provide restaurants with access to these services over the subscription period, subscription fee revenue is recognized over the period of the subscription service on a straight-line basis as efforts are expended evenly throughout the contract period. Subscription fees are generally billable in advance of service. When prepayments are received, we recognize deferred revenue initially on our consolidated balance sheet, for the amount of prepayment in excess of revenue recognized until the performance obligation is satisfied. In addition, we also offer restaurant partners the opportunity to advertise and promote their business through restaurant media advertising placements on our platform. This service is generally priced on a CPC basis, with payments from restaurant partners determined by the number of consumers who click on the sponsored link multiplied by the CPC rate for each specific click. CPC rates for media advertising placements that our restaurant partners pay are based on a pre-determined contractual rate. We record this click-based advertising revenue as the click occurs and diner leads are sent to the restaurant partner as our performance obligation is fulfilled at that time. Click-based revenue is generally billed to our restaurant partners on a monthly basis consistent with the timing of the service.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We provide information and services that allow travelers to research and book vacation and short-term rental properties, including full homes, condominiums, villas, beach properties, cabins and cottages. Our Rentals offering primarily generates revenue by offering individual property owners and managers the ability to list their properties on our platform thereby connecting with travelers through a free-to-list, commission-based option. These properties are listed on www.flipkey.com, www.holidaylettings.co.uk, www.housetrip.com, www.niumba.com, and www.vacationhomerentals.com, and on our Tripadvisor-branded websites and mobile apps. We earn commissions associated with rental transactions through our free-to-list model from both the traveler, and the property owner or manager. We provide post-booking service to the travelers, property owners and managers until the time the rental commences, which is the time the performance obligation is completed. Revenue from transaction fees is recognized at the time that the rental commences. We act as an agent, under ASC 606, in the transactions as we do not control any properties before the property owner provides the accommodation to the traveler and do not have inventory risk. We generally collect payment from the traveler at the time of booking, representing the amount due to the property owner or manager, as well as our commission. That portion of the payment representing our commission is recorded as deferred revenue on our consolidated balance sheet until revenue is recognized, and that portion of the payment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2" w:name="page83"/>
    <w:bookmarkEnd w:id="82"/>
    <w:p>
      <w:pPr>
        <w:ind w:right="220"/>
        <w:spacing w:after="0" w:line="261" w:lineRule="auto"/>
        <w:rPr>
          <w:sz w:val="20"/>
          <w:szCs w:val="20"/>
          <w:color w:val="auto"/>
        </w:rPr>
      </w:pPr>
      <w:r>
        <w:rPr>
          <w:rFonts w:ascii="Arial" w:cs="Arial" w:eastAsia="Arial" w:hAnsi="Arial"/>
          <w:sz w:val="18"/>
          <w:szCs w:val="18"/>
          <w:color w:val="auto"/>
        </w:rPr>
        <w:t>representing the amount due to the property owner is recorded as deferred merchant payables on our consolidated balance sheet until payment is made to the property owner after the completion of the rental.</w:t>
      </w:r>
    </w:p>
    <w:p>
      <w:pPr>
        <w:spacing w:after="0" w:line="17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In addition, Other also includes revenue generated from flights, cruises, and car offerings on Tripadvisor-branded websites and mobile apps and Tripadvisor’s portfolio of travel media brands, which primarily includes click-based advertising and display-based advertising revenue. The performance obligations, timing of customer payments for these offerings, and methods of revenue recognition are generally consistent with click-based advertising and display-based advertising revenue, as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 and Exemptions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expense costs to obtain a contract as incurred, such as sales incentives, when the amortization period would have been one year or less.</w:t>
      </w:r>
    </w:p>
    <w:p>
      <w:pPr>
        <w:spacing w:after="0" w:line="223"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16"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 xml:space="preserve">We disaggregate revenue from contracts with customers into major products/revenue sources. We have determined that disaggregating revenue into these categories achieves the disclosure objective to depict how the nature, amount, timing, and uncertainty of revenue and cash flows are affected by economic factors. As noted in “Note 20: </w:t>
      </w:r>
      <w:r>
        <w:rPr>
          <w:rFonts w:ascii="Arial" w:cs="Arial" w:eastAsia="Arial" w:hAnsi="Arial"/>
          <w:sz w:val="16"/>
          <w:szCs w:val="16"/>
          <w:i w:val="1"/>
          <w:iCs w:val="1"/>
          <w:color w:val="auto"/>
        </w:rPr>
        <w:t>Segment and Geographic Information</w:t>
      </w:r>
      <w:r>
        <w:rPr>
          <w:rFonts w:ascii="Arial" w:cs="Arial" w:eastAsia="Arial" w:hAnsi="Arial"/>
          <w:sz w:val="16"/>
          <w:szCs w:val="16"/>
          <w:color w:val="auto"/>
        </w:rPr>
        <w:t>”, our business consists of two reportable segments – (1) Hotels, Media &amp; Platform; and (2) Experiences &amp; Dining. Other consists of a combination of business units, and does not constitute a reportable segment.</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disaggregated revenue to segment revenue is also included below.</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 ended December 31,</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00" w:type="dxa"/>
            <w:vAlign w:val="bottom"/>
            <w:vMerge w:val="restart"/>
          </w:tcPr>
          <w:p>
            <w:pPr>
              <w:spacing w:after="0"/>
              <w:rPr>
                <w:sz w:val="20"/>
                <w:szCs w:val="20"/>
                <w:color w:val="auto"/>
              </w:rPr>
            </w:pPr>
            <w:r>
              <w:rPr>
                <w:rFonts w:ascii="Arial" w:cs="Arial" w:eastAsia="Arial" w:hAnsi="Arial"/>
                <w:sz w:val="18"/>
                <w:szCs w:val="18"/>
                <w:b w:val="1"/>
                <w:bCs w:val="1"/>
                <w:color w:val="auto"/>
              </w:rPr>
              <w:t>Major products/revenue sources (1):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Hotels, Media &amp; Platform</w:t>
            </w: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140"/>
              <w:spacing w:after="0"/>
              <w:rPr>
                <w:sz w:val="20"/>
                <w:szCs w:val="20"/>
                <w:color w:val="auto"/>
              </w:rPr>
            </w:pPr>
            <w:r>
              <w:rPr>
                <w:rFonts w:ascii="Arial" w:cs="Arial" w:eastAsia="Arial" w:hAnsi="Arial"/>
                <w:sz w:val="18"/>
                <w:szCs w:val="18"/>
                <w:color w:val="auto"/>
              </w:rPr>
              <w:t>Tripadvisor-branded hotels</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Tripadvisor-branded display and platform</w:t>
            </w:r>
          </w:p>
        </w:tc>
        <w:tc>
          <w:tcPr>
            <w:tcW w:w="8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Total Hotels, Media &amp; Platform</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Experiences &amp; Dining</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00" w:type="dxa"/>
            <w:vAlign w:val="bottom"/>
          </w:tcPr>
          <w:p>
            <w:pPr>
              <w:ind w:left="100"/>
              <w:spacing w:after="0" w:line="196" w:lineRule="exact"/>
              <w:rPr>
                <w:sz w:val="20"/>
                <w:szCs w:val="20"/>
                <w:color w:val="auto"/>
              </w:rPr>
            </w:pPr>
            <w:r>
              <w:rPr>
                <w:rFonts w:ascii="Arial" w:cs="Arial" w:eastAsia="Arial" w:hAnsi="Arial"/>
                <w:sz w:val="18"/>
                <w:szCs w:val="18"/>
                <w:color w:val="auto"/>
              </w:rPr>
              <w:t>Total Revenue</w:t>
            </w:r>
          </w:p>
        </w:tc>
        <w:tc>
          <w:tcPr>
            <w:tcW w:w="840" w:type="dxa"/>
            <w:vAlign w:val="bottom"/>
          </w:tcPr>
          <w:p>
            <w:pPr>
              <w:jc w:val="right"/>
              <w:ind w:right="656"/>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902</w:t>
            </w:r>
          </w:p>
        </w:tc>
        <w:tc>
          <w:tcPr>
            <w:tcW w:w="3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604</w:t>
            </w:r>
          </w:p>
        </w:tc>
        <w:tc>
          <w:tcPr>
            <w:tcW w:w="18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1,560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-742315</wp:posOffset>
            </wp:positionV>
            <wp:extent cx="5143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-742315</wp:posOffset>
            </wp:positionV>
            <wp:extent cx="4318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-742315</wp:posOffset>
            </wp:positionV>
            <wp:extent cx="4318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-159385</wp:posOffset>
            </wp:positionV>
            <wp:extent cx="5143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-159385</wp:posOffset>
            </wp:positionV>
            <wp:extent cx="4318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-159385</wp:posOffset>
            </wp:positionV>
            <wp:extent cx="4318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02" w:lineRule="exact"/>
        <w:rPr>
          <w:sz w:val="20"/>
          <w:szCs w:val="20"/>
          <w:color w:val="auto"/>
        </w:rPr>
      </w:pPr>
    </w:p>
    <w:p>
      <w:pPr>
        <w:ind w:left="1460" w:hanging="376"/>
        <w:spacing w:after="0"/>
        <w:tabs>
          <w:tab w:leader="none" w:pos="1460" w:val="left"/>
        </w:tabs>
        <w:numPr>
          <w:ilvl w:val="0"/>
          <w:numId w:val="34"/>
        </w:numPr>
        <w:rPr>
          <w:rFonts w:ascii="Arial" w:cs="Arial" w:eastAsia="Arial" w:hAnsi="Arial"/>
          <w:sz w:val="16"/>
          <w:szCs w:val="16"/>
          <w:color w:val="auto"/>
        </w:rPr>
      </w:pPr>
      <w:r>
        <w:rPr>
          <w:rFonts w:ascii="Arial" w:cs="Arial" w:eastAsia="Arial" w:hAnsi="Arial"/>
          <w:sz w:val="15"/>
          <w:szCs w:val="15"/>
          <w:color w:val="auto"/>
        </w:rPr>
        <w:t>Our revenue is recognized primarily at a point in time for all reported segments.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21"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The following table provides information about the opening and closing balances of accounts receivable and contract assets, net of allowance for credit losses, from contracts with customers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1"/>
              </w:rPr>
              <w:t>December 31, 2021</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1"/>
              </w:rPr>
              <w:t>December 31, 2020</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6"/>
        </w:trPr>
        <w:tc>
          <w:tcPr>
            <w:tcW w:w="1700" w:type="dxa"/>
            <w:vAlign w:val="bottom"/>
          </w:tcPr>
          <w:p>
            <w:pPr>
              <w:spacing w:after="0"/>
              <w:rPr>
                <w:sz w:val="17"/>
                <w:szCs w:val="17"/>
                <w:color w:val="auto"/>
              </w:rPr>
            </w:pPr>
          </w:p>
        </w:tc>
        <w:tc>
          <w:tcPr>
            <w:tcW w:w="2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Accounts receivable</w:t>
            </w:r>
          </w:p>
        </w:tc>
        <w:tc>
          <w:tcPr>
            <w:tcW w:w="20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Contract assets</w:t>
            </w:r>
          </w:p>
        </w:tc>
        <w:tc>
          <w:tcPr>
            <w:tcW w:w="2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6"/>
        </w:trPr>
        <w:tc>
          <w:tcPr>
            <w:tcW w:w="1700" w:type="dxa"/>
            <w:vAlign w:val="bottom"/>
          </w:tcPr>
          <w:p>
            <w:pPr>
              <w:spacing w:after="0"/>
              <w:rPr>
                <w:sz w:val="20"/>
                <w:szCs w:val="20"/>
                <w:color w:val="auto"/>
              </w:rPr>
            </w:pPr>
          </w:p>
        </w:tc>
        <w:tc>
          <w:tcPr>
            <w:tcW w:w="266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20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w:t>
            </w:r>
          </w:p>
        </w:tc>
        <w:tc>
          <w:tcPr>
            <w:tcW w:w="8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642"/>
        </w:trPr>
        <w:tc>
          <w:tcPr>
            <w:tcW w:w="17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jc w:val="right"/>
              <w:ind w:right="59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266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-521970</wp:posOffset>
            </wp:positionV>
            <wp:extent cx="4254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-505460</wp:posOffset>
            </wp:positionV>
            <wp:extent cx="4254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254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-521970</wp:posOffset>
            </wp:positionV>
            <wp:extent cx="431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-505460</wp:posOffset>
            </wp:positionV>
            <wp:extent cx="431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3" w:name="page84"/>
    <w:bookmarkEnd w:id="83"/>
    <w:p>
      <w:pPr>
        <w:ind w:firstLine="509"/>
        <w:spacing w:after="0" w:line="257" w:lineRule="auto"/>
        <w:rPr>
          <w:sz w:val="20"/>
          <w:szCs w:val="20"/>
          <w:color w:val="auto"/>
        </w:rPr>
      </w:pPr>
      <w:r>
        <w:rPr>
          <w:rFonts w:ascii="Arial" w:cs="Arial" w:eastAsia="Arial" w:hAnsi="Arial"/>
          <w:sz w:val="17"/>
          <w:szCs w:val="17"/>
          <w:color w:val="auto"/>
        </w:rPr>
        <w:t>Accounts receivable are recognized when the right to consideration becomes unconditional.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The difference between the opening and closing balances of our contract assets primarily results from the timing difference between when we satisfy our performance obligations and the time when the principal completes the service in the transaction. Our contract assets increased during 2021 as a result of the ongoing recovery of consumer travel demand, and increased utilization of our CPA model by travel partners.</w:t>
      </w:r>
    </w:p>
    <w:p>
      <w:pPr>
        <w:spacing w:after="0" w:line="175"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During the year ended December 31, 2021, bad debt expense recorded to our allowance for expected credit losses on accounts receivable and contract assets decreased by $14 million, when compared to the same period in 2020, primarily due to improved collection trends with our customers as the travel industry recovers. Actual future bad debt could differ materially from this estimate resulting from changes in our assumptions of the duration and ultimate severity of the impact of COVID-19, including existing variants (i.e. Delta and Omicron) and/or new variants, if any.</w:t>
      </w:r>
    </w:p>
    <w:p>
      <w:pPr>
        <w:spacing w:after="0" w:line="159" w:lineRule="exact"/>
        <w:rPr>
          <w:sz w:val="20"/>
          <w:szCs w:val="20"/>
          <w:color w:val="auto"/>
        </w:rPr>
      </w:pPr>
    </w:p>
    <w:p>
      <w:pPr>
        <w:ind w:right="240" w:firstLine="509"/>
        <w:spacing w:after="0" w:line="276" w:lineRule="auto"/>
        <w:rPr>
          <w:sz w:val="20"/>
          <w:szCs w:val="20"/>
          <w:color w:val="auto"/>
        </w:rPr>
      </w:pPr>
      <w:r>
        <w:rPr>
          <w:rFonts w:ascii="Arial" w:cs="Arial" w:eastAsia="Arial" w:hAnsi="Arial"/>
          <w:sz w:val="16"/>
          <w:szCs w:val="16"/>
          <w:color w:val="auto"/>
        </w:rPr>
        <w:t>Contract liabilities generally include payments received in advance of performance under the contract, and are realized as revenue as the performance obligation to the customer is satisfied, which we present as deferred revenue on our consolidated balance sheets. As of January 1, 2021 and 2020, we had $28 million and $62 million, respectively, recorded as deferred revenue on our consolidated balance sheets, of which $23 million and $51 million, respectively, was recognized in revenue and $4 million and $11 million was refunded due to cancellations by travelers during the years ended December 31, 2021 and 2020, respectively. The difference between the opening and closing balances of our deferred revenue primarily results from the timing differences between when we receive customer payments and the time in which we satisfy our performance obligations.</w:t>
      </w:r>
    </w:p>
    <w:p>
      <w:pPr>
        <w:spacing w:after="0" w:line="148" w:lineRule="exact"/>
        <w:rPr>
          <w:sz w:val="20"/>
          <w:szCs w:val="20"/>
          <w:color w:val="auto"/>
        </w:rPr>
      </w:pPr>
    </w:p>
    <w:p>
      <w:pPr>
        <w:jc w:val="both"/>
        <w:ind w:right="240" w:firstLine="509"/>
        <w:spacing w:after="0" w:line="241" w:lineRule="auto"/>
        <w:rPr>
          <w:sz w:val="20"/>
          <w:szCs w:val="20"/>
          <w:color w:val="auto"/>
        </w:rPr>
      </w:pPr>
      <w:r>
        <w:rPr>
          <w:rFonts w:ascii="Arial" w:cs="Arial" w:eastAsia="Arial" w:hAnsi="Arial"/>
          <w:sz w:val="18"/>
          <w:szCs w:val="18"/>
          <w:color w:val="auto"/>
        </w:rPr>
        <w:t>There were no significant changes in contract assets or deferred revenue during the years ended December 31, 2021 and 2020 related to business combinations, impairments, cumulative catch-ups or other material adjustments. However, to the extent the COVID-19 pandemic continues and/or new variants continue to emerge, we may incur additional significant and unanticipated cancellations by consumers related to future travel, accommodations and experience bookings, which have been reserved by travelers and recorded as deferred revenue on our consolidated balance sheet as of December 31,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FINANCIAL INSTRUMENTS AND FAIR VALUE MEASUREMENTS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no financial assets or liabilities measured at fair value on a recurring basis as of December 31, 2021 and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212" w:lineRule="exact"/>
        <w:rPr>
          <w:sz w:val="20"/>
          <w:szCs w:val="20"/>
          <w:color w:val="auto"/>
        </w:rPr>
      </w:pPr>
    </w:p>
    <w:p>
      <w:pPr>
        <w:jc w:val="both"/>
        <w:ind w:right="120" w:firstLine="509"/>
        <w:spacing w:after="0" w:line="243" w:lineRule="auto"/>
        <w:rPr>
          <w:sz w:val="20"/>
          <w:szCs w:val="20"/>
          <w:color w:val="auto"/>
        </w:rPr>
      </w:pPr>
      <w:r>
        <w:rPr>
          <w:rFonts w:ascii="Arial" w:cs="Arial" w:eastAsia="Arial" w:hAnsi="Arial"/>
          <w:sz w:val="18"/>
          <w:szCs w:val="18"/>
          <w:color w:val="auto"/>
        </w:rPr>
        <w:t>As of December 31, 2021 and 2020, we had $723 million and $418 million of cash and cash equivalents, respectively, which consisted of available on demand cash deposits in major global financial institutions. We had no outstanding investments classified as either short-term or long-term marketable securities as of December 31, 2021 and 2020, respectively, and no material realized gains or losses related to the sales of any marketable securities for the years ended December 31, 2021, 2020 and 2019.</w:t>
      </w:r>
    </w:p>
    <w:p>
      <w:pPr>
        <w:spacing w:after="0" w:line="80" w:lineRule="exact"/>
        <w:rPr>
          <w:sz w:val="20"/>
          <w:szCs w:val="20"/>
          <w:color w:val="auto"/>
        </w:rPr>
      </w:pPr>
    </w:p>
    <w:p>
      <w:pPr>
        <w:ind w:right="180" w:firstLine="509"/>
        <w:spacing w:after="0" w:line="257" w:lineRule="auto"/>
        <w:rPr>
          <w:sz w:val="20"/>
          <w:szCs w:val="20"/>
          <w:color w:val="auto"/>
        </w:rPr>
      </w:pPr>
      <w:r>
        <w:rPr>
          <w:rFonts w:ascii="Arial" w:cs="Arial" w:eastAsia="Arial" w:hAnsi="Arial"/>
          <w:sz w:val="17"/>
          <w:szCs w:val="17"/>
          <w:color w:val="auto"/>
        </w:rPr>
        <w:t>We generally classify any existing cash equivalents and marketable securities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We generally use forward contracts to reduce the effects of foreign currency exchange rate fluctuations on our cash flows primarily for the Euro versus the U.S. Dollar. For the periods ended December 31, 2021, 2020 and 2019, respectively, our forward contracts have not been designated as hedges and generally had maturities of less than 90 days. Our outstanding or unsettled forward contracts were carried at fair value on our consolidated balance sheets at December 31, 2021 and 2020. We measure the fair value of our outstanding or unsettled derivatives using Level 2 fair value inputs, as we use a pricing model that takes into account the contract terms as well as current foreign currency exchange rates in active markets. We recognize any gain or loss resulting from the change in fair value of our forward contracts in other income (expense), net on our consolidated statement of operations. We recorded a net gain of $2 million, $1 million, and $1 million for the years ended December 31, 2021, 2020 and 2019, respectively, related to our forward contracts.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net notional principal amounts of our outstanding derivative instruments for the periods presented:</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740" w:type="dxa"/>
            <w:vAlign w:val="bottom"/>
          </w:tcPr>
          <w:p>
            <w:pPr>
              <w:spacing w:after="0"/>
              <w:rPr>
                <w:sz w:val="14"/>
                <w:szCs w:val="14"/>
                <w:color w:val="auto"/>
              </w:rPr>
            </w:pPr>
          </w:p>
        </w:tc>
        <w:tc>
          <w:tcPr>
            <w:tcW w:w="15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(in</w:t>
            </w:r>
          </w:p>
        </w:tc>
        <w:tc>
          <w:tcPr>
            <w:tcW w:w="1580" w:type="dxa"/>
            <w:vAlign w:val="bottom"/>
            <w:gridSpan w:val="2"/>
          </w:tcPr>
          <w:p>
            <w:pPr>
              <w:jc w:val="right"/>
              <w:ind w:right="1068"/>
              <w:spacing w:after="0"/>
              <w:rPr>
                <w:sz w:val="20"/>
                <w:szCs w:val="20"/>
                <w:color w:val="auto"/>
              </w:rPr>
            </w:pPr>
            <w:r>
              <w:rPr>
                <w:rFonts w:ascii="Arial" w:cs="Arial" w:eastAsia="Arial" w:hAnsi="Arial"/>
                <w:sz w:val="14"/>
                <w:szCs w:val="14"/>
                <w:b w:val="1"/>
                <w:bCs w:val="1"/>
                <w:color w:val="auto"/>
                <w:w w:val="72"/>
              </w:rPr>
              <w:t>millions)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Foreign currency exchange-forward contracts </w:t>
            </w:r>
            <w:r>
              <w:rPr>
                <w:rFonts w:ascii="Arial" w:cs="Arial" w:eastAsia="Arial" w:hAnsi="Arial"/>
                <w:sz w:val="14"/>
                <w:szCs w:val="14"/>
                <w:color w:val="auto"/>
              </w:rPr>
              <w:t>(1)(2)</w:t>
            </w:r>
          </w:p>
        </w:tc>
        <w:tc>
          <w:tcPr>
            <w:tcW w:w="1400" w:type="dxa"/>
            <w:vAlign w:val="bottom"/>
            <w:shd w:val="clear" w:color="auto" w:fill="CFF0FC"/>
          </w:tcPr>
          <w:p>
            <w:pPr>
              <w:jc w:val="right"/>
              <w:ind w:right="1222"/>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580" w:type="dxa"/>
            <w:vAlign w:val="bottom"/>
            <w:gridSpan w:val="2"/>
            <w:shd w:val="clear" w:color="auto" w:fill="CFF0FC"/>
          </w:tcPr>
          <w:p>
            <w:pPr>
              <w:jc w:val="right"/>
              <w:ind w:right="116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r>
    </w:tbl>
    <w:p>
      <w:pPr>
        <w:spacing w:after="0" w:line="188" w:lineRule="exact"/>
        <w:rPr>
          <w:sz w:val="20"/>
          <w:szCs w:val="20"/>
          <w:color w:val="auto"/>
        </w:rPr>
      </w:pPr>
    </w:p>
    <w:p>
      <w:pPr>
        <w:ind w:left="520" w:right="480" w:hanging="512"/>
        <w:spacing w:after="0" w:line="244"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Derivative contracts address foreign currency exchange fluctuations for the Euro versus the U.S. dollar. These outstanding derivatives are not designated as hedging instruments and have an original maturity period of 90 days or less.</w:t>
      </w:r>
    </w:p>
    <w:p>
      <w:pPr>
        <w:ind w:left="520" w:right="140" w:hanging="512"/>
        <w:spacing w:after="0" w:line="271"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fair value of our outstanding derivatives as of December 31, 2021 and 2020, respectively, was not material. The notional amount of a forward contract is the contracted amount of foreign currency to be exchanged and is not recorded on the consolidated balance sheet.</w:t>
      </w:r>
    </w:p>
    <w:p>
      <w:pPr>
        <w:spacing w:after="0" w:line="163"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8"/>
          <w:szCs w:val="18"/>
          <w:i w:val="1"/>
          <w:iCs w:val="1"/>
          <w:color w:val="auto"/>
        </w:rPr>
        <w:t>Other Financial Assets and Liabilities</w:t>
      </w:r>
    </w:p>
    <w:p>
      <w:pPr>
        <w:spacing w:after="0" w:line="212"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As of December 31, 2021 and 2020, financial instruments not measured at fair value on a recurring basis including accounts payable, accrued expenses and other current liabilities, and deferred merchant bookings, were carried at cost on our consolidated balance sheets, which approximates their fair values because of the short-term nature of these items. Accounts receivable and contract assets, on our consolidated balance sheets, as well as certain other financial assets, were measured at amortized cost and are carried at cost less an allowance for expected credit losses to present the net amount expected to be collected.</w:t>
      </w:r>
    </w:p>
    <w:p>
      <w:pPr>
        <w:spacing w:after="0" w:line="189" w:lineRule="exact"/>
        <w:rPr>
          <w:sz w:val="20"/>
          <w:szCs w:val="20"/>
          <w:color w:val="auto"/>
        </w:rPr>
      </w:pPr>
    </w:p>
    <w:p>
      <w:pPr>
        <w:jc w:val="both"/>
        <w:ind w:right="300" w:firstLine="509"/>
        <w:spacing w:after="0" w:line="248" w:lineRule="auto"/>
        <w:rPr>
          <w:sz w:val="20"/>
          <w:szCs w:val="20"/>
          <w:color w:val="auto"/>
        </w:rPr>
      </w:pPr>
      <w:r>
        <w:rPr>
          <w:rFonts w:ascii="Arial" w:cs="Arial" w:eastAsia="Arial" w:hAnsi="Arial"/>
          <w:sz w:val="18"/>
          <w:szCs w:val="18"/>
          <w:color w:val="auto"/>
        </w:rPr>
        <w:t xml:space="preserve">The following table shows the aggregate principal and fair value amount of our outstanding 2025 Senior Notes and 2026 Senior Notes as of the periods presented, which are classified as long-term debt on our consolidated balance sheets, and considered Level 2 fair value measurements. Refer to “Note 10: </w:t>
      </w:r>
      <w:r>
        <w:rPr>
          <w:rFonts w:ascii="Arial" w:cs="Arial" w:eastAsia="Arial" w:hAnsi="Arial"/>
          <w:sz w:val="18"/>
          <w:szCs w:val="18"/>
          <w:i w:val="1"/>
          <w:iCs w:val="1"/>
          <w:color w:val="auto"/>
        </w:rPr>
        <w:t>Debt</w:t>
      </w:r>
      <w:r>
        <w:rPr>
          <w:rFonts w:ascii="Arial" w:cs="Arial" w:eastAsia="Arial" w:hAnsi="Arial"/>
          <w:sz w:val="18"/>
          <w:szCs w:val="18"/>
          <w:color w:val="auto"/>
        </w:rPr>
        <w:t>” for additional information related to our 2025 Senior Notes and 2026 Senior Notes.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1"/>
              </w:rPr>
              <w:t>December 31, 2020</w:t>
            </w:r>
          </w:p>
        </w:tc>
        <w:tc>
          <w:tcPr>
            <w:tcW w:w="60" w:type="dxa"/>
            <w:vAlign w:val="bottom"/>
          </w:tcPr>
          <w:p>
            <w:pPr>
              <w:spacing w:after="0"/>
              <w:rPr>
                <w:sz w:val="16"/>
                <w:szCs w:val="16"/>
                <w:color w:val="auto"/>
              </w:rPr>
            </w:pPr>
          </w:p>
        </w:tc>
      </w:tr>
      <w:tr>
        <w:trPr>
          <w:trHeight w:val="223"/>
        </w:trPr>
        <w:tc>
          <w:tcPr>
            <w:tcW w:w="5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1"/>
              </w:rPr>
              <w:t>(in millions)</w:t>
            </w: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260" w:type="dxa"/>
            <w:vAlign w:val="bottom"/>
            <w:shd w:val="clear" w:color="auto" w:fill="CFF0FC"/>
          </w:tcPr>
          <w:p>
            <w:pPr>
              <w:ind w:left="60"/>
              <w:spacing w:after="0"/>
              <w:rPr>
                <w:sz w:val="20"/>
                <w:szCs w:val="20"/>
                <w:color w:val="auto"/>
              </w:rPr>
            </w:pPr>
            <w:r>
              <w:rPr>
                <w:rFonts w:ascii="Arial" w:cs="Arial" w:eastAsia="Arial" w:hAnsi="Arial"/>
                <w:sz w:val="18"/>
                <w:szCs w:val="18"/>
                <w:b w:val="1"/>
                <w:bCs w:val="1"/>
                <w:color w:val="auto"/>
              </w:rPr>
              <w:t>2025 Senior Notes</w:t>
            </w: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260" w:type="dxa"/>
            <w:vAlign w:val="bottom"/>
          </w:tcPr>
          <w:p>
            <w:pPr>
              <w:ind w:left="140"/>
              <w:spacing w:after="0"/>
              <w:rPr>
                <w:sz w:val="20"/>
                <w:szCs w:val="20"/>
                <w:color w:val="auto"/>
              </w:rPr>
            </w:pPr>
            <w:r>
              <w:rPr>
                <w:rFonts w:ascii="Arial" w:cs="Arial" w:eastAsia="Arial" w:hAnsi="Arial"/>
                <w:sz w:val="18"/>
                <w:szCs w:val="18"/>
                <w:color w:val="auto"/>
              </w:rPr>
              <w:t>Aggregate principal amount</w:t>
            </w:r>
          </w:p>
        </w:tc>
        <w:tc>
          <w:tcPr>
            <w:tcW w:w="1460" w:type="dxa"/>
            <w:vAlign w:val="bottom"/>
          </w:tcPr>
          <w:p>
            <w:pPr>
              <w:jc w:val="right"/>
              <w:ind w:right="1276"/>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20"/>
                <w:szCs w:val="20"/>
                <w:color w:val="auto"/>
              </w:rPr>
            </w:pPr>
            <w:r>
              <w:rPr>
                <w:rFonts w:ascii="Arial" w:cs="Arial" w:eastAsia="Arial" w:hAnsi="Arial"/>
                <w:sz w:val="18"/>
                <w:szCs w:val="18"/>
                <w:color w:val="auto"/>
                <w:w w:val="86"/>
              </w:rPr>
              <w:t>500</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9"/>
                <w:szCs w:val="19"/>
                <w:color w:val="auto"/>
              </w:rPr>
            </w:pPr>
          </w:p>
        </w:tc>
      </w:tr>
      <w:tr>
        <w:trPr>
          <w:trHeight w:val="230"/>
        </w:trPr>
        <w:tc>
          <w:tcPr>
            <w:tcW w:w="5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Carrying value amount (1)</w:t>
            </w: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w w:val="86"/>
              </w:rPr>
              <w:t>493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60" w:type="dxa"/>
            <w:vAlign w:val="bottom"/>
            <w:shd w:val="clear" w:color="auto" w:fill="CFF0FC"/>
          </w:tcPr>
          <w:p>
            <w:pPr>
              <w:spacing w:after="0"/>
              <w:rPr>
                <w:sz w:val="19"/>
                <w:szCs w:val="19"/>
                <w:color w:val="auto"/>
              </w:rPr>
            </w:pPr>
          </w:p>
        </w:tc>
      </w:tr>
      <w:tr>
        <w:trPr>
          <w:trHeight w:val="230"/>
        </w:trPr>
        <w:tc>
          <w:tcPr>
            <w:tcW w:w="5260" w:type="dxa"/>
            <w:vAlign w:val="bottom"/>
          </w:tcPr>
          <w:p>
            <w:pPr>
              <w:ind w:left="140"/>
              <w:spacing w:after="0"/>
              <w:rPr>
                <w:sz w:val="20"/>
                <w:szCs w:val="20"/>
                <w:color w:val="auto"/>
              </w:rPr>
            </w:pPr>
            <w:r>
              <w:rPr>
                <w:rFonts w:ascii="Arial" w:cs="Arial" w:eastAsia="Arial" w:hAnsi="Arial"/>
                <w:sz w:val="18"/>
                <w:szCs w:val="18"/>
                <w:color w:val="auto"/>
              </w:rPr>
              <w:t>Fair value amount (2)</w:t>
            </w:r>
          </w:p>
        </w:tc>
        <w:tc>
          <w:tcPr>
            <w:tcW w:w="146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6"/>
              </w:rPr>
              <w:t>531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542</w:t>
            </w:r>
          </w:p>
        </w:tc>
        <w:tc>
          <w:tcPr>
            <w:tcW w:w="60" w:type="dxa"/>
            <w:vAlign w:val="bottom"/>
          </w:tcPr>
          <w:p>
            <w:pPr>
              <w:spacing w:after="0"/>
              <w:rPr>
                <w:sz w:val="19"/>
                <w:szCs w:val="19"/>
                <w:color w:val="auto"/>
              </w:rPr>
            </w:pPr>
          </w:p>
        </w:tc>
      </w:tr>
      <w:tr>
        <w:trPr>
          <w:trHeight w:val="229"/>
        </w:trPr>
        <w:tc>
          <w:tcPr>
            <w:tcW w:w="52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260" w:type="dxa"/>
            <w:vAlign w:val="bottom"/>
          </w:tcPr>
          <w:p>
            <w:pPr>
              <w:ind w:left="60"/>
              <w:spacing w:after="0"/>
              <w:rPr>
                <w:sz w:val="20"/>
                <w:szCs w:val="20"/>
                <w:color w:val="auto"/>
              </w:rPr>
            </w:pPr>
            <w:r>
              <w:rPr>
                <w:rFonts w:ascii="Arial" w:cs="Arial" w:eastAsia="Arial" w:hAnsi="Arial"/>
                <w:sz w:val="18"/>
                <w:szCs w:val="18"/>
                <w:b w:val="1"/>
                <w:bCs w:val="1"/>
                <w:color w:val="auto"/>
              </w:rPr>
              <w:t>2026 Senior Notes</w:t>
            </w: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Aggregate principal amount</w:t>
            </w:r>
          </w:p>
        </w:tc>
        <w:tc>
          <w:tcPr>
            <w:tcW w:w="1460" w:type="dxa"/>
            <w:vAlign w:val="bottom"/>
            <w:shd w:val="clear" w:color="auto" w:fill="CFF0FC"/>
          </w:tcPr>
          <w:p>
            <w:pPr>
              <w:jc w:val="right"/>
              <w:ind w:right="127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w w:val="86"/>
              </w:rPr>
              <w:t>345</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30"/>
        </w:trPr>
        <w:tc>
          <w:tcPr>
            <w:tcW w:w="5260" w:type="dxa"/>
            <w:vAlign w:val="bottom"/>
          </w:tcPr>
          <w:p>
            <w:pPr>
              <w:ind w:left="140"/>
              <w:spacing w:after="0"/>
              <w:rPr>
                <w:sz w:val="20"/>
                <w:szCs w:val="20"/>
                <w:color w:val="auto"/>
              </w:rPr>
            </w:pPr>
            <w:r>
              <w:rPr>
                <w:rFonts w:ascii="Arial" w:cs="Arial" w:eastAsia="Arial" w:hAnsi="Arial"/>
                <w:sz w:val="18"/>
                <w:szCs w:val="18"/>
                <w:color w:val="auto"/>
              </w:rPr>
              <w:t>Carrying value amount (3)</w:t>
            </w:r>
          </w:p>
        </w:tc>
        <w:tc>
          <w:tcPr>
            <w:tcW w:w="146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6"/>
              </w:rPr>
              <w:t>340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5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Fair value amount (2)</w:t>
            </w: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w w:val="86"/>
              </w:rPr>
              <w:t>305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bl>
    <w:p>
      <w:pPr>
        <w:spacing w:after="0" w:line="89" w:lineRule="exact"/>
        <w:rPr>
          <w:sz w:val="20"/>
          <w:szCs w:val="20"/>
          <w:color w:val="auto"/>
        </w:rPr>
      </w:pPr>
    </w:p>
    <w:p>
      <w:pPr>
        <w:ind w:left="1260" w:hanging="503"/>
        <w:spacing w:after="0"/>
        <w:tabs>
          <w:tab w:leader="none" w:pos="1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Net of $7 million and $9 million of unamortized debt issuance costs as of December 31, 2021 and 2020, respectively.</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79" w:right="399" w:bottom="1440" w:gutter="0" w:footer="0" w:header="0"/>
        </w:sectPr>
      </w:pPr>
    </w:p>
    <w:bookmarkStart w:id="85" w:name="page86"/>
    <w:bookmarkEnd w:id="85"/>
    <w:p>
      <w:pPr>
        <w:ind w:left="1260" w:right="20" w:hanging="503"/>
        <w:spacing w:after="0" w:line="250" w:lineRule="auto"/>
        <w:tabs>
          <w:tab w:leader="none" w:pos="1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We estimate the fair value of our outstanding 2025 Senior Notes and 2026 Senior Notes based on recently reported market transactions and/or prices for identical or similar financial instruments obtained from a third-party pricing source.</w:t>
      </w:r>
    </w:p>
    <w:p>
      <w:pPr>
        <w:ind w:left="1260" w:hanging="503"/>
        <w:spacing w:after="0"/>
        <w:tabs>
          <w:tab w:leader="none" w:pos="1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Net of $5 million in unamortized debt issuance costs.</w:t>
      </w:r>
    </w:p>
    <w:p>
      <w:pPr>
        <w:spacing w:after="0" w:line="209"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Company did not have any assets or liabilities measured at fair value on a recurring basis using Level 3 unobservable inputs at both December 31, 2021 and December 31,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Non-recurring Basis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Non-Marketable Investments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Equity Securities Accounted for under the Equity Method</w:t>
      </w:r>
    </w:p>
    <w:p>
      <w:pPr>
        <w:spacing w:after="0" w:line="21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November 2019, the Company and Ctrip Investment Holding Ltd, a majority-owned subsidiary of Trip.com Group Limited, entered into an agreement to combine certain assets in China through the creation of a new entity, Chelsea Investment Holding Company PTE, Ltd. Tripadvisor contributed a portion of its business in China, including a long-term exclusive brand and content license and other assets, in return for a 40% equity investment in Chelsea Investment Holding Company PTE Ltd. This investment resulted in the Company recording an initial equity method investment of $41 million and a $39 million deferred income liability attributable to the brand and content license in the fourth quarter of 2019. The Company expects to earn the deferred income ratably over a 15-year period, congruent with the initial term of the brand and content license, and recorded in other income (expense), net on the consolidated statement of operations.</w:t>
      </w:r>
    </w:p>
    <w:p>
      <w:pPr>
        <w:spacing w:after="0" w:line="191"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The Company accounts for this minority investment under the equity method, given it has the ability to exercise significant influence over, but not control, the investee. The carrying value of this minority investment was $34 million and $38 million as of December 31, 2021 and 2020, respectively, and is included in non-marketable investments on our consolidated balance sheets. During the years ended December 31, 2021, 2020 and 2019, we recognized $3 million, $3 million and $1 million, respectively, representing our share of the investee’s net loss in other income (expenses), net within the consolidated statements of operations. The Company evaluates this investment for impairment when factors indicate that a decline in the value of its investment has occurred and the carrying amount of its investment may not be recoverable. An impairment loss, based on the excess of the carrying value over the estimated fair value of the investment based on Level 3 inputs, is recognized in earnings when an impairment is deemed to be other than temporary. Due to the COVID-19 pandemic and ongoing operating losses, we performed a qualitative assessment to evaluate whether this equity investment is impaired as of December 31, 2021. During the years ended December 31, 2021, 2020 and 2019, respectively, we did not record any impairment loss on this equity investment. The remaining deferred income liability of $34 million is presented in accrued expenses and other current liabilities and other long-term liabilities on our consolidated balance sheet of $3 million and $31 million, respectively as of December 31, 2021.</w:t>
      </w:r>
    </w:p>
    <w:p>
      <w:pPr>
        <w:spacing w:after="0" w:line="167"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During the year ended December 31, 2020, the Company entered into various commercial agreements with Chelsea Investment Holding Company PTE Ltd. and/or its subsidiaries. Transactions under these agreements with the equity method investee are considered related-party transactions, and were not material for the years ended December 31, 2021 and 2020, respectively.</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Equity Investments</w:t>
      </w:r>
    </w:p>
    <w:p>
      <w:pPr>
        <w:spacing w:after="0" w:line="212"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We also hold a minority investment in equity securities of a privately-held company, which is at an early stage of development and does not have a readily determinable fair value. As of both December 31, 2021 and 2020, the total carrying value of this investment was $2 million, and included in non-marketable investments on our consolidated balance sheets.</w:t>
      </w:r>
    </w:p>
    <w:p>
      <w:pPr>
        <w:spacing w:after="0" w:line="182"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Our policy is to measure these equity investments at cost less impairment, if any, plus or minus changes resulting from observable price changes in orderly transactions for the identical or a similar investment of the same issuer such observable price changes may include instances where the investee issues equity securities to new investors, thus creating a new indicator of fair value, as an example. On a quarterly basis, we perform a qualitative</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86" w:name="page87"/>
    <w:bookmarkEnd w:id="86"/>
    <w:p>
      <w:pPr>
        <w:jc w:val="both"/>
        <w:ind w:right="600"/>
        <w:spacing w:after="0" w:line="248" w:lineRule="auto"/>
        <w:rPr>
          <w:sz w:val="20"/>
          <w:szCs w:val="20"/>
          <w:color w:val="auto"/>
        </w:rPr>
      </w:pPr>
      <w:r>
        <w:rPr>
          <w:rFonts w:ascii="Arial" w:cs="Arial" w:eastAsia="Arial" w:hAnsi="Arial"/>
          <w:sz w:val="18"/>
          <w:szCs w:val="18"/>
          <w:color w:val="auto"/>
        </w:rPr>
        <w:t>assessment considering impairment indicators, if any, to evaluate whether these investments are impaired and also monitor for any observable price changes. During the years ended December 31, 2021, 2020, and 2019, we did not record any impairment loss on our equity investments or note any observable price change indicators.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212"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In June 2020, the Company was issued collateralized notes (the “Notes Receivable”) with a total principal amount of $20 million from a privately-held company, in exchange for an existing equity investment held in the investee by the Company, and other-long term receivables, net, which the Company held due from the same investee. The Company has classified the Notes Receivable as held-to-maturity, as the Company has concluded it has the positive intent and ability to hold the Notes Receivable until maturity, with 50% due in 5 years and remaining 50% due in 10 years from issuance date. The Company has since recorded a $5 million and $3 million allowance for credit losses under ASC 326 during the years ended December 31, 2021 and 2020, respectively, in other income (expense), net on the consolidated statement of operations, related to the Notes Receivable. As of December 31, 2021 and 2020, the carrying value of the Notes Receivable was $9 million and $14 million, respectively, net of accumulated allowance for credit losses, and is classified in other long-term assets on our consolidated balance sheet at amortized cost. On a quarterly basis, we perform a qualitative assessment considering impairment indicators to evaluate whether the Notes Receivable are impaired and monitor for changes to our allowance for credit losses.</w:t>
      </w:r>
    </w:p>
    <w:p>
      <w:pPr>
        <w:spacing w:after="0" w:line="169" w:lineRule="exact"/>
        <w:rPr>
          <w:sz w:val="20"/>
          <w:szCs w:val="20"/>
          <w:color w:val="auto"/>
        </w:rPr>
      </w:pPr>
    </w:p>
    <w:p>
      <w:pPr>
        <w:jc w:val="both"/>
        <w:ind w:right="220" w:firstLine="509"/>
        <w:spacing w:after="0" w:line="243" w:lineRule="auto"/>
        <w:rPr>
          <w:sz w:val="20"/>
          <w:szCs w:val="20"/>
          <w:color w:val="auto"/>
        </w:rPr>
      </w:pPr>
      <w:r>
        <w:rPr>
          <w:rFonts w:ascii="Arial" w:cs="Arial" w:eastAsia="Arial" w:hAnsi="Arial"/>
          <w:sz w:val="18"/>
          <w:szCs w:val="18"/>
          <w:color w:val="auto"/>
        </w:rPr>
        <w:t xml:space="preserve">Other non-financial assets, such as property and equipment, goodwill, intangible assets, and operating lease right-of-use assets are adjusted to fair value when an impairment charge is recognized or the underlying investment is sold. Such fair value measurements are based predominately on Level 3 inputs. Refer to “Note 6: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 xml:space="preserve">”, “Note 7: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Goodwill and Intangibles Assets, Net</w:t>
      </w:r>
      <w:r>
        <w:rPr>
          <w:rFonts w:ascii="Arial" w:cs="Arial" w:eastAsia="Arial" w:hAnsi="Arial"/>
          <w:sz w:val="18"/>
          <w:szCs w:val="18"/>
          <w:color w:val="auto"/>
        </w:rPr>
        <w:t>” for additional information regarding those assets.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 NET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consists of the following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December 31, 2021</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0"/>
              </w:rPr>
              <w:t>December 31, 2020</w:t>
            </w:r>
          </w:p>
        </w:tc>
        <w:tc>
          <w:tcPr>
            <w:tcW w:w="10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millions)</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Capitalized website development</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416</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371</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Finance lease right-of-use asset</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Computer equipment and purchased software</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100" w:type="dxa"/>
            <w:vAlign w:val="bottom"/>
          </w:tcPr>
          <w:p>
            <w:pPr>
              <w:spacing w:after="0"/>
              <w:rPr>
                <w:sz w:val="17"/>
                <w:szCs w:val="17"/>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Furniture, office equipment and other</w:t>
            </w: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675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626</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rPr>
              <w:t>(460 )</w:t>
            </w:r>
          </w:p>
        </w:tc>
        <w:tc>
          <w:tcPr>
            <w:tcW w:w="2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(386 )</w:t>
            </w:r>
          </w:p>
        </w:tc>
      </w:tr>
      <w:tr>
        <w:trPr>
          <w:trHeight w:val="196"/>
        </w:trPr>
        <w:tc>
          <w:tcPr>
            <w:tcW w:w="7640" w:type="dxa"/>
            <w:vAlign w:val="bottom"/>
            <w:tcBorders>
              <w:top w:val="single" w:sz="8" w:color="CFF0FC"/>
            </w:tcBorders>
          </w:tcPr>
          <w:p>
            <w:pPr>
              <w:ind w:left="200"/>
              <w:spacing w:after="0" w:line="182"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215</w:t>
            </w: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240</w:t>
            </w:r>
          </w:p>
        </w:tc>
        <w:tc>
          <w:tcPr>
            <w:tcW w:w="100" w:type="dxa"/>
            <w:vAlign w:val="bottom"/>
            <w:tcBorders>
              <w:top w:val="single" w:sz="8" w:color="CFF0FC"/>
            </w:tcBorders>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-424815</wp:posOffset>
            </wp:positionV>
            <wp:extent cx="6032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-424815</wp:posOffset>
            </wp:positionV>
            <wp:extent cx="5969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-159385</wp:posOffset>
            </wp:positionV>
            <wp:extent cx="6032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76"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As of December 31, 2021 and December 31, 2020, the carrying value of our capitalized website development costs, net of accumulated amortization, was $97 million and $108 million, respectively. For the years ended December 31, 2021, 2020 and 2019, we capitalized $55 million, $63 million and $79 million, respectively, related to website development costs. For the years ended December 31, 2021, 2020 and 2019, we recorded amortization of capitalized website development costs of $64 million, $67 million and $63 million, respectively, which is included in depreciation expense on our consolidated statements of operations for those years.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29"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We determine whether a contract is or contains a lease at inception of a contract. We define a lease as a contract, or part of a contract, that conveys the right to control the use of identified property or equipment (an identified asset) for a period of time in exchange for consideration. Control over the use of the identified asset means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color w:val="auto"/>
        </w:rPr>
        <w:t>that we have both the right to obtain substantially all of the economic benefits from the use of the asset and the right to direct the use of the asset.</w:t>
      </w:r>
    </w:p>
    <w:p>
      <w:pPr>
        <w:spacing w:after="0" w:line="223" w:lineRule="exact"/>
        <w:rPr>
          <w:sz w:val="20"/>
          <w:szCs w:val="20"/>
          <w:color w:val="auto"/>
        </w:rPr>
      </w:pPr>
    </w:p>
    <w:p>
      <w:pPr>
        <w:ind w:right="120" w:firstLine="509"/>
        <w:spacing w:after="0" w:line="271" w:lineRule="auto"/>
        <w:rPr>
          <w:sz w:val="20"/>
          <w:szCs w:val="20"/>
          <w:color w:val="auto"/>
        </w:rPr>
      </w:pPr>
      <w:r>
        <w:rPr>
          <w:rFonts w:ascii="Arial" w:cs="Arial" w:eastAsia="Arial" w:hAnsi="Arial"/>
          <w:sz w:val="16"/>
          <w:szCs w:val="16"/>
          <w:color w:val="auto"/>
        </w:rPr>
        <w:t>Our lease contracts contain both lease and non-lease components which we combine as a single component under our accounting policy by asset class, except for office space leases and certain other leases, such as colocation data center leases, which we account separately for the lease and non-lease components. For leases which the consideration in the contract is allocated to lease and non-lease components, we base it on each component’s relative standalone price. We determine standalone prices for the lease components based on the prices for which other lessors lease similar assets on a standalone basis. We determine standalone prices for the non-lease component based on the prices that third-party suppliers charge for services for similar assets on a standalone basis. If observable standalone prices are not readily available, we estimate the standalone prices based on other available observable information. However, for certain categories of equipment leases, such as network equipment and others, we account for the lease and non-lease components as a single lease component. Additionally, for certain equipment leases that have similar characteristics, we apply a portfolio approach to effectively account for operating lease right-of-use ROU assets and operating lease liabilities.</w:t>
      </w:r>
    </w:p>
    <w:p>
      <w:pPr>
        <w:spacing w:after="0" w:line="16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Company uses its estimated incremental borrowing rate as the discount rate in measuring the present value of our lease payments given the rate implicit in our leases is not typically readily determinable. Given we do not currently borrow on a collateralized basis, our incremental borrowing rate is estimated to approximate the interest rate in which the Company would expect to pay on a collateralized basis over a similar term and payments, and in economic environments where the leased asset is located. We use the portfolio approach to determine the discount rate for leases with similar characteristics or when the Company is reasonably certain that doing so would not materially affect the accounting for those leases to which a single discount rate is applied.</w:t>
      </w:r>
    </w:p>
    <w:p>
      <w:pPr>
        <w:spacing w:after="0" w:line="18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establish assets and liabilities for the estimated construction costs incurred under lease arrangements where we are considered the owner for accounting purposes only, or build-to-suit leases, to the extent we are involved in the construction of structural improvements or take construction risk prior to commencement of a lease. Upon occupancy of facilities under build-to-suit leases, we assess whether these arrangements qualify for sales recognition under the sale-leaseback accounting guidance under GAAP. If we continue to be the deemed owner, for accounting purposes, the facilities are accounted for as finance obligations.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0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Our office space leases, exclusive of our Headquarters Lease, are operating leases, which we lease an aggregate of approximately 430,000 square feet at approximately 35 locations across North America, Europe, Asia Pacific and South America, in cities such as New York, London, Sydney, Barcelona, Buenos Aires and Paris, primarily used as sales offices, subsidiary headquarters, and for international operations, pursuant to leases with various expiration dates, with the latest expiring in June 2027.</w:t>
      </w:r>
    </w:p>
    <w:p>
      <w:pPr>
        <w:spacing w:after="0" w:line="188" w:lineRule="exact"/>
        <w:rPr>
          <w:sz w:val="20"/>
          <w:szCs w:val="20"/>
          <w:color w:val="auto"/>
        </w:rPr>
      </w:pPr>
    </w:p>
    <w:p>
      <w:pPr>
        <w:ind w:right="100" w:firstLine="509"/>
        <w:spacing w:after="0" w:line="269" w:lineRule="auto"/>
        <w:rPr>
          <w:sz w:val="20"/>
          <w:szCs w:val="20"/>
          <w:color w:val="auto"/>
        </w:rPr>
      </w:pPr>
      <w:r>
        <w:rPr>
          <w:rFonts w:ascii="Arial" w:cs="Arial" w:eastAsia="Arial" w:hAnsi="Arial"/>
          <w:sz w:val="16"/>
          <w:szCs w:val="16"/>
          <w:color w:val="auto"/>
        </w:rPr>
        <w:t>Operating lease ROU assets and liabilities are recognized at lease commencement date, or the date the lessor makes the leased asset available for use, based on the present value of lease payments over the lease term using the Company’s estimated incremental borrowing rate. ROU assets associated with operating leases comprise the initial lease liability, and are then adjusted for any prepaid or deferred rent payments, unamortized initial direct costs, and lease incentives received. Amortization expense for operating lease ROU assets and interest accretion on operating lease liabilities are recognized as a single operating lease cost in our consolidated statement of operations, which results effectively in recognition of rent expense on a straight-line basis over the lease period. The carrying amount of operating lease liabilities are (1) accreted to reflect interest using the incremental borrowing rate if the rate implicit in the lease is not readily determinable; and (2) reduced to reflect lease payments made during the period. We present the combination of both the amortization of operating lease ROU assets and the change in the operating lease liabilities in the same line item within the adjustments to reconcile net income (loss) to net cash provided by operating activities in our consolidated statement of cash flows. Lease incentives are recognized as reductions of rental expense on a straight-line basis over the term of the lease. Certain of our operating leases include options to extend the lease terms for up to 6 years and/or terminate the leases within 1 year, which we include in our lease term if we are reasonably certain to exercise these options. Payments under our operating leases are primarily fixed, however, certain of our operating lease agreements include rental payments which are adjusted periodically for inflation. We recognize these costs as variable lease costs on our consolidated statement of operations, which were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t>not material during the years ended December 31, 2021, 2020 and 2019. In addition, our short-term lease costs were not material in any period presented.</w:t>
      </w:r>
    </w:p>
    <w:p>
      <w:pPr>
        <w:spacing w:after="0" w:line="235"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We also establish assets and liabilities at the present value of estimated future costs to return certain of our leased facilities to their original condition to satisfy any asset retirement obligations. Such assets are depreciated over the lease period into operating expense, and the recorded liabilities are accreted to the future value of the estimated restoration costs and are included in other long-term liabilities on our consolidated balance sheet. Our asset retirement obligations were not material as of both December 31, 2021 and December 31,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w:t>
      </w:r>
    </w:p>
    <w:p>
      <w:pPr>
        <w:spacing w:after="0" w:line="212"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Finance lease ROU assets and finance lease liabilities are recognized at the lease commencement date or the date the lessor makes the leased asset available for use. Finance lease ROU assets are generally amortized on a straight-line basis over the lease term, and the carrying amount of finance lease liabilities are (1) accreted to reflect interest using the incremental borrowing rate if the rate implicit in the lease is not readily determinable, and (2) reduced to reflect lease payments made during the period. Amortization expense for finance lease ROU assets and interest accretion on finance lease liabilities are recorded to depreciation and interest expense, respectively, in our consolidated statement of operations.</w:t>
      </w:r>
    </w:p>
    <w:p>
      <w:pPr>
        <w:spacing w:after="0" w:line="174"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We lease approximately 280,000 square feet of office space for our corporate headquarters in Needham, Massachusetts, or Headquarters Lease. Our Headquarters Lease, has an expiration date of December 2030, with an option to extend the lease term for two consecutive terms of five years each. Our Headquarters Lease was accounted for as a finance lease upon the adoption of ASC 842 on January 1, 2019.</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and finance lease assets and liabilities are included on our consolidated balance sheet as follows for the periods presented: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6"/>
                <w:szCs w:val="16"/>
                <w:color w:val="auto"/>
              </w:rPr>
            </w:pPr>
          </w:p>
        </w:tc>
      </w:tr>
      <w:tr>
        <w:trPr>
          <w:trHeight w:val="209"/>
        </w:trPr>
        <w:tc>
          <w:tcPr>
            <w:tcW w:w="2720" w:type="dxa"/>
            <w:vAlign w:val="bottom"/>
            <w:tcBorders>
              <w:bottom w:val="single" w:sz="8" w:color="auto"/>
            </w:tcBorders>
          </w:tcPr>
          <w:p>
            <w:pPr>
              <w:spacing w:after="0"/>
              <w:rPr>
                <w:sz w:val="18"/>
                <w:szCs w:val="18"/>
                <w:color w:val="auto"/>
              </w:rPr>
            </w:pPr>
          </w:p>
        </w:tc>
        <w:tc>
          <w:tcPr>
            <w:tcW w:w="510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Presentation on Consolidated Balance Sheet</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8"/>
                <w:szCs w:val="18"/>
                <w:color w:val="auto"/>
              </w:rPr>
            </w:pPr>
          </w:p>
        </w:tc>
      </w:tr>
      <w:tr>
        <w:trPr>
          <w:trHeight w:val="184"/>
        </w:trPr>
        <w:tc>
          <w:tcPr>
            <w:tcW w:w="27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2"/>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Noncurrent Lease Assets:</w:t>
            </w:r>
          </w:p>
        </w:tc>
        <w:tc>
          <w:tcPr>
            <w:tcW w:w="5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9"/>
        </w:trPr>
        <w:tc>
          <w:tcPr>
            <w:tcW w:w="2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lease</w:t>
            </w:r>
          </w:p>
        </w:tc>
        <w:tc>
          <w:tcPr>
            <w:tcW w:w="51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Property and equipment, net</w:t>
            </w:r>
          </w:p>
        </w:tc>
        <w:tc>
          <w:tcPr>
            <w:tcW w:w="1320" w:type="dxa"/>
            <w:vAlign w:val="bottom"/>
            <w:gridSpan w:val="2"/>
            <w:shd w:val="clear" w:color="auto" w:fill="CFF0FC"/>
          </w:tcPr>
          <w:p>
            <w:pPr>
              <w:jc w:val="right"/>
              <w:ind w:right="104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5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FF0FC"/>
          </w:tcPr>
          <w:p>
            <w:pPr>
              <w:spacing w:after="0"/>
              <w:rPr>
                <w:sz w:val="19"/>
                <w:szCs w:val="19"/>
                <w:color w:val="auto"/>
              </w:rPr>
            </w:pPr>
          </w:p>
        </w:tc>
      </w:tr>
      <w:tr>
        <w:trPr>
          <w:trHeight w:val="216"/>
        </w:trPr>
        <w:tc>
          <w:tcPr>
            <w:tcW w:w="2720" w:type="dxa"/>
            <w:vAlign w:val="bottom"/>
          </w:tcPr>
          <w:p>
            <w:pPr>
              <w:ind w:left="20"/>
              <w:spacing w:after="0"/>
              <w:rPr>
                <w:sz w:val="20"/>
                <w:szCs w:val="20"/>
                <w:color w:val="auto"/>
              </w:rPr>
            </w:pPr>
            <w:r>
              <w:rPr>
                <w:rFonts w:ascii="Arial" w:cs="Arial" w:eastAsia="Arial" w:hAnsi="Arial"/>
                <w:sz w:val="18"/>
                <w:szCs w:val="18"/>
                <w:color w:val="auto"/>
              </w:rPr>
              <w:t>Operating lease</w:t>
            </w:r>
          </w:p>
        </w:tc>
        <w:tc>
          <w:tcPr>
            <w:tcW w:w="5100" w:type="dxa"/>
            <w:vAlign w:val="bottom"/>
          </w:tcPr>
          <w:p>
            <w:pPr>
              <w:ind w:left="440"/>
              <w:spacing w:after="0"/>
              <w:rPr>
                <w:sz w:val="20"/>
                <w:szCs w:val="20"/>
                <w:color w:val="auto"/>
              </w:rPr>
            </w:pPr>
            <w:r>
              <w:rPr>
                <w:rFonts w:ascii="Arial" w:cs="Arial" w:eastAsia="Arial" w:hAnsi="Arial"/>
                <w:sz w:val="18"/>
                <w:szCs w:val="18"/>
                <w:color w:val="auto"/>
              </w:rPr>
              <w:t>Operating lease right-of-use-assets</w:t>
            </w: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r>
      <w:tr>
        <w:trPr>
          <w:trHeight w:val="236"/>
        </w:trPr>
        <w:tc>
          <w:tcPr>
            <w:tcW w:w="2720" w:type="dxa"/>
            <w:vAlign w:val="bottom"/>
            <w:tcBorders>
              <w:bottom w:val="single" w:sz="8" w:color="CFF0FC"/>
            </w:tcBorders>
            <w:shd w:val="clear" w:color="auto" w:fill="CFF0FC"/>
          </w:tcPr>
          <w:p>
            <w:pPr>
              <w:spacing w:after="0"/>
              <w:rPr>
                <w:sz w:val="20"/>
                <w:szCs w:val="20"/>
                <w:color w:val="auto"/>
              </w:rPr>
            </w:pPr>
          </w:p>
        </w:tc>
        <w:tc>
          <w:tcPr>
            <w:tcW w:w="5100" w:type="dxa"/>
            <w:vAlign w:val="bottom"/>
            <w:tcBorders>
              <w:bottom w:val="single" w:sz="8" w:color="CFF0FC"/>
            </w:tcBorders>
            <w:shd w:val="clear" w:color="auto" w:fill="CFF0FC"/>
          </w:tcPr>
          <w:p>
            <w:pPr>
              <w:ind w:left="660"/>
              <w:spacing w:after="0" w:line="182" w:lineRule="exact"/>
              <w:rPr>
                <w:sz w:val="20"/>
                <w:szCs w:val="20"/>
                <w:color w:val="auto"/>
              </w:rPr>
            </w:pPr>
            <w:r>
              <w:rPr>
                <w:rFonts w:ascii="Arial" w:cs="Arial" w:eastAsia="Arial" w:hAnsi="Arial"/>
                <w:sz w:val="18"/>
                <w:szCs w:val="18"/>
                <w:color w:val="auto"/>
              </w:rPr>
              <w:t>Total lease assets</w:t>
            </w:r>
          </w:p>
        </w:tc>
        <w:tc>
          <w:tcPr>
            <w:tcW w:w="1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1042"/>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3"/>
              </w:rPr>
              <w:t>128</w:t>
            </w: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149</w:t>
            </w:r>
          </w:p>
        </w:tc>
        <w:tc>
          <w:tcPr>
            <w:tcW w:w="60" w:type="dxa"/>
            <w:vAlign w:val="bottom"/>
            <w:tcBorders>
              <w:bottom w:val="single" w:sz="8" w:color="CFF0FC"/>
            </w:tcBorders>
            <w:shd w:val="clear" w:color="auto" w:fill="CFF0FC"/>
          </w:tcPr>
          <w:p>
            <w:pPr>
              <w:spacing w:after="0"/>
              <w:rPr>
                <w:sz w:val="20"/>
                <w:szCs w:val="20"/>
                <w:color w:val="auto"/>
              </w:rPr>
            </w:pPr>
          </w:p>
        </w:tc>
      </w:tr>
      <w:tr>
        <w:trPr>
          <w:trHeight w:val="210"/>
        </w:trPr>
        <w:tc>
          <w:tcPr>
            <w:tcW w:w="27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720" w:type="dxa"/>
            <w:vAlign w:val="bottom"/>
            <w:shd w:val="clear" w:color="auto" w:fill="CFF0FC"/>
          </w:tcPr>
          <w:p>
            <w:pPr>
              <w:spacing w:after="0"/>
              <w:rPr>
                <w:sz w:val="19"/>
                <w:szCs w:val="19"/>
                <w:color w:val="auto"/>
              </w:rPr>
            </w:pPr>
          </w:p>
        </w:tc>
        <w:tc>
          <w:tcPr>
            <w:tcW w:w="5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Current Lease Liabilities:</w:t>
            </w:r>
          </w:p>
        </w:tc>
        <w:tc>
          <w:tcPr>
            <w:tcW w:w="5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2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lease</w:t>
            </w:r>
          </w:p>
        </w:tc>
        <w:tc>
          <w:tcPr>
            <w:tcW w:w="51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1320" w:type="dxa"/>
            <w:vAlign w:val="bottom"/>
            <w:gridSpan w:val="2"/>
            <w:shd w:val="clear" w:color="auto" w:fill="CFF0FC"/>
          </w:tcPr>
          <w:p>
            <w:pPr>
              <w:jc w:val="right"/>
              <w:ind w:right="104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5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r>
      <w:tr>
        <w:trPr>
          <w:trHeight w:val="216"/>
        </w:trPr>
        <w:tc>
          <w:tcPr>
            <w:tcW w:w="2720" w:type="dxa"/>
            <w:vAlign w:val="bottom"/>
          </w:tcPr>
          <w:p>
            <w:pPr>
              <w:ind w:left="20"/>
              <w:spacing w:after="0"/>
              <w:rPr>
                <w:sz w:val="20"/>
                <w:szCs w:val="20"/>
                <w:color w:val="auto"/>
              </w:rPr>
            </w:pPr>
            <w:r>
              <w:rPr>
                <w:rFonts w:ascii="Arial" w:cs="Arial" w:eastAsia="Arial" w:hAnsi="Arial"/>
                <w:sz w:val="18"/>
                <w:szCs w:val="18"/>
                <w:color w:val="auto"/>
              </w:rPr>
              <w:t>Operating lease</w:t>
            </w:r>
          </w:p>
        </w:tc>
        <w:tc>
          <w:tcPr>
            <w:tcW w:w="5100" w:type="dxa"/>
            <w:vAlign w:val="bottom"/>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23"/>
        </w:trPr>
        <w:tc>
          <w:tcPr>
            <w:tcW w:w="2720" w:type="dxa"/>
            <w:vAlign w:val="bottom"/>
            <w:shd w:val="clear" w:color="auto" w:fill="CFF0FC"/>
          </w:tcPr>
          <w:p>
            <w:pPr>
              <w:spacing w:after="0"/>
              <w:rPr>
                <w:sz w:val="19"/>
                <w:szCs w:val="19"/>
                <w:color w:val="auto"/>
              </w:rPr>
            </w:pPr>
          </w:p>
        </w:tc>
        <w:tc>
          <w:tcPr>
            <w:tcW w:w="5100" w:type="dxa"/>
            <w:vAlign w:val="bottom"/>
            <w:shd w:val="clear" w:color="auto" w:fill="CFF0FC"/>
          </w:tcPr>
          <w:p>
            <w:pPr>
              <w:ind w:left="660"/>
              <w:spacing w:after="0"/>
              <w:rPr>
                <w:sz w:val="20"/>
                <w:szCs w:val="20"/>
                <w:color w:val="auto"/>
              </w:rPr>
            </w:pPr>
            <w:r>
              <w:rPr>
                <w:rFonts w:ascii="Arial" w:cs="Arial" w:eastAsia="Arial" w:hAnsi="Arial"/>
                <w:sz w:val="18"/>
                <w:szCs w:val="18"/>
                <w:color w:val="auto"/>
              </w:rPr>
              <w:t>Total current lease liabilities</w:t>
            </w: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FF0FC"/>
          </w:tcPr>
          <w:p>
            <w:pPr>
              <w:spacing w:after="0"/>
              <w:rPr>
                <w:sz w:val="19"/>
                <w:szCs w:val="19"/>
                <w:color w:val="auto"/>
              </w:rPr>
            </w:pPr>
          </w:p>
        </w:tc>
      </w:tr>
      <w:tr>
        <w:trPr>
          <w:trHeight w:val="230"/>
        </w:trPr>
        <w:tc>
          <w:tcPr>
            <w:tcW w:w="27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2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Noncurrent Lease Liabilities:</w:t>
            </w:r>
          </w:p>
        </w:tc>
        <w:tc>
          <w:tcPr>
            <w:tcW w:w="5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Finance lease</w:t>
            </w:r>
          </w:p>
        </w:tc>
        <w:tc>
          <w:tcPr>
            <w:tcW w:w="5100" w:type="dxa"/>
            <w:vAlign w:val="bottom"/>
          </w:tcPr>
          <w:p>
            <w:pPr>
              <w:ind w:left="440"/>
              <w:spacing w:after="0"/>
              <w:rPr>
                <w:sz w:val="20"/>
                <w:szCs w:val="20"/>
                <w:color w:val="auto"/>
              </w:rPr>
            </w:pPr>
            <w:r>
              <w:rPr>
                <w:rFonts w:ascii="Arial" w:cs="Arial" w:eastAsia="Arial" w:hAnsi="Arial"/>
                <w:sz w:val="18"/>
                <w:szCs w:val="18"/>
                <w:color w:val="auto"/>
              </w:rPr>
              <w:t>Finance lease liability, net of current portion</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9"/>
                <w:szCs w:val="19"/>
                <w:color w:val="auto"/>
              </w:rPr>
            </w:pPr>
          </w:p>
        </w:tc>
      </w:tr>
      <w:tr>
        <w:trPr>
          <w:trHeight w:val="216"/>
        </w:trPr>
        <w:tc>
          <w:tcPr>
            <w:tcW w:w="2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w:t>
            </w:r>
          </w:p>
        </w:tc>
        <w:tc>
          <w:tcPr>
            <w:tcW w:w="510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8"/>
                <w:szCs w:val="18"/>
                <w:color w:val="auto"/>
              </w:rPr>
              <w:t>Operating lease liabilities, net of current portion</w:t>
            </w:r>
          </w:p>
        </w:tc>
        <w:tc>
          <w:tcPr>
            <w:tcW w:w="1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23"/>
        </w:trPr>
        <w:tc>
          <w:tcPr>
            <w:tcW w:w="2720" w:type="dxa"/>
            <w:vAlign w:val="bottom"/>
          </w:tcPr>
          <w:p>
            <w:pPr>
              <w:spacing w:after="0"/>
              <w:rPr>
                <w:sz w:val="19"/>
                <w:szCs w:val="19"/>
                <w:color w:val="auto"/>
              </w:rPr>
            </w:pPr>
          </w:p>
        </w:tc>
        <w:tc>
          <w:tcPr>
            <w:tcW w:w="5100" w:type="dxa"/>
            <w:vAlign w:val="bottom"/>
          </w:tcPr>
          <w:p>
            <w:pPr>
              <w:ind w:left="660"/>
              <w:spacing w:after="0"/>
              <w:rPr>
                <w:sz w:val="20"/>
                <w:szCs w:val="20"/>
                <w:color w:val="auto"/>
              </w:rPr>
            </w:pPr>
            <w:r>
              <w:rPr>
                <w:rFonts w:ascii="Arial" w:cs="Arial" w:eastAsia="Arial" w:hAnsi="Arial"/>
                <w:sz w:val="18"/>
                <w:szCs w:val="18"/>
                <w:color w:val="auto"/>
              </w:rPr>
              <w:t>Total noncurrent lease liabilities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9"/>
                <w:szCs w:val="19"/>
                <w:color w:val="auto"/>
              </w:rPr>
            </w:pPr>
          </w:p>
        </w:tc>
      </w:tr>
      <w:tr>
        <w:trPr>
          <w:trHeight w:val="216"/>
        </w:trPr>
        <w:tc>
          <w:tcPr>
            <w:tcW w:w="2720" w:type="dxa"/>
            <w:vAlign w:val="bottom"/>
            <w:tcBorders>
              <w:bottom w:val="single" w:sz="8" w:color="CFF0FC"/>
            </w:tcBorders>
            <w:shd w:val="clear" w:color="auto" w:fill="CFF0FC"/>
          </w:tcPr>
          <w:p>
            <w:pPr>
              <w:spacing w:after="0"/>
              <w:rPr>
                <w:sz w:val="18"/>
                <w:szCs w:val="18"/>
                <w:color w:val="auto"/>
              </w:rPr>
            </w:pPr>
          </w:p>
        </w:tc>
        <w:tc>
          <w:tcPr>
            <w:tcW w:w="5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r>
      <w:tr>
        <w:trPr>
          <w:trHeight w:val="196"/>
        </w:trPr>
        <w:tc>
          <w:tcPr>
            <w:tcW w:w="2720" w:type="dxa"/>
            <w:vAlign w:val="bottom"/>
          </w:tcPr>
          <w:p>
            <w:pPr>
              <w:spacing w:after="0"/>
              <w:rPr>
                <w:sz w:val="17"/>
                <w:szCs w:val="17"/>
                <w:color w:val="auto"/>
              </w:rPr>
            </w:pPr>
          </w:p>
        </w:tc>
        <w:tc>
          <w:tcPr>
            <w:tcW w:w="5100" w:type="dxa"/>
            <w:vAlign w:val="bottom"/>
          </w:tcPr>
          <w:p>
            <w:pPr>
              <w:ind w:left="660"/>
              <w:spacing w:after="0" w:line="182" w:lineRule="exact"/>
              <w:rPr>
                <w:sz w:val="20"/>
                <w:szCs w:val="20"/>
                <w:color w:val="auto"/>
              </w:rPr>
            </w:pPr>
            <w:r>
              <w:rPr>
                <w:rFonts w:ascii="Arial" w:cs="Arial" w:eastAsia="Arial" w:hAnsi="Arial"/>
                <w:sz w:val="18"/>
                <w:szCs w:val="18"/>
                <w:color w:val="auto"/>
              </w:rPr>
              <w:t>Total lease liabilities</w:t>
            </w:r>
          </w:p>
        </w:tc>
        <w:tc>
          <w:tcPr>
            <w:tcW w:w="1320" w:type="dxa"/>
            <w:vAlign w:val="bottom"/>
            <w:gridSpan w:val="2"/>
          </w:tcPr>
          <w:p>
            <w:pPr>
              <w:jc w:val="right"/>
              <w:ind w:right="1042"/>
              <w:spacing w:after="0" w:line="182"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w w:val="93"/>
              </w:rPr>
              <w:t>120</w:t>
            </w:r>
          </w:p>
        </w:tc>
        <w:tc>
          <w:tcPr>
            <w:tcW w:w="500" w:type="dxa"/>
            <w:vAlign w:val="bottom"/>
            <w:gridSpan w:val="2"/>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143</w:t>
            </w:r>
          </w:p>
        </w:tc>
        <w:tc>
          <w:tcPr>
            <w:tcW w:w="60" w:type="dxa"/>
            <w:vAlign w:val="bottom"/>
          </w:tcPr>
          <w:p>
            <w:pPr>
              <w:spacing w:after="0"/>
              <w:rPr>
                <w:sz w:val="17"/>
                <w:szCs w:val="17"/>
                <w:color w:val="auto"/>
              </w:rPr>
            </w:pPr>
          </w:p>
        </w:tc>
      </w:tr>
      <w:tr>
        <w:trPr>
          <w:trHeight w:val="20"/>
        </w:trPr>
        <w:tc>
          <w:tcPr>
            <w:tcW w:w="27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-1928495</wp:posOffset>
            </wp:positionV>
            <wp:extent cx="1131570"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31570" cy="17145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-450850</wp:posOffset>
            </wp:positionV>
            <wp:extent cx="43180" cy="1511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3180" cy="15113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-450850</wp:posOffset>
            </wp:positionV>
            <wp:extent cx="43180" cy="1511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3180" cy="15113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-159385</wp:posOffset>
            </wp:positionV>
            <wp:extent cx="43180" cy="1600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3180" cy="16002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1600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3180" cy="160020"/>
                    </a:xfrm>
                    <a:prstGeom prst="rect">
                      <a:avLst/>
                    </a:prstGeom>
                    <a:noFill/>
                  </pic:spPr>
                </pic:pic>
              </a:graphicData>
            </a:graphic>
          </wp:anchor>
        </w:drawing>
      </w:r>
    </w:p>
    <w:p>
      <w:pPr>
        <w:spacing w:after="0" w:line="182"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As of December 31, 2021, we did not have any additional operating or finance leases that have not yet commenced but that create significant rights and obligations for us.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9" w:name="page90"/>
    <w:bookmarkEnd w:id="89"/>
    <w:p>
      <w:pPr>
        <w:ind w:left="520"/>
        <w:spacing w:after="0"/>
        <w:rPr>
          <w:sz w:val="20"/>
          <w:szCs w:val="20"/>
          <w:color w:val="auto"/>
        </w:rPr>
      </w:pPr>
      <w:r>
        <w:rPr>
          <w:rFonts w:ascii="Arial" w:cs="Arial" w:eastAsia="Arial" w:hAnsi="Arial"/>
          <w:sz w:val="18"/>
          <w:szCs w:val="18"/>
          <w:color w:val="auto"/>
        </w:rPr>
        <w:t>The components of lease expense were as follows for the periods presented:</w:t>
      </w:r>
    </w:p>
    <w:p>
      <w:pPr>
        <w:spacing w:after="0" w:line="136"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34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r>
      <w:tr>
        <w:trPr>
          <w:trHeight w:val="198"/>
        </w:trPr>
        <w:tc>
          <w:tcPr>
            <w:tcW w:w="3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3480" w:type="dxa"/>
            <w:vAlign w:val="bottom"/>
          </w:tcPr>
          <w:p>
            <w:pPr>
              <w:spacing w:after="0"/>
              <w:rPr>
                <w:sz w:val="20"/>
                <w:szCs w:val="20"/>
                <w:color w:val="auto"/>
              </w:rPr>
            </w:pPr>
            <w:r>
              <w:rPr>
                <w:rFonts w:ascii="Arial" w:cs="Arial" w:eastAsia="Arial" w:hAnsi="Arial"/>
                <w:sz w:val="18"/>
                <w:szCs w:val="18"/>
                <w:color w:val="auto"/>
              </w:rPr>
              <w:t>Operating lease cost (1)</w:t>
            </w:r>
          </w:p>
        </w:tc>
        <w:tc>
          <w:tcPr>
            <w:tcW w:w="1200" w:type="dxa"/>
            <w:vAlign w:val="bottom"/>
          </w:tcPr>
          <w:p>
            <w:pPr>
              <w:jc w:val="right"/>
              <w:ind w:right="104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r>
        <w:trPr>
          <w:trHeight w:val="229"/>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1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480" w:type="dxa"/>
            <w:vAlign w:val="bottom"/>
          </w:tcPr>
          <w:p>
            <w:pPr>
              <w:ind w:left="220"/>
              <w:spacing w:after="0"/>
              <w:rPr>
                <w:sz w:val="20"/>
                <w:szCs w:val="20"/>
                <w:color w:val="auto"/>
              </w:rPr>
            </w:pPr>
            <w:r>
              <w:rPr>
                <w:rFonts w:ascii="Arial" w:cs="Arial" w:eastAsia="Arial" w:hAnsi="Arial"/>
                <w:sz w:val="18"/>
                <w:szCs w:val="18"/>
                <w:color w:val="auto"/>
              </w:rPr>
              <w:t>Amortization of right-of-use assets (2)</w:t>
            </w:r>
          </w:p>
        </w:tc>
        <w:tc>
          <w:tcPr>
            <w:tcW w:w="1200" w:type="dxa"/>
            <w:vAlign w:val="bottom"/>
          </w:tcPr>
          <w:p>
            <w:pPr>
              <w:jc w:val="right"/>
              <w:ind w:right="104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r>
      <w:tr>
        <w:trPr>
          <w:trHeight w:val="216"/>
        </w:trPr>
        <w:tc>
          <w:tcPr>
            <w:tcW w:w="34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Interest on lease liabilities (3)</w:t>
            </w:r>
          </w:p>
        </w:tc>
        <w:tc>
          <w:tcPr>
            <w:tcW w:w="12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Total finance lease cost</w:t>
            </w:r>
          </w:p>
        </w:tc>
        <w:tc>
          <w:tcPr>
            <w:tcW w:w="1200" w:type="dxa"/>
            <w:vAlign w:val="bottom"/>
          </w:tcPr>
          <w:p>
            <w:pPr>
              <w:jc w:val="right"/>
              <w:ind w:right="104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16"/>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Sublease income (1)</w:t>
            </w:r>
          </w:p>
        </w:tc>
        <w:tc>
          <w:tcPr>
            <w:tcW w:w="12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(5 )</w:t>
            </w:r>
          </w:p>
        </w:tc>
        <w:tc>
          <w:tcPr>
            <w:tcW w:w="2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(3 )</w:t>
            </w:r>
          </w:p>
        </w:tc>
        <w:tc>
          <w:tcPr>
            <w:tcW w:w="3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(3 )</w:t>
            </w:r>
          </w:p>
        </w:tc>
      </w:tr>
      <w:tr>
        <w:trPr>
          <w:trHeight w:val="196"/>
        </w:trPr>
        <w:tc>
          <w:tcPr>
            <w:tcW w:w="348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Total lease cost, net</w:t>
            </w:r>
          </w:p>
        </w:tc>
        <w:tc>
          <w:tcPr>
            <w:tcW w:w="1200" w:type="dxa"/>
            <w:vAlign w:val="bottom"/>
            <w:tcBorders>
              <w:top w:val="single" w:sz="8" w:color="auto"/>
              <w:bottom w:val="single" w:sz="8" w:color="auto"/>
            </w:tcBorders>
          </w:tcPr>
          <w:p>
            <w:pPr>
              <w:jc w:val="right"/>
              <w:ind w:right="10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30</w:t>
            </w:r>
          </w:p>
        </w:tc>
        <w:tc>
          <w:tcPr>
            <w:tcW w:w="20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ind w:left="20"/>
              <w:spacing w:after="0" w:line="182" w:lineRule="exact"/>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w:t>
            </w:r>
          </w:p>
        </w:tc>
        <w:tc>
          <w:tcPr>
            <w:tcW w:w="24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w:t>
            </w:r>
          </w:p>
        </w:tc>
        <w:tc>
          <w:tcPr>
            <w:tcW w:w="100" w:type="dxa"/>
            <w:vAlign w:val="bottom"/>
            <w:tcBorders>
              <w:top w:val="single" w:sz="8" w:color="CFF0FC"/>
            </w:tcBorders>
          </w:tcPr>
          <w:p>
            <w:pPr>
              <w:spacing w:after="0"/>
              <w:rPr>
                <w:sz w:val="17"/>
                <w:szCs w:val="17"/>
                <w:color w:val="auto"/>
              </w:rPr>
            </w:pPr>
          </w:p>
        </w:tc>
      </w:tr>
      <w:tr>
        <w:trPr>
          <w:trHeight w:val="20"/>
        </w:trPr>
        <w:tc>
          <w:tcPr>
            <w:tcW w:w="34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-1315085</wp:posOffset>
            </wp:positionV>
            <wp:extent cx="5713095" cy="2870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13095" cy="28702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-450850</wp:posOffset>
            </wp:positionV>
            <wp:extent cx="76835" cy="1511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15113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-450850</wp:posOffset>
            </wp:positionV>
            <wp:extent cx="68580" cy="1511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-450850</wp:posOffset>
            </wp:positionV>
            <wp:extent cx="68580" cy="1511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-159385</wp:posOffset>
            </wp:positionV>
            <wp:extent cx="76835" cy="1600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16002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-159385</wp:posOffset>
            </wp:positionV>
            <wp:extent cx="68580" cy="1600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16002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-159385</wp:posOffset>
            </wp:positionV>
            <wp:extent cx="68580" cy="1600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160020"/>
                    </a:xfrm>
                    <a:prstGeom prst="rect">
                      <a:avLst/>
                    </a:prstGeom>
                    <a:noFill/>
                  </pic:spPr>
                </pic:pic>
              </a:graphicData>
            </a:graphic>
          </wp:anchor>
        </w:drawing>
      </w:r>
    </w:p>
    <w:p>
      <w:pPr>
        <w:spacing w:after="0" w:line="69" w:lineRule="exact"/>
        <w:rPr>
          <w:sz w:val="20"/>
          <w:szCs w:val="20"/>
          <w:color w:val="auto"/>
        </w:rPr>
      </w:pPr>
    </w:p>
    <w:p>
      <w:pPr>
        <w:ind w:left="1140" w:hanging="383"/>
        <w:spacing w:after="0"/>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Operating lease costs, net of sublease income, are included within operating expenses in our consolidated statements of operations.</w:t>
      </w:r>
    </w:p>
    <w:p>
      <w:pPr>
        <w:spacing w:after="0" w:line="13" w:lineRule="exact"/>
        <w:rPr>
          <w:rFonts w:ascii="Arial" w:cs="Arial" w:eastAsia="Arial" w:hAnsi="Arial"/>
          <w:sz w:val="14"/>
          <w:szCs w:val="14"/>
          <w:color w:val="auto"/>
        </w:rPr>
      </w:pPr>
    </w:p>
    <w:p>
      <w:pPr>
        <w:ind w:left="1140" w:hanging="383"/>
        <w:spacing w:after="0"/>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 is included in depreciation expense in our consolidated statements of operations.</w:t>
      </w:r>
    </w:p>
    <w:p>
      <w:pPr>
        <w:spacing w:after="0" w:line="1" w:lineRule="exact"/>
        <w:rPr>
          <w:rFonts w:ascii="Arial" w:cs="Arial" w:eastAsia="Arial" w:hAnsi="Arial"/>
          <w:sz w:val="14"/>
          <w:szCs w:val="14"/>
          <w:color w:val="auto"/>
        </w:rPr>
      </w:pPr>
    </w:p>
    <w:p>
      <w:pPr>
        <w:ind w:left="1140" w:hanging="383"/>
        <w:spacing w:after="0"/>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 is included in interest expense in our consolidated statements of operations.</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 information related to our leases is as follows for the periods presented:</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5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Year ended December 31,</w:t>
            </w: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Flows Information:</w:t>
            </w:r>
          </w:p>
        </w:tc>
        <w:tc>
          <w:tcPr>
            <w:tcW w:w="122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jc w:val="center"/>
              <w:ind w:right="175"/>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20" w:type="dxa"/>
            <w:vAlign w:val="bottom"/>
            <w:shd w:val="clear" w:color="auto" w:fill="CFF0FC"/>
          </w:tcPr>
          <w:p>
            <w:pPr>
              <w:spacing w:after="0" w:line="162" w:lineRule="exact"/>
              <w:rPr>
                <w:sz w:val="20"/>
                <w:szCs w:val="20"/>
                <w:color w:val="auto"/>
              </w:rPr>
            </w:pPr>
            <w:r>
              <w:rPr>
                <w:rFonts w:ascii="Arial" w:cs="Arial" w:eastAsia="Arial" w:hAnsi="Arial"/>
                <w:sz w:val="18"/>
                <w:szCs w:val="18"/>
                <w:b w:val="1"/>
                <w:bCs w:val="1"/>
                <w:color w:val="auto"/>
              </w:rPr>
              <w:t>Cash paid for amounts included in the</w:t>
            </w:r>
          </w:p>
        </w:tc>
        <w:tc>
          <w:tcPr>
            <w:tcW w:w="1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measurement of lease liabilities:</w:t>
            </w:r>
          </w:p>
        </w:tc>
        <w:tc>
          <w:tcPr>
            <w:tcW w:w="1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w w:val="94"/>
              </w:rPr>
              <w:t>Operating cash outflows from operating leases</w:t>
            </w:r>
          </w:p>
        </w:tc>
        <w:tc>
          <w:tcPr>
            <w:tcW w:w="1220" w:type="dxa"/>
            <w:vAlign w:val="bottom"/>
          </w:tcPr>
          <w:p>
            <w:pPr>
              <w:jc w:val="right"/>
              <w:ind w:right="1067"/>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4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outflows from finance lease</w:t>
            </w:r>
          </w:p>
        </w:tc>
        <w:tc>
          <w:tcPr>
            <w:tcW w:w="12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Financing cash outflows from finance lease</w:t>
            </w:r>
          </w:p>
        </w:tc>
        <w:tc>
          <w:tcPr>
            <w:tcW w:w="1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line="162" w:lineRule="exact"/>
              <w:rPr>
                <w:sz w:val="20"/>
                <w:szCs w:val="20"/>
                <w:color w:val="auto"/>
              </w:rPr>
            </w:pPr>
            <w:r>
              <w:rPr>
                <w:rFonts w:ascii="Arial" w:cs="Arial" w:eastAsia="Arial" w:hAnsi="Arial"/>
                <w:sz w:val="18"/>
                <w:szCs w:val="18"/>
                <w:b w:val="1"/>
                <w:bCs w:val="1"/>
                <w:color w:val="auto"/>
                <w:w w:val="90"/>
              </w:rPr>
              <w:t>Right-of-use assets obtained in exchange for</w:t>
            </w: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b w:val="1"/>
                <w:bCs w:val="1"/>
                <w:color w:val="auto"/>
              </w:rPr>
              <w:t>lease liabilities:</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 (1)</w:t>
            </w:r>
          </w:p>
        </w:tc>
        <w:tc>
          <w:tcPr>
            <w:tcW w:w="1220" w:type="dxa"/>
            <w:vAlign w:val="bottom"/>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8"/>
                <w:szCs w:val="18"/>
                <w:color w:val="auto"/>
              </w:rPr>
              <w:t>Finance lease (2)</w:t>
            </w:r>
          </w:p>
        </w:tc>
        <w:tc>
          <w:tcPr>
            <w:tcW w:w="1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-1649730</wp:posOffset>
            </wp:positionV>
            <wp:extent cx="5713095" cy="2870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713095" cy="287020"/>
                    </a:xfrm>
                    <a:prstGeom prst="rect">
                      <a:avLst/>
                    </a:prstGeom>
                    <a:noFill/>
                  </pic:spPr>
                </pic:pic>
              </a:graphicData>
            </a:graphic>
          </wp:anchor>
        </w:drawing>
      </w:r>
    </w:p>
    <w:p>
      <w:pPr>
        <w:spacing w:after="0" w:line="56" w:lineRule="exact"/>
        <w:rPr>
          <w:sz w:val="20"/>
          <w:szCs w:val="20"/>
          <w:color w:val="auto"/>
        </w:rPr>
      </w:pPr>
    </w:p>
    <w:p>
      <w:pPr>
        <w:ind w:left="1540" w:right="80" w:hanging="514"/>
        <w:spacing w:after="0" w:line="250" w:lineRule="auto"/>
        <w:tabs>
          <w:tab w:leader="none" w:pos="1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 related to 2019 includes operating leases, recognized upon adoption of ASC 842 on January 1, 2019 of $88 million, and those that commenced during the year ended December 31, 2019 of $18 million.</w:t>
      </w:r>
    </w:p>
    <w:p>
      <w:pPr>
        <w:ind w:left="1540" w:right="40" w:hanging="514"/>
        <w:spacing w:after="0" w:line="255" w:lineRule="auto"/>
        <w:tabs>
          <w:tab w:leader="none" w:pos="1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 related to 2019 represents the finance lease obligation arising from obtaining the ROU asset related to our Headquarters Lease, which was recognized upon the adoption of ASC 842 on January 1, 2019.</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90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11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260" w:type="dxa"/>
            <w:vAlign w:val="bottom"/>
            <w:gridSpan w:val="2"/>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8"/>
                <w:szCs w:val="18"/>
                <w:color w:val="auto"/>
              </w:rPr>
            </w:pPr>
          </w:p>
        </w:tc>
        <w:tc>
          <w:tcPr>
            <w:tcW w:w="1280" w:type="dxa"/>
            <w:vAlign w:val="bottom"/>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114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Weighted-average remaining lease term:</w:t>
            </w:r>
          </w:p>
        </w:tc>
        <w:tc>
          <w:tcPr>
            <w:tcW w:w="204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0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3.0 years</w:t>
            </w: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3.7 years</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Finance lease</w:t>
            </w:r>
          </w:p>
        </w:tc>
        <w:tc>
          <w:tcPr>
            <w:tcW w:w="2040" w:type="dxa"/>
            <w:vAlign w:val="bottom"/>
          </w:tcPr>
          <w:p>
            <w:pPr>
              <w:spacing w:after="0"/>
              <w:rPr>
                <w:sz w:val="19"/>
                <w:szCs w:val="19"/>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9.0 years</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10.0 years</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6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Weighted-average discount rate:</w:t>
            </w:r>
          </w:p>
        </w:tc>
        <w:tc>
          <w:tcPr>
            <w:tcW w:w="2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36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3.71 %</w:t>
            </w: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3.99 %</w:t>
            </w:r>
          </w:p>
        </w:tc>
        <w:tc>
          <w:tcPr>
            <w:tcW w:w="1120" w:type="dxa"/>
            <w:vAlign w:val="bottom"/>
          </w:tcPr>
          <w:p>
            <w:pPr>
              <w:spacing w:after="0"/>
              <w:rPr>
                <w:sz w:val="19"/>
                <w:szCs w:val="19"/>
                <w:color w:val="auto"/>
              </w:rPr>
            </w:pPr>
          </w:p>
        </w:tc>
      </w:tr>
      <w:tr>
        <w:trPr>
          <w:trHeight w:val="243"/>
        </w:trPr>
        <w:tc>
          <w:tcPr>
            <w:tcW w:w="114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Finance lease</w:t>
            </w:r>
          </w:p>
        </w:tc>
        <w:tc>
          <w:tcPr>
            <w:tcW w:w="3660" w:type="dxa"/>
            <w:vAlign w:val="bottom"/>
            <w:gridSpan w:val="3"/>
          </w:tcPr>
          <w:p>
            <w:pPr>
              <w:jc w:val="right"/>
              <w:ind w:right="240"/>
              <w:spacing w:after="0"/>
              <w:rPr>
                <w:sz w:val="20"/>
                <w:szCs w:val="20"/>
                <w:color w:val="auto"/>
              </w:rPr>
            </w:pPr>
            <w:r>
              <w:rPr>
                <w:rFonts w:ascii="Arial" w:cs="Arial" w:eastAsia="Arial" w:hAnsi="Arial"/>
                <w:sz w:val="18"/>
                <w:szCs w:val="18"/>
                <w:color w:val="auto"/>
              </w:rPr>
              <w:t>4.49 %</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4.49 %</w:t>
            </w:r>
          </w:p>
        </w:tc>
        <w:tc>
          <w:tcPr>
            <w:tcW w:w="1120" w:type="dxa"/>
            <w:vAlign w:val="bottom"/>
          </w:tcPr>
          <w:p>
            <w:pPr>
              <w:spacing w:after="0"/>
              <w:rPr>
                <w:sz w:val="21"/>
                <w:szCs w:val="21"/>
                <w:color w:val="auto"/>
              </w:rPr>
            </w:pPr>
          </w:p>
        </w:tc>
      </w:tr>
      <w:tr>
        <w:trPr>
          <w:trHeight w:val="648"/>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40" w:type="dxa"/>
            <w:vAlign w:val="bottom"/>
          </w:tcPr>
          <w:p>
            <w:pPr>
              <w:jc w:val="right"/>
              <w:ind w:right="1135"/>
              <w:spacing w:after="0"/>
              <w:rPr>
                <w:sz w:val="20"/>
                <w:szCs w:val="20"/>
                <w:color w:val="auto"/>
              </w:rPr>
            </w:pPr>
            <w:r>
              <w:rPr>
                <w:rFonts w:ascii="Arial" w:cs="Arial" w:eastAsia="Arial" w:hAnsi="Arial"/>
                <w:sz w:val="18"/>
                <w:szCs w:val="18"/>
                <w:color w:val="auto"/>
              </w:rPr>
              <w:t>88</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0" w:name="page91"/>
    <w:bookmarkEnd w:id="90"/>
    <w:p>
      <w:pPr>
        <w:ind w:left="520"/>
        <w:spacing w:after="0"/>
        <w:rPr>
          <w:sz w:val="20"/>
          <w:szCs w:val="20"/>
          <w:color w:val="auto"/>
        </w:rPr>
      </w:pPr>
      <w:r>
        <w:rPr>
          <w:rFonts w:ascii="Arial" w:cs="Arial" w:eastAsia="Arial" w:hAnsi="Arial"/>
          <w:sz w:val="18"/>
          <w:szCs w:val="18"/>
          <w:color w:val="auto"/>
        </w:rPr>
        <w:t>Future lease payments under non-cancelable leases as of December 31, 2021 were as follows:</w:t>
      </w:r>
    </w:p>
    <w:p>
      <w:pPr>
        <w:spacing w:after="0" w:line="10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580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1"/>
              </w:rPr>
              <w:t>Operating Leases</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89"/>
              </w:rPr>
              <w:t>Finance Lease</w:t>
            </w:r>
          </w:p>
        </w:tc>
        <w:tc>
          <w:tcPr>
            <w:tcW w:w="100" w:type="dxa"/>
            <w:vAlign w:val="bottom"/>
          </w:tcPr>
          <w:p>
            <w:pPr>
              <w:spacing w:after="0"/>
              <w:rPr>
                <w:sz w:val="18"/>
                <w:szCs w:val="18"/>
                <w:color w:val="auto"/>
              </w:rPr>
            </w:pPr>
          </w:p>
        </w:tc>
      </w:tr>
      <w:tr>
        <w:trPr>
          <w:trHeight w:val="190"/>
        </w:trPr>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8"/>
                <w:szCs w:val="18"/>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r>
      <w:tr>
        <w:trPr>
          <w:trHeight w:val="203"/>
        </w:trPr>
        <w:tc>
          <w:tcPr>
            <w:tcW w:w="5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7"/>
                <w:szCs w:val="17"/>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r>
      <w:tr>
        <w:trPr>
          <w:trHeight w:val="202"/>
        </w:trPr>
        <w:tc>
          <w:tcPr>
            <w:tcW w:w="5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7"/>
                <w:szCs w:val="17"/>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7"/>
                <w:szCs w:val="17"/>
                <w:color w:val="auto"/>
              </w:rPr>
            </w:pPr>
          </w:p>
        </w:tc>
        <w:tc>
          <w:tcPr>
            <w:tcW w:w="1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100" w:type="dxa"/>
            <w:vAlign w:val="bottom"/>
          </w:tcPr>
          <w:p>
            <w:pPr>
              <w:spacing w:after="0"/>
              <w:rPr>
                <w:sz w:val="17"/>
                <w:szCs w:val="17"/>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Total future lease payments</w:t>
            </w:r>
          </w:p>
        </w:tc>
        <w:tc>
          <w:tcPr>
            <w:tcW w:w="1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9"/>
                <w:szCs w:val="19"/>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17"/>
                <w:szCs w:val="17"/>
                <w:color w:val="auto"/>
              </w:rPr>
            </w:pPr>
          </w:p>
        </w:tc>
        <w:tc>
          <w:tcPr>
            <w:tcW w:w="14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(3 )</w:t>
            </w:r>
          </w:p>
        </w:tc>
        <w:tc>
          <w:tcPr>
            <w:tcW w:w="280" w:type="dxa"/>
            <w:vAlign w:val="bottom"/>
          </w:tcPr>
          <w:p>
            <w:pPr>
              <w:spacing w:after="0"/>
              <w:rPr>
                <w:sz w:val="17"/>
                <w:szCs w:val="17"/>
                <w:color w:val="auto"/>
              </w:rPr>
            </w:pP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(15 )</w:t>
            </w:r>
          </w:p>
        </w:tc>
      </w:tr>
      <w:tr>
        <w:trPr>
          <w:trHeight w:val="236"/>
        </w:trPr>
        <w:tc>
          <w:tcPr>
            <w:tcW w:w="58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lease liabilities</w:t>
            </w: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49</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INTANGIBLE ASSETS, NET</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Goodwill</w:t>
      </w:r>
    </w:p>
    <w:p>
      <w:pPr>
        <w:spacing w:after="0" w:line="212"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During the Company's annual goodwill impairment test in the fourth quarter of 2021, a qualitative assessment was performed for all our reporting units. We determined that it was not more likely than not that the fair value of any reporting unit was less than its carrying value, and, accordingly, no impairment charges were recorded during the year ended December 31, 2021. As part of our qualitative assessment for our 2021 goodwill impairment analysis of our reporting units, the factors that we considered included, but were not limited to: (a) changes in macroeconomic conditions in the overall economy and the specific markets in which we operate, (b) our ability to access capital, (c) changes in the online travel industry, (d) changes in the level of competition, (e) evaluation of current and future forecasted financial results of the reporting units, (f) comparison of our current financial performance to historical and budgeted results of the reporting units, (g) change in excess of the Company’s market capitalization over its book value, (h) changes in estimates, valuation inputs, and/or assumptions since the last quantitative analysis of the reporting units, (i) changes in the regulatory environment; (j) changes in strategic outlook or organizational structure and leadership of the reporting units; and (k) other relevant factors, and how these factors might impact specific performance in future periods.</w:t>
      </w:r>
    </w:p>
    <w:p>
      <w:pPr>
        <w:spacing w:after="0" w:line="18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Although our annual impairment testing did not result in any impairment, due to the COVID-19 environment and our inability to predict the expected duration and ultimate severity of the impact of COVID-19, or the impact of existing variants (i.e. Delta and/or Omicron) or new variants, if any, we will continue to monitor our financial performance, stock price and other events and circumstances that may indicate a negative impact to the estimated fair values of our reporting units to determine if future impairment assessments may be necessary. A continued and prolonged duration, and/or decline in the outlook for future revenue and cash flows or other factors, related to COVID-19 or other events, could result in a determination that a non-cash impairment adjustment is required, which could be material.</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76" w:right="419" w:bottom="1440" w:gutter="0" w:footer="0" w:header="0"/>
        </w:sectPr>
      </w:pPr>
    </w:p>
    <w:bookmarkStart w:id="91" w:name="page92"/>
    <w:bookmarkEnd w:id="91"/>
    <w:p>
      <w:pPr>
        <w:ind w:left="520"/>
        <w:spacing w:after="0"/>
        <w:rPr>
          <w:sz w:val="20"/>
          <w:szCs w:val="20"/>
          <w:color w:val="auto"/>
        </w:rPr>
      </w:pPr>
      <w:r>
        <w:rPr>
          <w:rFonts w:ascii="Arial" w:cs="Arial" w:eastAsia="Arial" w:hAnsi="Arial"/>
          <w:sz w:val="18"/>
          <w:szCs w:val="18"/>
          <w:color w:val="auto"/>
        </w:rPr>
        <w:t>The following table summarizes our goodwill activity by reportable segment for the periods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133"/>
              <w:spacing w:after="0"/>
              <w:rPr>
                <w:sz w:val="20"/>
                <w:szCs w:val="20"/>
                <w:color w:val="auto"/>
              </w:rPr>
            </w:pPr>
            <w:r>
              <w:rPr>
                <w:rFonts w:ascii="Arial" w:cs="Arial" w:eastAsia="Arial" w:hAnsi="Arial"/>
                <w:sz w:val="14"/>
                <w:szCs w:val="14"/>
                <w:b w:val="1"/>
                <w:bCs w:val="1"/>
                <w:color w:val="auto"/>
                <w:w w:val="97"/>
              </w:rPr>
              <w:t>Hotels, Media &amp;</w:t>
            </w:r>
          </w:p>
        </w:tc>
        <w:tc>
          <w:tcPr>
            <w:tcW w:w="240" w:type="dxa"/>
            <w:vAlign w:val="bottom"/>
          </w:tcPr>
          <w:p>
            <w:pPr>
              <w:spacing w:after="0"/>
              <w:rPr>
                <w:sz w:val="14"/>
                <w:szCs w:val="14"/>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Experiences &amp; Dining</w:t>
            </w:r>
          </w:p>
        </w:tc>
        <w:tc>
          <w:tcPr>
            <w:tcW w:w="240" w:type="dxa"/>
            <w:vAlign w:val="bottom"/>
            <w:vMerge w:val="restart"/>
          </w:tcPr>
          <w:p>
            <w:pPr>
              <w:spacing w:after="0"/>
              <w:rPr>
                <w:sz w:val="14"/>
                <w:szCs w:val="14"/>
                <w:color w:val="auto"/>
              </w:rPr>
            </w:pPr>
          </w:p>
        </w:tc>
        <w:tc>
          <w:tcPr>
            <w:tcW w:w="114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Other (5)</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Platform</w:t>
            </w:r>
          </w:p>
        </w:tc>
        <w:tc>
          <w:tcPr>
            <w:tcW w:w="240" w:type="dxa"/>
            <w:vAlign w:val="bottom"/>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380" w:type="dxa"/>
            <w:vAlign w:val="bottom"/>
            <w:gridSpan w:val="2"/>
          </w:tcPr>
          <w:p>
            <w:pPr>
              <w:jc w:val="right"/>
              <w:ind w:right="775"/>
              <w:spacing w:after="0"/>
              <w:rPr>
                <w:sz w:val="20"/>
                <w:szCs w:val="20"/>
                <w:color w:val="auto"/>
              </w:rPr>
            </w:pPr>
            <w:r>
              <w:rPr>
                <w:rFonts w:ascii="Arial" w:cs="Arial" w:eastAsia="Arial" w:hAnsi="Arial"/>
                <w:sz w:val="14"/>
                <w:szCs w:val="14"/>
                <w:b w:val="1"/>
                <w:bCs w:val="1"/>
                <w:color w:val="auto"/>
                <w:w w:val="86"/>
              </w:rPr>
              <w:t>millions)</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Balance as of December 31, 2019</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405</w:t>
            </w:r>
          </w:p>
        </w:tc>
        <w:tc>
          <w:tcPr>
            <w:tcW w:w="86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333</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955"/>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Re-allocation of goodwill (1)</w:t>
            </w: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7"/>
                <w:szCs w:val="17"/>
                <w:color w:val="auto"/>
              </w:rPr>
            </w:pP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(2 )</w:t>
            </w:r>
          </w:p>
        </w:tc>
        <w:tc>
          <w:tcPr>
            <w:tcW w:w="30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Impairment (2)</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(3 )</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3"/>
        </w:trPr>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Disposition (3)</w:t>
            </w: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7"/>
                <w:szCs w:val="17"/>
                <w:color w:val="auto"/>
              </w:rPr>
            </w:pP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(6 )</w:t>
            </w:r>
          </w:p>
        </w:tc>
        <w:tc>
          <w:tcPr>
            <w:tcW w:w="30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Other adjustments (4)</w:t>
            </w: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as of December 31, 2020</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407</w:t>
            </w:r>
          </w:p>
        </w:tc>
        <w:tc>
          <w:tcPr>
            <w:tcW w:w="240" w:type="dxa"/>
            <w:vAlign w:val="bottom"/>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362</w:t>
            </w:r>
          </w:p>
        </w:tc>
        <w:tc>
          <w:tcPr>
            <w:tcW w:w="24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ind w:right="955"/>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w:t>
            </w: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(18 )</w:t>
            </w:r>
          </w:p>
        </w:tc>
        <w:tc>
          <w:tcPr>
            <w:tcW w:w="1140" w:type="dxa"/>
            <w:vAlign w:val="bottom"/>
          </w:tcPr>
          <w:p>
            <w:pPr>
              <w:spacing w:after="0"/>
              <w:rPr>
                <w:sz w:val="17"/>
                <w:szCs w:val="17"/>
                <w:color w:val="auto"/>
              </w:rPr>
            </w:pP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(1 )</w:t>
            </w:r>
          </w:p>
        </w:tc>
        <w:tc>
          <w:tcPr>
            <w:tcW w:w="30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6"/>
        </w:trPr>
        <w:tc>
          <w:tcPr>
            <w:tcW w:w="47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Balance as of December 31, 2021</w:t>
            </w: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407</w:t>
            </w:r>
          </w:p>
        </w:tc>
        <w:tc>
          <w:tcPr>
            <w:tcW w:w="24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344</w:t>
            </w:r>
          </w:p>
        </w:tc>
        <w:tc>
          <w:tcPr>
            <w:tcW w:w="2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ind w:right="955"/>
              <w:spacing w:after="0" w:line="182"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92</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843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-24765</wp:posOffset>
            </wp:positionV>
            <wp:extent cx="514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514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9" w:lineRule="exact"/>
        <w:rPr>
          <w:sz w:val="20"/>
          <w:szCs w:val="20"/>
          <w:color w:val="auto"/>
        </w:rPr>
      </w:pPr>
    </w:p>
    <w:p>
      <w:pPr>
        <w:ind w:left="900" w:hanging="518"/>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Re-allocation of goodwill as a result of changes to reporting units related to internal restructuring during the second quarter of 2020.</w:t>
      </w:r>
    </w:p>
    <w:p>
      <w:pPr>
        <w:spacing w:after="0" w:line="5" w:lineRule="exact"/>
        <w:rPr>
          <w:rFonts w:ascii="Arial" w:cs="Arial" w:eastAsia="Arial" w:hAnsi="Arial"/>
          <w:sz w:val="16"/>
          <w:szCs w:val="16"/>
          <w:color w:val="auto"/>
        </w:rPr>
      </w:pPr>
    </w:p>
    <w:p>
      <w:pPr>
        <w:ind w:left="900" w:hanging="518"/>
        <w:spacing w:after="0" w:line="228"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a goodwill impairment charge related to our Tripadvisor China reporting unit.</w:t>
      </w:r>
    </w:p>
    <w:p>
      <w:pPr>
        <w:ind w:left="900" w:hanging="518"/>
        <w:spacing w:after="0" w:line="228"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Disposition relates to the sale of our SmarterTravel business.</w:t>
      </w:r>
    </w:p>
    <w:p>
      <w:pPr>
        <w:ind w:left="900" w:hanging="518"/>
        <w:spacing w:after="0" w:line="228"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Other adjustments primarily relate to an immaterial business acquisition in our Experiences &amp; Dining reportable segment.</w:t>
      </w:r>
    </w:p>
    <w:p>
      <w:pPr>
        <w:ind w:left="900" w:hanging="518"/>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Other consists of the combination of Rentals, Flights &amp; Car, and Cruises, and does not constitute a reportable segment.</w:t>
      </w:r>
    </w:p>
    <w:p>
      <w:pPr>
        <w:spacing w:after="0" w:line="203"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auto"/>
        </w:rPr>
        <w:t>During the third quarter of 2020, the Company recognized a goodwill impairment charge of $3 million, which represented all of the goodwill previously allocated to our Tripadvisor China reporting unit. This impairment was driven by strategic operating decisions made by the Company in the third quarter of 2020. Consequently, Tripadvisor China was no longer considered a reporting unit as of December 31, 2020. There were no goodwill impairment charges recognized to our consolidated statements of operations during the years ended December 31, 2021 and 2019, respectively. As of both December 31, 2021 and 2020, accumulated goodwill impairment losses totaled $3 million, which was associated with Other.</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Intangibles</w:t>
      </w:r>
    </w:p>
    <w:p>
      <w:pPr>
        <w:spacing w:after="0" w:line="212"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Intangible assets, acquired in business combinations and recorded at fair value on the date of purchase, consisted of the following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December 31,</w:t>
            </w: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80" w:type="dxa"/>
            <w:vAlign w:val="bottom"/>
          </w:tcPr>
          <w:p>
            <w:pPr>
              <w:spacing w:after="0"/>
              <w:rPr>
                <w:sz w:val="14"/>
                <w:szCs w:val="14"/>
                <w:color w:val="auto"/>
              </w:rPr>
            </w:pPr>
          </w:p>
        </w:tc>
        <w:tc>
          <w:tcPr>
            <w:tcW w:w="15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8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(in millions)</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 with definite lives</w:t>
            </w:r>
          </w:p>
        </w:tc>
        <w:tc>
          <w:tcPr>
            <w:tcW w:w="1520" w:type="dxa"/>
            <w:vAlign w:val="bottom"/>
            <w:shd w:val="clear" w:color="auto" w:fill="CFF0FC"/>
          </w:tcPr>
          <w:p>
            <w:pPr>
              <w:jc w:val="right"/>
              <w:ind w:right="1336"/>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237</w:t>
            </w:r>
          </w:p>
        </w:tc>
        <w:tc>
          <w:tcPr>
            <w:tcW w:w="30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262</w:t>
            </w:r>
          </w:p>
        </w:tc>
        <w:tc>
          <w:tcPr>
            <w:tcW w:w="100" w:type="dxa"/>
            <w:vAlign w:val="bottom"/>
            <w:shd w:val="clear" w:color="auto" w:fill="CFF0FC"/>
          </w:tcPr>
          <w:p>
            <w:pPr>
              <w:spacing w:after="0"/>
              <w:rPr>
                <w:sz w:val="17"/>
                <w:szCs w:val="17"/>
                <w:color w:val="auto"/>
              </w:rPr>
            </w:pPr>
          </w:p>
        </w:tc>
      </w:tr>
      <w:tr>
        <w:trPr>
          <w:trHeight w:val="203"/>
        </w:trPr>
        <w:tc>
          <w:tcPr>
            <w:tcW w:w="668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amortization</w:t>
            </w:r>
          </w:p>
        </w:tc>
        <w:tc>
          <w:tcPr>
            <w:tcW w:w="152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(202 )</w:t>
            </w:r>
          </w:p>
        </w:tc>
        <w:tc>
          <w:tcPr>
            <w:tcW w:w="480" w:type="dxa"/>
            <w:vAlign w:val="bottom"/>
          </w:tcPr>
          <w:p>
            <w:pPr>
              <w:spacing w:after="0"/>
              <w:rPr>
                <w:sz w:val="17"/>
                <w:szCs w:val="17"/>
                <w:color w:val="auto"/>
              </w:rPr>
            </w:pPr>
          </w:p>
        </w:tc>
        <w:tc>
          <w:tcPr>
            <w:tcW w:w="1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(206 )</w:t>
            </w:r>
          </w:p>
        </w:tc>
      </w:tr>
      <w:tr>
        <w:trPr>
          <w:trHeight w:val="196"/>
        </w:trPr>
        <w:tc>
          <w:tcPr>
            <w:tcW w:w="66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Intangible assets with definite lives, net</w:t>
            </w:r>
          </w:p>
        </w:tc>
        <w:tc>
          <w:tcPr>
            <w:tcW w:w="15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w:t>
            </w:r>
          </w:p>
        </w:tc>
        <w:tc>
          <w:tcPr>
            <w:tcW w:w="300" w:type="dxa"/>
            <w:vAlign w:val="bottom"/>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7"/>
                <w:szCs w:val="17"/>
                <w:color w:val="auto"/>
              </w:rPr>
            </w:pPr>
          </w:p>
        </w:tc>
      </w:tr>
      <w:tr>
        <w:trPr>
          <w:trHeight w:val="203"/>
        </w:trPr>
        <w:tc>
          <w:tcPr>
            <w:tcW w:w="668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 with indefinite lives</w:t>
            </w:r>
          </w:p>
        </w:tc>
        <w:tc>
          <w:tcPr>
            <w:tcW w:w="15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w:t>
            </w:r>
          </w:p>
        </w:tc>
        <w:tc>
          <w:tcPr>
            <w:tcW w:w="3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tcPr>
          <w:p>
            <w:pPr>
              <w:spacing w:after="0"/>
              <w:rPr>
                <w:sz w:val="17"/>
                <w:szCs w:val="17"/>
                <w:color w:val="auto"/>
              </w:rPr>
            </w:pPr>
          </w:p>
        </w:tc>
      </w:tr>
      <w:tr>
        <w:trPr>
          <w:trHeight w:val="236"/>
        </w:trPr>
        <w:tc>
          <w:tcPr>
            <w:tcW w:w="668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CFF0FC"/>
          </w:tcPr>
          <w:p>
            <w:pPr>
              <w:jc w:val="right"/>
              <w:ind w:right="1336"/>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65</w:t>
            </w:r>
          </w:p>
        </w:tc>
        <w:tc>
          <w:tcPr>
            <w:tcW w:w="3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-24765</wp:posOffset>
            </wp:positionV>
            <wp:extent cx="596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596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Amortization expense for definite-lived intangible assets was $20 million, $26 million, and $33 million, for the years ended December 31, 2021, 2020 and 2019, respectively.</w:t>
      </w:r>
    </w:p>
    <w:p>
      <w:pPr>
        <w:spacing w:after="0" w:line="17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indefinite-lived intangible assets relate to trade names and trademarks. During the Company's annual indefinite-lived intangible impairment test during the fourth quarter of 2021, a qualitative assessment was performed. As part of our qualitative assessment we considered, amongst other factors, the amount of excess fair value of our trade names and trademarks to the carrying value of those same assets, changes in estimates, and valuation input assumptions, since our previous quantitative analysis. After considering these factors and the impact that changes in such factors would have on the inputs used in our previous quantitative assessment, we determined that it was more likely than not that our indefinite-lived intangible assets were not impaired as of December 31, 2021.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2" w:name="page93"/>
    <w:bookmarkEnd w:id="92"/>
    <w:p>
      <w:pPr>
        <w:ind w:right="60" w:firstLine="509"/>
        <w:spacing w:after="0" w:line="261" w:lineRule="auto"/>
        <w:rPr>
          <w:sz w:val="20"/>
          <w:szCs w:val="20"/>
          <w:color w:val="auto"/>
        </w:rPr>
      </w:pPr>
      <w:r>
        <w:rPr>
          <w:rFonts w:ascii="Arial" w:cs="Arial" w:eastAsia="Arial" w:hAnsi="Arial"/>
          <w:sz w:val="18"/>
          <w:szCs w:val="18"/>
          <w:color w:val="auto"/>
        </w:rPr>
        <w:t>There were no impairment charges recognized to our consolidated statements of operations for the years ended December 31, 2021, 2020 and 2019 related to our intangible assets.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components of our intangible assets with definite lives for the periods presented:</w:t>
      </w:r>
    </w:p>
    <w:p>
      <w:pPr>
        <w:sectPr>
          <w:pgSz w:w="11900" w:h="16838" w:orient="portrait"/>
          <w:cols w:equalWidth="0" w:num="1">
            <w:col w:w="11180"/>
          </w:cols>
          <w:pgMar w:left="320" w:top="58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Trade names and trademarks</w:t>
      </w:r>
    </w:p>
    <w:p>
      <w:pPr>
        <w:spacing w:after="0" w:line="19" w:lineRule="exact"/>
        <w:rPr>
          <w:sz w:val="20"/>
          <w:szCs w:val="20"/>
          <w:color w:val="auto"/>
        </w:rPr>
      </w:pPr>
    </w:p>
    <w:p>
      <w:pPr>
        <w:ind w:left="20"/>
        <w:spacing w:after="0" w:line="265" w:lineRule="auto"/>
        <w:rPr>
          <w:sz w:val="20"/>
          <w:szCs w:val="20"/>
          <w:color w:val="auto"/>
        </w:rPr>
      </w:pPr>
      <w:r>
        <w:rPr>
          <w:rFonts w:ascii="Arial" w:cs="Arial" w:eastAsia="Arial" w:hAnsi="Arial"/>
          <w:sz w:val="15"/>
          <w:szCs w:val="15"/>
          <w:color w:val="auto"/>
        </w:rPr>
        <w:t>Customer lists and supplier relationships Subscriber relationships</w:t>
      </w:r>
    </w:p>
    <w:p>
      <w:pPr>
        <w:ind w:left="20"/>
        <w:spacing w:after="0"/>
        <w:rPr>
          <w:sz w:val="20"/>
          <w:szCs w:val="20"/>
          <w:color w:val="auto"/>
        </w:rPr>
      </w:pPr>
      <w:r>
        <w:rPr>
          <w:rFonts w:ascii="Arial" w:cs="Arial" w:eastAsia="Arial" w:hAnsi="Arial"/>
          <w:sz w:val="16"/>
          <w:szCs w:val="16"/>
          <w:color w:val="auto"/>
        </w:rPr>
        <w:t>Technology and other</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12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6"/>
              </w:rPr>
              <w:t>Weighted Average</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3"/>
                <w:szCs w:val="13"/>
                <w:b w:val="1"/>
                <w:bCs w:val="1"/>
                <w:color w:val="auto"/>
                <w:w w:val="87"/>
              </w:rPr>
              <w:t>December 31, 2021</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3"/>
                <w:szCs w:val="13"/>
                <w:b w:val="1"/>
                <w:bCs w:val="1"/>
                <w:color w:val="auto"/>
                <w:w w:val="87"/>
              </w:rPr>
              <w:t>December 31, 2020</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2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center"/>
              <w:ind w:right="86"/>
              <w:spacing w:after="0" w:line="125" w:lineRule="exact"/>
              <w:rPr>
                <w:sz w:val="20"/>
                <w:szCs w:val="20"/>
                <w:color w:val="auto"/>
              </w:rPr>
            </w:pPr>
            <w:r>
              <w:rPr>
                <w:rFonts w:ascii="Arial" w:cs="Arial" w:eastAsia="Arial" w:hAnsi="Arial"/>
                <w:sz w:val="13"/>
                <w:szCs w:val="13"/>
                <w:b w:val="1"/>
                <w:bCs w:val="1"/>
                <w:color w:val="auto"/>
                <w:w w:val="79"/>
              </w:rPr>
              <w:t>Gross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ind w:right="106"/>
              <w:spacing w:after="0" w:line="125" w:lineRule="exact"/>
              <w:rPr>
                <w:sz w:val="20"/>
                <w:szCs w:val="20"/>
                <w:color w:val="auto"/>
              </w:rPr>
            </w:pPr>
            <w:r>
              <w:rPr>
                <w:rFonts w:ascii="Arial" w:cs="Arial" w:eastAsia="Arial" w:hAnsi="Arial"/>
                <w:sz w:val="13"/>
                <w:szCs w:val="13"/>
                <w:b w:val="1"/>
                <w:bCs w:val="1"/>
                <w:color w:val="auto"/>
                <w:w w:val="85"/>
              </w:rPr>
              <w:t>Net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ind w:right="106"/>
              <w:spacing w:after="0" w:line="125" w:lineRule="exact"/>
              <w:rPr>
                <w:sz w:val="20"/>
                <w:szCs w:val="20"/>
                <w:color w:val="auto"/>
              </w:rPr>
            </w:pPr>
            <w:r>
              <w:rPr>
                <w:rFonts w:ascii="Arial" w:cs="Arial" w:eastAsia="Arial" w:hAnsi="Arial"/>
                <w:sz w:val="13"/>
                <w:szCs w:val="13"/>
                <w:b w:val="1"/>
                <w:bCs w:val="1"/>
                <w:color w:val="auto"/>
                <w:w w:val="85"/>
              </w:rPr>
              <w:t>Gross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ind w:right="86"/>
              <w:spacing w:after="0" w:line="125" w:lineRule="exact"/>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48"/>
        </w:trPr>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Remaining Life</w:t>
            </w:r>
          </w:p>
        </w:tc>
        <w:tc>
          <w:tcPr>
            <w:tcW w:w="180" w:type="dxa"/>
            <w:vAlign w:val="bottom"/>
          </w:tcPr>
          <w:p>
            <w:pPr>
              <w:spacing w:after="0"/>
              <w:rPr>
                <w:sz w:val="12"/>
                <w:szCs w:val="12"/>
                <w:color w:val="auto"/>
              </w:rPr>
            </w:pPr>
          </w:p>
        </w:tc>
        <w:tc>
          <w:tcPr>
            <w:tcW w:w="780" w:type="dxa"/>
            <w:vAlign w:val="bottom"/>
          </w:tcPr>
          <w:p>
            <w:pPr>
              <w:jc w:val="center"/>
              <w:ind w:right="86"/>
              <w:spacing w:after="0"/>
              <w:rPr>
                <w:sz w:val="20"/>
                <w:szCs w:val="20"/>
                <w:color w:val="auto"/>
              </w:rPr>
            </w:pPr>
            <w:r>
              <w:rPr>
                <w:rFonts w:ascii="Arial" w:cs="Arial" w:eastAsia="Arial" w:hAnsi="Arial"/>
                <w:sz w:val="13"/>
                <w:szCs w:val="13"/>
                <w:b w:val="1"/>
                <w:bCs w:val="1"/>
                <w:color w:val="auto"/>
                <w:w w:val="93"/>
              </w:rPr>
              <w:t>Carrying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59"/>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2"/>
                <w:szCs w:val="12"/>
                <w:color w:val="auto"/>
              </w:rPr>
            </w:pPr>
          </w:p>
        </w:tc>
        <w:tc>
          <w:tcPr>
            <w:tcW w:w="800" w:type="dxa"/>
            <w:vAlign w:val="bottom"/>
          </w:tcPr>
          <w:p>
            <w:pPr>
              <w:jc w:val="center"/>
              <w:ind w:right="106"/>
              <w:spacing w:after="0"/>
              <w:rPr>
                <w:sz w:val="20"/>
                <w:szCs w:val="20"/>
                <w:color w:val="auto"/>
              </w:rPr>
            </w:pPr>
            <w:r>
              <w:rPr>
                <w:rFonts w:ascii="Arial" w:cs="Arial" w:eastAsia="Arial" w:hAnsi="Arial"/>
                <w:sz w:val="13"/>
                <w:szCs w:val="13"/>
                <w:b w:val="1"/>
                <w:bCs w:val="1"/>
                <w:color w:val="auto"/>
                <w:w w:val="93"/>
              </w:rPr>
              <w:t>Carrying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86"/>
              <w:spacing w:after="0"/>
              <w:rPr>
                <w:sz w:val="20"/>
                <w:szCs w:val="20"/>
                <w:color w:val="auto"/>
              </w:rPr>
            </w:pPr>
            <w:r>
              <w:rPr>
                <w:rFonts w:ascii="Arial" w:cs="Arial" w:eastAsia="Arial" w:hAnsi="Arial"/>
                <w:sz w:val="13"/>
                <w:szCs w:val="13"/>
                <w:b w:val="1"/>
                <w:bCs w:val="1"/>
                <w:color w:val="auto"/>
                <w:w w:val="93"/>
              </w:rPr>
              <w:t>Carrying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19"/>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2"/>
                <w:szCs w:val="12"/>
                <w:color w:val="auto"/>
              </w:rPr>
            </w:pPr>
          </w:p>
        </w:tc>
        <w:tc>
          <w:tcPr>
            <w:tcW w:w="760" w:type="dxa"/>
            <w:vAlign w:val="bottom"/>
          </w:tcPr>
          <w:p>
            <w:pPr>
              <w:jc w:val="center"/>
              <w:ind w:right="86"/>
              <w:spacing w:after="0"/>
              <w:rPr>
                <w:sz w:val="20"/>
                <w:szCs w:val="20"/>
                <w:color w:val="auto"/>
              </w:rPr>
            </w:pPr>
            <w:r>
              <w:rPr>
                <w:rFonts w:ascii="Arial" w:cs="Arial" w:eastAsia="Arial" w:hAnsi="Arial"/>
                <w:sz w:val="13"/>
                <w:szCs w:val="13"/>
                <w:b w:val="1"/>
                <w:bCs w:val="1"/>
                <w:color w:val="auto"/>
                <w:w w:val="89"/>
              </w:rPr>
              <w:t>Carrying</w:t>
            </w:r>
          </w:p>
        </w:tc>
        <w:tc>
          <w:tcPr>
            <w:tcW w:w="0" w:type="dxa"/>
            <w:vAlign w:val="bottom"/>
          </w:tcPr>
          <w:p>
            <w:pPr>
              <w:spacing w:after="0"/>
              <w:rPr>
                <w:sz w:val="1"/>
                <w:szCs w:val="1"/>
                <w:color w:val="auto"/>
              </w:rPr>
            </w:pPr>
          </w:p>
        </w:tc>
      </w:tr>
      <w:tr>
        <w:trPr>
          <w:trHeight w:val="164"/>
        </w:trPr>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(in years)</w:t>
            </w:r>
          </w:p>
        </w:tc>
        <w:tc>
          <w:tcPr>
            <w:tcW w:w="180" w:type="dxa"/>
            <w:vAlign w:val="bottom"/>
          </w:tcPr>
          <w:p>
            <w:pPr>
              <w:spacing w:after="0"/>
              <w:rPr>
                <w:sz w:val="14"/>
                <w:szCs w:val="14"/>
                <w:color w:val="auto"/>
              </w:rPr>
            </w:pPr>
          </w:p>
        </w:tc>
        <w:tc>
          <w:tcPr>
            <w:tcW w:w="780" w:type="dxa"/>
            <w:vAlign w:val="bottom"/>
          </w:tcPr>
          <w:p>
            <w:pPr>
              <w:jc w:val="center"/>
              <w:ind w:right="106"/>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59"/>
              <w:spacing w:after="0"/>
              <w:rPr>
                <w:sz w:val="20"/>
                <w:szCs w:val="20"/>
                <w:color w:val="auto"/>
              </w:rPr>
            </w:pPr>
            <w:r>
              <w:rPr>
                <w:rFonts w:ascii="Arial" w:cs="Arial" w:eastAsia="Arial" w:hAnsi="Arial"/>
                <w:sz w:val="13"/>
                <w:szCs w:val="13"/>
                <w:b w:val="1"/>
                <w:bCs w:val="1"/>
                <w:color w:val="auto"/>
                <w:w w:val="90"/>
              </w:rPr>
              <w:t>Amortization</w:t>
            </w:r>
          </w:p>
        </w:tc>
        <w:tc>
          <w:tcPr>
            <w:tcW w:w="160" w:type="dxa"/>
            <w:vAlign w:val="bottom"/>
          </w:tcPr>
          <w:p>
            <w:pPr>
              <w:spacing w:after="0"/>
              <w:rPr>
                <w:sz w:val="14"/>
                <w:szCs w:val="14"/>
                <w:color w:val="auto"/>
              </w:rPr>
            </w:pPr>
          </w:p>
        </w:tc>
        <w:tc>
          <w:tcPr>
            <w:tcW w:w="800" w:type="dxa"/>
            <w:vAlign w:val="bottom"/>
          </w:tcPr>
          <w:p>
            <w:pPr>
              <w:jc w:val="center"/>
              <w:ind w:right="86"/>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106"/>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19"/>
              <w:spacing w:after="0"/>
              <w:rPr>
                <w:sz w:val="20"/>
                <w:szCs w:val="20"/>
                <w:color w:val="auto"/>
              </w:rPr>
            </w:pPr>
            <w:r>
              <w:rPr>
                <w:rFonts w:ascii="Arial" w:cs="Arial" w:eastAsia="Arial" w:hAnsi="Arial"/>
                <w:sz w:val="13"/>
                <w:szCs w:val="13"/>
                <w:b w:val="1"/>
                <w:bCs w:val="1"/>
                <w:color w:val="auto"/>
                <w:w w:val="90"/>
              </w:rPr>
              <w:t>Amortization</w:t>
            </w:r>
          </w:p>
        </w:tc>
        <w:tc>
          <w:tcPr>
            <w:tcW w:w="160" w:type="dxa"/>
            <w:vAlign w:val="bottom"/>
          </w:tcPr>
          <w:p>
            <w:pPr>
              <w:spacing w:after="0"/>
              <w:rPr>
                <w:sz w:val="14"/>
                <w:szCs w:val="14"/>
                <w:color w:val="auto"/>
              </w:rPr>
            </w:pPr>
          </w:p>
        </w:tc>
        <w:tc>
          <w:tcPr>
            <w:tcW w:w="760" w:type="dxa"/>
            <w:vAlign w:val="bottom"/>
          </w:tcPr>
          <w:p>
            <w:pPr>
              <w:jc w:val="center"/>
              <w:ind w:right="86"/>
              <w:spacing w:after="0"/>
              <w:rPr>
                <w:sz w:val="20"/>
                <w:szCs w:val="20"/>
                <w:color w:val="auto"/>
              </w:rPr>
            </w:pPr>
            <w:r>
              <w:rPr>
                <w:rFonts w:ascii="Arial" w:cs="Arial" w:eastAsia="Arial" w:hAnsi="Arial"/>
                <w:sz w:val="13"/>
                <w:szCs w:val="13"/>
                <w:b w:val="1"/>
                <w:bCs w:val="1"/>
                <w:color w:val="auto"/>
                <w:w w:val="89"/>
              </w:rPr>
              <w:t>Amount</w:t>
            </w:r>
          </w:p>
        </w:tc>
        <w:tc>
          <w:tcPr>
            <w:tcW w:w="0" w:type="dxa"/>
            <w:vAlign w:val="bottom"/>
          </w:tcPr>
          <w:p>
            <w:pPr>
              <w:spacing w:after="0"/>
              <w:rPr>
                <w:sz w:val="1"/>
                <w:szCs w:val="1"/>
                <w:color w:val="auto"/>
              </w:rPr>
            </w:pPr>
          </w:p>
        </w:tc>
      </w:tr>
      <w:tr>
        <w:trPr>
          <w:trHeight w:val="135"/>
        </w:trPr>
        <w:tc>
          <w:tcPr>
            <w:tcW w:w="10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6"/>
              <w:spacing w:after="0" w:line="135" w:lineRule="exact"/>
              <w:rPr>
                <w:sz w:val="20"/>
                <w:szCs w:val="20"/>
                <w:color w:val="auto"/>
              </w:rPr>
            </w:pPr>
            <w:r>
              <w:rPr>
                <w:rFonts w:ascii="Arial" w:cs="Arial" w:eastAsia="Arial" w:hAnsi="Arial"/>
                <w:sz w:val="13"/>
                <w:szCs w:val="13"/>
                <w:b w:val="1"/>
                <w:bCs w:val="1"/>
                <w:color w:val="auto"/>
                <w:w w:val="90"/>
              </w:rPr>
              <w:t>(in millions)</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6"/>
              <w:spacing w:after="0" w:line="135" w:lineRule="exact"/>
              <w:rPr>
                <w:sz w:val="20"/>
                <w:szCs w:val="20"/>
                <w:color w:val="auto"/>
              </w:rPr>
            </w:pPr>
            <w:r>
              <w:rPr>
                <w:rFonts w:ascii="Arial" w:cs="Arial" w:eastAsia="Arial" w:hAnsi="Arial"/>
                <w:sz w:val="13"/>
                <w:szCs w:val="13"/>
                <w:b w:val="1"/>
                <w:bCs w:val="1"/>
                <w:color w:val="auto"/>
                <w:w w:val="90"/>
              </w:rPr>
              <w:t>(in millions)</w:t>
            </w: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080" w:type="dxa"/>
            <w:vAlign w:val="bottom"/>
          </w:tcPr>
          <w:p>
            <w:pPr>
              <w:jc w:val="right"/>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color w:val="auto"/>
              </w:rPr>
              <w:t>(43 )</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39"/>
              <w:spacing w:after="0"/>
              <w:rPr>
                <w:sz w:val="20"/>
                <w:szCs w:val="20"/>
                <w:color w:val="auto"/>
              </w:rPr>
            </w:pPr>
            <w:r>
              <w:rPr>
                <w:rFonts w:ascii="Arial" w:cs="Arial" w:eastAsia="Arial" w:hAnsi="Arial"/>
                <w:sz w:val="16"/>
                <w:szCs w:val="16"/>
                <w:color w:val="auto"/>
              </w:rPr>
              <w:t>(41 )</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9"/>
        </w:trPr>
        <w:tc>
          <w:tcPr>
            <w:tcW w:w="1080" w:type="dxa"/>
            <w:vAlign w:val="bottom"/>
          </w:tcPr>
          <w:p>
            <w:pPr>
              <w:jc w:val="right"/>
              <w:spacing w:after="0"/>
              <w:rPr>
                <w:sz w:val="20"/>
                <w:szCs w:val="20"/>
                <w:color w:val="auto"/>
              </w:rPr>
            </w:pPr>
            <w:r>
              <w:rPr>
                <w:rFonts w:ascii="Arial" w:cs="Arial" w:eastAsia="Arial" w:hAnsi="Arial"/>
                <w:sz w:val="16"/>
                <w:szCs w:val="16"/>
                <w:color w:val="auto"/>
              </w:rPr>
              <w:t>5.2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59"/>
              <w:spacing w:after="0"/>
              <w:rPr>
                <w:sz w:val="20"/>
                <w:szCs w:val="20"/>
                <w:color w:val="auto"/>
              </w:rPr>
            </w:pPr>
            <w:r>
              <w:rPr>
                <w:rFonts w:ascii="Arial" w:cs="Arial" w:eastAsia="Arial" w:hAnsi="Arial"/>
                <w:sz w:val="16"/>
                <w:szCs w:val="16"/>
                <w:color w:val="auto"/>
              </w:rPr>
              <w:t>(87 )</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39"/>
              <w:spacing w:after="0"/>
              <w:rPr>
                <w:sz w:val="20"/>
                <w:szCs w:val="20"/>
                <w:color w:val="auto"/>
              </w:rPr>
            </w:pPr>
            <w:r>
              <w:rPr>
                <w:rFonts w:ascii="Arial" w:cs="Arial" w:eastAsia="Arial" w:hAnsi="Arial"/>
                <w:sz w:val="16"/>
                <w:szCs w:val="16"/>
                <w:color w:val="auto"/>
              </w:rPr>
              <w:t>(83 )</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9"/>
        </w:trPr>
        <w:tc>
          <w:tcPr>
            <w:tcW w:w="1080" w:type="dxa"/>
            <w:vAlign w:val="bottom"/>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59"/>
              <w:spacing w:after="0"/>
              <w:rPr>
                <w:sz w:val="20"/>
                <w:szCs w:val="20"/>
                <w:color w:val="auto"/>
              </w:rPr>
            </w:pPr>
            <w:r>
              <w:rPr>
                <w:rFonts w:ascii="Arial" w:cs="Arial" w:eastAsia="Arial" w:hAnsi="Arial"/>
                <w:sz w:val="16"/>
                <w:szCs w:val="16"/>
                <w:color w:val="auto"/>
              </w:rPr>
              <w:t>(36 )</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39"/>
              <w:spacing w:after="0"/>
              <w:rPr>
                <w:sz w:val="20"/>
                <w:szCs w:val="20"/>
                <w:color w:val="auto"/>
              </w:rPr>
            </w:pPr>
            <w:r>
              <w:rPr>
                <w:rFonts w:ascii="Arial" w:cs="Arial" w:eastAsia="Arial" w:hAnsi="Arial"/>
                <w:sz w:val="16"/>
                <w:szCs w:val="16"/>
                <w:color w:val="auto"/>
              </w:rPr>
              <w:t>(35 )</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9"/>
        </w:trPr>
        <w:tc>
          <w:tcPr>
            <w:tcW w:w="1080" w:type="dxa"/>
            <w:vAlign w:val="bottom"/>
          </w:tcPr>
          <w:p>
            <w:pPr>
              <w:jc w:val="right"/>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59"/>
              <w:spacing w:after="0"/>
              <w:rPr>
                <w:sz w:val="20"/>
                <w:szCs w:val="20"/>
                <w:color w:val="auto"/>
              </w:rPr>
            </w:pPr>
            <w:r>
              <w:rPr>
                <w:rFonts w:ascii="Arial" w:cs="Arial" w:eastAsia="Arial" w:hAnsi="Arial"/>
                <w:sz w:val="16"/>
                <w:szCs w:val="16"/>
                <w:color w:val="auto"/>
              </w:rPr>
              <w:t>(36 )</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9"/>
              <w:spacing w:after="0"/>
              <w:rPr>
                <w:sz w:val="20"/>
                <w:szCs w:val="20"/>
                <w:color w:val="auto"/>
              </w:rPr>
            </w:pPr>
            <w:r>
              <w:rPr>
                <w:rFonts w:ascii="Arial" w:cs="Arial" w:eastAsia="Arial" w:hAnsi="Arial"/>
                <w:sz w:val="16"/>
                <w:szCs w:val="16"/>
                <w:color w:val="auto"/>
              </w:rPr>
              <w:t>(47 )</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3"/>
        </w:trPr>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3.7</w:t>
            </w:r>
          </w:p>
        </w:tc>
        <w:tc>
          <w:tcPr>
            <w:tcW w:w="1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237</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(202</w:t>
            </w:r>
          </w:p>
        </w:tc>
        <w:tc>
          <w:tcPr>
            <w:tcW w:w="2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w:t>
            </w:r>
          </w:p>
        </w:tc>
        <w:tc>
          <w:tcPr>
            <w:tcW w:w="1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262</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(206</w:t>
            </w:r>
          </w:p>
        </w:tc>
        <w:tc>
          <w:tcPr>
            <w:tcW w:w="180" w:type="dxa"/>
            <w:vAlign w:val="bottom"/>
          </w:tcPr>
          <w:p>
            <w:pPr>
              <w:jc w:val="right"/>
              <w:ind w:right="39"/>
              <w:spacing w:after="0" w:line="183" w:lineRule="exact"/>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-633730</wp:posOffset>
            </wp:positionV>
            <wp:extent cx="7132320" cy="1200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-393700</wp:posOffset>
            </wp:positionV>
            <wp:extent cx="7132320" cy="1200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-145415</wp:posOffset>
            </wp:positionV>
            <wp:extent cx="7132320" cy="146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540"/>
            <w:col w:w="7980"/>
          </w:cols>
          <w:pgMar w:left="320" w:top="584" w:right="399" w:bottom="1440" w:gutter="0" w:footer="0" w:header="0"/>
          <w:type w:val="continuous"/>
        </w:sectPr>
      </w:pPr>
    </w:p>
    <w:p>
      <w:pPr>
        <w:spacing w:after="0" w:line="29"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Acquisitions and Other Investments</w:t>
      </w:r>
      <w:r>
        <w:rPr>
          <w:rFonts w:ascii="Arial" w:cs="Arial" w:eastAsia="Arial" w:hAnsi="Arial"/>
          <w:sz w:val="18"/>
          <w:szCs w:val="18"/>
          <w:color w:val="auto"/>
        </w:rPr>
        <w:t>” above for a discussion of definite lived intangible assets acquired in business combinations during the years ended December 31, 2021, 2020 and 2019.</w:t>
      </w:r>
    </w:p>
    <w:p>
      <w:pPr>
        <w:spacing w:after="0" w:line="171"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Our definite-lived intangible assets are being amortized on a straight-line basis. The straight-line method of amortization is currently our best estimate, or approximates to date, the distribution of the economic use of these intangible assets.</w:t>
      </w:r>
    </w:p>
    <w:p>
      <w:pPr>
        <w:spacing w:after="0" w:line="171" w:lineRule="exact"/>
        <w:rPr>
          <w:sz w:val="20"/>
          <w:szCs w:val="20"/>
          <w:color w:val="auto"/>
        </w:rPr>
      </w:pPr>
    </w:p>
    <w:p>
      <w:pPr>
        <w:ind w:right="80" w:firstLine="509"/>
        <w:spacing w:after="0" w:line="291" w:lineRule="auto"/>
        <w:rPr>
          <w:sz w:val="20"/>
          <w:szCs w:val="20"/>
          <w:color w:val="auto"/>
        </w:rPr>
      </w:pPr>
      <w:r>
        <w:rPr>
          <w:rFonts w:ascii="Arial" w:cs="Arial" w:eastAsia="Arial" w:hAnsi="Arial"/>
          <w:sz w:val="17"/>
          <w:szCs w:val="17"/>
          <w:color w:val="auto"/>
        </w:rPr>
        <w:t>The estimated amortization expense for intangible assets with definite lives for each of the next five years, and the expense thereafter, assuming no subsequent impairment of the underlying assets or change in estimate of remaining lives, is expected to be as follows (in millions):</w:t>
      </w:r>
    </w:p>
    <w:p>
      <w:pPr>
        <w:spacing w:after="0" w:line="62"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FF0FC"/>
          </w:tcPr>
          <w:p>
            <w:pPr>
              <w:spacing w:after="0"/>
              <w:rPr>
                <w:sz w:val="17"/>
                <w:szCs w:val="17"/>
                <w:color w:val="auto"/>
              </w:rPr>
            </w:pP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5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60" w:type="dxa"/>
            <w:vAlign w:val="bottom"/>
          </w:tcPr>
          <w:p>
            <w:pPr>
              <w:spacing w:after="0"/>
              <w:rPr>
                <w:sz w:val="17"/>
                <w:szCs w:val="17"/>
                <w:color w:val="auto"/>
              </w:rPr>
            </w:pPr>
          </w:p>
        </w:tc>
      </w:tr>
      <w:tr>
        <w:trPr>
          <w:trHeight w:val="203"/>
        </w:trPr>
        <w:tc>
          <w:tcPr>
            <w:tcW w:w="5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5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60" w:type="dxa"/>
            <w:vAlign w:val="bottom"/>
            <w:shd w:val="clear" w:color="auto" w:fill="CFF0FC"/>
          </w:tcPr>
          <w:p>
            <w:pPr>
              <w:spacing w:after="0"/>
              <w:rPr>
                <w:sz w:val="17"/>
                <w:szCs w:val="17"/>
                <w:color w:val="auto"/>
              </w:rPr>
            </w:pP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5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17"/>
                <w:szCs w:val="17"/>
                <w:color w:val="auto"/>
              </w:rPr>
            </w:pPr>
          </w:p>
        </w:tc>
      </w:tr>
      <w:tr>
        <w:trPr>
          <w:trHeight w:val="203"/>
        </w:trPr>
        <w:tc>
          <w:tcPr>
            <w:tcW w:w="5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5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7"/>
                <w:szCs w:val="17"/>
                <w:color w:val="auto"/>
              </w:rPr>
            </w:pP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2027 and thereafter</w:t>
            </w:r>
          </w:p>
        </w:tc>
        <w:tc>
          <w:tcPr>
            <w:tcW w:w="5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r>
      <w:tr>
        <w:trPr>
          <w:trHeight w:val="236"/>
        </w:trPr>
        <w:tc>
          <w:tcPr>
            <w:tcW w:w="544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FF0FC"/>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431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ACCRUED EXPENSES AND OTHER CURRENT LIABILITIES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for the periods presented:</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December 31, 2021</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December 31, 2020</w:t>
            </w:r>
          </w:p>
        </w:tc>
        <w:tc>
          <w:tcPr>
            <w:tcW w:w="6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34"/>
              <w:spacing w:after="0"/>
              <w:rPr>
                <w:sz w:val="20"/>
                <w:szCs w:val="20"/>
                <w:color w:val="auto"/>
              </w:rPr>
            </w:pPr>
            <w:r>
              <w:rPr>
                <w:rFonts w:ascii="Arial" w:cs="Arial" w:eastAsia="Arial" w:hAnsi="Arial"/>
                <w:sz w:val="14"/>
                <w:szCs w:val="14"/>
                <w:b w:val="1"/>
                <w:bCs w:val="1"/>
                <w:color w:val="auto"/>
              </w:rPr>
              <w:t>(in</w:t>
            </w:r>
          </w:p>
        </w:tc>
        <w:tc>
          <w:tcPr>
            <w:tcW w:w="1640" w:type="dxa"/>
            <w:vAlign w:val="bottom"/>
            <w:gridSpan w:val="3"/>
          </w:tcPr>
          <w:p>
            <w:pPr>
              <w:jc w:val="right"/>
              <w:ind w:right="1112"/>
              <w:spacing w:after="0"/>
              <w:rPr>
                <w:sz w:val="20"/>
                <w:szCs w:val="20"/>
                <w:color w:val="auto"/>
              </w:rPr>
            </w:pPr>
            <w:r>
              <w:rPr>
                <w:rFonts w:ascii="Arial" w:cs="Arial" w:eastAsia="Arial" w:hAnsi="Arial"/>
                <w:sz w:val="14"/>
                <w:szCs w:val="14"/>
                <w:b w:val="1"/>
                <w:bCs w:val="1"/>
                <w:color w:val="auto"/>
                <w:w w:val="72"/>
              </w:rPr>
              <w:t>millions)</w:t>
            </w:r>
          </w:p>
        </w:tc>
        <w:tc>
          <w:tcPr>
            <w:tcW w:w="60" w:type="dxa"/>
            <w:vAlign w:val="bottom"/>
          </w:tcPr>
          <w:p>
            <w:pPr>
              <w:spacing w:after="0"/>
              <w:rPr>
                <w:sz w:val="14"/>
                <w:szCs w:val="14"/>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salary, bonus, and other employee-related benefits</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w:t>
            </w:r>
          </w:p>
        </w:tc>
        <w:tc>
          <w:tcPr>
            <w:tcW w:w="3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w:t>
            </w:r>
          </w:p>
        </w:tc>
        <w:tc>
          <w:tcPr>
            <w:tcW w:w="60" w:type="dxa"/>
            <w:vAlign w:val="bottom"/>
            <w:shd w:val="clear" w:color="auto" w:fill="CFF0FC"/>
          </w:tcPr>
          <w:p>
            <w:pPr>
              <w:spacing w:after="0"/>
              <w:rPr>
                <w:sz w:val="17"/>
                <w:szCs w:val="17"/>
                <w:color w:val="auto"/>
              </w:rPr>
            </w:pPr>
          </w:p>
        </w:tc>
      </w:tr>
      <w:tr>
        <w:trPr>
          <w:trHeight w:val="202"/>
        </w:trPr>
        <w:tc>
          <w:tcPr>
            <w:tcW w:w="5820" w:type="dxa"/>
            <w:vAlign w:val="bottom"/>
          </w:tcPr>
          <w:p>
            <w:pPr>
              <w:spacing w:after="0" w:line="202" w:lineRule="exact"/>
              <w:rPr>
                <w:sz w:val="20"/>
                <w:szCs w:val="20"/>
                <w:color w:val="auto"/>
              </w:rPr>
            </w:pPr>
            <w:r>
              <w:rPr>
                <w:rFonts w:ascii="Arial" w:cs="Arial" w:eastAsia="Arial" w:hAnsi="Arial"/>
                <w:sz w:val="18"/>
                <w:szCs w:val="18"/>
                <w:color w:val="auto"/>
              </w:rPr>
              <w:t>Accrued marketing costs</w:t>
            </w: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60" w:type="dxa"/>
            <w:vAlign w:val="bottom"/>
          </w:tcPr>
          <w:p>
            <w:pPr>
              <w:spacing w:after="0"/>
              <w:rPr>
                <w:sz w:val="17"/>
                <w:szCs w:val="17"/>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payable (1)</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17"/>
                <w:szCs w:val="17"/>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Current income taxes payable (2)</w:t>
            </w: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Finance lease liability - current portion (3)</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7"/>
                <w:szCs w:val="17"/>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Operating lease liabilities - current portion (3)</w:t>
            </w: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60" w:type="dxa"/>
            <w:vAlign w:val="bottom"/>
          </w:tcPr>
          <w:p>
            <w:pPr>
              <w:spacing w:after="0"/>
              <w:rPr>
                <w:sz w:val="17"/>
                <w:szCs w:val="17"/>
                <w:color w:val="auto"/>
              </w:rPr>
            </w:pPr>
          </w:p>
        </w:tc>
      </w:tr>
      <w:tr>
        <w:trPr>
          <w:trHeight w:val="203"/>
        </w:trPr>
        <w:tc>
          <w:tcPr>
            <w:tcW w:w="58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820" w:type="dxa"/>
            <w:vAlign w:val="bottom"/>
          </w:tcPr>
          <w:p>
            <w:pPr>
              <w:ind w:left="60"/>
              <w:spacing w:after="0" w:line="196" w:lineRule="exact"/>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c>
          <w:tcPr>
            <w:tcW w:w="6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-159385</wp:posOffset>
            </wp:positionV>
            <wp:extent cx="4318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-159385</wp:posOffset>
            </wp:positionV>
            <wp:extent cx="4318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4" w:lineRule="exact"/>
        <w:rPr>
          <w:sz w:val="20"/>
          <w:szCs w:val="20"/>
          <w:color w:val="auto"/>
        </w:rPr>
      </w:pPr>
    </w:p>
    <w:p>
      <w:pPr>
        <w:ind w:left="1140" w:hanging="383"/>
        <w:spacing w:after="0"/>
        <w:tabs>
          <w:tab w:leader="none" w:pos="11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Amount relates primarily to unpaid interest accrued on our 2025 Senior Notes. Refer to “Note 10: </w:t>
      </w:r>
      <w:r>
        <w:rPr>
          <w:rFonts w:ascii="Arial" w:cs="Arial" w:eastAsia="Arial" w:hAnsi="Arial"/>
          <w:sz w:val="14"/>
          <w:szCs w:val="14"/>
          <w:i w:val="1"/>
          <w:iCs w:val="1"/>
          <w:color w:val="auto"/>
        </w:rPr>
        <w:t>Debt</w:t>
      </w:r>
      <w:r>
        <w:rPr>
          <w:rFonts w:ascii="Arial" w:cs="Arial" w:eastAsia="Arial" w:hAnsi="Arial"/>
          <w:sz w:val="14"/>
          <w:szCs w:val="14"/>
          <w:color w:val="auto"/>
        </w:rPr>
        <w:t>” for further information.</w:t>
      </w:r>
    </w:p>
    <w:p>
      <w:pPr>
        <w:spacing w:after="0" w:line="13" w:lineRule="exact"/>
        <w:rPr>
          <w:rFonts w:ascii="Arial" w:cs="Arial" w:eastAsia="Arial" w:hAnsi="Arial"/>
          <w:sz w:val="14"/>
          <w:szCs w:val="14"/>
          <w:color w:val="auto"/>
        </w:rPr>
      </w:pPr>
    </w:p>
    <w:p>
      <w:pPr>
        <w:ind w:left="1140" w:hanging="383"/>
        <w:spacing w:after="0"/>
        <w:tabs>
          <w:tab w:leader="none" w:pos="11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Income Taxes</w:t>
      </w:r>
      <w:r>
        <w:rPr>
          <w:rFonts w:ascii="Arial" w:cs="Arial" w:eastAsia="Arial" w:hAnsi="Arial"/>
          <w:sz w:val="14"/>
          <w:szCs w:val="14"/>
          <w:color w:val="auto"/>
        </w:rPr>
        <w:t>” for further information regarding our income tax liabilities.</w:t>
      </w:r>
    </w:p>
    <w:p>
      <w:pPr>
        <w:spacing w:after="0" w:line="1" w:lineRule="exact"/>
        <w:rPr>
          <w:rFonts w:ascii="Arial" w:cs="Arial" w:eastAsia="Arial" w:hAnsi="Arial"/>
          <w:sz w:val="14"/>
          <w:szCs w:val="14"/>
          <w:color w:val="auto"/>
        </w:rPr>
      </w:pPr>
    </w:p>
    <w:p>
      <w:pPr>
        <w:ind w:left="1140" w:hanging="383"/>
        <w:spacing w:after="0"/>
        <w:tabs>
          <w:tab w:leader="none" w:pos="11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Leases</w:t>
      </w:r>
      <w:r>
        <w:rPr>
          <w:rFonts w:ascii="Arial" w:cs="Arial" w:eastAsia="Arial" w:hAnsi="Arial"/>
          <w:sz w:val="14"/>
          <w:szCs w:val="14"/>
          <w:color w:val="auto"/>
        </w:rPr>
        <w:t>” for further information regarding our lease obligations.</w:t>
      </w: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 10: DEBT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outstanding debt consisted of the following for the periods presented:</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2021</w:t>
            </w: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Outstanding Principal</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Unamortized Debt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5"/>
              </w:rPr>
              <w:t>Carrying Value</w:t>
            </w: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Issuance Costs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(in millions)</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Debt:</w:t>
            </w:r>
          </w:p>
        </w:tc>
        <w:tc>
          <w:tcPr>
            <w:tcW w:w="320" w:type="dxa"/>
            <w:vAlign w:val="bottom"/>
            <w:shd w:val="clear" w:color="auto" w:fill="CFF0FC"/>
          </w:tcPr>
          <w:p>
            <w:pPr>
              <w:spacing w:after="0"/>
              <w:rPr>
                <w:sz w:val="17"/>
                <w:szCs w:val="17"/>
                <w:color w:val="auto"/>
              </w:rPr>
            </w:pPr>
          </w:p>
        </w:tc>
        <w:tc>
          <w:tcPr>
            <w:tcW w:w="148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0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180"/>
              <w:spacing w:after="0" w:line="202" w:lineRule="exact"/>
              <w:rPr>
                <w:sz w:val="20"/>
                <w:szCs w:val="20"/>
                <w:color w:val="auto"/>
              </w:rPr>
            </w:pPr>
            <w:r>
              <w:rPr>
                <w:rFonts w:ascii="Arial" w:cs="Arial" w:eastAsia="Arial" w:hAnsi="Arial"/>
                <w:sz w:val="18"/>
                <w:szCs w:val="18"/>
                <w:color w:val="auto"/>
              </w:rPr>
              <w:t>2025 Senior Notes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(7 )</w:t>
            </w:r>
          </w:p>
        </w:tc>
        <w:tc>
          <w:tcPr>
            <w:tcW w:w="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3"/>
        </w:trPr>
        <w:tc>
          <w:tcPr>
            <w:tcW w:w="3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2026 Senior Notes</w:t>
            </w:r>
          </w:p>
        </w:tc>
        <w:tc>
          <w:tcPr>
            <w:tcW w:w="320" w:type="dxa"/>
            <w:vAlign w:val="bottom"/>
            <w:shd w:val="clear" w:color="auto" w:fill="CFF0FC"/>
          </w:tcPr>
          <w:p>
            <w:pPr>
              <w:spacing w:after="0"/>
              <w:rPr>
                <w:sz w:val="17"/>
                <w:szCs w:val="17"/>
                <w:color w:val="auto"/>
              </w:rPr>
            </w:pPr>
          </w:p>
        </w:tc>
        <w:tc>
          <w:tcPr>
            <w:tcW w:w="14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(5 )</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33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8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Pr>
          <w:p>
            <w:pPr>
              <w:spacing w:after="0" w:line="182" w:lineRule="exact"/>
              <w:rPr>
                <w:sz w:val="20"/>
                <w:szCs w:val="20"/>
                <w:color w:val="auto"/>
              </w:rPr>
            </w:pPr>
            <w:r>
              <w:rPr>
                <w:rFonts w:ascii="Arial" w:cs="Arial" w:eastAsia="Arial" w:hAnsi="Arial"/>
                <w:sz w:val="18"/>
                <w:szCs w:val="18"/>
                <w:color w:val="auto"/>
              </w:rPr>
              <w:t>Total Long-Term Debt</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845</w:t>
            </w:r>
          </w:p>
        </w:tc>
        <w:tc>
          <w:tcPr>
            <w:tcW w:w="160" w:type="dxa"/>
            <w:vAlign w:val="bottom"/>
          </w:tcPr>
          <w:p>
            <w:pPr>
              <w:spacing w:after="0"/>
              <w:rPr>
                <w:sz w:val="17"/>
                <w:szCs w:val="17"/>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(12 )</w:t>
            </w:r>
          </w:p>
        </w:tc>
        <w:tc>
          <w:tcPr>
            <w:tcW w:w="28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-159385</wp:posOffset>
            </wp:positionV>
            <wp:extent cx="4318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-159385</wp:posOffset>
            </wp:positionV>
            <wp:extent cx="6858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-159385</wp:posOffset>
            </wp:positionV>
            <wp:extent cx="3429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1740" w:type="dxa"/>
            <w:vAlign w:val="bottom"/>
            <w:gridSpan w:val="2"/>
          </w:tcPr>
          <w:p>
            <w:pPr>
              <w:spacing w:after="0"/>
              <w:rPr>
                <w:sz w:val="20"/>
                <w:szCs w:val="20"/>
                <w:color w:val="auto"/>
              </w:rPr>
            </w:pPr>
            <w:r>
              <w:rPr>
                <w:rFonts w:ascii="Arial" w:cs="Arial" w:eastAsia="Arial" w:hAnsi="Arial"/>
                <w:sz w:val="18"/>
                <w:szCs w:val="18"/>
                <w:b w:val="1"/>
                <w:bCs w:val="1"/>
                <w:color w:val="auto"/>
                <w:w w:val="91"/>
              </w:rPr>
              <w:t>Outstanding Principal</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2"/>
              </w:rPr>
              <w:t>Unamortized Debt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5"/>
              </w:rPr>
              <w:t>Carrying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6"/>
              </w:rPr>
              <w:t>Issuance Costs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(in millions)</w:t>
            </w: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Debt:</w:t>
            </w: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180"/>
              <w:spacing w:after="0" w:line="202" w:lineRule="exact"/>
              <w:rPr>
                <w:sz w:val="20"/>
                <w:szCs w:val="20"/>
                <w:color w:val="auto"/>
              </w:rPr>
            </w:pPr>
            <w:r>
              <w:rPr>
                <w:rFonts w:ascii="Arial" w:cs="Arial" w:eastAsia="Arial" w:hAnsi="Arial"/>
                <w:sz w:val="18"/>
                <w:szCs w:val="18"/>
                <w:color w:val="auto"/>
              </w:rPr>
              <w:t>2025 Senior Notes</w:t>
            </w:r>
          </w:p>
        </w:tc>
        <w:tc>
          <w:tcPr>
            <w:tcW w:w="3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3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(9 )</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Long-Term Debt</w:t>
            </w:r>
          </w:p>
        </w:tc>
        <w:tc>
          <w:tcPr>
            <w:tcW w:w="320" w:type="dxa"/>
            <w:vAlign w:val="bottom"/>
            <w:tcBorders>
              <w:top w:val="single" w:sz="8" w:color="auto"/>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500</w:t>
            </w:r>
          </w:p>
        </w:tc>
        <w:tc>
          <w:tcPr>
            <w:tcW w:w="220" w:type="dxa"/>
            <w:vAlign w:val="bottom"/>
            <w:tcBorders>
              <w:bottom w:val="single" w:sz="8" w:color="CFF0FC"/>
            </w:tcBorders>
            <w:gridSpan w:val="2"/>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491</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-24765</wp:posOffset>
            </wp:positionV>
            <wp:extent cx="431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431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342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342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9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We are party to a credit agreement with a group of lenders initially entered into in June 2015 (as amended, the “Credit Agreement”), which, among other things, provides for a $500 million unsecured revolving credit facility (the “Credit Facility”) with a maturity date of May 12, 2024. The Credit Facility, among other things, requires us to maintain a maximum leverage ratio and contains certain customary affirmative covenants and events of default, including a change of control.</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amended the Credit Facility in May 2020 and December 2020 to, among other things:</w:t>
      </w:r>
    </w:p>
    <w:p>
      <w:pPr>
        <w:spacing w:after="0" w:line="104" w:lineRule="exact"/>
        <w:rPr>
          <w:sz w:val="20"/>
          <w:szCs w:val="20"/>
          <w:color w:val="auto"/>
        </w:rPr>
      </w:pPr>
    </w:p>
    <w:p>
      <w:pPr>
        <w:ind w:left="1020" w:hanging="503"/>
        <w:spacing w:after="0" w:line="279" w:lineRule="auto"/>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suspend the leverage ratio covenant for quarterly testing of compliance beginning in the second quarter of 2020, replacing it with a minimum liquidity covenant through June 30, 2021 (requiring the Company to maintain $150 million of unrestricted cash, cash equivalents and short-term investments less deferred merchant payables plus available revolver capacity), until the earlier of (a) the first day after June 30, 2021 through maturity on which borrowings and other revolving credit utilizations under the revolving commitments exceed $200 million, and (b) the election of the Company, at which time the leverage ratio covenant will be reinstated (the “Leverage Covenant Holiday”);</w:t>
      </w:r>
    </w:p>
    <w:p>
      <w:pPr>
        <w:spacing w:after="0" w:line="51" w:lineRule="exact"/>
        <w:rPr>
          <w:rFonts w:ascii="Arial" w:cs="Arial" w:eastAsia="Arial" w:hAnsi="Arial"/>
          <w:sz w:val="16"/>
          <w:szCs w:val="16"/>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 the aggregate amount of revolving loan commitments available to $500 million from $1.2 billion;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extend the maturity date of the Credit Facility from May 12, 2022 to May 12, 2024;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secure the obligations under the agreement.</w:t>
      </w:r>
    </w:p>
    <w:p>
      <w:pPr>
        <w:spacing w:after="0" w:line="212"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The Company remained in the Leverage Covenant Holiday as of December 31, 2021. During the Leverage Covenant Holiday, any outstanding or future borrowings under the Credit Facility bear interest at LIBOR plus a 2.25% margin with a LIBOR floor of 1% per annum. We are required to pay a quarterly commitment fee, at an applicable rate of 0.5%, on the daily unused portion of the Credit Facility for each fiscal quarter during the Leverage Covenant Holiday and also additional fees in connection with the issuance of letters of credit. The Company may borrow from the Credit Facility in U.S. dollars and Euros. In addition, our Credit Facility includes $15 million of borrowing capacity available for letters of credit and $40 million for Swing Line borrowings on same-day notice. As of December 31, 2021, we had issued $3 million of outstanding letters of credit under the Credit Facility.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94" w:name="page95"/>
    <w:bookmarkEnd w:id="94"/>
    <w:p>
      <w:pPr>
        <w:ind w:firstLine="509"/>
        <w:spacing w:after="0" w:line="243" w:lineRule="auto"/>
        <w:rPr>
          <w:sz w:val="20"/>
          <w:szCs w:val="20"/>
          <w:color w:val="auto"/>
        </w:rPr>
      </w:pPr>
      <w:r>
        <w:rPr>
          <w:rFonts w:ascii="Arial" w:cs="Arial" w:eastAsia="Arial" w:hAnsi="Arial"/>
          <w:sz w:val="18"/>
          <w:szCs w:val="18"/>
          <w:color w:val="auto"/>
        </w:rPr>
        <w:t>As of both December 31, 2021 and 2020, the Company had no outstanding borrowings under the Credit Facility. During the first quarter of 2020, the Company borrowed $700 million under the Credit Facility. These funds were drawn down as a precautionary measure to reinforce the Company’s liquidity position and preserve financial flexibility in light of uncertainty in the global markets resulting from COVID-19. The Company repaid these borrowings in full in July 2020.</w:t>
      </w:r>
    </w:p>
    <w:p>
      <w:pPr>
        <w:spacing w:after="0" w:line="188"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We recorded interest and commitment fees on our Credit Facility of $3 million, $10 million and $2 million for the years ended December 31, 2021, 2020 and 2019, respectively, to interest expense on our consolidated statements of operations. In connection with the amendments to our Credit Facility in 2020, we incurred additional lender fees and debt financing costs totaling $7 million, which were capitalized as deferred financing costs and recorded to other long-term assets on the consolidated balance sheet, while $2 million of previously deferred financing costs related to the Credit Facility were immediately recognized to interest expense on our consolidated statement of operations for the year ended December 31, 2020. As of December 31, 2021, the Company had $4 million remaining in deferred financing costs in connection with the Credit Facility. These costs will be amortized over the remaining term of the Credit Facility, using the effective interest rate method, and recorded to interest expense on our consolidated statement of operations.</w:t>
      </w:r>
    </w:p>
    <w:p>
      <w:pPr>
        <w:spacing w:after="0" w:line="163" w:lineRule="exact"/>
        <w:rPr>
          <w:sz w:val="20"/>
          <w:szCs w:val="20"/>
          <w:color w:val="auto"/>
        </w:rPr>
      </w:pPr>
    </w:p>
    <w:p>
      <w:pPr>
        <w:ind w:right="60" w:firstLine="539"/>
        <w:spacing w:after="0" w:line="269" w:lineRule="auto"/>
        <w:rPr>
          <w:sz w:val="20"/>
          <w:szCs w:val="20"/>
          <w:color w:val="auto"/>
        </w:rPr>
      </w:pPr>
      <w:r>
        <w:rPr>
          <w:rFonts w:ascii="Arial" w:cs="Arial" w:eastAsia="Arial" w:hAnsi="Arial"/>
          <w:sz w:val="16"/>
          <w:szCs w:val="16"/>
          <w:color w:val="auto"/>
        </w:rPr>
        <w:t>There is no specific repayment date prior to the maturity date for any borrowings under the Credit Agreement. We may voluntarily repay any outstanding borrowing under the Credit Facility at any time without premium or penalty, other than customary breakage costs with respect to Eurocurrency loans. Additionally, the Company believes that the likelihood of the lender exercising any subjective acceleration rights, which would permit the lenders to accelerate repayment of any outstanding borrowings, is remote. As such, we classify any borrowings under this facility as long-term debt. The Credit Agreement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Credit Agreement also limits the Company from repurchasing shares of its common stock and paying dividends, among other restrictions, during the Leverage Covenant Holiday. In addition, to secure the obligations under the Credit Agreement, the Company and certain subsidiaries have granted security interests and liens in and on substantially all of their assets as well as pledged shares of certain of the Company’s subsidiaries. The Credit Agreement also contains certain customary affirmative covenants and events of default, including a change of control. If an event of default occurs, the lenders under the Credit Agreement will be entitled to take various actions, including the acceleration of all amounts due under the Credit Facility. As of December 31, 2021 and 2020, we were in compliance with our covenants.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Senior Notes</w:t>
      </w:r>
    </w:p>
    <w:p>
      <w:pPr>
        <w:spacing w:after="0" w:line="108"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On July 9, 2020, the Company completed the sale of $500 million aggregate principal amount of 7.0% Senior Notes due 2025 (the “2025 Senior Notes”), pursuant to a purchase agreement, dated July 7, 2020, among the Company, the guarantors party thereto and the initial purchasers party thereto in a private offering to qualified institutional buyers. The 2025 Senior Notes were issued pursuant to an indenture, dated July 9, 2020 (the “2025 Indenture”), among the Company, the guarantors and the trustee. The 2025 Indenture provides, among other things, that interest will be payable on the 2025 Senior Notes semiannually on January 15 and July 15 of each year, which began on January 15, 2021, and continue until their maturity date of July 15, 2025. The 2025 Senior Notes are senior unsecured obligations of the Company and are guaranteed by certain of the Company’s domestic subsidiaries.</w:t>
      </w:r>
    </w:p>
    <w:p>
      <w:pPr>
        <w:spacing w:after="0" w:line="162" w:lineRule="exact"/>
        <w:rPr>
          <w:sz w:val="20"/>
          <w:szCs w:val="20"/>
          <w:color w:val="auto"/>
        </w:rPr>
      </w:pPr>
    </w:p>
    <w:p>
      <w:pPr>
        <w:ind w:right="40" w:firstLine="554"/>
        <w:spacing w:after="0" w:line="255" w:lineRule="auto"/>
        <w:rPr>
          <w:sz w:val="20"/>
          <w:szCs w:val="20"/>
          <w:color w:val="auto"/>
        </w:rPr>
      </w:pPr>
      <w:r>
        <w:rPr>
          <w:rFonts w:ascii="Arial" w:cs="Arial" w:eastAsia="Arial" w:hAnsi="Arial"/>
          <w:sz w:val="17"/>
          <w:szCs w:val="17"/>
          <w:color w:val="auto"/>
        </w:rPr>
        <w:t>The Company has the option to redeem all or a portion of the 2025 Senior Notes at any time on or after July 15, 2022 at the redemption prices set forth in the 2025 Indenture, plus accrued and unpaid interest, if any. The Company may also redeem all or any portion of the 2025 Senior Notes at any time prior to July 15, 2022, at a price equal to 100% of the aggregate principal amount thereof plus a make-whole premium and accrued and unpaid interest, if any. In addition, before July 15, 2022, the Company may redeem up to 40% of the aggregate principal amount of the 2025 Senior Notes with the net proceeds of certain equity offerings at the redemption price set forth in the 2025 Indenture, provided that certain conditions are met. Subject to certain limitations, in the event of a Change of Control Triggering Event (as defined in the 2025 Indenture), the Company will be required to make an offer to purchase the 2025 Senior Notes at a price equal to 101% of the aggregate principal amount of the 2025 Senior Notes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5" w:name="page96"/>
    <w:bookmarkEnd w:id="95"/>
    <w:p>
      <w:pPr>
        <w:ind w:right="120"/>
        <w:spacing w:after="0" w:line="261" w:lineRule="auto"/>
        <w:rPr>
          <w:sz w:val="20"/>
          <w:szCs w:val="20"/>
          <w:color w:val="auto"/>
        </w:rPr>
      </w:pPr>
      <w:r>
        <w:rPr>
          <w:rFonts w:ascii="Arial" w:cs="Arial" w:eastAsia="Arial" w:hAnsi="Arial"/>
          <w:sz w:val="18"/>
          <w:szCs w:val="18"/>
          <w:color w:val="auto"/>
        </w:rPr>
        <w:t>repurchased, plus accrued and unpaid interest, if any, to the date of repurchase. These features have been evaluated as embedded derivatives under GAAP; however, the Company has concluded they do not meet the requirements to be accounted for separately.</w:t>
      </w:r>
    </w:p>
    <w:p>
      <w:pPr>
        <w:spacing w:after="0" w:line="171"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As of December 31, 2021 and 2020, unpaid interest on our 2025 Senior Notes totaled approximately $16 million and $17 million, respectively, and was included in accrued expenses and other current liabilities on our consolidated balance sheets, and $35 million and $17 million was recorded as interest expense on our consolidated statements of operations for the years ended December 31, 2021 and 2020, respectively. In the third quarter of 2020, the Company used all proceeds from the 2025 Senior Notes to repay a portion of our Credit Facility outstanding borrowings.</w:t>
      </w:r>
    </w:p>
    <w:p>
      <w:pPr>
        <w:spacing w:after="0" w:line="17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2025 Indenture contains covenants that, among other things and subject to certain exceptions and qualifications, restrict the ability of the Company and the ability of certain of its subsidiaries to incur or guarantee additional indebtedness or issue disqualified stock or certain preferred stock; pay dividends and make other distributions or repurchase stock; make certain investments; create or incur liens; sell assets; create restrictions affecting the ability of restricted subsidiaries to make distributions, loans or advances or transfer assets to the Company or the restricted subsidiaries; enter into certain transactions with the Company’s affiliates; designate restricted subsidiaries as unrestricted subsidiaries; and merge, consolidate or transfer or sell all or substantially all of the Company’s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Senior Notes</w:t>
      </w:r>
    </w:p>
    <w:p>
      <w:pPr>
        <w:spacing w:after="0" w:line="216"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On March 25, 2021, we entered into a purchase agreement for the sale of $300 million aggregate principal amount of 0.25% Convertible 2026 Senior Notes due 2026 (the “2026 Senior Notes”) in a private offering to qualified institutional buyers. The 2026 Senior Notes included of an over-allotment option that provided the initial purchasers of the 2026 Senior Notes with the option to purchase an additional $45 million aggregate principal amount of the 2026 Senior Notes; such over-allotment option was fully exercised. In connection with the issuance of the 2026 Senior Notes, the Company entered into an Indenture, dated March 25, 2021 (the “2026 Indenture”), among the Company, the guarantors party thereto and the trustee. The terms of the 2026 Senior Notes are governed by the 2026 Indenture. The 2026 Senior Notes mature on April 1, 2026, unless earlier converted, redeemed or repurchased. The 2026 Senior Notes are senior unsecured obligations of the Company, although guaranteed by certain of the Company’s domestic subsidiaries, with interest payable semiannually in arrears on April 1 and October 1 of each year, which began on October 1, 2021. As of December 31, 2021, unpaid interest on our 2026 Senior Notes was not material.</w:t>
      </w:r>
    </w:p>
    <w:p>
      <w:pPr>
        <w:spacing w:after="0" w:line="184"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The 2026 Senior Notes will be redeemable, in whole or in part, at our option at any time, and from time to time, on or after April 1, 2024 and on or before the 30th scheduled trading day immediately before the maturity date, at a cash redemption price equal to the principal amount of the 2026 Senior Notes to be redeemed, plus accrued and unpaid interest, if any, but only if the last reported sale price per share of our common stock exceeds 130% of the conversion price on (1) each of at least 20 trading days, whether or not consecutive, during the 30 consecutive trading days ending on, and including, the trading day immediately before the date we send the related redemption notice; and (2) the trading day immediately before the date we send such notice. In addition, calling any such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63" w:lineRule="exact"/>
        <w:rPr>
          <w:sz w:val="20"/>
          <w:szCs w:val="20"/>
          <w:color w:val="auto"/>
        </w:rPr>
      </w:pPr>
    </w:p>
    <w:p>
      <w:pPr>
        <w:jc w:val="both"/>
        <w:ind w:right="80" w:firstLine="509"/>
        <w:spacing w:after="0" w:line="284" w:lineRule="auto"/>
        <w:rPr>
          <w:sz w:val="20"/>
          <w:szCs w:val="20"/>
          <w:color w:val="auto"/>
        </w:rPr>
      </w:pPr>
      <w:r>
        <w:rPr>
          <w:rFonts w:ascii="Arial" w:cs="Arial" w:eastAsia="Arial" w:hAnsi="Arial"/>
          <w:sz w:val="16"/>
          <w:szCs w:val="16"/>
          <w:color w:val="auto"/>
        </w:rPr>
        <w:t>The 2026 Senior Notes are unconditionally guaranteed, on a joint and several basis, by the guarantors on a senior, unsecured basis. The 2026 Senior Notes are our general senior unsecured obligations and rank equally in right of payment with all of our existing and future senior indebtedness, and senior in right of payment to all of our future subordinated indebtedness. The 2026 Senior Notes will be effectively subordinated to any of our existing and future secured indebtedness, including borrowings under our Credit Facility, to the extent of the value of the assets securing such indebtedness.</w:t>
      </w:r>
    </w:p>
    <w:p>
      <w:pPr>
        <w:spacing w:after="0" w:line="155"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Holders may convert their 2026 Senior Notes at any time prior to the close of business on the business day immediately preceding January 1, 2026, in multiples of $1,000 principal amount, only under the following conditions and circumstances: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6" w:name="page97"/>
    <w:bookmarkEnd w:id="96"/>
    <w:p>
      <w:pPr>
        <w:ind w:left="1020" w:right="60" w:hanging="503"/>
        <w:spacing w:after="0" w:line="243"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June 30, 2021 (and only during such calendar quarter), if the last reported sale price of our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p>
    <w:p>
      <w:pPr>
        <w:spacing w:after="0" w:line="79" w:lineRule="exact"/>
        <w:rPr>
          <w:rFonts w:ascii="Arial" w:cs="Arial" w:eastAsia="Arial" w:hAnsi="Arial"/>
          <w:sz w:val="18"/>
          <w:szCs w:val="18"/>
          <w:color w:val="auto"/>
        </w:rPr>
      </w:pPr>
    </w:p>
    <w:p>
      <w:pPr>
        <w:jc w:val="both"/>
        <w:ind w:left="1020" w:right="120" w:hanging="503"/>
        <w:spacing w:after="0" w:line="248"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(the “measurement period”) in which the trading price per $1,000 principal amount of 2026 Senior Notes for each trading day of the measurement period was less than 98% of the product of the last reported sale price of our common stock and the conversion rate on each such trading day; or</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described in the 2026 Indenture.</w:t>
      </w:r>
    </w:p>
    <w:p>
      <w:pPr>
        <w:spacing w:after="0" w:line="212"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In addition, holders may convert their 2026 Senior Notes, in multiples of $1,000 principal amount, at their option at any time beginning on or after January 1, 2026, and prior to the close of business on the second scheduled trading day immediately preceding the stated maturity date of the 2026 Senior Notes, without regard to the foregoing circumstances.</w:t>
      </w:r>
    </w:p>
    <w:p>
      <w:pPr>
        <w:spacing w:after="0" w:line="182"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The initial conversion rate for the 2026 Senior Notes is 13.5483 shares of common stock per $1,000 principal amount of 2026 Senior Notes, which is equivalent to an initial conversion price of approximately $73.81 per share of common stock, or approximately 4.7 million shares of common stock, subject to adjustment upon the occurrence of certain specified events as set forth in the 2026 Indenture. Upon conversion, the Company may choose to pay or deliver, as the case may be, cash, shares of common stock or a combination of cash and shares of common stock.</w:t>
      </w:r>
    </w:p>
    <w:p>
      <w:pPr>
        <w:spacing w:after="0" w:line="172"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The Company accounts for the 2026 Senior Notes as a liability measured at its amortized cost, and no other features of the 2026 Senior Notes are bifurcated and recognized as a derivative. The proceeds from the issuance of the 2026 Senior Notes were approximately $340 million, net of debt issuance costs of $5 million comprised primarily of the initial purchasers’ discount, and the Company used a portion of the proceeds from the 2026 Senior Notes to enter into capped call transactions, as discussed below. The Company intends to use the remainder of the proceeds from this offering for general corporate purposes, which may include repayment of debt, including the partial redemption and/or purchase of our 2025 Senior Notes prior to maturity. The debt issuance costs will be amortized over the remaining term of the 2026 Senior Notes, using the effective interest rate method, and recorded to interest expense on our consolidated statement of operations. During the year ended December 31, 2021, our effective interest rate on our 2026 Senior Notes, including debt issuance costs, was approximately 0.53%, and $1 million was recorded as interest expense on our consolidated statement of operations for the year ended December 31, 2021.</w:t>
      </w:r>
    </w:p>
    <w:p>
      <w:pPr>
        <w:spacing w:after="0" w:line="184"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212529"/>
        </w:rPr>
        <w:t>The 2026 Senior Notes are unsecured and do not contain any financial covenants, restrictions on dividends, incurrence of senior debt or other indebtedness, or restrictions on the issuance or repurchase of securities by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C2C2C"/>
        </w:rPr>
        <w:t>Capped Call Transactions</w:t>
      </w:r>
    </w:p>
    <w:p>
      <w:pPr>
        <w:spacing w:after="0" w:line="212"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In connection with the issuance of the 2026 Senior Notes, the Company entered into privately negotiated capped call transactions (the “Capped Calls”) with certain of the initial purchasers of the 2026 Senior Notes and/or their respective affiliates and/or other financial institutions (the “Option Counterparties”) at a cost of approximately $35 million. The Capped Calls are separate transactions entered into by the Company with each of the Option Counterparties, and are not part of the terms of the 2026 Senior Notes and therefore will not affect any noteholder’s rights under the 2026 Senior Notes. Noteholders will not have any rights with respect to the Capped Calls.</w:t>
      </w:r>
    </w:p>
    <w:p>
      <w:pPr>
        <w:spacing w:after="0" w:line="18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Capped Calls cover, subject to anti-dilution adjustments, substantially similar to those applicable to the conversion rate of the 2026 Senior Notes, the number of shares of common stock initially underlying the 2026 Senior Notes, or up to approximately 4.7 million shares of our common stock. The Capped Calls are expected generally to reduce potential dilution to the common stock upon any conversion of 2026 Senior Notes and/or offset any potential cash payments the Company is required to make in excess of the principal amount of such converted 2026 Senior Notes, as the case may be, with such reduction and/or offset subject to a cap. The strike price of the</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76" w:right="419" w:bottom="1440" w:gutter="0" w:footer="0" w:header="0"/>
        </w:sectPr>
      </w:pPr>
    </w:p>
    <w:bookmarkStart w:id="97" w:name="page98"/>
    <w:bookmarkEnd w:id="97"/>
    <w:p>
      <w:pPr>
        <w:ind w:right="140"/>
        <w:spacing w:after="0" w:line="248" w:lineRule="auto"/>
        <w:rPr>
          <w:sz w:val="20"/>
          <w:szCs w:val="20"/>
          <w:color w:val="auto"/>
        </w:rPr>
      </w:pPr>
      <w:r>
        <w:rPr>
          <w:rFonts w:ascii="Arial" w:cs="Arial" w:eastAsia="Arial" w:hAnsi="Arial"/>
          <w:sz w:val="18"/>
          <w:szCs w:val="18"/>
          <w:color w:val="auto"/>
        </w:rPr>
        <w:t>Capped Calls is $73.81, while the cap price of the Capped Calls will initially be $107.36 per share of our common stock, which represents a premium of 100% over the close price of our common stock of $53.68 per share on March 22, 2021 and is subject to certain customary adjustments under the terms of the Capped Calls.</w:t>
      </w:r>
    </w:p>
    <w:p>
      <w:pPr>
        <w:spacing w:after="0" w:line="182"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The Capped Calls are considered indexed to our own stock and are considered equity classified under GAAP, and included as a reduction to additional paid-in-capital within stockholders’ equity on the consolidated balance sheet as of December 31, 2021. The Capped Calls are not accounted for as derivatives and their fair value is not remeasured each reporting period. In addition, we recorded a deferred tax asset of $9 million associated with the Capped Calls on our consolidated balance sheet as of December 31, 2021, as we made an income tax election allowable under the IRS regulations in order to recover the cost of the Capped Calls as interest expense for income tax purposes only over the term of the 2026 Senior Notes.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LONG-TERM LIABILITIES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long-term liabilities consisted of the following for the periods presented:</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3"/>
              </w:rPr>
              <w:t>December 31, 2021</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December 31, 2020</w:t>
            </w:r>
          </w:p>
        </w:tc>
        <w:tc>
          <w:tcPr>
            <w:tcW w:w="6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35"/>
              <w:spacing w:after="0"/>
              <w:rPr>
                <w:sz w:val="20"/>
                <w:szCs w:val="20"/>
                <w:color w:val="auto"/>
              </w:rPr>
            </w:pPr>
            <w:r>
              <w:rPr>
                <w:rFonts w:ascii="Arial" w:cs="Arial" w:eastAsia="Arial" w:hAnsi="Arial"/>
                <w:sz w:val="14"/>
                <w:szCs w:val="14"/>
                <w:b w:val="1"/>
                <w:bCs w:val="1"/>
                <w:color w:val="auto"/>
              </w:rPr>
              <w:t>(in</w:t>
            </w:r>
          </w:p>
        </w:tc>
        <w:tc>
          <w:tcPr>
            <w:tcW w:w="1640" w:type="dxa"/>
            <w:vAlign w:val="bottom"/>
            <w:gridSpan w:val="3"/>
          </w:tcPr>
          <w:p>
            <w:pPr>
              <w:jc w:val="right"/>
              <w:ind w:right="1093"/>
              <w:spacing w:after="0"/>
              <w:rPr>
                <w:sz w:val="20"/>
                <w:szCs w:val="20"/>
                <w:color w:val="auto"/>
              </w:rPr>
            </w:pPr>
            <w:r>
              <w:rPr>
                <w:rFonts w:ascii="Arial" w:cs="Arial" w:eastAsia="Arial" w:hAnsi="Arial"/>
                <w:sz w:val="14"/>
                <w:szCs w:val="14"/>
                <w:b w:val="1"/>
                <w:bCs w:val="1"/>
                <w:color w:val="auto"/>
                <w:w w:val="76"/>
              </w:rPr>
              <w:t>millions)</w:t>
            </w:r>
          </w:p>
        </w:tc>
        <w:tc>
          <w:tcPr>
            <w:tcW w:w="60" w:type="dxa"/>
            <w:vAlign w:val="bottom"/>
          </w:tcPr>
          <w:p>
            <w:pPr>
              <w:spacing w:after="0"/>
              <w:rPr>
                <w:sz w:val="14"/>
                <w:szCs w:val="14"/>
                <w:color w:val="auto"/>
              </w:rPr>
            </w:pPr>
          </w:p>
        </w:tc>
      </w:tr>
      <w:tr>
        <w:trPr>
          <w:trHeight w:val="203"/>
        </w:trPr>
        <w:tc>
          <w:tcPr>
            <w:tcW w:w="5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Unrecognized tax benefits (1)</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w:t>
            </w:r>
          </w:p>
        </w:tc>
        <w:tc>
          <w:tcPr>
            <w:tcW w:w="60" w:type="dxa"/>
            <w:vAlign w:val="bottom"/>
            <w:shd w:val="clear" w:color="auto" w:fill="CFF0FC"/>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Deferred gain on equity method investment (2)</w:t>
            </w: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6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income taxes payable</w:t>
            </w: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60" w:type="dxa"/>
            <w:vAlign w:val="bottom"/>
          </w:tcPr>
          <w:p>
            <w:pPr>
              <w:spacing w:after="0"/>
              <w:rPr>
                <w:sz w:val="17"/>
                <w:szCs w:val="17"/>
                <w:color w:val="auto"/>
              </w:rPr>
            </w:pPr>
          </w:p>
        </w:tc>
      </w:tr>
      <w:tr>
        <w:trPr>
          <w:trHeight w:val="236"/>
        </w:trPr>
        <w:tc>
          <w:tcPr>
            <w:tcW w:w="5840" w:type="dxa"/>
            <w:vAlign w:val="bottom"/>
            <w:tcBorders>
              <w:bottom w:val="single" w:sz="8" w:color="CFF0FC"/>
            </w:tcBorders>
            <w:shd w:val="clear" w:color="auto" w:fill="CFF0FC"/>
          </w:tcPr>
          <w:p>
            <w:pPr>
              <w:ind w:left="240"/>
              <w:spacing w:after="0" w:line="182"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215</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-25400</wp:posOffset>
            </wp:positionV>
            <wp:extent cx="514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51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431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431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8" w:lineRule="exact"/>
        <w:rPr>
          <w:sz w:val="20"/>
          <w:szCs w:val="20"/>
          <w:color w:val="auto"/>
        </w:rPr>
      </w:pPr>
    </w:p>
    <w:p>
      <w:pPr>
        <w:ind w:left="1140" w:hanging="383"/>
        <w:spacing w:after="0"/>
        <w:tabs>
          <w:tab w:leader="none" w:pos="11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Refer to “Note 12: </w:t>
      </w:r>
      <w:r>
        <w:rPr>
          <w:rFonts w:ascii="Arial" w:cs="Arial" w:eastAsia="Arial" w:hAnsi="Arial"/>
          <w:sz w:val="16"/>
          <w:szCs w:val="16"/>
          <w:i w:val="1"/>
          <w:iCs w:val="1"/>
          <w:color w:val="auto"/>
        </w:rPr>
        <w:t>Income Taxes</w:t>
      </w:r>
      <w:r>
        <w:rPr>
          <w:rFonts w:ascii="Arial" w:cs="Arial" w:eastAsia="Arial" w:hAnsi="Arial"/>
          <w:sz w:val="16"/>
          <w:szCs w:val="16"/>
          <w:color w:val="auto"/>
        </w:rPr>
        <w:t>” for information on our unrecognized tax benefits. Amounts include accrued interest related to this liability.</w:t>
      </w:r>
    </w:p>
    <w:p>
      <w:pPr>
        <w:spacing w:after="0" w:line="5" w:lineRule="exact"/>
        <w:rPr>
          <w:rFonts w:ascii="Arial" w:cs="Arial" w:eastAsia="Arial" w:hAnsi="Arial"/>
          <w:sz w:val="16"/>
          <w:szCs w:val="16"/>
          <w:color w:val="auto"/>
        </w:rPr>
      </w:pPr>
    </w:p>
    <w:p>
      <w:pPr>
        <w:ind w:left="1140" w:right="120" w:hanging="383"/>
        <w:spacing w:after="0" w:line="239" w:lineRule="auto"/>
        <w:tabs>
          <w:tab w:leader="none" w:pos="11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Amount relates to long-term portion of a deferred income liability recorded as a result of an equity method investment made in the fourth quarter of 2019. Refer to “Note 5: </w:t>
      </w:r>
      <w:r>
        <w:rPr>
          <w:rFonts w:ascii="Arial" w:cs="Arial" w:eastAsia="Arial" w:hAnsi="Arial"/>
          <w:sz w:val="16"/>
          <w:szCs w:val="16"/>
          <w:i w:val="1"/>
          <w:iCs w:val="1"/>
          <w:color w:val="auto"/>
        </w:rPr>
        <w:t>Financial Instruments and Fair Value Measurements</w:t>
      </w:r>
      <w:r>
        <w:rPr>
          <w:rFonts w:ascii="Arial" w:cs="Arial" w:eastAsia="Arial" w:hAnsi="Arial"/>
          <w:sz w:val="16"/>
          <w:szCs w:val="16"/>
          <w:color w:val="auto"/>
        </w:rPr>
        <w:t>” for additional information.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summary of our domestic and foreign income (loss) before income taxes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120" w:type="dxa"/>
            <w:vAlign w:val="bottom"/>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3"/>
        </w:trPr>
        <w:tc>
          <w:tcPr>
            <w:tcW w:w="1140" w:type="dxa"/>
            <w:vAlign w:val="bottom"/>
          </w:tcPr>
          <w:p>
            <w:pPr>
              <w:spacing w:after="0"/>
              <w:rPr>
                <w:sz w:val="17"/>
                <w:szCs w:val="17"/>
                <w:color w:val="auto"/>
              </w:rPr>
            </w:pPr>
          </w:p>
        </w:tc>
        <w:tc>
          <w:tcPr>
            <w:tcW w:w="3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Domestic</w:t>
            </w:r>
          </w:p>
        </w:tc>
        <w:tc>
          <w:tcPr>
            <w:tcW w:w="2560" w:type="dxa"/>
            <w:vAlign w:val="bottom"/>
            <w:gridSpan w:val="2"/>
            <w:shd w:val="clear" w:color="auto" w:fill="CFF0FC"/>
          </w:tcPr>
          <w:p>
            <w:pPr>
              <w:jc w:val="right"/>
              <w:ind w:right="519"/>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w w:val="84"/>
              </w:rPr>
              <w:t>(127 )</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(262 )</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4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1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(58 )</w:t>
            </w:r>
          </w:p>
        </w:tc>
        <w:tc>
          <w:tcPr>
            <w:tcW w:w="100" w:type="dxa"/>
            <w:vAlign w:val="bottom"/>
          </w:tcPr>
          <w:p>
            <w:pPr>
              <w:spacing w:after="0"/>
              <w:rPr>
                <w:sz w:val="17"/>
                <w:szCs w:val="17"/>
                <w:color w:val="auto"/>
              </w:rPr>
            </w:pPr>
          </w:p>
        </w:tc>
        <w:tc>
          <w:tcPr>
            <w:tcW w:w="11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(107 )</w:t>
            </w: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34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18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ind w:right="519"/>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(185</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(369</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194</w:t>
            </w:r>
          </w:p>
        </w:tc>
        <w:tc>
          <w:tcPr>
            <w:tcW w:w="1120" w:type="dxa"/>
            <w:vAlign w:val="bottom"/>
          </w:tcPr>
          <w:p>
            <w:pPr>
              <w:spacing w:after="0"/>
              <w:rPr>
                <w:sz w:val="20"/>
                <w:szCs w:val="20"/>
                <w:color w:val="auto"/>
              </w:rPr>
            </w:pPr>
          </w:p>
        </w:tc>
      </w:tr>
      <w:tr>
        <w:trPr>
          <w:trHeight w:val="642"/>
        </w:trPr>
        <w:tc>
          <w:tcPr>
            <w:tcW w:w="1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60" w:type="dxa"/>
            <w:vAlign w:val="bottom"/>
          </w:tcPr>
          <w:p>
            <w:pPr>
              <w:jc w:val="right"/>
              <w:ind w:right="630"/>
              <w:spacing w:after="0"/>
              <w:rPr>
                <w:sz w:val="20"/>
                <w:szCs w:val="20"/>
                <w:color w:val="auto"/>
              </w:rPr>
            </w:pPr>
            <w:r>
              <w:rPr>
                <w:rFonts w:ascii="Arial" w:cs="Arial" w:eastAsia="Arial" w:hAnsi="Arial"/>
                <w:sz w:val="18"/>
                <w:szCs w:val="18"/>
                <w:color w:val="auto"/>
              </w:rPr>
              <w:t>96</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44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-522605</wp:posOffset>
            </wp:positionV>
            <wp:extent cx="7683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-505460</wp:posOffset>
            </wp:positionV>
            <wp:extent cx="7683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-522605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-505460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-522605</wp:posOffset>
            </wp:positionV>
            <wp:extent cx="431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-505460</wp:posOffset>
            </wp:positionV>
            <wp:extent cx="431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8" w:name="page99"/>
    <w:bookmarkEnd w:id="98"/>
    <w:p>
      <w:pPr>
        <w:ind w:left="520"/>
        <w:spacing w:after="0"/>
        <w:rPr>
          <w:sz w:val="20"/>
          <w:szCs w:val="20"/>
          <w:color w:val="auto"/>
        </w:rPr>
      </w:pPr>
      <w:r>
        <w:rPr>
          <w:rFonts w:ascii="Arial" w:cs="Arial" w:eastAsia="Arial" w:hAnsi="Arial"/>
          <w:sz w:val="18"/>
          <w:szCs w:val="18"/>
          <w:color w:val="auto"/>
        </w:rPr>
        <w:t>The components of our provision (benefit) for income taxes consisted of the following for the periods presented:</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ind w:right="127"/>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69"/>
        </w:trPr>
        <w:tc>
          <w:tcPr>
            <w:tcW w:w="5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(in millions)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expense (benefit):</w:t>
            </w:r>
          </w:p>
        </w:tc>
        <w:tc>
          <w:tcPr>
            <w:tcW w:w="7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3"/>
        </w:trPr>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700" w:type="dxa"/>
            <w:vAlign w:val="bottom"/>
          </w:tcPr>
          <w:p>
            <w:pPr>
              <w:jc w:val="right"/>
              <w:ind w:right="516"/>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(73 )</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r>
      <w:tr>
        <w:trPr>
          <w:trHeight w:val="203"/>
        </w:trPr>
        <w:tc>
          <w:tcPr>
            <w:tcW w:w="53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State</w:t>
            </w:r>
          </w:p>
        </w:tc>
        <w:tc>
          <w:tcPr>
            <w:tcW w:w="7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(1 )</w:t>
            </w: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(3 )</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Foreign</w:t>
            </w:r>
          </w:p>
        </w:tc>
        <w:tc>
          <w:tcPr>
            <w:tcW w:w="70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(3 )</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r>
      <w:tr>
        <w:trPr>
          <w:trHeight w:val="196"/>
        </w:trPr>
        <w:tc>
          <w:tcPr>
            <w:tcW w:w="5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income tax expense (benefit)</w:t>
            </w:r>
          </w:p>
        </w:tc>
        <w:tc>
          <w:tcPr>
            <w:tcW w:w="7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7"/>
                <w:szCs w:val="17"/>
                <w:color w:val="auto"/>
              </w:rPr>
            </w:pPr>
          </w:p>
        </w:tc>
      </w:t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Deferred income tax expense (benefit):</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3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Federal</w:t>
            </w:r>
          </w:p>
        </w:tc>
        <w:tc>
          <w:tcPr>
            <w:tcW w:w="7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8"/>
                <w:szCs w:val="18"/>
                <w:color w:val="auto"/>
              </w:rPr>
            </w:pPr>
          </w:p>
        </w:tc>
      </w:tr>
      <w:tr>
        <w:trPr>
          <w:trHeight w:val="203"/>
        </w:trPr>
        <w:tc>
          <w:tcPr>
            <w:tcW w:w="5360" w:type="dxa"/>
            <w:vAlign w:val="bottom"/>
          </w:tcPr>
          <w:p>
            <w:pPr>
              <w:ind w:left="180"/>
              <w:spacing w:after="0" w:line="202" w:lineRule="exact"/>
              <w:rPr>
                <w:sz w:val="20"/>
                <w:szCs w:val="20"/>
                <w:color w:val="auto"/>
              </w:rPr>
            </w:pPr>
            <w:r>
              <w:rPr>
                <w:rFonts w:ascii="Arial" w:cs="Arial" w:eastAsia="Arial" w:hAnsi="Arial"/>
                <w:sz w:val="18"/>
                <w:szCs w:val="18"/>
                <w:color w:val="auto"/>
              </w:rPr>
              <w:t>State</w:t>
            </w:r>
          </w:p>
        </w:tc>
        <w:tc>
          <w:tcPr>
            <w:tcW w:w="700" w:type="dxa"/>
            <w:vAlign w:val="bottom"/>
          </w:tcPr>
          <w:p>
            <w:pPr>
              <w:spacing w:after="0"/>
              <w:rPr>
                <w:sz w:val="17"/>
                <w:szCs w:val="17"/>
                <w:color w:val="auto"/>
              </w:rPr>
            </w:pPr>
          </w:p>
        </w:tc>
        <w:tc>
          <w:tcPr>
            <w:tcW w:w="5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(5 )</w:t>
            </w:r>
          </w:p>
        </w:tc>
        <w:tc>
          <w:tcPr>
            <w:tcW w:w="100" w:type="dxa"/>
            <w:vAlign w:val="bottom"/>
          </w:tcPr>
          <w:p>
            <w:pPr>
              <w:spacing w:after="0"/>
              <w:rPr>
                <w:sz w:val="17"/>
                <w:szCs w:val="17"/>
                <w:color w:val="auto"/>
              </w:rPr>
            </w:pPr>
          </w:p>
        </w:tc>
        <w:tc>
          <w:tcPr>
            <w:tcW w:w="114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(10 )</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r>
      <w:tr>
        <w:trPr>
          <w:trHeight w:val="203"/>
        </w:trPr>
        <w:tc>
          <w:tcPr>
            <w:tcW w:w="53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Foreign</w:t>
            </w:r>
          </w:p>
        </w:tc>
        <w:tc>
          <w:tcPr>
            <w:tcW w:w="7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(18 )</w:t>
            </w: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(4 )</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(26 )</w:t>
            </w:r>
          </w:p>
        </w:tc>
      </w:tr>
      <w:tr>
        <w:trPr>
          <w:trHeight w:val="20"/>
        </w:trPr>
        <w:tc>
          <w:tcPr>
            <w:tcW w:w="53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360" w:type="dxa"/>
            <w:vAlign w:val="bottom"/>
          </w:tcPr>
          <w:p>
            <w:pPr>
              <w:spacing w:after="0" w:line="196" w:lineRule="exact"/>
              <w:rPr>
                <w:sz w:val="20"/>
                <w:szCs w:val="20"/>
                <w:color w:val="auto"/>
              </w:rPr>
            </w:pPr>
            <w:r>
              <w:rPr>
                <w:rFonts w:ascii="Arial" w:cs="Arial" w:eastAsia="Arial" w:hAnsi="Arial"/>
                <w:sz w:val="18"/>
                <w:szCs w:val="18"/>
                <w:color w:val="auto"/>
              </w:rPr>
              <w:t>Deferred income tax expense (benefit)</w:t>
            </w:r>
          </w:p>
        </w:tc>
        <w:tc>
          <w:tcPr>
            <w:tcW w:w="700" w:type="dxa"/>
            <w:vAlign w:val="bottom"/>
          </w:tcPr>
          <w:p>
            <w:pPr>
              <w:spacing w:after="0"/>
              <w:rPr>
                <w:sz w:val="17"/>
                <w:szCs w:val="17"/>
                <w:color w:val="auto"/>
              </w:rPr>
            </w:pPr>
          </w:p>
        </w:tc>
        <w:tc>
          <w:tcPr>
            <w:tcW w:w="5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(44 )</w:t>
            </w:r>
          </w:p>
        </w:tc>
        <w:tc>
          <w:tcPr>
            <w:tcW w:w="100" w:type="dxa"/>
            <w:vAlign w:val="bottom"/>
          </w:tcPr>
          <w:p>
            <w:pPr>
              <w:spacing w:after="0"/>
              <w:rPr>
                <w:sz w:val="17"/>
                <w:szCs w:val="17"/>
                <w:color w:val="auto"/>
              </w:rPr>
            </w:pPr>
          </w:p>
        </w:tc>
        <w:tc>
          <w:tcPr>
            <w:tcW w:w="114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(1 )</w:t>
            </w:r>
          </w:p>
        </w:tc>
        <w:tc>
          <w:tcPr>
            <w:tcW w:w="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r>
      <w:tr>
        <w:trPr>
          <w:trHeight w:val="236"/>
        </w:trPr>
        <w:tc>
          <w:tcPr>
            <w:tcW w:w="53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Provision (benefit) for income taxes</w:t>
            </w:r>
          </w:p>
        </w:tc>
        <w:tc>
          <w:tcPr>
            <w:tcW w:w="700" w:type="dxa"/>
            <w:vAlign w:val="bottom"/>
            <w:tcBorders>
              <w:top w:val="single" w:sz="8" w:color="auto"/>
              <w:bottom w:val="single" w:sz="8" w:color="auto"/>
            </w:tcBorders>
            <w:shd w:val="clear" w:color="auto" w:fill="CFF0FC"/>
          </w:tcPr>
          <w:p>
            <w:pPr>
              <w:jc w:val="right"/>
              <w:ind w:right="516"/>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-296545</wp:posOffset>
            </wp:positionV>
            <wp:extent cx="76835"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-296545</wp:posOffset>
            </wp:positionV>
            <wp:extent cx="6858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-296545</wp:posOffset>
            </wp:positionV>
            <wp:extent cx="6858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-25400</wp:posOffset>
            </wp:positionV>
            <wp:extent cx="7683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significant components of our deferred tax assets and deferred tax liabilities consisted of the following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7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83"/>
              </w:rPr>
              <w:t>millions)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120" w:type="dxa"/>
            <w:vAlign w:val="bottom"/>
          </w:tcPr>
          <w:p>
            <w:pPr>
              <w:jc w:val="right"/>
              <w:ind w:right="933"/>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7"/>
                <w:szCs w:val="17"/>
                <w:color w:val="auto"/>
              </w:rPr>
            </w:pP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operating loss carryforwards</w:t>
            </w:r>
          </w:p>
        </w:tc>
        <w:tc>
          <w:tcPr>
            <w:tcW w:w="11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Provision for accrued expenses</w:t>
            </w:r>
          </w:p>
        </w:tc>
        <w:tc>
          <w:tcPr>
            <w:tcW w:w="1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 financing obligation</w:t>
            </w:r>
          </w:p>
        </w:tc>
        <w:tc>
          <w:tcPr>
            <w:tcW w:w="11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Foreign advertising spend</w:t>
            </w:r>
          </w:p>
        </w:tc>
        <w:tc>
          <w:tcPr>
            <w:tcW w:w="1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Tax credit carryforward</w:t>
            </w:r>
          </w:p>
        </w:tc>
        <w:tc>
          <w:tcPr>
            <w:tcW w:w="11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7"/>
                <w:szCs w:val="17"/>
                <w:color w:val="auto"/>
              </w:rPr>
            </w:pPr>
          </w:p>
        </w:tc>
      </w:tr>
      <w:tr>
        <w:trPr>
          <w:trHeight w:val="202"/>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Interest carryforward</w:t>
            </w:r>
          </w:p>
        </w:tc>
        <w:tc>
          <w:tcPr>
            <w:tcW w:w="1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Total deferred tax assets</w:t>
            </w:r>
          </w:p>
        </w:tc>
        <w:tc>
          <w:tcPr>
            <w:tcW w:w="1120" w:type="dxa"/>
            <w:vAlign w:val="bottom"/>
          </w:tcPr>
          <w:p>
            <w:pPr>
              <w:jc w:val="right"/>
              <w:ind w:right="933"/>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270</w:t>
            </w:r>
          </w:p>
        </w:tc>
        <w:tc>
          <w:tcPr>
            <w:tcW w:w="280" w:type="dxa"/>
            <w:vAlign w:val="bottom"/>
          </w:tcPr>
          <w:p>
            <w:pPr>
              <w:spacing w:after="0"/>
              <w:rPr>
                <w:sz w:val="17"/>
                <w:szCs w:val="17"/>
                <w:color w:val="auto"/>
              </w:rPr>
            </w:pPr>
          </w:p>
        </w:tc>
        <w:tc>
          <w:tcPr>
            <w:tcW w:w="46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206</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valuation allowance</w:t>
            </w:r>
          </w:p>
        </w:tc>
        <w:tc>
          <w:tcPr>
            <w:tcW w:w="1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19"/>
              <w:spacing w:after="0" w:line="202" w:lineRule="exact"/>
              <w:rPr>
                <w:sz w:val="20"/>
                <w:szCs w:val="20"/>
                <w:color w:val="auto"/>
              </w:rPr>
            </w:pPr>
            <w:r>
              <w:rPr>
                <w:rFonts w:ascii="Arial" w:cs="Arial" w:eastAsia="Arial" w:hAnsi="Arial"/>
                <w:sz w:val="18"/>
                <w:szCs w:val="18"/>
                <w:color w:val="auto"/>
              </w:rPr>
              <w:t>(123 )</w:t>
            </w:r>
          </w:p>
        </w:tc>
        <w:tc>
          <w:tcPr>
            <w:tcW w:w="4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(106 )</w:t>
            </w:r>
          </w:p>
        </w:tc>
      </w:tr>
      <w:tr>
        <w:trPr>
          <w:trHeight w:val="196"/>
        </w:trPr>
        <w:tc>
          <w:tcPr>
            <w:tcW w:w="76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Net deferred tax assets</w:t>
            </w:r>
          </w:p>
        </w:tc>
        <w:tc>
          <w:tcPr>
            <w:tcW w:w="1120" w:type="dxa"/>
            <w:vAlign w:val="bottom"/>
            <w:tcBorders>
              <w:top w:val="single" w:sz="8" w:color="auto"/>
              <w:bottom w:val="single" w:sz="8" w:color="auto"/>
            </w:tcBorders>
          </w:tcPr>
          <w:p>
            <w:pPr>
              <w:jc w:val="right"/>
              <w:ind w:right="933"/>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w:t>
            </w:r>
          </w:p>
        </w:tc>
        <w:tc>
          <w:tcPr>
            <w:tcW w:w="280" w:type="dxa"/>
            <w:vAlign w:val="bottom"/>
            <w:tcBorders>
              <w:top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00" w:type="dxa"/>
            <w:vAlign w:val="bottom"/>
            <w:tcBorders>
              <w:top w:val="single" w:sz="8" w:color="CFF0FC"/>
            </w:tcBorders>
          </w:tcPr>
          <w:p>
            <w:pPr>
              <w:spacing w:after="0"/>
              <w:rPr>
                <w:sz w:val="17"/>
                <w:szCs w:val="17"/>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1120" w:type="dxa"/>
            <w:vAlign w:val="bottom"/>
          </w:tcPr>
          <w:p>
            <w:pPr>
              <w:jc w:val="right"/>
              <w:ind w:right="933"/>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19"/>
              <w:spacing w:after="0" w:line="202" w:lineRule="exact"/>
              <w:rPr>
                <w:sz w:val="20"/>
                <w:szCs w:val="20"/>
                <w:color w:val="auto"/>
              </w:rPr>
            </w:pPr>
            <w:r>
              <w:rPr>
                <w:rFonts w:ascii="Arial" w:cs="Arial" w:eastAsia="Arial" w:hAnsi="Arial"/>
                <w:sz w:val="18"/>
                <w:szCs w:val="18"/>
                <w:color w:val="auto"/>
              </w:rPr>
              <w:t>(51 )</w:t>
            </w: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(53 )</w:t>
            </w: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1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19"/>
              <w:spacing w:after="0" w:line="202" w:lineRule="exact"/>
              <w:rPr>
                <w:sz w:val="20"/>
                <w:szCs w:val="20"/>
                <w:color w:val="auto"/>
              </w:rPr>
            </w:pPr>
            <w:r>
              <w:rPr>
                <w:rFonts w:ascii="Arial" w:cs="Arial" w:eastAsia="Arial" w:hAnsi="Arial"/>
                <w:sz w:val="18"/>
                <w:szCs w:val="18"/>
                <w:color w:val="auto"/>
              </w:rPr>
              <w:t>(22 )</w:t>
            </w:r>
          </w:p>
        </w:tc>
        <w:tc>
          <w:tcPr>
            <w:tcW w:w="4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(24 )</w:t>
            </w: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Prepaid expenses</w:t>
            </w:r>
          </w:p>
        </w:tc>
        <w:tc>
          <w:tcPr>
            <w:tcW w:w="1120" w:type="dxa"/>
            <w:vAlign w:val="bottom"/>
          </w:tcPr>
          <w:p>
            <w:pPr>
              <w:spacing w:after="0"/>
              <w:rPr>
                <w:sz w:val="17"/>
                <w:szCs w:val="17"/>
                <w:color w:val="auto"/>
              </w:rPr>
            </w:pPr>
          </w:p>
        </w:tc>
        <w:tc>
          <w:tcPr>
            <w:tcW w:w="780" w:type="dxa"/>
            <w:vAlign w:val="bottom"/>
            <w:gridSpan w:val="2"/>
          </w:tcPr>
          <w:p>
            <w:pPr>
              <w:jc w:val="right"/>
              <w:ind w:right="119"/>
              <w:spacing w:after="0" w:line="202" w:lineRule="exact"/>
              <w:rPr>
                <w:sz w:val="20"/>
                <w:szCs w:val="20"/>
                <w:color w:val="auto"/>
              </w:rPr>
            </w:pPr>
            <w:r>
              <w:rPr>
                <w:rFonts w:ascii="Arial" w:cs="Arial" w:eastAsia="Arial" w:hAnsi="Arial"/>
                <w:sz w:val="18"/>
                <w:szCs w:val="18"/>
                <w:color w:val="auto"/>
              </w:rPr>
              <w:t>(3 )</w:t>
            </w:r>
          </w:p>
        </w:tc>
        <w:tc>
          <w:tcPr>
            <w:tcW w:w="46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(2 )</w:t>
            </w: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Building - corporate headquarters</w:t>
            </w:r>
          </w:p>
        </w:tc>
        <w:tc>
          <w:tcPr>
            <w:tcW w:w="1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19"/>
              <w:spacing w:after="0" w:line="202" w:lineRule="exact"/>
              <w:rPr>
                <w:sz w:val="20"/>
                <w:szCs w:val="20"/>
                <w:color w:val="auto"/>
              </w:rPr>
            </w:pPr>
            <w:r>
              <w:rPr>
                <w:rFonts w:ascii="Arial" w:cs="Arial" w:eastAsia="Arial" w:hAnsi="Arial"/>
                <w:sz w:val="18"/>
                <w:szCs w:val="18"/>
                <w:color w:val="auto"/>
              </w:rPr>
              <w:t>(17 )</w:t>
            </w:r>
          </w:p>
        </w:tc>
        <w:tc>
          <w:tcPr>
            <w:tcW w:w="4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(20 )</w:t>
            </w:r>
          </w:p>
        </w:tc>
      </w:tr>
      <w:tr>
        <w:trPr>
          <w:trHeight w:val="202"/>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7"/>
                <w:szCs w:val="17"/>
                <w:color w:val="auto"/>
              </w:rPr>
            </w:pPr>
          </w:p>
        </w:tc>
        <w:tc>
          <w:tcPr>
            <w:tcW w:w="780" w:type="dxa"/>
            <w:vAlign w:val="bottom"/>
            <w:gridSpan w:val="2"/>
          </w:tcPr>
          <w:p>
            <w:pPr>
              <w:jc w:val="right"/>
              <w:ind w:right="119"/>
              <w:spacing w:after="0" w:line="202" w:lineRule="exact"/>
              <w:rPr>
                <w:sz w:val="20"/>
                <w:szCs w:val="20"/>
                <w:color w:val="auto"/>
              </w:rPr>
            </w:pPr>
            <w:r>
              <w:rPr>
                <w:rFonts w:ascii="Arial" w:cs="Arial" w:eastAsia="Arial" w:hAnsi="Arial"/>
                <w:sz w:val="18"/>
                <w:szCs w:val="18"/>
                <w:color w:val="auto"/>
              </w:rPr>
              <w:t>(1 )</w:t>
            </w:r>
          </w:p>
        </w:tc>
        <w:tc>
          <w:tcPr>
            <w:tcW w:w="46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(1 )</w:t>
            </w:r>
          </w:p>
        </w:tc>
      </w:tr>
      <w:tr>
        <w:trPr>
          <w:trHeight w:val="19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deferred tax liabilities</w:t>
            </w:r>
          </w:p>
        </w:tc>
        <w:tc>
          <w:tcPr>
            <w:tcW w:w="1120" w:type="dxa"/>
            <w:vAlign w:val="bottom"/>
            <w:tcBorders>
              <w:top w:val="single" w:sz="8" w:color="auto"/>
              <w:bottom w:val="single" w:sz="8" w:color="auto"/>
            </w:tcBorders>
            <w:shd w:val="clear" w:color="auto" w:fill="CFF0FC"/>
          </w:tcPr>
          <w:p>
            <w:pPr>
              <w:jc w:val="right"/>
              <w:ind w:right="933"/>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w:t>
            </w:r>
          </w:p>
        </w:tc>
        <w:tc>
          <w:tcPr>
            <w:tcW w:w="280" w:type="dxa"/>
            <w:vAlign w:val="bottom"/>
            <w:tcBorders>
              <w:bottom w:val="single" w:sz="8" w:color="CFF0FC"/>
            </w:tcBorders>
            <w:shd w:val="clear" w:color="auto" w:fill="CFF0FC"/>
          </w:tcPr>
          <w:p>
            <w:pPr>
              <w:jc w:val="right"/>
              <w:ind w:right="119"/>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Net deferred tax asset (liability)</w:t>
            </w:r>
          </w:p>
        </w:tc>
        <w:tc>
          <w:tcPr>
            <w:tcW w:w="1120" w:type="dxa"/>
            <w:vAlign w:val="bottom"/>
          </w:tcPr>
          <w:p>
            <w:pPr>
              <w:jc w:val="right"/>
              <w:ind w:right="933"/>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280" w:type="dxa"/>
            <w:vAlign w:val="bottom"/>
          </w:tcPr>
          <w:p>
            <w:pPr>
              <w:spacing w:after="0"/>
              <w:rPr>
                <w:sz w:val="17"/>
                <w:szCs w:val="17"/>
                <w:color w:val="auto"/>
              </w:rPr>
            </w:pPr>
          </w:p>
        </w:tc>
        <w:tc>
          <w:tcPr>
            <w:tcW w:w="46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20"/>
        </w:trPr>
        <w:tc>
          <w:tcPr>
            <w:tcW w:w="76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-1504950</wp:posOffset>
            </wp:positionV>
            <wp:extent cx="60325"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-1504950</wp:posOffset>
            </wp:positionV>
            <wp:extent cx="5969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-1239520</wp:posOffset>
            </wp:positionV>
            <wp:extent cx="6032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-1239520</wp:posOffset>
            </wp:positionV>
            <wp:extent cx="5969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-159385</wp:posOffset>
            </wp:positionV>
            <wp:extent cx="60325"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At December 31, 2021, we had federal, state, and foreign net operating loss carryforwards (“NOLs”) of approximately $45 million, $239 million, and $343 million, respectively. U.S. federal NOLs of $41 million may be carried forward indefinitely, and U.S. federal NOLs of $4 million expire at various times starting from 2029. State NOLs of $28 million may be carried forward indefinitely, and state NOLs of $211 million expire at various times starting from 2023. Foreign NOLs of $317 million may be carried forward indefinitely, and foreign NOLs of $26 million expire at various times starting from 2022.</w:t>
      </w:r>
    </w:p>
    <w:p>
      <w:pPr>
        <w:spacing w:after="0" w:line="189"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As of December 31, 2021, we had a valuation allowance of approximately $123 million related to certain NOL carryforwards and other foreign deferred tax assets for which it is more likely than not, the tax benefit will not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9" w:name="page100"/>
    <w:bookmarkEnd w:id="99"/>
    <w:p>
      <w:pPr>
        <w:spacing w:after="0" w:line="261" w:lineRule="auto"/>
        <w:rPr>
          <w:sz w:val="20"/>
          <w:szCs w:val="20"/>
          <w:color w:val="auto"/>
        </w:rPr>
      </w:pPr>
      <w:r>
        <w:rPr>
          <w:rFonts w:ascii="Arial" w:cs="Arial" w:eastAsia="Arial" w:hAnsi="Arial"/>
          <w:sz w:val="18"/>
          <w:szCs w:val="18"/>
          <w:color w:val="auto"/>
        </w:rPr>
        <w:t>be realized. This amount represented an increase of $17 million, as compared to the balance as of December 31, 2020. The increase was primarily related to additional foreign NOLs.</w:t>
      </w:r>
    </w:p>
    <w:p>
      <w:pPr>
        <w:spacing w:after="0" w:line="171"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Except for such foreign deferred tax assets, discussed above, we expect to realize all of our deferred tax assets. During the year ended December 31, 2021, the Company performed an analysis to determine if it was more likely than not that it would be able to utilize, in future periods, the net deferred tax assets associated with its U.S. net operating loss carryforward. Although the U.S. has incurred cumulative pre-tax losses in fiscal 2021 and prior two years, the Company has concluded that the positive evidence outweighs the negative evidence and, thus, that the deferred tax assets not otherwise subject to a valuation allowance are realizable on a more likely than not basis. As such, we did not record a valuation allowance at December 31, 2021. Positive evidence includes our strong history of earnings prior to the COVID-19 pandemic, the 2020 U.S. taxable loss carryback as a result of the CARES Act, as well as expected future taxable income in which we believe we will utilize the deferred tax assets. Due to the COVID-19 environment and our limited ability to predict the expected duration and ultimate severity of the impact of COVID-19, we will continue to monitor our financial performance to determine if valuation allowance against our deferred tax assets may be necessary in the future.</w:t>
      </w:r>
    </w:p>
    <w:p>
      <w:pPr>
        <w:spacing w:after="0" w:line="184" w:lineRule="exact"/>
        <w:rPr>
          <w:sz w:val="20"/>
          <w:szCs w:val="20"/>
          <w:color w:val="auto"/>
        </w:rPr>
      </w:pPr>
    </w:p>
    <w:p>
      <w:pPr>
        <w:ind w:right="180" w:firstLine="509"/>
        <w:spacing w:after="0" w:line="276" w:lineRule="auto"/>
        <w:rPr>
          <w:sz w:val="20"/>
          <w:szCs w:val="20"/>
          <w:color w:val="auto"/>
        </w:rPr>
      </w:pPr>
      <w:r>
        <w:rPr>
          <w:rFonts w:ascii="Arial" w:cs="Arial" w:eastAsia="Arial" w:hAnsi="Arial"/>
          <w:sz w:val="16"/>
          <w:szCs w:val="16"/>
          <w:color w:val="auto"/>
        </w:rPr>
        <w:t>During the year ended December 31, 2021, we determined that $15 million of a deferred tax asset within our U.K. subsidiary was more likely than not realizable, resulting in an income tax benefit in our consolidated statement of operations. We determined that the positive evidence, principally our U.K. subsidiaries’ forecasts of future taxable income combined with no longer incurring current interest expense in the U.K. that will be subject to limitation, outweighed the negative evidence, resulting in the valuation allowance release. Release of the remaining valuation allowance would result in a benefit to income tax expense for the period the release is recorded, which could have a material impact on net earnings. The timing and amount of any potential valuation allowance release is subject to significant management judgment, as well as prospective earnings.</w:t>
      </w:r>
    </w:p>
    <w:p>
      <w:pPr>
        <w:spacing w:after="0" w:line="162"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A reconciliation of the (benefit) provision for income taxes to the amounts computed by applying the statutory federal income tax rate to income (loss) before income taxes is as follows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20" w:type="dxa"/>
            <w:vAlign w:val="bottom"/>
          </w:tcPr>
          <w:p>
            <w:pPr>
              <w:spacing w:after="0"/>
              <w:rPr>
                <w:sz w:val="14"/>
                <w:szCs w:val="14"/>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5"/>
        </w:trPr>
        <w:tc>
          <w:tcPr>
            <w:tcW w:w="6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17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6520" w:type="dxa"/>
            <w:vAlign w:val="bottom"/>
          </w:tcPr>
          <w:p>
            <w:pPr>
              <w:ind w:left="20"/>
              <w:spacing w:after="0"/>
              <w:rPr>
                <w:sz w:val="20"/>
                <w:szCs w:val="20"/>
                <w:color w:val="auto"/>
              </w:rPr>
            </w:pPr>
            <w:r>
              <w:rPr>
                <w:rFonts w:ascii="Arial" w:cs="Arial" w:eastAsia="Arial" w:hAnsi="Arial"/>
                <w:sz w:val="18"/>
                <w:szCs w:val="18"/>
                <w:color w:val="auto"/>
              </w:rPr>
              <w:t>Income tax expense at the federal statutory rate</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(77 )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0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rate differential</w:t>
            </w:r>
          </w:p>
        </w:tc>
        <w:tc>
          <w:tcPr>
            <w:tcW w:w="100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(14 )</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(9 )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(16 )</w:t>
            </w: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State income taxes, net of effect of federal tax benefit</w:t>
            </w:r>
          </w:p>
        </w:tc>
        <w:tc>
          <w:tcPr>
            <w:tcW w:w="100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(11 )</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r>
      <w:tr>
        <w:trPr>
          <w:trHeight w:val="20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Unrecognized tax benefits and related interest</w:t>
            </w: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Change in cost-sharing treatment of stock-based compensation</w:t>
            </w:r>
          </w:p>
        </w:tc>
        <w:tc>
          <w:tcPr>
            <w:tcW w:w="1000" w:type="dxa"/>
            <w:vAlign w:val="bottom"/>
          </w:tcPr>
          <w:p>
            <w:pPr>
              <w:spacing w:after="0"/>
              <w:rPr>
                <w:sz w:val="17"/>
                <w:szCs w:val="17"/>
                <w:color w:val="auto"/>
              </w:rPr>
            </w:pPr>
          </w:p>
        </w:tc>
        <w:tc>
          <w:tcPr>
            <w:tcW w:w="5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r>
      <w:tr>
        <w:trPr>
          <w:trHeight w:val="20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FDII, GILTI and other provisions</w:t>
            </w:r>
          </w:p>
        </w:tc>
        <w:tc>
          <w:tcPr>
            <w:tcW w:w="100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(3 )</w:t>
            </w: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Rate differential on US NOL carryback (1)</w:t>
            </w:r>
          </w:p>
        </w:tc>
        <w:tc>
          <w:tcPr>
            <w:tcW w:w="1000" w:type="dxa"/>
            <w:vAlign w:val="bottom"/>
          </w:tcPr>
          <w:p>
            <w:pPr>
              <w:spacing w:after="0"/>
              <w:rPr>
                <w:sz w:val="17"/>
                <w:szCs w:val="17"/>
                <w:color w:val="auto"/>
              </w:rPr>
            </w:pPr>
          </w:p>
        </w:tc>
        <w:tc>
          <w:tcPr>
            <w:tcW w:w="5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(23 )</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tax credit</w:t>
            </w:r>
          </w:p>
        </w:tc>
        <w:tc>
          <w:tcPr>
            <w:tcW w:w="100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(7 )</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(9 )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(11 )</w:t>
            </w: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r>
      <w:tr>
        <w:trPr>
          <w:trHeight w:val="20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Local income tax on intercompany transaction (2)</w:t>
            </w:r>
          </w:p>
        </w:tc>
        <w:tc>
          <w:tcPr>
            <w:tcW w:w="1000" w:type="dxa"/>
            <w:vAlign w:val="bottom"/>
          </w:tcPr>
          <w:p>
            <w:pPr>
              <w:spacing w:after="0"/>
              <w:rPr>
                <w:sz w:val="17"/>
                <w:szCs w:val="17"/>
                <w:color w:val="auto"/>
              </w:rPr>
            </w:pPr>
          </w:p>
        </w:tc>
        <w:tc>
          <w:tcPr>
            <w:tcW w:w="5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r>
      <w:tr>
        <w:trPr>
          <w:trHeight w:val="20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Executive compensation</w:t>
            </w: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Other, net</w:t>
            </w:r>
          </w:p>
        </w:tc>
        <w:tc>
          <w:tcPr>
            <w:tcW w:w="10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(1 )</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r>
      <w:tr>
        <w:trPr>
          <w:trHeight w:val="236"/>
        </w:trPr>
        <w:tc>
          <w:tcPr>
            <w:tcW w:w="65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Provision (benefit) for income taxes</w:t>
            </w:r>
          </w:p>
        </w:tc>
        <w:tc>
          <w:tcPr>
            <w:tcW w:w="1000" w:type="dxa"/>
            <w:vAlign w:val="bottom"/>
            <w:tcBorders>
              <w:top w:val="single" w:sz="8" w:color="auto"/>
              <w:bottom w:val="single" w:sz="8" w:color="auto"/>
            </w:tcBorders>
            <w:shd w:val="clear" w:color="auto" w:fill="CFF0FC"/>
          </w:tcPr>
          <w:p>
            <w:pPr>
              <w:jc w:val="right"/>
              <w:ind w:right="796"/>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03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03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83" w:lineRule="exact"/>
        <w:rPr>
          <w:sz w:val="20"/>
          <w:szCs w:val="20"/>
          <w:color w:val="auto"/>
        </w:rPr>
      </w:pPr>
    </w:p>
    <w:p>
      <w:pPr>
        <w:ind w:left="1020" w:right="320" w:hanging="503"/>
        <w:spacing w:after="0" w:line="250" w:lineRule="auto"/>
        <w:tabs>
          <w:tab w:leader="none" w:pos="10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 a result of the CARES Act, an income tax benefit of $23 million was recorded during the year ended December 31, 2020 related to the income tax rate differential in tax years applicable to U.S. loss carryforwards that became eligible for carryback.</w:t>
      </w:r>
    </w:p>
    <w:p>
      <w:pPr>
        <w:ind w:left="1020" w:right="140" w:hanging="503"/>
        <w:spacing w:after="0" w:line="248" w:lineRule="auto"/>
        <w:tabs>
          <w:tab w:leader="none" w:pos="10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During 2019, we completed an intra-entity transfer from China to Singapore of certain IP. As a result of the transfer, we utilized NOLs and consequently released the valuation allowance on certain deferred tax assets on our China entity</w:t>
      </w:r>
      <w:r>
        <w:rPr>
          <w:rFonts w:ascii="Arial" w:cs="Arial" w:eastAsia="Arial" w:hAnsi="Arial"/>
          <w:sz w:val="16"/>
          <w:szCs w:val="16"/>
          <w:color w:val="auto"/>
        </w:rPr>
        <w:t>.</w:t>
      </w:r>
    </w:p>
    <w:p>
      <w:pPr>
        <w:spacing w:after="0" w:line="18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CARES Act made tax law changes to provide financial relief to companies as a result of the business impacts of COVID-19. Key income tax provisions of the CARES Act include changes in NOL carryback and carryforward rules, increase of the net interest expense deduction limit, and immediate write-off of qualified improvement property. The CARES Act allowed the Company to carryback our U.S. federal NOLs incurred in 2020, generating an expected U.S. federal tax benefit of $76 million, of which $48 million will be refunded. This refund is recorded in income taxes receivable on our consolidated balance sheet as of December 31, 2021 and is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0" w:name="page101"/>
    <w:bookmarkEnd w:id="100"/>
    <w:p>
      <w:pPr>
        <w:ind w:right="200"/>
        <w:spacing w:after="0" w:line="261" w:lineRule="auto"/>
        <w:rPr>
          <w:sz w:val="20"/>
          <w:szCs w:val="20"/>
          <w:color w:val="auto"/>
        </w:rPr>
      </w:pPr>
      <w:r>
        <w:rPr>
          <w:rFonts w:ascii="Arial" w:cs="Arial" w:eastAsia="Arial" w:hAnsi="Arial"/>
          <w:sz w:val="18"/>
          <w:szCs w:val="18"/>
          <w:color w:val="auto"/>
        </w:rPr>
        <w:t>expected to be received during 2022. As a result of the 2020 U.S. federal NOL carryback, we also reduced our long-term transition tax payable related to the 2017 Tax Act by $28 million.</w:t>
      </w:r>
    </w:p>
    <w:p>
      <w:pPr>
        <w:spacing w:after="0" w:line="171"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In addition, certain governments have passed legislation to help businesses during the COVID-19 pandemic through loans, wage subsidies, wage tax relief or other financial aid. Some of these governments have extended or are considering extending these programs. We have participated in several of these programs, including the CARES Act in the U.S., the United Kingdom's job retention scheme, as well as similar programs in other jurisdictions. In addition, in certain countries, such as within the European Union, Singapore, Australia, and other jurisdictions, we are also participating in programs where government assistance is in the form of wage subsidies and reductions in wage-related employer taxes paid by us. During the years ended December 31, 2021 and 2020, we recognized government grants and other assistance benefits of $9 million and $12 million, respectively. These amounts are not income tax related and were recorded as a reduction of personnel and overhead costs in the consolidated statements of operations.</w:t>
      </w:r>
    </w:p>
    <w:p>
      <w:pPr>
        <w:spacing w:after="0" w:line="163"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Due to the one-time transition tax on the deemed repatriation of undistributed foreign subsidiary earnings and profits in 2017, the majority of previously unremitted earnings have been subjected to U.S. federal income tax. To the extent future distributions from these subsidiaries will be taxable, a deferred tax liability has been accrued which was not material as of December 31, 2021. As of December 31, 2021, $427 million of our cumulative undistributed foreign earnings were no longer considered to be indefinitely reinvested.</w:t>
      </w:r>
    </w:p>
    <w:p>
      <w:pPr>
        <w:spacing w:after="0" w:line="188"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For purposes of governing certain of the ongoing relationships between Tripadvisor and Expedia at and after the Spin-Off, and to provide for an orderly transition, Tripadvisor and Expedia entered into various agreements at the time of the Spin-Off, which Tripadvisor has satisfied its obligations. However, Tripadvisor continues to be subject to certain post Spin-Off obligations under the Tax Sharing Agreement. Under the Tax Sharing Agreement between Tripadvisor and Expedia, Tripadvisor is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Tripadvisor described in the covenants in the tax sharing agreement, (ii) any acquisition of Tripadvisor equity securities or assets or those of a member of the Tripadvisor group, or (iii) any failure of the representations with respect to Tripadvisor or any member of our group to be true or any breach by Tripadvisor or any member of the Tripadvisor group of any covenant, in each case, which is contained in the separation documents or in the documents relating to the IRS private letter ruling and/or the opinion of counsel. The full text of the Tax Sharing Agreement is incorporated by reference in this Annual Report on Form 10-K as Exhibit 10.2.</w:t>
      </w:r>
    </w:p>
    <w:p>
      <w:pPr>
        <w:spacing w:after="0" w:line="171"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By virtue of consolidated income tax returns previously filed with Expedia, we are currently under an IRS audit for the 2009, 2010 and short-period 2011 tax years. We are separately under examination by the IRS for the short-period 2011, 2012 through 2016, and 2018 tax years, and have various ongoing audits for foreign tax years, including a 2012 through 2016 HMRC audit, as well as state income tax audits.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December 31, 2021, no material assessments have resulted, except as noted below regarding our 2009, 2010, and 2011 IRS audit with Expedia, our 2012 through 2016 standalone IRS audit, and our 2012 through 2016 HMRC audit.</w:t>
      </w:r>
    </w:p>
    <w:p>
      <w:pPr>
        <w:spacing w:after="0" w:line="180" w:lineRule="exact"/>
        <w:rPr>
          <w:sz w:val="20"/>
          <w:szCs w:val="20"/>
          <w:color w:val="auto"/>
        </w:rPr>
      </w:pPr>
    </w:p>
    <w:p>
      <w:pPr>
        <w:ind w:right="80" w:firstLine="509"/>
        <w:spacing w:after="0" w:line="271"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Subsequently, in September 2019, as part of our standalone audit, we received Notices of Proposed Adjustment from the IRS for the 2012 and 2013 tax years; and in August 2020, we received Notices of Proposed Adjustment from the IRS for the 2014, 2015, and 2016 tax years. These proposed adjustments are related to certain transfer pricing arrangements with our foreign subsidiaries, and would result in an increase to our worldwide income tax expense in an estimated range of $95 million to $105 million at the close of the audit if the IRS prevails, which includes $20 million to $30 million related to the 2009 through 2011 pre Spin-Off tax years. The estimated range takes into consideration competent authority relief and transition tax regulations, and is exclusive of deferred tax consequences and interest expense, which would be significant.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01" w:name="page102"/>
    <w:bookmarkEnd w:id="101"/>
    <w:p>
      <w:pPr>
        <w:ind w:right="60"/>
        <w:spacing w:after="0" w:line="279" w:lineRule="auto"/>
        <w:rPr>
          <w:sz w:val="20"/>
          <w:szCs w:val="20"/>
          <w:color w:val="auto"/>
        </w:rPr>
      </w:pPr>
      <w:r>
        <w:rPr>
          <w:rFonts w:ascii="Arial" w:cs="Arial" w:eastAsia="Arial" w:hAnsi="Arial"/>
          <w:sz w:val="16"/>
          <w:szCs w:val="16"/>
          <w:color w:val="auto"/>
        </w:rPr>
        <w:t>we have taken with regard to transfer pricing with our foreign subsidiaries is sustainable. In addition to the risk of additional tax for 2009 through 2016 transactions, if the IRS were to seek transfer pricing adjustments of a similar nature for transactions in subsequent years, we would be subject to significant additional tax liabilities. We have requested competent authority assistance under the Mutual Agreement Procedure (“MAP”) for tax years 2009 through 2016. We expect the competent authorities to present a resolution for the 2009 through 2011 tax years in the near future. Upon receipt, we will assess the resolution provided by the competent authorities as well as its impact on our existing income tax reserves for all open subsequent years.</w:t>
      </w:r>
    </w:p>
    <w:p>
      <w:pPr>
        <w:spacing w:after="0" w:line="159"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In January 2021, we received from HMRC an issue closure notice relating to adjustments for 2012 through 2016 tax years. These proposed adjustments are related to certain transfer pricing arrangements with our foreign subsidiaries and would result in an increase to our worldwide income tax expense in an estimated range of $45 million to $55 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w:t>
      </w:r>
    </w:p>
    <w:p>
      <w:pPr>
        <w:spacing w:after="0" w:line="175"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A reconciliation of the beginning and ending amount of gross unrecognized tax benefits (excluding interest and penalties) is as follows during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6"/>
              </w:rPr>
              <w:t>December 31,</w:t>
            </w: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20" w:type="dxa"/>
            <w:vAlign w:val="bottom"/>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69"/>
        </w:trPr>
        <w:tc>
          <w:tcPr>
            <w:tcW w:w="6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276"/>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Balance, beginning of year</w:t>
            </w:r>
          </w:p>
        </w:tc>
        <w:tc>
          <w:tcPr>
            <w:tcW w:w="980" w:type="dxa"/>
            <w:vAlign w:val="bottom"/>
            <w:shd w:val="clear" w:color="auto" w:fill="CFF0FC"/>
          </w:tcPr>
          <w:p>
            <w:pPr>
              <w:jc w:val="right"/>
              <w:ind w:right="776"/>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w:t>
            </w:r>
          </w:p>
        </w:tc>
        <w:tc>
          <w:tcPr>
            <w:tcW w:w="54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Increases to tax positions related to the current year</w:t>
            </w:r>
          </w:p>
        </w:tc>
        <w:tc>
          <w:tcPr>
            <w:tcW w:w="98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r>
      <w:tr>
        <w:trPr>
          <w:trHeight w:val="20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Increases to tax positions related to the prior year</w:t>
            </w:r>
          </w:p>
        </w:tc>
        <w:tc>
          <w:tcPr>
            <w:tcW w:w="98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Decreases to tax positions related to the prior year</w:t>
            </w:r>
          </w:p>
        </w:tc>
        <w:tc>
          <w:tcPr>
            <w:tcW w:w="980" w:type="dxa"/>
            <w:vAlign w:val="bottom"/>
          </w:tcPr>
          <w:p>
            <w:pPr>
              <w:spacing w:after="0"/>
              <w:rPr>
                <w:sz w:val="17"/>
                <w:szCs w:val="17"/>
                <w:color w:val="auto"/>
              </w:rPr>
            </w:pPr>
          </w:p>
        </w:tc>
        <w:tc>
          <w:tcPr>
            <w:tcW w:w="6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(8 )</w:t>
            </w:r>
          </w:p>
        </w:tc>
      </w:tr>
      <w:tr>
        <w:trPr>
          <w:trHeight w:val="20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Settlements during current year</w:t>
            </w: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(6 )</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65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Balance, end of year</w:t>
            </w:r>
          </w:p>
        </w:tc>
        <w:tc>
          <w:tcPr>
            <w:tcW w:w="980" w:type="dxa"/>
            <w:vAlign w:val="bottom"/>
            <w:tcBorders>
              <w:top w:val="single" w:sz="8" w:color="auto"/>
              <w:bottom w:val="single" w:sz="8" w:color="auto"/>
            </w:tcBorders>
          </w:tcPr>
          <w:p>
            <w:pPr>
              <w:jc w:val="right"/>
              <w:ind w:right="776"/>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w:t>
            </w: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w:t>
            </w:r>
          </w:p>
        </w:tc>
        <w:tc>
          <w:tcPr>
            <w:tcW w:w="2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w:t>
            </w:r>
          </w:p>
        </w:tc>
        <w:tc>
          <w:tcPr>
            <w:tcW w:w="100" w:type="dxa"/>
            <w:vAlign w:val="bottom"/>
            <w:tcBorders>
              <w:top w:val="single" w:sz="8" w:color="CFF0FC"/>
            </w:tcBorders>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-159385</wp:posOffset>
            </wp:positionV>
            <wp:extent cx="6858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-159385</wp:posOffset>
            </wp:positionV>
            <wp:extent cx="4318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ind w:right="200" w:firstLine="509"/>
        <w:spacing w:after="0" w:line="257" w:lineRule="auto"/>
        <w:rPr>
          <w:sz w:val="20"/>
          <w:szCs w:val="20"/>
          <w:color w:val="auto"/>
        </w:rPr>
      </w:pPr>
      <w:r>
        <w:rPr>
          <w:rFonts w:ascii="Arial" w:cs="Arial" w:eastAsia="Arial" w:hAnsi="Arial"/>
          <w:sz w:val="17"/>
          <w:szCs w:val="17"/>
          <w:color w:val="auto"/>
        </w:rPr>
        <w:t>As of December 31, 2021, we had $144 million of unrecognized tax benefits, net of interest, which is classified as long-term and included in other long-term liabilities and deferred income taxes, net on our consolidated balance sheet. The amount of unrecognized tax benefits, if recognized, would reduce income tax expense by $72 million, due to correlative adjustments in other tax jurisdictions. We recognize interest and penalties related to unrecognized tax benefits in income tax expense on our consolidated statement of operations. As of December 31, 2021 and 2020, total gross interest accrued was $39 million and $35 million, respectively, and was recorded in unrecognized tax benefits in other long-term liabilities on the consolidated balance sheets. We do not anticipate any material changes in the next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08" w:lineRule="exact"/>
        <w:rPr>
          <w:sz w:val="20"/>
          <w:szCs w:val="20"/>
          <w:color w:val="auto"/>
        </w:rPr>
      </w:pPr>
    </w:p>
    <w:p>
      <w:pPr>
        <w:ind w:right="240" w:firstLine="509"/>
        <w:spacing w:after="0" w:line="294" w:lineRule="auto"/>
        <w:rPr>
          <w:sz w:val="20"/>
          <w:szCs w:val="20"/>
          <w:color w:val="auto"/>
        </w:rPr>
      </w:pPr>
      <w:r>
        <w:rPr>
          <w:rFonts w:ascii="Arial" w:cs="Arial" w:eastAsia="Arial" w:hAnsi="Arial"/>
          <w:sz w:val="16"/>
          <w:szCs w:val="16"/>
          <w:color w:val="auto"/>
        </w:rPr>
        <w:t>As of December 31, 2021, we have contractual obligations and commercial commitments that include expected interest on our 2026 Senior Notes and 2025 Senior Notes, expected commitment fees on our Credit Facility, and long-term purchase obligations, as summarized in the table below. The expected amounts and timing of payments discussed below was estimated based on information available to us as of December 31, 2021.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By Period</w:t>
            </w: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480" w:type="dxa"/>
            <w:vAlign w:val="bottom"/>
          </w:tcPr>
          <w:p>
            <w:pPr>
              <w:spacing w:after="0"/>
              <w:rPr>
                <w:sz w:val="11"/>
                <w:szCs w:val="11"/>
                <w:color w:val="auto"/>
              </w:rPr>
            </w:pPr>
          </w:p>
        </w:tc>
        <w:tc>
          <w:tcPr>
            <w:tcW w:w="60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89"/>
              </w:rPr>
              <w:t>Total</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55"/>
              <w:spacing w:after="0" w:line="133" w:lineRule="exact"/>
              <w:rPr>
                <w:sz w:val="20"/>
                <w:szCs w:val="20"/>
                <w:color w:val="auto"/>
              </w:rPr>
            </w:pPr>
            <w:r>
              <w:rPr>
                <w:rFonts w:ascii="Arial" w:cs="Arial" w:eastAsia="Arial" w:hAnsi="Arial"/>
                <w:sz w:val="14"/>
                <w:szCs w:val="14"/>
                <w:b w:val="1"/>
                <w:bCs w:val="1"/>
                <w:color w:val="auto"/>
                <w:w w:val="88"/>
              </w:rPr>
              <w:t>Less than</w:t>
            </w:r>
          </w:p>
        </w:tc>
        <w:tc>
          <w:tcPr>
            <w:tcW w:w="200" w:type="dxa"/>
            <w:vAlign w:val="bottom"/>
          </w:tcPr>
          <w:p>
            <w:pPr>
              <w:spacing w:after="0"/>
              <w:rPr>
                <w:sz w:val="11"/>
                <w:szCs w:val="1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 to 3 years</w:t>
            </w:r>
          </w:p>
        </w:tc>
        <w:tc>
          <w:tcPr>
            <w:tcW w:w="200" w:type="dxa"/>
            <w:vAlign w:val="bottom"/>
          </w:tcPr>
          <w:p>
            <w:pPr>
              <w:spacing w:after="0"/>
              <w:rPr>
                <w:sz w:val="11"/>
                <w:szCs w:val="11"/>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3 to 5 years</w:t>
            </w:r>
          </w:p>
        </w:tc>
        <w:tc>
          <w:tcPr>
            <w:tcW w:w="160" w:type="dxa"/>
            <w:vAlign w:val="bottom"/>
          </w:tcPr>
          <w:p>
            <w:pPr>
              <w:spacing w:after="0"/>
              <w:rPr>
                <w:sz w:val="11"/>
                <w:szCs w:val="11"/>
                <w:color w:val="auto"/>
              </w:rPr>
            </w:pPr>
          </w:p>
        </w:tc>
        <w:tc>
          <w:tcPr>
            <w:tcW w:w="860" w:type="dxa"/>
            <w:vAlign w:val="bottom"/>
            <w:gridSpan w:val="2"/>
          </w:tcPr>
          <w:p>
            <w:pPr>
              <w:jc w:val="right"/>
              <w:ind w:right="13"/>
              <w:spacing w:after="0" w:line="133" w:lineRule="exact"/>
              <w:rPr>
                <w:sz w:val="20"/>
                <w:szCs w:val="20"/>
                <w:color w:val="auto"/>
              </w:rPr>
            </w:pPr>
            <w:r>
              <w:rPr>
                <w:rFonts w:ascii="Arial" w:cs="Arial" w:eastAsia="Arial" w:hAnsi="Arial"/>
                <w:sz w:val="14"/>
                <w:szCs w:val="14"/>
                <w:b w:val="1"/>
                <w:bCs w:val="1"/>
                <w:color w:val="auto"/>
              </w:rPr>
              <w:t>More than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480" w:type="dxa"/>
            <w:vAlign w:val="bottom"/>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9"/>
              </w:rPr>
              <w:t>5 years</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interest payments on 2025 Senior Notes (1)</w:t>
            </w:r>
          </w:p>
        </w:tc>
        <w:tc>
          <w:tcPr>
            <w:tcW w:w="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125</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w:t>
            </w:r>
          </w:p>
        </w:tc>
        <w:tc>
          <w:tcPr>
            <w:tcW w:w="560" w:type="dxa"/>
            <w:vAlign w:val="bottom"/>
            <w:gridSpan w:val="2"/>
            <w:shd w:val="clear" w:color="auto" w:fill="CFF0FC"/>
          </w:tcPr>
          <w:p>
            <w:pPr>
              <w:ind w:left="22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w:t>
            </w:r>
          </w:p>
        </w:tc>
        <w:tc>
          <w:tcPr>
            <w:tcW w:w="620" w:type="dxa"/>
            <w:vAlign w:val="bottom"/>
            <w:gridSpan w:val="2"/>
            <w:shd w:val="clear" w:color="auto" w:fill="CFF0FC"/>
          </w:tcPr>
          <w:p>
            <w:pPr>
              <w:jc w:val="right"/>
              <w:ind w:right="239"/>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Expected interest payments on 2026 Senior Notes (2)</w:t>
            </w:r>
          </w:p>
        </w:tc>
        <w:tc>
          <w:tcPr>
            <w:tcW w:w="60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commitment fee payments on Credit Facility (3)</w:t>
            </w: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480" w:type="dxa"/>
            <w:vAlign w:val="bottom"/>
          </w:tcPr>
          <w:p>
            <w:pPr>
              <w:ind w:left="20"/>
              <w:spacing w:after="0"/>
              <w:rPr>
                <w:sz w:val="20"/>
                <w:szCs w:val="20"/>
                <w:color w:val="auto"/>
              </w:rPr>
            </w:pPr>
            <w:r>
              <w:rPr>
                <w:rFonts w:ascii="Arial" w:cs="Arial" w:eastAsia="Arial" w:hAnsi="Arial"/>
                <w:sz w:val="18"/>
                <w:szCs w:val="18"/>
                <w:color w:val="auto"/>
              </w:rPr>
              <w:t>Purchase obligations and other (4)</w:t>
            </w: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(5)</w:t>
            </w:r>
          </w:p>
        </w:tc>
        <w:tc>
          <w:tcPr>
            <w:tcW w:w="60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180</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9"/>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548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4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-521970</wp:posOffset>
            </wp:positionV>
            <wp:extent cx="514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-504825</wp:posOffset>
            </wp:positionV>
            <wp:extent cx="514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-521970</wp:posOffset>
            </wp:positionV>
            <wp:extent cx="514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-504825</wp:posOffset>
            </wp:positionV>
            <wp:extent cx="514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-521970</wp:posOffset>
            </wp:positionV>
            <wp:extent cx="5143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-504825</wp:posOffset>
            </wp:positionV>
            <wp:extent cx="514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-521970</wp:posOffset>
            </wp:positionV>
            <wp:extent cx="431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-504825</wp:posOffset>
            </wp:positionV>
            <wp:extent cx="431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-521970</wp:posOffset>
            </wp:positionV>
            <wp:extent cx="603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2" w:name="page103"/>
    <w:bookmarkEnd w:id="102"/>
    <w:p>
      <w:pPr>
        <w:ind w:left="900" w:right="120" w:hanging="518"/>
        <w:spacing w:after="0" w:line="239"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4"/>
          <w:szCs w:val="14"/>
          <w:color w:val="auto"/>
        </w:rPr>
        <w:t xml:space="preserve">Expected interest payments on our 2025 Senior Notes are based on a fixed interest rate of 7.0%, as of December 31, 2021 and assumes that our existing debt is repaid at maturity. Refer to “Note 10: </w:t>
      </w:r>
      <w:r>
        <w:rPr>
          <w:rFonts w:ascii="Arial" w:cs="Arial" w:eastAsia="Arial" w:hAnsi="Arial"/>
          <w:sz w:val="14"/>
          <w:szCs w:val="14"/>
          <w:i w:val="1"/>
          <w:iCs w:val="1"/>
          <w:color w:val="auto"/>
        </w:rPr>
        <w:t>Debt”</w:t>
      </w:r>
      <w:r>
        <w:rPr>
          <w:rFonts w:ascii="Arial" w:cs="Arial" w:eastAsia="Arial" w:hAnsi="Arial"/>
          <w:sz w:val="14"/>
          <w:szCs w:val="14"/>
          <w:color w:val="auto"/>
        </w:rPr>
        <w:t xml:space="preserve"> for additional information on our 2025 Senior Notes.</w:t>
      </w:r>
    </w:p>
    <w:p>
      <w:pPr>
        <w:ind w:left="900" w:right="40" w:hanging="518"/>
        <w:spacing w:after="0" w:line="234"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4"/>
          <w:szCs w:val="14"/>
          <w:color w:val="auto"/>
        </w:rPr>
        <w:t xml:space="preserve">Expected interest payments on our 2026 Senior Notes are based on a fixed interest rate of 0.25%, as of December 31, 2021 and assumes that our existing debt is repaid at maturity. Refer to “Note 10: </w:t>
      </w:r>
      <w:r>
        <w:rPr>
          <w:rFonts w:ascii="Arial" w:cs="Arial" w:eastAsia="Arial" w:hAnsi="Arial"/>
          <w:sz w:val="14"/>
          <w:szCs w:val="14"/>
          <w:i w:val="1"/>
          <w:iCs w:val="1"/>
          <w:color w:val="auto"/>
        </w:rPr>
        <w:t>Debt”</w:t>
      </w:r>
      <w:r>
        <w:rPr>
          <w:rFonts w:ascii="Arial" w:cs="Arial" w:eastAsia="Arial" w:hAnsi="Arial"/>
          <w:sz w:val="14"/>
          <w:szCs w:val="14"/>
          <w:color w:val="auto"/>
        </w:rPr>
        <w:t xml:space="preserve"> for additional information on our 2026 Senior Notes.</w:t>
      </w:r>
    </w:p>
    <w:p>
      <w:pPr>
        <w:spacing w:after="0" w:line="1" w:lineRule="exact"/>
        <w:rPr>
          <w:rFonts w:ascii="Arial" w:cs="Arial" w:eastAsia="Arial" w:hAnsi="Arial"/>
          <w:sz w:val="16"/>
          <w:szCs w:val="16"/>
          <w:color w:val="auto"/>
        </w:rPr>
      </w:pPr>
    </w:p>
    <w:p>
      <w:pPr>
        <w:ind w:left="900" w:right="80" w:hanging="518"/>
        <w:spacing w:after="0" w:line="234"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4"/>
          <w:szCs w:val="14"/>
          <w:color w:val="auto"/>
        </w:rPr>
        <w:t xml:space="preserve">Expected commitment fee payments are based on the daily unused portion of our Credit Facility, issued letters of credit, and the effective commitment fee rate as of December 31, 2021; however, these variables could change significantly in the future. Refer to “Note 10: </w:t>
      </w:r>
      <w:r>
        <w:rPr>
          <w:rFonts w:ascii="Arial" w:cs="Arial" w:eastAsia="Arial" w:hAnsi="Arial"/>
          <w:sz w:val="14"/>
          <w:szCs w:val="14"/>
          <w:i w:val="1"/>
          <w:iCs w:val="1"/>
          <w:color w:val="auto"/>
        </w:rPr>
        <w:t>Debt</w:t>
      </w:r>
      <w:r>
        <w:rPr>
          <w:rFonts w:ascii="Arial" w:cs="Arial" w:eastAsia="Arial" w:hAnsi="Arial"/>
          <w:sz w:val="14"/>
          <w:szCs w:val="14"/>
          <w:color w:val="auto"/>
        </w:rPr>
        <w:t>” for additional information on our Credit Facility.</w:t>
      </w:r>
    </w:p>
    <w:p>
      <w:pPr>
        <w:spacing w:after="0" w:line="1" w:lineRule="exact"/>
        <w:rPr>
          <w:rFonts w:ascii="Arial" w:cs="Arial" w:eastAsia="Arial" w:hAnsi="Arial"/>
          <w:sz w:val="16"/>
          <w:szCs w:val="16"/>
          <w:color w:val="auto"/>
        </w:rPr>
      </w:pPr>
    </w:p>
    <w:p>
      <w:pPr>
        <w:ind w:left="900" w:hanging="518"/>
        <w:spacing w:after="0" w:line="236"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4"/>
          <w:szCs w:val="14"/>
          <w:color w:val="auto"/>
        </w:rPr>
        <w:t>Estimated purchase obligations that are fixed and determinable, primarily related to telecommunication and licensing contracts, with various expiration dates through approximately June 2029. These contracts have non-cancelable terms or are cancelable only upon payment of significant penalty. Timing of payments and actual amounts paid may be different depending on the time of receipt of goods or services or changes to agreed-upon amounts for some obligations.</w:t>
      </w:r>
    </w:p>
    <w:p>
      <w:pPr>
        <w:spacing w:after="0" w:line="1" w:lineRule="exact"/>
        <w:rPr>
          <w:rFonts w:ascii="Arial" w:cs="Arial" w:eastAsia="Arial" w:hAnsi="Arial"/>
          <w:sz w:val="16"/>
          <w:szCs w:val="16"/>
          <w:color w:val="auto"/>
        </w:rPr>
      </w:pPr>
    </w:p>
    <w:p>
      <w:pPr>
        <w:ind w:left="900" w:hanging="518"/>
        <w:spacing w:after="0" w:line="228"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4"/>
          <w:szCs w:val="14"/>
          <w:color w:val="auto"/>
        </w:rPr>
        <w:t>Excluded from the table was $3 million of undrawn standby letters of credit, primarily as security deposits for certain property leases as of December 31,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12" w:lineRule="exact"/>
        <w:rPr>
          <w:sz w:val="20"/>
          <w:szCs w:val="20"/>
          <w:color w:val="auto"/>
        </w:rPr>
      </w:pPr>
    </w:p>
    <w:p>
      <w:pPr>
        <w:ind w:right="60" w:firstLine="509"/>
        <w:spacing w:after="0" w:line="269" w:lineRule="auto"/>
        <w:rPr>
          <w:sz w:val="20"/>
          <w:szCs w:val="20"/>
          <w:color w:val="auto"/>
        </w:rPr>
      </w:pPr>
      <w:r>
        <w:rPr>
          <w:rFonts w:ascii="Arial" w:cs="Arial" w:eastAsia="Arial" w:hAnsi="Arial"/>
          <w:sz w:val="16"/>
          <w:szCs w:val="16"/>
          <w:color w:val="auto"/>
        </w:rPr>
        <w:t>In the ordinary course of business, we are party to regulatory and legal matters, including threats thereof, arising out of, or in connection with our operations. These matters may involve claims involving intellectual property rights (including privacy, alleged infringement of third-party intellectual property rights), tax matters (including value-added, excise, transient occupancy and accommodation taxes), regulatory compliance (including competition and consumer protection matters),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and Non-Income Taxes</w:t>
      </w:r>
    </w:p>
    <w:p>
      <w:pPr>
        <w:spacing w:after="0" w:line="104"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auto"/>
        </w:rPr>
        <w:t xml:space="preserve">We are under audit by the IRS and various other domestic and foreign tax authorities with regards to income tax and non-income tax matters. We have reserved for potential adjustments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12: </w:t>
      </w:r>
      <w:r>
        <w:rPr>
          <w:rFonts w:ascii="Arial" w:cs="Arial" w:eastAsia="Arial" w:hAnsi="Arial"/>
          <w:sz w:val="16"/>
          <w:szCs w:val="16"/>
          <w:i w:val="1"/>
          <w:iCs w:val="1"/>
          <w:color w:val="auto"/>
        </w:rPr>
        <w:t>Income Taxes</w:t>
      </w:r>
      <w:r>
        <w:rPr>
          <w:rFonts w:ascii="Arial" w:cs="Arial" w:eastAsia="Arial" w:hAnsi="Arial"/>
          <w:sz w:val="16"/>
          <w:szCs w:val="16"/>
          <w:color w:val="auto"/>
        </w:rPr>
        <w:t>” for further information on potential contingencies surrounding income taxes.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EMPLOYEE BENEFIT PLANS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Plan</w:t>
      </w:r>
    </w:p>
    <w:p>
      <w:pPr>
        <w:spacing w:after="0" w:line="104"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The Tripadvisor Retirement Savings Plan (the “401(k) Plan”), qualifies under Section 401(k) of the Internal Revenue Code. The 401(k) Plan allows participating employees, which includes most of our U.S. employees, to make contributions of a specified percentage of their eligible compensation. Participating employees may contribute up to 50% of their eligible salary on a pre-tax basis, but not more than statutory limits. Employee-participants age 50 and over may also contribute an additional amount of their salary on a pre-tax tax basis up to the IRS Catch-Up Provision Limit (or “catch-up contributions”). Employees may also contribute into the 401(k) Plan on an after-tax basis up (or “Roth 401(k) contributions”) to an annual maximum of 10%. The 401(k) Plan has an automatic enrollment feature at 6% pre-tax. We match 50% of the first 6% of employee contributions to the plan for a maximum employer contribution of 3% of a participant’s eligible earnings. The catch-up contributions are not eligible for employer matching contributions. The matching contributions portion of an employee’s account, vests after two years of service. Additionally, at the end of the 401(k) Plan year, we make a discretionary matching</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103" w:name="page104"/>
    <w:bookmarkEnd w:id="103"/>
    <w:p>
      <w:pPr>
        <w:ind w:right="160"/>
        <w:spacing w:after="0" w:line="261" w:lineRule="auto"/>
        <w:rPr>
          <w:sz w:val="20"/>
          <w:szCs w:val="20"/>
          <w:color w:val="auto"/>
        </w:rPr>
      </w:pPr>
      <w:r>
        <w:rPr>
          <w:rFonts w:ascii="Arial" w:cs="Arial" w:eastAsia="Arial" w:hAnsi="Arial"/>
          <w:sz w:val="18"/>
          <w:szCs w:val="18"/>
          <w:color w:val="auto"/>
        </w:rPr>
        <w:t>contribution to eligible participants. This additional discretionary matching employer contribution (or “true up”) is limited to match only contributions up to 3% of eligible compensation.</w:t>
      </w:r>
    </w:p>
    <w:p>
      <w:pPr>
        <w:spacing w:after="0" w:line="171" w:lineRule="exact"/>
        <w:rPr>
          <w:sz w:val="20"/>
          <w:szCs w:val="20"/>
          <w:color w:val="auto"/>
        </w:rPr>
      </w:pPr>
    </w:p>
    <w:p>
      <w:pPr>
        <w:ind w:right="520" w:firstLine="509"/>
        <w:spacing w:after="0" w:line="248" w:lineRule="auto"/>
        <w:rPr>
          <w:sz w:val="20"/>
          <w:szCs w:val="20"/>
          <w:color w:val="auto"/>
        </w:rPr>
      </w:pPr>
      <w:r>
        <w:rPr>
          <w:rFonts w:ascii="Arial" w:cs="Arial" w:eastAsia="Arial" w:hAnsi="Arial"/>
          <w:sz w:val="18"/>
          <w:szCs w:val="18"/>
          <w:color w:val="auto"/>
        </w:rPr>
        <w:t>We also have various defined contribution plans for our non-U.S. employees. Our contribution to the 401(k) Plan and our non-U.S. defined contribution plans which are recorded in our consolidated statements of operations for the years ended December 31, 2021, 2020 and 2019 were $10 million, $11 million, and $14 million,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Tripadvisor, Inc. Deferred Compensation Plan for Non-Employee Directors</w:t>
      </w:r>
    </w:p>
    <w:p>
      <w:pPr>
        <w:spacing w:after="0" w:line="104" w:lineRule="exact"/>
        <w:rPr>
          <w:sz w:val="20"/>
          <w:szCs w:val="20"/>
          <w:color w:val="auto"/>
        </w:rPr>
      </w:pPr>
    </w:p>
    <w:p>
      <w:pPr>
        <w:ind w:right="160" w:firstLine="509"/>
        <w:spacing w:after="0" w:line="254" w:lineRule="auto"/>
        <w:rPr>
          <w:sz w:val="20"/>
          <w:szCs w:val="20"/>
          <w:color w:val="auto"/>
        </w:rPr>
      </w:pPr>
      <w:r>
        <w:rPr>
          <w:rFonts w:ascii="Arial" w:cs="Arial" w:eastAsia="Arial" w:hAnsi="Arial"/>
          <w:sz w:val="17"/>
          <w:szCs w:val="17"/>
          <w:color w:val="auto"/>
        </w:rPr>
        <w:t>The Company has a Deferred Compensation Plan for Non-Employee Directors (the “Deferred Compensation Plan”). Under the Deferred Compensation Plan, eligible directors who defer their directors’ fees may elect to have such deferred fees (i) applied to the purchase of share units, representing the number of shares of our common stock that could have been purchased on the date such fees would otherwise be payable, or (ii) credited to a cash fund. The cash fund will be credited with interest at an annual rate equal to the weighted average prime or base lending rate of a financial institution selected in accordance with the terms of the Deferred Compensation Plan and applicable law. Upon termination of service as a director of Tripadvisor, a director will receive (i) with respect to share units, such number of shares of our common stock as the share units represent, and (ii) with respect to the cash fund, a cash payment. Payments upon termination will be made in either one lump sum or up to five annual installments, as elected by the eligible director at the time of the deferral election.</w:t>
      </w:r>
    </w:p>
    <w:p>
      <w:pPr>
        <w:spacing w:after="0" w:line="181" w:lineRule="exact"/>
        <w:rPr>
          <w:sz w:val="20"/>
          <w:szCs w:val="20"/>
          <w:color w:val="auto"/>
        </w:rPr>
      </w:pPr>
    </w:p>
    <w:p>
      <w:pPr>
        <w:ind w:right="240" w:firstLine="509"/>
        <w:spacing w:after="0" w:line="324" w:lineRule="auto"/>
        <w:rPr>
          <w:sz w:val="20"/>
          <w:szCs w:val="20"/>
          <w:color w:val="auto"/>
        </w:rPr>
      </w:pPr>
      <w:r>
        <w:rPr>
          <w:rFonts w:ascii="Arial" w:cs="Arial" w:eastAsia="Arial" w:hAnsi="Arial"/>
          <w:sz w:val="16"/>
          <w:szCs w:val="16"/>
          <w:color w:val="auto"/>
        </w:rPr>
        <w:t>Under the Deferred Compensation Plan, 100,000 shares of Tripadvisor common stock are available for issuance to non-employee directors. From the inception of the Deferred Compensation Plan through December 31, 2021, a total of 557 shares have been issued for such purpose.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Tripadvisor, Inc. Executive Severance Plan and Summary Plan Description</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Company also maintains its Executive Severance Plan and Summary Plan Description (the “Severance Plan”) which is applicable to certain employees of the Company and its subsidiaries. The Severance Plan formalizes and standardizes the Company’s severance practices for certain designated employees (each, a “Participant” and, collectively, the “Participants”). Participants covered by the Severance Plan generally will be eligible to receive severance benefits in the event of a termination by the Company without Cause or, under certain circumstances, by the Participant for Good Reason. The severance benefits differ if there is a termination of employment in connection with a Change in Control. The severance benefits provided pursuant to the Severance Plan are determined based on the job classification of the Participants (as reflected in internal job profile designations) and, in certain cases, their years of service with the Company.</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04" w:name="page105"/>
    <w:bookmarkEnd w:id="104"/>
    <w:p>
      <w:pPr>
        <w:ind w:right="300" w:firstLine="509"/>
        <w:spacing w:after="0" w:line="248" w:lineRule="auto"/>
        <w:rPr>
          <w:sz w:val="20"/>
          <w:szCs w:val="20"/>
          <w:color w:val="auto"/>
        </w:rPr>
      </w:pPr>
      <w:r>
        <w:rPr>
          <w:rFonts w:ascii="Arial" w:cs="Arial" w:eastAsia="Arial" w:hAnsi="Arial"/>
          <w:sz w:val="18"/>
          <w:szCs w:val="18"/>
          <w:color w:val="auto"/>
        </w:rPr>
        <w:t>During the years ended December 31, 2021 and 2020, respectively, we recognized $1 million and $5 million of expense under this plan on our consolidated statements of operations. Expense recorded under this plan to our consolidated statement of operations was not significant during the year ended December 31, 2019.</w:t>
      </w:r>
    </w:p>
    <w:p>
      <w:pPr>
        <w:spacing w:after="0" w:line="286" w:lineRule="exact"/>
        <w:rPr>
          <w:sz w:val="20"/>
          <w:szCs w:val="20"/>
          <w:color w:val="auto"/>
        </w:rPr>
      </w:pPr>
    </w:p>
    <w:p>
      <w:pPr>
        <w:ind w:right="5000"/>
        <w:spacing w:after="0" w:line="362" w:lineRule="auto"/>
        <w:rPr>
          <w:sz w:val="20"/>
          <w:szCs w:val="20"/>
          <w:color w:val="auto"/>
        </w:rPr>
      </w:pPr>
      <w:r>
        <w:rPr>
          <w:rFonts w:ascii="Arial" w:cs="Arial" w:eastAsia="Arial" w:hAnsi="Arial"/>
          <w:sz w:val="18"/>
          <w:szCs w:val="18"/>
          <w:b w:val="1"/>
          <w:bCs w:val="1"/>
          <w:color w:val="auto"/>
        </w:rPr>
        <w:t xml:space="preserve">NOTE 15: STOCK BASED AWARDS AND OTHER EQUITY INSTRUMENTS </w:t>
      </w:r>
      <w:r>
        <w:rPr>
          <w:rFonts w:ascii="Arial" w:cs="Arial" w:eastAsia="Arial" w:hAnsi="Arial"/>
          <w:sz w:val="18"/>
          <w:szCs w:val="18"/>
          <w:b w:val="1"/>
          <w:bCs w:val="1"/>
          <w:i w:val="1"/>
          <w:iCs w:val="1"/>
          <w:color w:val="auto"/>
        </w:rPr>
        <w:t>Stock-based Compensation Expense</w:t>
      </w:r>
    </w:p>
    <w:p>
      <w:pPr>
        <w:spacing w:after="0" w:line="1"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primarily stock options and RSUs, on our consolidated statements of operations during the periods presented:</w:t>
      </w:r>
    </w:p>
    <w:p>
      <w:pPr>
        <w:sectPr>
          <w:pgSz w:w="11900" w:h="16838" w:orient="portrait"/>
          <w:cols w:equalWidth="0" w:num="1">
            <w:col w:w="11180"/>
          </w:cols>
          <w:pgMar w:left="320" w:top="58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Cost of revenue</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Selling and marketing</w:t>
      </w:r>
    </w:p>
    <w:p>
      <w:pPr>
        <w:ind w:left="580"/>
        <w:spacing w:after="0" w:line="234" w:lineRule="auto"/>
        <w:rPr>
          <w:sz w:val="20"/>
          <w:szCs w:val="20"/>
          <w:color w:val="auto"/>
        </w:rPr>
      </w:pPr>
      <w:r>
        <w:rPr>
          <w:rFonts w:ascii="Arial" w:cs="Arial" w:eastAsia="Arial" w:hAnsi="Arial"/>
          <w:sz w:val="18"/>
          <w:szCs w:val="18"/>
          <w:color w:val="auto"/>
        </w:rPr>
        <w:t>Technology and content</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General and administrative</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stock-based compensation expense</w:t>
      </w:r>
    </w:p>
    <w:p>
      <w:pPr>
        <w:ind w:left="720" w:right="1340" w:hanging="134"/>
        <w:spacing w:after="0" w:line="219" w:lineRule="auto"/>
        <w:rPr>
          <w:sz w:val="20"/>
          <w:szCs w:val="20"/>
          <w:color w:val="auto"/>
        </w:rPr>
      </w:pPr>
      <w:r>
        <w:rPr>
          <w:rFonts w:ascii="Arial" w:cs="Arial" w:eastAsia="Arial" w:hAnsi="Arial"/>
          <w:sz w:val="18"/>
          <w:szCs w:val="18"/>
          <w:color w:val="auto"/>
        </w:rPr>
        <w:t>Income tax benefit from stock-based compensation expense</w:t>
      </w:r>
    </w:p>
    <w:p>
      <w:pPr>
        <w:ind w:left="900" w:right="1420" w:hanging="134"/>
        <w:spacing w:after="0" w:line="226" w:lineRule="auto"/>
        <w:rPr>
          <w:sz w:val="20"/>
          <w:szCs w:val="20"/>
          <w:color w:val="auto"/>
        </w:rPr>
      </w:pPr>
      <w:r>
        <w:rPr>
          <w:rFonts w:ascii="Arial" w:cs="Arial" w:eastAsia="Arial" w:hAnsi="Arial"/>
          <w:sz w:val="18"/>
          <w:szCs w:val="18"/>
          <w:color w:val="auto"/>
        </w:rPr>
        <w:t>Total stock-based compensation expense, net of tax effect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55"/>
        </w:trPr>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94"/>
              <w:spacing w:after="0" w:line="155" w:lineRule="exact"/>
              <w:rPr>
                <w:sz w:val="20"/>
                <w:szCs w:val="20"/>
                <w:color w:val="auto"/>
              </w:rPr>
            </w:pPr>
            <w:r>
              <w:rPr>
                <w:rFonts w:ascii="Arial" w:cs="Arial" w:eastAsia="Arial" w:hAnsi="Arial"/>
                <w:sz w:val="14"/>
                <w:szCs w:val="14"/>
                <w:b w:val="1"/>
                <w:bCs w:val="1"/>
                <w:color w:val="auto"/>
                <w:w w:val="99"/>
              </w:rPr>
              <w:t>(in millions)</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80" w:type="dxa"/>
            <w:vAlign w:val="bottom"/>
          </w:tcPr>
          <w:p>
            <w:pPr>
              <w:spacing w:after="0"/>
              <w:rPr>
                <w:sz w:val="17"/>
                <w:szCs w:val="17"/>
                <w:color w:val="auto"/>
              </w:rPr>
            </w:pPr>
          </w:p>
        </w:tc>
      </w:tr>
      <w:tr>
        <w:trPr>
          <w:trHeight w:val="217"/>
        </w:trPr>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r>
      <w:tr>
        <w:trPr>
          <w:trHeight w:val="224"/>
        </w:trPr>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r>
      <w:tr>
        <w:trPr>
          <w:trHeight w:val="337"/>
        </w:trPr>
        <w:tc>
          <w:tcPr>
            <w:tcW w:w="3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(23 )</w:t>
            </w: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(23 )</w:t>
            </w:r>
          </w:p>
        </w:tc>
        <w:tc>
          <w:tcPr>
            <w:tcW w:w="3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(28 )</w:t>
            </w:r>
          </w:p>
        </w:tc>
      </w:tr>
      <w:tr>
        <w:trPr>
          <w:trHeight w:val="331"/>
        </w:trPr>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4"/>
                <w:szCs w:val="24"/>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-1130935</wp:posOffset>
            </wp:positionV>
            <wp:extent cx="6412230" cy="1289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-3660140</wp:posOffset>
            </wp:positionH>
            <wp:positionV relativeFrom="paragraph">
              <wp:posOffset>-873760</wp:posOffset>
            </wp:positionV>
            <wp:extent cx="6412230" cy="1289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-3660140</wp:posOffset>
            </wp:positionH>
            <wp:positionV relativeFrom="paragraph">
              <wp:posOffset>-607695</wp:posOffset>
            </wp:positionV>
            <wp:extent cx="6412230" cy="1289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-3660140</wp:posOffset>
            </wp:positionH>
            <wp:positionV relativeFrom="paragraph">
              <wp:posOffset>-239395</wp:posOffset>
            </wp:positionV>
            <wp:extent cx="6412230" cy="2400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412230" cy="24003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5620" w:space="720"/>
            <w:col w:w="4840"/>
          </w:cols>
          <w:pgMar w:left="320" w:top="584" w:right="399" w:bottom="1440" w:gutter="0" w:footer="0" w:header="0"/>
          <w:type w:val="continuous"/>
        </w:sectPr>
      </w:pPr>
    </w:p>
    <w:p>
      <w:pPr>
        <w:ind w:firstLine="509"/>
        <w:spacing w:after="0" w:line="261" w:lineRule="auto"/>
        <w:rPr>
          <w:sz w:val="20"/>
          <w:szCs w:val="20"/>
          <w:color w:val="auto"/>
        </w:rPr>
      </w:pPr>
      <w:r>
        <w:rPr>
          <w:rFonts w:ascii="Arial" w:cs="Arial" w:eastAsia="Arial" w:hAnsi="Arial"/>
          <w:sz w:val="18"/>
          <w:szCs w:val="18"/>
          <w:color w:val="auto"/>
        </w:rPr>
        <w:t>We capitalized $13 million, $15 million and $19 million of stock-based compensation expense as website development costs during the years ended December 31, 2021, 2020 and 2019,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and Incentive Plans</w:t>
      </w:r>
    </w:p>
    <w:p>
      <w:pPr>
        <w:spacing w:after="0" w:line="10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 xml:space="preserve">On December 20, 2011, our 2011 Stock and Annual Incentive Plan (the “2011 Plan”) became effective and we filed a Registration Statement registering a total of 17,500,000 shares of our common stock, of which 17,400,000 shares were issuable in connection with grants of equity-based awards under our 2011 Plan and 100,000 shares were issuable under our Deferred Compensation Plan for Non-Employee Directors (refer to “Note 14: </w:t>
      </w:r>
      <w:r>
        <w:rPr>
          <w:rFonts w:ascii="Arial" w:cs="Arial" w:eastAsia="Arial" w:hAnsi="Arial"/>
          <w:sz w:val="18"/>
          <w:szCs w:val="18"/>
          <w:i w:val="1"/>
          <w:iCs w:val="1"/>
          <w:color w:val="auto"/>
        </w:rPr>
        <w:t>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Benefit Plans” </w:t>
      </w:r>
      <w:r>
        <w:rPr>
          <w:rFonts w:ascii="Arial" w:cs="Arial" w:eastAsia="Arial" w:hAnsi="Arial"/>
          <w:sz w:val="18"/>
          <w:szCs w:val="18"/>
          <w:color w:val="auto"/>
        </w:rPr>
        <w:t>for information on our Deferred Compensation Plan for Non-Employee Directors). At our annual meeting of stockholders held on June 28,</w:t>
      </w:r>
      <w:r>
        <w:rPr>
          <w:rFonts w:ascii="Arial" w:cs="Arial" w:eastAsia="Arial" w:hAnsi="Arial"/>
          <w:sz w:val="18"/>
          <w:szCs w:val="18"/>
          <w:i w:val="1"/>
          <w:iCs w:val="1"/>
          <w:color w:val="auto"/>
        </w:rPr>
        <w:t xml:space="preserve"> </w:t>
      </w:r>
      <w:r>
        <w:rPr>
          <w:rFonts w:ascii="Arial" w:cs="Arial" w:eastAsia="Arial" w:hAnsi="Arial"/>
          <w:sz w:val="18"/>
          <w:szCs w:val="18"/>
          <w:color w:val="auto"/>
        </w:rPr>
        <w:t>2013, our stockholders approved an amendment to our 2011 Plan to, among other things, increase the aggregate number of shares of common stock authorized for issuance thereunder by 15,000,000 shares.</w:t>
      </w:r>
    </w:p>
    <w:p>
      <w:pPr>
        <w:spacing w:after="0" w:line="81" w:lineRule="exact"/>
        <w:rPr>
          <w:sz w:val="20"/>
          <w:szCs w:val="20"/>
          <w:color w:val="auto"/>
        </w:rPr>
      </w:pPr>
    </w:p>
    <w:p>
      <w:pPr>
        <w:ind w:right="240" w:firstLine="509"/>
        <w:spacing w:after="0" w:line="284" w:lineRule="auto"/>
        <w:rPr>
          <w:sz w:val="20"/>
          <w:szCs w:val="20"/>
          <w:color w:val="auto"/>
        </w:rPr>
      </w:pPr>
      <w:r>
        <w:rPr>
          <w:rFonts w:ascii="Arial" w:cs="Arial" w:eastAsia="Arial" w:hAnsi="Arial"/>
          <w:sz w:val="16"/>
          <w:szCs w:val="16"/>
          <w:color w:val="auto"/>
        </w:rPr>
        <w:t>On June 21, 2018, our stockholders approved the 2018 Stock and Annual Incentive Plan (the “2018 Plan”) and we filed a Registration Statement registering 6,000,000 shares plus the number of shares available for issuance (and not subject to outstanding awards) under the 2011 Plan. As of the effective date of the 2018 Plan, the Company ceased granting awards under the 2011 Plan. The 2018 Plan provides for the grant of stock options, stock appreciation rights, restricted stock, restricted stock units, and other stock-based awards to our directors, officers, employees and consultants.</w:t>
      </w:r>
    </w:p>
    <w:p>
      <w:pPr>
        <w:spacing w:after="0" w:line="155" w:lineRule="exact"/>
        <w:rPr>
          <w:sz w:val="20"/>
          <w:szCs w:val="20"/>
          <w:color w:val="auto"/>
        </w:rPr>
      </w:pPr>
    </w:p>
    <w:p>
      <w:pPr>
        <w:jc w:val="both"/>
        <w:ind w:right="80" w:firstLine="509"/>
        <w:spacing w:after="0" w:line="294" w:lineRule="auto"/>
        <w:rPr>
          <w:sz w:val="20"/>
          <w:szCs w:val="20"/>
          <w:color w:val="auto"/>
        </w:rPr>
      </w:pPr>
      <w:r>
        <w:rPr>
          <w:rFonts w:ascii="Arial" w:cs="Arial" w:eastAsia="Arial" w:hAnsi="Arial"/>
          <w:sz w:val="16"/>
          <w:szCs w:val="16"/>
          <w:color w:val="auto"/>
        </w:rPr>
        <w:t>On June 8, 2021, our stockholders approved an amendment to the Company’s 2018 Plan to, among other things, increase the aggregate number of shares reserved and available for issuance under the 2018 Plan by 10,000,000 shares. The purpose of this amendment was to provide sufficient reserves of shares of our common stock to ensure our ability to continue to provide new hires, employees and management with equity incentives.</w:t>
      </w:r>
    </w:p>
    <w:p>
      <w:pPr>
        <w:spacing w:after="0" w:line="147" w:lineRule="exact"/>
        <w:rPr>
          <w:sz w:val="20"/>
          <w:szCs w:val="20"/>
          <w:color w:val="auto"/>
        </w:rPr>
      </w:pPr>
    </w:p>
    <w:p>
      <w:pPr>
        <w:ind w:right="100" w:firstLine="509"/>
        <w:spacing w:after="0" w:line="291" w:lineRule="auto"/>
        <w:rPr>
          <w:sz w:val="20"/>
          <w:szCs w:val="20"/>
          <w:color w:val="auto"/>
        </w:rPr>
      </w:pPr>
      <w:r>
        <w:rPr>
          <w:rFonts w:ascii="Arial" w:cs="Arial" w:eastAsia="Arial" w:hAnsi="Arial"/>
          <w:sz w:val="17"/>
          <w:szCs w:val="17"/>
          <w:color w:val="auto"/>
        </w:rPr>
        <w:t>The foregoing summary of the material terms of the 2018 Plan is qualified in its entirety by reference to the 2018 Stock and Annual Incentive Plan and Amendment No. 1 incorporated herein by reference as Exhibit 10.4 and Exhibit 10.37, respectively, to this Annual Report on Form 10-K.</w:t>
      </w:r>
    </w:p>
    <w:p>
      <w:pPr>
        <w:spacing w:after="0" w:line="147"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As of December 31, 2021, the total number of shares reserved for future stock-based awards under the 2018 Plan was approximately 17 million shares. All shares of common stock issued in respect of the exercise of options, RSUs, or other equity awards have been issued from authorized, but unissued common stock.</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t>Stock Based Award Activity and Valuation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Option Activity</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stock option activity, consisting primarily of service-based non-qualified stock options, is presented below:</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4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Aggregate</w:t>
            </w:r>
          </w:p>
        </w:tc>
        <w:tc>
          <w:tcPr>
            <w:tcW w:w="80" w:type="dxa"/>
            <w:vAlign w:val="bottom"/>
          </w:tcPr>
          <w:p>
            <w:pPr>
              <w:spacing w:after="0"/>
              <w:rPr>
                <w:sz w:val="15"/>
                <w:szCs w:val="15"/>
                <w:color w:val="auto"/>
              </w:rPr>
            </w:pPr>
          </w:p>
        </w:tc>
      </w:tr>
      <w:tr>
        <w:trPr>
          <w:trHeight w:val="176"/>
        </w:trPr>
        <w:tc>
          <w:tcPr>
            <w:tcW w:w="480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5"/>
                <w:szCs w:val="15"/>
                <w:color w:val="auto"/>
              </w:rPr>
            </w:pPr>
          </w:p>
        </w:tc>
        <w:tc>
          <w:tcPr>
            <w:tcW w:w="9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Price Per</w:t>
            </w:r>
          </w:p>
        </w:tc>
        <w:tc>
          <w:tcPr>
            <w:tcW w:w="1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80"/>
              <w:spacing w:after="0"/>
              <w:rPr>
                <w:sz w:val="20"/>
                <w:szCs w:val="20"/>
                <w:color w:val="auto"/>
              </w:rPr>
            </w:pPr>
            <w:r>
              <w:rPr>
                <w:rFonts w:ascii="Arial" w:cs="Arial" w:eastAsia="Arial" w:hAnsi="Arial"/>
                <w:sz w:val="14"/>
                <w:szCs w:val="14"/>
                <w:b w:val="1"/>
                <w:bCs w:val="1"/>
                <w:color w:val="auto"/>
                <w:w w:val="99"/>
              </w:rPr>
              <w:t>Intrinsic</w:t>
            </w:r>
          </w:p>
        </w:tc>
        <w:tc>
          <w:tcPr>
            <w:tcW w:w="80" w:type="dxa"/>
            <w:vAlign w:val="bottom"/>
          </w:tcPr>
          <w:p>
            <w:pPr>
              <w:spacing w:after="0"/>
              <w:rPr>
                <w:sz w:val="15"/>
                <w:szCs w:val="15"/>
                <w:color w:val="auto"/>
              </w:rPr>
            </w:pPr>
          </w:p>
        </w:tc>
      </w:tr>
      <w:tr>
        <w:trPr>
          <w:trHeight w:val="185"/>
        </w:trPr>
        <w:tc>
          <w:tcPr>
            <w:tcW w:w="480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Share</w:t>
            </w:r>
          </w:p>
        </w:tc>
        <w:tc>
          <w:tcPr>
            <w:tcW w:w="1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6"/>
                <w:szCs w:val="16"/>
                <w:color w:val="auto"/>
              </w:rPr>
            </w:pPr>
          </w:p>
        </w:tc>
      </w:tr>
      <w:tr>
        <w:trPr>
          <w:trHeight w:val="169"/>
        </w:trPr>
        <w:tc>
          <w:tcPr>
            <w:tcW w:w="4800" w:type="dxa"/>
            <w:vAlign w:val="bottom"/>
          </w:tcPr>
          <w:p>
            <w:pPr>
              <w:spacing w:after="0"/>
              <w:rPr>
                <w:sz w:val="14"/>
                <w:szCs w:val="14"/>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4"/>
                <w:szCs w:val="14"/>
                <w:color w:val="auto"/>
              </w:rPr>
            </w:pPr>
          </w:p>
        </w:tc>
      </w:tr>
      <w:tr>
        <w:trPr>
          <w:trHeight w:val="203"/>
        </w:trPr>
        <w:tc>
          <w:tcPr>
            <w:tcW w:w="4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Options outstanding as of December 31, 2020</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5,615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46.31</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1,002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41.12</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 (1)</w:t>
            </w:r>
          </w:p>
        </w:tc>
        <w:tc>
          <w:tcPr>
            <w:tcW w:w="14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(705 )</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33.97</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Cancelled or expired</w:t>
            </w: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(241 )</w:t>
            </w: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43.97</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48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Options outstanding as of December 31, 2021</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5,671</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47.03</w:t>
            </w:r>
          </w:p>
        </w:tc>
        <w:tc>
          <w:tcPr>
            <w:tcW w:w="134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4.8</w:t>
            </w:r>
          </w:p>
        </w:tc>
        <w:tc>
          <w:tcPr>
            <w:tcW w:w="340" w:type="dxa"/>
            <w:vAlign w:val="bottom"/>
            <w:tcBorders>
              <w:bottom w:val="single" w:sz="8" w:color="CFF0FC"/>
            </w:tcBorders>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4800" w:type="dxa"/>
            <w:vAlign w:val="bottom"/>
          </w:tcPr>
          <w:p>
            <w:pPr>
              <w:spacing w:after="0" w:line="183" w:lineRule="exact"/>
              <w:rPr>
                <w:sz w:val="20"/>
                <w:szCs w:val="20"/>
                <w:color w:val="auto"/>
              </w:rPr>
            </w:pPr>
            <w:r>
              <w:rPr>
                <w:rFonts w:ascii="Arial" w:cs="Arial" w:eastAsia="Arial" w:hAnsi="Arial"/>
                <w:sz w:val="18"/>
                <w:szCs w:val="18"/>
                <w:color w:val="auto"/>
              </w:rPr>
              <w:t>Exercisable as of December 31, 2021</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3,878</w:t>
            </w:r>
          </w:p>
        </w:tc>
        <w:tc>
          <w:tcPr>
            <w:tcW w:w="240" w:type="dxa"/>
            <w:vAlign w:val="bottom"/>
          </w:tcPr>
          <w:p>
            <w:pPr>
              <w:spacing w:after="0"/>
              <w:rPr>
                <w:sz w:val="15"/>
                <w:szCs w:val="15"/>
                <w:color w:val="auto"/>
              </w:rPr>
            </w:pPr>
          </w:p>
        </w:tc>
        <w:tc>
          <w:tcPr>
            <w:tcW w:w="200" w:type="dxa"/>
            <w:vAlign w:val="bottom"/>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83" w:lineRule="exact"/>
              <w:rPr>
                <w:sz w:val="20"/>
                <w:szCs w:val="20"/>
                <w:color w:val="auto"/>
              </w:rPr>
            </w:pPr>
            <w:r>
              <w:rPr>
                <w:rFonts w:ascii="Arial" w:cs="Arial" w:eastAsia="Arial" w:hAnsi="Arial"/>
                <w:sz w:val="18"/>
                <w:szCs w:val="18"/>
                <w:color w:val="auto"/>
              </w:rPr>
              <w:t>51.06</w:t>
            </w:r>
          </w:p>
        </w:tc>
        <w:tc>
          <w:tcPr>
            <w:tcW w:w="134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3.6</w:t>
            </w:r>
          </w:p>
        </w:tc>
        <w:tc>
          <w:tcPr>
            <w:tcW w:w="34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r>
      <w:tr>
        <w:trPr>
          <w:trHeight w:val="20"/>
        </w:trPr>
        <w:tc>
          <w:tcPr>
            <w:tcW w:w="4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48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Vested and expected to vest after December 31, 2021 (2)</w:t>
            </w: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5,671</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47.03</w:t>
            </w:r>
          </w:p>
        </w:tc>
        <w:tc>
          <w:tcPr>
            <w:tcW w:w="1340" w:type="dxa"/>
            <w:vAlign w:val="bottom"/>
            <w:tcBorders>
              <w:bottom w:val="single" w:sz="8" w:color="CFF0FC"/>
            </w:tcBorders>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4.8</w:t>
            </w:r>
          </w:p>
        </w:tc>
        <w:tc>
          <w:tcPr>
            <w:tcW w:w="340" w:type="dxa"/>
            <w:vAlign w:val="bottom"/>
            <w:tcBorders>
              <w:bottom w:val="single" w:sz="8" w:color="CFF0FC"/>
            </w:tcBorders>
            <w:gridSpan w:val="2"/>
            <w:shd w:val="clear" w:color="auto" w:fill="CFF0FC"/>
          </w:tcPr>
          <w:p>
            <w:pPr>
              <w:jc w:val="right"/>
              <w:ind w:right="60"/>
              <w:spacing w:after="0" w:line="183"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-334010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-316230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-25400</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520" w:hanging="512"/>
        <w:spacing w:after="0" w:line="245"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Inclusive of approximately 390,000 stock options for the year ended December 31, 2021, which were not converted into shares due to net share settlement in order to cover the aggregate exercise price and the required amount of employee withholding taxes. Potential shares which had been convertible under stock options that were withheld under net share settlement remain in the authorized but unissued pool under the 2018 Plan and can be reissued by the Company. Total payments for the employees’ tax obligations to the taxing authorities due to net share settlements are reflected as a financing activity within the consolidated statements of cash flows.</w:t>
      </w:r>
    </w:p>
    <w:p>
      <w:pPr>
        <w:spacing w:after="0" w:line="2" w:lineRule="exact"/>
        <w:rPr>
          <w:rFonts w:ascii="Arial" w:cs="Arial" w:eastAsia="Arial" w:hAnsi="Arial"/>
          <w:sz w:val="14"/>
          <w:szCs w:val="14"/>
          <w:color w:val="auto"/>
        </w:rPr>
      </w:pPr>
    </w:p>
    <w:p>
      <w:pPr>
        <w:ind w:left="520" w:right="260" w:hanging="512"/>
        <w:spacing w:after="0" w:line="255"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77"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Aggregate intrinsic value represents the difference between the closing stock price of our common stock and the exercise price of outstanding, in-the-money options. Our closing stock price as reported on Nasdaq as of December 31, 2021 was $27.26. The total intrinsic value of stock options exercised for the years ended December 31, 2021 and 2019 was $9 million and $2 million, respectively, and for the year ended December 31, 2020 was not material.</w:t>
      </w:r>
    </w:p>
    <w:p>
      <w:pPr>
        <w:spacing w:after="0" w:line="147"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The fair value of stock option grants has been estimated at the date of grant using the Black–Scholes option pricing model with the following weighted average assumptions for the periods presented:</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3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w w:val="96"/>
              </w:rPr>
              <w:t>December 31,</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r>
      <w:tr>
        <w:trPr>
          <w:trHeight w:val="169"/>
        </w:trPr>
        <w:tc>
          <w:tcPr>
            <w:tcW w:w="3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r>
      <w:tr>
        <w:trPr>
          <w:trHeight w:val="196"/>
        </w:trPr>
        <w:tc>
          <w:tcPr>
            <w:tcW w:w="3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Risk free interest rate</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0.83</w:t>
            </w:r>
          </w:p>
        </w:tc>
        <w:tc>
          <w:tcPr>
            <w:tcW w:w="40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w:t>
            </w:r>
          </w:p>
        </w:tc>
        <w:tc>
          <w:tcPr>
            <w:tcW w:w="36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1.79</w:t>
            </w:r>
          </w:p>
        </w:tc>
        <w:tc>
          <w:tcPr>
            <w:tcW w:w="3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5.45</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5.30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5.19</w:t>
            </w:r>
          </w:p>
        </w:tc>
        <w:tc>
          <w:tcPr>
            <w:tcW w:w="300" w:type="dxa"/>
            <w:vAlign w:val="bottom"/>
          </w:tcPr>
          <w:p>
            <w:pPr>
              <w:spacing w:after="0"/>
              <w:rPr>
                <w:sz w:val="17"/>
                <w:szCs w:val="17"/>
                <w:color w:val="auto"/>
              </w:rPr>
            </w:pPr>
          </w:p>
        </w:tc>
      </w:tr>
      <w:tr>
        <w:trPr>
          <w:trHeight w:val="203"/>
        </w:trPr>
        <w:tc>
          <w:tcPr>
            <w:tcW w:w="3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volatility</w:t>
            </w: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49.61 %</w:t>
            </w:r>
          </w:p>
        </w:tc>
        <w:tc>
          <w:tcPr>
            <w:tcW w:w="2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43.39 %</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42.09 %</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220" w:type="dxa"/>
            <w:vAlign w:val="bottom"/>
          </w:tcPr>
          <w:p>
            <w:pPr>
              <w:spacing w:after="0"/>
              <w:rPr>
                <w:sz w:val="17"/>
                <w:szCs w:val="17"/>
                <w:color w:val="auto"/>
              </w:rPr>
            </w:pPr>
          </w:p>
        </w:tc>
        <w:tc>
          <w:tcPr>
            <w:tcW w:w="1180" w:type="dxa"/>
            <w:vAlign w:val="bottom"/>
            <w:gridSpan w:val="2"/>
          </w:tcPr>
          <w:p>
            <w:pPr>
              <w:jc w:val="right"/>
              <w:ind w:right="310"/>
              <w:spacing w:after="0" w:line="202" w:lineRule="exact"/>
              <w:rPr>
                <w:sz w:val="20"/>
                <w:szCs w:val="20"/>
                <w:color w:val="auto"/>
              </w:rPr>
            </w:pPr>
            <w:r>
              <w:rPr>
                <w:rFonts w:ascii="Arial" w:cs="Arial" w:eastAsia="Arial" w:hAnsi="Arial"/>
                <w:sz w:val="18"/>
                <w:szCs w:val="18"/>
                <w:color w:val="auto"/>
              </w:rPr>
              <w:t>— %</w:t>
            </w:r>
          </w:p>
        </w:tc>
        <w:tc>
          <w:tcPr>
            <w:tcW w:w="220" w:type="dxa"/>
            <w:vAlign w:val="bottom"/>
          </w:tcPr>
          <w:p>
            <w:pPr>
              <w:spacing w:after="0"/>
              <w:rPr>
                <w:sz w:val="17"/>
                <w:szCs w:val="17"/>
                <w:color w:val="auto"/>
              </w:rPr>
            </w:pPr>
          </w:p>
        </w:tc>
        <w:tc>
          <w:tcPr>
            <w:tcW w:w="114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 %</w:t>
            </w:r>
          </w:p>
        </w:tc>
        <w:tc>
          <w:tcPr>
            <w:tcW w:w="220" w:type="dxa"/>
            <w:vAlign w:val="bottom"/>
          </w:tcPr>
          <w:p>
            <w:pPr>
              <w:spacing w:after="0"/>
              <w:rPr>
                <w:sz w:val="17"/>
                <w:szCs w:val="17"/>
                <w:color w:val="auto"/>
              </w:rPr>
            </w:pPr>
          </w:p>
        </w:tc>
        <w:tc>
          <w:tcPr>
            <w:tcW w:w="106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 %</w:t>
            </w:r>
          </w:p>
        </w:tc>
      </w:tr>
      <w:tr>
        <w:trPr>
          <w:trHeight w:val="203"/>
        </w:trPr>
        <w:tc>
          <w:tcPr>
            <w:tcW w:w="3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Weighted-average grant date fair value</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18.40</w:t>
            </w: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10.08</w:t>
            </w: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21.25</w:t>
            </w:r>
          </w:p>
        </w:tc>
        <w:tc>
          <w:tcPr>
            <w:tcW w:w="300" w:type="dxa"/>
            <w:vAlign w:val="bottom"/>
            <w:shd w:val="clear" w:color="auto" w:fill="CFF0FC"/>
          </w:tcPr>
          <w:p>
            <w:pPr>
              <w:spacing w:after="0"/>
              <w:rPr>
                <w:sz w:val="17"/>
                <w:szCs w:val="17"/>
                <w:color w:val="auto"/>
              </w:rPr>
            </w:pPr>
          </w:p>
        </w:tc>
      </w:tr>
    </w:tbl>
    <w:p>
      <w:pPr>
        <w:spacing w:after="0" w:line="188"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The total fair value of stock options vested for the years ended December 31, 2021, 2020 and 2019 were $31 million, $14 million, and $15 million, respectively. Cash received from stock option exercises for the years ended December 31, 2021 and 2019 was $8 million and $2 million, respectively, and for the year ended December 31, 2020 was not material.</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RSU Activity</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restricted stock units (“RSUs”) activity, consisting primarily of service-based vesting terms, presented below:</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76"/>
        </w:trPr>
        <w:tc>
          <w:tcPr>
            <w:tcW w:w="6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6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6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59"/>
              <w:spacing w:after="0"/>
              <w:rPr>
                <w:sz w:val="20"/>
                <w:szCs w:val="20"/>
                <w:color w:val="auto"/>
              </w:rPr>
            </w:pPr>
            <w:r>
              <w:rPr>
                <w:rFonts w:ascii="Arial" w:cs="Arial" w:eastAsia="Arial" w:hAnsi="Arial"/>
                <w:sz w:val="14"/>
                <w:szCs w:val="14"/>
                <w:b w:val="1"/>
                <w:bCs w:val="1"/>
                <w:color w:val="auto"/>
                <w:w w:val="99"/>
              </w:rPr>
              <w:t>Grant-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44"/>
              <w:spacing w:after="0"/>
              <w:rPr>
                <w:sz w:val="20"/>
                <w:szCs w:val="20"/>
                <w:color w:val="auto"/>
              </w:rPr>
            </w:pPr>
            <w:r>
              <w:rPr>
                <w:rFonts w:ascii="Arial" w:cs="Arial" w:eastAsia="Arial" w:hAnsi="Arial"/>
                <w:sz w:val="14"/>
                <w:szCs w:val="14"/>
                <w:b w:val="1"/>
                <w:bCs w:val="1"/>
                <w:color w:val="auto"/>
                <w:w w:val="92"/>
              </w:rPr>
              <w:t>Aggregate</w:t>
            </w:r>
          </w:p>
        </w:tc>
        <w:tc>
          <w:tcPr>
            <w:tcW w:w="60" w:type="dxa"/>
            <w:vAlign w:val="bottom"/>
          </w:tcPr>
          <w:p>
            <w:pPr>
              <w:spacing w:after="0"/>
              <w:rPr>
                <w:sz w:val="15"/>
                <w:szCs w:val="15"/>
                <w:color w:val="auto"/>
              </w:rPr>
            </w:pPr>
          </w:p>
        </w:tc>
      </w:tr>
      <w:tr>
        <w:trPr>
          <w:trHeight w:val="175"/>
        </w:trPr>
        <w:tc>
          <w:tcPr>
            <w:tcW w:w="6520" w:type="dxa"/>
            <w:vAlign w:val="bottom"/>
          </w:tcPr>
          <w:p>
            <w:pPr>
              <w:spacing w:after="0"/>
              <w:rPr>
                <w:sz w:val="15"/>
                <w:szCs w:val="15"/>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RSUs</w:t>
            </w:r>
          </w:p>
        </w:tc>
        <w:tc>
          <w:tcPr>
            <w:tcW w:w="160" w:type="dxa"/>
            <w:vAlign w:val="bottom"/>
          </w:tcPr>
          <w:p>
            <w:pPr>
              <w:spacing w:after="0"/>
              <w:rPr>
                <w:sz w:val="15"/>
                <w:szCs w:val="15"/>
                <w:color w:val="auto"/>
              </w:rPr>
            </w:pPr>
          </w:p>
        </w:tc>
        <w:tc>
          <w:tcPr>
            <w:tcW w:w="124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Date Fair</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44"/>
              <w:spacing w:after="0"/>
              <w:rPr>
                <w:sz w:val="20"/>
                <w:szCs w:val="20"/>
                <w:color w:val="auto"/>
              </w:rPr>
            </w:pPr>
            <w:r>
              <w:rPr>
                <w:rFonts w:ascii="Arial" w:cs="Arial" w:eastAsia="Arial" w:hAnsi="Arial"/>
                <w:sz w:val="14"/>
                <w:szCs w:val="14"/>
                <w:b w:val="1"/>
                <w:bCs w:val="1"/>
                <w:color w:val="auto"/>
                <w:w w:val="95"/>
              </w:rPr>
              <w:t>Intrinsic</w:t>
            </w:r>
          </w:p>
        </w:tc>
        <w:tc>
          <w:tcPr>
            <w:tcW w:w="60" w:type="dxa"/>
            <w:vAlign w:val="bottom"/>
          </w:tcPr>
          <w:p>
            <w:pPr>
              <w:spacing w:after="0"/>
              <w:rPr>
                <w:sz w:val="15"/>
                <w:szCs w:val="15"/>
                <w:color w:val="auto"/>
              </w:rPr>
            </w:pPr>
          </w:p>
        </w:tc>
      </w:tr>
      <w:tr>
        <w:trPr>
          <w:trHeight w:val="185"/>
        </w:trPr>
        <w:tc>
          <w:tcPr>
            <w:tcW w:w="652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6"/>
                <w:szCs w:val="16"/>
                <w:color w:val="auto"/>
              </w:rPr>
            </w:pPr>
          </w:p>
        </w:tc>
        <w:tc>
          <w:tcPr>
            <w:tcW w:w="124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Value Per Share</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44"/>
              <w:spacing w:after="0"/>
              <w:rPr>
                <w:sz w:val="20"/>
                <w:szCs w:val="20"/>
                <w:color w:val="auto"/>
              </w:rPr>
            </w:pPr>
            <w:r>
              <w:rPr>
                <w:rFonts w:ascii="Arial" w:cs="Arial" w:eastAsia="Arial" w:hAnsi="Arial"/>
                <w:sz w:val="14"/>
                <w:szCs w:val="14"/>
                <w:b w:val="1"/>
                <w:bCs w:val="1"/>
                <w:color w:val="auto"/>
                <w:w w:val="96"/>
              </w:rPr>
              <w:t>Value</w:t>
            </w:r>
          </w:p>
        </w:tc>
        <w:tc>
          <w:tcPr>
            <w:tcW w:w="60" w:type="dxa"/>
            <w:vAlign w:val="bottom"/>
          </w:tcPr>
          <w:p>
            <w:pPr>
              <w:spacing w:after="0"/>
              <w:rPr>
                <w:sz w:val="16"/>
                <w:szCs w:val="16"/>
                <w:color w:val="auto"/>
              </w:rPr>
            </w:pPr>
          </w:p>
        </w:tc>
      </w:tr>
      <w:tr>
        <w:trPr>
          <w:trHeight w:val="169"/>
        </w:trPr>
        <w:tc>
          <w:tcPr>
            <w:tcW w:w="6520" w:type="dxa"/>
            <w:vAlign w:val="bottom"/>
          </w:tcPr>
          <w:p>
            <w:pPr>
              <w:spacing w:after="0"/>
              <w:rPr>
                <w:sz w:val="14"/>
                <w:szCs w:val="14"/>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4"/>
              </w:rPr>
              <w:t>(in millions)</w:t>
            </w:r>
          </w:p>
        </w:tc>
        <w:tc>
          <w:tcPr>
            <w:tcW w:w="60" w:type="dxa"/>
            <w:vAlign w:val="bottom"/>
          </w:tcPr>
          <w:p>
            <w:pPr>
              <w:spacing w:after="0"/>
              <w:rPr>
                <w:sz w:val="14"/>
                <w:szCs w:val="14"/>
                <w:color w:val="auto"/>
              </w:rPr>
            </w:pPr>
          </w:p>
        </w:tc>
      </w:tr>
      <w:tr>
        <w:trPr>
          <w:trHeight w:val="20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Unvested RSUs outstanding as of December 31, 2020</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8,111</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32.29</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3,503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40.17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 and released (1)</w:t>
            </w:r>
          </w:p>
        </w:tc>
        <w:tc>
          <w:tcPr>
            <w:tcW w:w="16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(4,632 )</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31.26</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Cancelled</w:t>
            </w:r>
          </w:p>
        </w:tc>
        <w:tc>
          <w:tcPr>
            <w:tcW w:w="1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(1,196 )</w:t>
            </w:r>
          </w:p>
        </w:tc>
        <w:tc>
          <w:tcPr>
            <w:tcW w:w="1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37.45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65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RSUs outstanding as of December 31, 2021 (2)</w:t>
            </w: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5,786</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36.82</w:t>
            </w:r>
          </w:p>
        </w:tc>
        <w:tc>
          <w:tcPr>
            <w:tcW w:w="440" w:type="dxa"/>
            <w:vAlign w:val="bottom"/>
            <w:tcBorders>
              <w:bottom w:val="single" w:sz="8" w:color="CFF0FC"/>
            </w:tcBorders>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520" w:right="360" w:hanging="512"/>
        <w:spacing w:after="0" w:line="245" w:lineRule="auto"/>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Inclusive of approximately 1,110,000 RSUs for the year ended December 31, 2021, withheld due to net share settlement to satisfy required employee tax withholding requirements. Potential shares which had been convertible under RSUs that were withheld under net share settlement remain in the authorized but unissued pool under the 2018 Plan and can be reissued by the Company. Total payments for the employees’ tax obligations to the taxing authorities due to net share settlements are reflected as a financing activity within the consolidated statements of cash flows.</w:t>
      </w:r>
    </w:p>
    <w:p>
      <w:pPr>
        <w:spacing w:after="0" w:line="2" w:lineRule="exact"/>
        <w:rPr>
          <w:rFonts w:ascii="Arial" w:cs="Arial" w:eastAsia="Arial" w:hAnsi="Arial"/>
          <w:sz w:val="14"/>
          <w:szCs w:val="14"/>
          <w:color w:val="auto"/>
        </w:rPr>
      </w:pPr>
    </w:p>
    <w:p>
      <w:pPr>
        <w:ind w:left="520" w:right="300" w:hanging="512"/>
        <w:spacing w:after="0" w:line="255" w:lineRule="auto"/>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90"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On May 27, 2020 and July 15, 2020, the Compensation Committee of the Board of Directors, approved modifications to the Company’s annual RSU and stock option grants, respectively, issued to its employees in the first quarter of 2020. Such modifications reduced the original grant-date vesting period from four years to two years. We estimate these modifications resulted in the acceleration and recognition of an additional $17 million of stock-based compensation expense during the year ended December 31, 2020, given the modified vesting term. There was no change to the original fair value of the impacted RSUs or stock options as a result of this modification.</w:t>
      </w:r>
    </w:p>
    <w:p>
      <w:pPr>
        <w:spacing w:after="0" w:line="189"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On December 31, 2021, the Section 16 Committee of our Board of Directors approved and granted to Stephen Kaufer, the Company’s CEO, the following: (i) stock option to purchase 115,200 shares of common stock, which will vest and become exercisable 25% on August 1, 2022 and the balance will vest in quarterly installments over the following three years; with an estimated grant-date fair value per option of $12.59, using a Black-Scholes option pricing model; (ii) stock option to purchase 110,026 shares of common stock, which will vest and become exercisable in full on August 1, 2024; with an estimated grant-date fair value per option of $13.18, using a Black-Scholes option pricing model; and (iii) 106,382 RSUs, which will vest and settle 25% on August 1, 2022 and the balance will vest in quarterly installments over the following three years, with an estimated grant-date fair value of $27.26 per RSU, based on the quoted price of our common stock on the date of grant. The estimated fair value of these awards totaled $6 million and was fully recognized as stock-based compensation expense to the consolidated statement of operations for the year ended December 31, 2021, given the Company concluded there was no substantive future requisite service condition for these awards that existed at grant date for GAAP purposes.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MSU activity is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6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6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61"/>
              <w:spacing w:after="0"/>
              <w:rPr>
                <w:sz w:val="20"/>
                <w:szCs w:val="20"/>
                <w:color w:val="auto"/>
              </w:rPr>
            </w:pPr>
            <w:r>
              <w:rPr>
                <w:rFonts w:ascii="Arial" w:cs="Arial" w:eastAsia="Arial" w:hAnsi="Arial"/>
                <w:sz w:val="14"/>
                <w:szCs w:val="14"/>
                <w:b w:val="1"/>
                <w:bCs w:val="1"/>
                <w:color w:val="auto"/>
                <w:w w:val="99"/>
              </w:rPr>
              <w:t>Grant-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44"/>
              <w:spacing w:after="0"/>
              <w:rPr>
                <w:sz w:val="20"/>
                <w:szCs w:val="20"/>
                <w:color w:val="auto"/>
              </w:rPr>
            </w:pPr>
            <w:r>
              <w:rPr>
                <w:rFonts w:ascii="Arial" w:cs="Arial" w:eastAsia="Arial" w:hAnsi="Arial"/>
                <w:sz w:val="14"/>
                <w:szCs w:val="14"/>
                <w:b w:val="1"/>
                <w:bCs w:val="1"/>
                <w:color w:val="auto"/>
                <w:w w:val="92"/>
              </w:rPr>
              <w:t>Aggregate</w:t>
            </w:r>
          </w:p>
        </w:tc>
        <w:tc>
          <w:tcPr>
            <w:tcW w:w="60" w:type="dxa"/>
            <w:vAlign w:val="bottom"/>
          </w:tcPr>
          <w:p>
            <w:pPr>
              <w:spacing w:after="0"/>
              <w:rPr>
                <w:sz w:val="15"/>
                <w:szCs w:val="15"/>
                <w:color w:val="auto"/>
              </w:rPr>
            </w:pPr>
          </w:p>
        </w:tc>
      </w:tr>
      <w:tr>
        <w:trPr>
          <w:trHeight w:val="175"/>
        </w:trPr>
        <w:tc>
          <w:tcPr>
            <w:tcW w:w="6520" w:type="dxa"/>
            <w:vAlign w:val="bottom"/>
          </w:tcPr>
          <w:p>
            <w:pPr>
              <w:spacing w:after="0"/>
              <w:rPr>
                <w:sz w:val="15"/>
                <w:szCs w:val="15"/>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MSUs</w:t>
            </w:r>
          </w:p>
        </w:tc>
        <w:tc>
          <w:tcPr>
            <w:tcW w:w="160" w:type="dxa"/>
            <w:vAlign w:val="bottom"/>
          </w:tcPr>
          <w:p>
            <w:pPr>
              <w:spacing w:after="0"/>
              <w:rPr>
                <w:sz w:val="15"/>
                <w:szCs w:val="15"/>
                <w:color w:val="auto"/>
              </w:rPr>
            </w:pPr>
          </w:p>
        </w:tc>
        <w:tc>
          <w:tcPr>
            <w:tcW w:w="124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Date Fair</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44"/>
              <w:spacing w:after="0"/>
              <w:rPr>
                <w:sz w:val="20"/>
                <w:szCs w:val="20"/>
                <w:color w:val="auto"/>
              </w:rPr>
            </w:pPr>
            <w:r>
              <w:rPr>
                <w:rFonts w:ascii="Arial" w:cs="Arial" w:eastAsia="Arial" w:hAnsi="Arial"/>
                <w:sz w:val="14"/>
                <w:szCs w:val="14"/>
                <w:b w:val="1"/>
                <w:bCs w:val="1"/>
                <w:color w:val="auto"/>
                <w:w w:val="95"/>
              </w:rPr>
              <w:t>Intrinsic</w:t>
            </w:r>
          </w:p>
        </w:tc>
        <w:tc>
          <w:tcPr>
            <w:tcW w:w="60" w:type="dxa"/>
            <w:vAlign w:val="bottom"/>
          </w:tcPr>
          <w:p>
            <w:pPr>
              <w:spacing w:after="0"/>
              <w:rPr>
                <w:sz w:val="15"/>
                <w:szCs w:val="15"/>
                <w:color w:val="auto"/>
              </w:rPr>
            </w:pPr>
          </w:p>
        </w:tc>
      </w:tr>
      <w:tr>
        <w:trPr>
          <w:trHeight w:val="185"/>
        </w:trPr>
        <w:tc>
          <w:tcPr>
            <w:tcW w:w="652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6"/>
                <w:szCs w:val="16"/>
                <w:color w:val="auto"/>
              </w:rPr>
            </w:pPr>
          </w:p>
        </w:tc>
        <w:tc>
          <w:tcPr>
            <w:tcW w:w="1240" w:type="dxa"/>
            <w:vAlign w:val="bottom"/>
          </w:tcPr>
          <w:p>
            <w:pPr>
              <w:jc w:val="center"/>
              <w:ind w:right="81"/>
              <w:spacing w:after="0"/>
              <w:rPr>
                <w:sz w:val="20"/>
                <w:szCs w:val="20"/>
                <w:color w:val="auto"/>
              </w:rPr>
            </w:pPr>
            <w:r>
              <w:rPr>
                <w:rFonts w:ascii="Arial" w:cs="Arial" w:eastAsia="Arial" w:hAnsi="Arial"/>
                <w:sz w:val="14"/>
                <w:szCs w:val="14"/>
                <w:b w:val="1"/>
                <w:bCs w:val="1"/>
                <w:color w:val="auto"/>
                <w:w w:val="93"/>
              </w:rPr>
              <w:t>Value Per Share</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44"/>
              <w:spacing w:after="0"/>
              <w:rPr>
                <w:sz w:val="20"/>
                <w:szCs w:val="20"/>
                <w:color w:val="auto"/>
              </w:rPr>
            </w:pPr>
            <w:r>
              <w:rPr>
                <w:rFonts w:ascii="Arial" w:cs="Arial" w:eastAsia="Arial" w:hAnsi="Arial"/>
                <w:sz w:val="14"/>
                <w:szCs w:val="14"/>
                <w:b w:val="1"/>
                <w:bCs w:val="1"/>
                <w:color w:val="auto"/>
                <w:w w:val="96"/>
              </w:rPr>
              <w:t>Value</w:t>
            </w:r>
          </w:p>
        </w:tc>
        <w:tc>
          <w:tcPr>
            <w:tcW w:w="60" w:type="dxa"/>
            <w:vAlign w:val="bottom"/>
          </w:tcPr>
          <w:p>
            <w:pPr>
              <w:spacing w:after="0"/>
              <w:rPr>
                <w:sz w:val="16"/>
                <w:szCs w:val="16"/>
                <w:color w:val="auto"/>
              </w:rPr>
            </w:pPr>
          </w:p>
        </w:tc>
      </w:tr>
      <w:tr>
        <w:trPr>
          <w:trHeight w:val="169"/>
        </w:trPr>
        <w:tc>
          <w:tcPr>
            <w:tcW w:w="6520" w:type="dxa"/>
            <w:vAlign w:val="bottom"/>
          </w:tcPr>
          <w:p>
            <w:pPr>
              <w:spacing w:after="0"/>
              <w:rPr>
                <w:sz w:val="14"/>
                <w:szCs w:val="14"/>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4"/>
              </w:rPr>
              <w:t>(in millions)</w:t>
            </w:r>
          </w:p>
        </w:tc>
        <w:tc>
          <w:tcPr>
            <w:tcW w:w="60" w:type="dxa"/>
            <w:vAlign w:val="bottom"/>
          </w:tcPr>
          <w:p>
            <w:pPr>
              <w:spacing w:after="0"/>
              <w:rPr>
                <w:sz w:val="14"/>
                <w:szCs w:val="14"/>
                <w:color w:val="auto"/>
              </w:rPr>
            </w:pPr>
          </w:p>
        </w:tc>
      </w:tr>
      <w:tr>
        <w:trPr>
          <w:trHeight w:val="20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Unvested MSUs outstanding as of December 31, 2020</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37.29</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Cancelled (1)</w:t>
            </w:r>
          </w:p>
        </w:tc>
        <w:tc>
          <w:tcPr>
            <w:tcW w:w="1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(54 )</w:t>
            </w:r>
          </w:p>
        </w:tc>
        <w:tc>
          <w:tcPr>
            <w:tcW w:w="1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57.62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65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MSUs outstanding as of December 31, 2021 (2)</w:t>
            </w: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28.15</w:t>
            </w:r>
          </w:p>
        </w:tc>
        <w:tc>
          <w:tcPr>
            <w:tcW w:w="440" w:type="dxa"/>
            <w:vAlign w:val="bottom"/>
            <w:tcBorders>
              <w:bottom w:val="single" w:sz="8" w:color="CFF0FC"/>
            </w:tcBorders>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MSU cancellations primarily reflect performance targets not being attained during the performance period.</w:t>
      </w:r>
    </w:p>
    <w:p>
      <w:pPr>
        <w:spacing w:after="0" w:line="13" w:lineRule="exact"/>
        <w:rPr>
          <w:rFonts w:ascii="Arial" w:cs="Arial" w:eastAsia="Arial" w:hAnsi="Arial"/>
          <w:sz w:val="14"/>
          <w:szCs w:val="14"/>
          <w:color w:val="auto"/>
        </w:rPr>
      </w:pPr>
    </w:p>
    <w:p>
      <w:pPr>
        <w:ind w:left="520" w:right="60" w:hanging="512"/>
        <w:spacing w:after="0" w:line="248" w:lineRule="auto"/>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MSUs provide for vesting based upon the Company’s total shareholder return, or TSR, performance over the period commencing January 1, 2020 through December 31, 2022 relative to the TSR performance of The Nasdaq Composite Total Return Index. Based upon actual attainment relative to the target performance metric, the grantee has the ability to receive up to 200% of the target number of MSUs originally granted, or to receive none at all.</w:t>
      </w:r>
    </w:p>
    <w:p>
      <w:pPr>
        <w:spacing w:after="0" w:line="195"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A Monte-Carlo simulation model, which simulated the present value of the potential outcomes of future stock prices and TSR of the Company and The Nasdaq Composite Total Return Index over the performance period, was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7" w:name="page108"/>
    <w:bookmarkEnd w:id="107"/>
    <w:p>
      <w:pPr>
        <w:ind w:right="20"/>
        <w:spacing w:after="0" w:line="261" w:lineRule="auto"/>
        <w:rPr>
          <w:sz w:val="20"/>
          <w:szCs w:val="20"/>
          <w:color w:val="auto"/>
        </w:rPr>
      </w:pPr>
      <w:r>
        <w:rPr>
          <w:rFonts w:ascii="Arial" w:cs="Arial" w:eastAsia="Arial" w:hAnsi="Arial"/>
          <w:sz w:val="18"/>
          <w:szCs w:val="18"/>
          <w:color w:val="auto"/>
        </w:rPr>
        <w:t>used to calculate the grant-date fair value of our MSU awards. The estimated grant-date fair value of these awards is amortized on a straight-line basis over the requisite service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04"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A summary of our remaining unrecognized compensation expense and the weighted average remaining amortization period at December 31, 2021 related to our non-vested equity awards is presented below (in millions, except in years information):</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960" w:type="dxa"/>
            <w:vAlign w:val="bottom"/>
          </w:tcPr>
          <w:p>
            <w:pPr>
              <w:jc w:val="center"/>
              <w:ind w:left="222"/>
              <w:spacing w:after="0"/>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940" w:type="dxa"/>
            <w:vAlign w:val="bottom"/>
            <w:vMerge w:val="restart"/>
          </w:tcPr>
          <w:p>
            <w:pPr>
              <w:spacing w:after="0"/>
              <w:rPr>
                <w:sz w:val="20"/>
                <w:szCs w:val="20"/>
                <w:color w:val="auto"/>
              </w:rPr>
            </w:pPr>
            <w:r>
              <w:rPr>
                <w:rFonts w:ascii="Arial" w:cs="Arial" w:eastAsia="Arial" w:hAnsi="Arial"/>
                <w:sz w:val="18"/>
                <w:szCs w:val="18"/>
                <w:color w:val="auto"/>
              </w:rPr>
              <w:t>Unrecognized compensation expense</w:t>
            </w:r>
          </w:p>
        </w:tc>
        <w:tc>
          <w:tcPr>
            <w:tcW w:w="9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90"/>
              </w:rPr>
              <w:t>Options</w:t>
            </w:r>
          </w:p>
        </w:tc>
        <w:tc>
          <w:tcPr>
            <w:tcW w:w="3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RSUs/MSUs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40" w:type="dxa"/>
            <w:vAlign w:val="bottom"/>
            <w:vMerge w:val="continue"/>
          </w:tcPr>
          <w:p>
            <w:pPr>
              <w:spacing w:after="0"/>
              <w:rPr>
                <w:sz w:val="17"/>
                <w:szCs w:val="17"/>
                <w:color w:val="auto"/>
              </w:rPr>
            </w:pPr>
          </w:p>
        </w:tc>
        <w:tc>
          <w:tcPr>
            <w:tcW w:w="960" w:type="dxa"/>
            <w:vAlign w:val="bottom"/>
          </w:tcPr>
          <w:p>
            <w:pPr>
              <w:jc w:val="right"/>
              <w:ind w:right="762"/>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18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 average period remaining (in years)</w:t>
            </w: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STOCKHOLDERS’ EQUITY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04" w:lineRule="exact"/>
        <w:rPr>
          <w:sz w:val="20"/>
          <w:szCs w:val="20"/>
          <w:color w:val="auto"/>
        </w:rPr>
      </w:pPr>
    </w:p>
    <w:p>
      <w:pPr>
        <w:ind w:right="60" w:firstLine="509"/>
        <w:spacing w:after="0" w:line="291" w:lineRule="auto"/>
        <w:rPr>
          <w:sz w:val="20"/>
          <w:szCs w:val="20"/>
          <w:color w:val="auto"/>
        </w:rPr>
      </w:pPr>
      <w:r>
        <w:rPr>
          <w:rFonts w:ascii="Arial" w:cs="Arial" w:eastAsia="Arial" w:hAnsi="Arial"/>
          <w:sz w:val="17"/>
          <w:szCs w:val="17"/>
          <w:color w:val="auto"/>
        </w:rPr>
        <w:t>In addition to common stock, we are authorized to issue up to 100 million preferred shares, with $ 0.001 par value per share, with terms determined by our Board of Directors, without further action by our stockholders. As of December 31, 2021, no preferred shares had been issued.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Class B Common Stock</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Our authorized common stock consists of 1.6 billion shares of common stock with par value of $0.001 per share, and 400 million shares of Class B common stock with par value of $0.001 per share. Both classes of common stock qualify for and share equally in dividends, if declared by our Board of Directors. Common stock is entitled to one vote per share and Class B common stock is entitled to 10 votes per share. Holders of Tripadvisor common stock, acting as a single class, are entitled to elect a number of directors equal to 25% percent of the total number of directors, rounded up to the next whole number, which was three directors as of December 31, 2021. Class B common stockholders may, at any time, convert their shares into common stock, on a one for one share basis. Upon conversion, the Class B common stock is retired and is not available for reissue. In the event of liquidation, dissolution, distribution of assets or winding-up of Tripadvisor the holders of both classes of common stock have equal rights to receive all the assets of Tripadvisor after the rights of the holders of the preferred stock have been satisfied. There were 144,656,649 and 125,812,035 shares of common stock issued and outstanding, respectively, and 12,799,999 shares of Class B common stock issued and outstanding at December 31, 2021.</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04"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Accumulated other comprehensive income (loss) is comprised of accumulated foreign currency translation adjustments, as follows for the periods presented:</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8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ind w:left="1060"/>
              <w:spacing w:after="0"/>
              <w:rPr>
                <w:sz w:val="20"/>
                <w:szCs w:val="20"/>
                <w:color w:val="auto"/>
              </w:rPr>
            </w:pPr>
            <w:r>
              <w:rPr>
                <w:rFonts w:ascii="Arial" w:cs="Arial" w:eastAsia="Arial" w:hAnsi="Arial"/>
                <w:sz w:val="14"/>
                <w:szCs w:val="14"/>
                <w:b w:val="1"/>
                <w:bCs w:val="1"/>
                <w:color w:val="auto"/>
              </w:rPr>
              <w:t>(in</w:t>
            </w: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millions)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Cumulative foreign currency translation</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vMerge w:val="restart"/>
            <w:shd w:val="clear" w:color="auto" w:fill="CFF0FC"/>
          </w:tcPr>
          <w:p>
            <w:pPr>
              <w:ind w:left="1060"/>
              <w:spacing w:after="0"/>
              <w:rPr>
                <w:sz w:val="20"/>
                <w:szCs w:val="20"/>
                <w:color w:val="auto"/>
              </w:rPr>
            </w:pPr>
            <w:r>
              <w:rPr>
                <w:rFonts w:ascii="Arial" w:cs="Arial" w:eastAsia="Arial" w:hAnsi="Arial"/>
                <w:sz w:val="18"/>
                <w:szCs w:val="18"/>
                <w:color w:val="auto"/>
              </w:rPr>
              <w:t>(56 )</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3"/>
        </w:trPr>
        <w:tc>
          <w:tcPr>
            <w:tcW w:w="58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adjustments, net of tax (1)</w:t>
            </w:r>
          </w:p>
        </w:tc>
        <w:tc>
          <w:tcPr>
            <w:tcW w:w="100" w:type="dxa"/>
            <w:vAlign w:val="bottom"/>
            <w:vMerge w:val="continue"/>
            <w:shd w:val="clear" w:color="auto" w:fill="CFF0FC"/>
          </w:tcPr>
          <w:p>
            <w:pPr>
              <w:spacing w:after="0"/>
              <w:rPr>
                <w:sz w:val="17"/>
                <w:szCs w:val="17"/>
                <w:color w:val="auto"/>
              </w:rPr>
            </w:pPr>
          </w:p>
        </w:tc>
        <w:tc>
          <w:tcPr>
            <w:tcW w:w="1560" w:type="dxa"/>
            <w:vAlign w:val="bottom"/>
            <w:gridSpan w:val="2"/>
            <w:vMerge w:val="continue"/>
            <w:shd w:val="clear" w:color="auto" w:fill="CFF0FC"/>
          </w:tcPr>
          <w:p>
            <w:pPr>
              <w:spacing w:after="0"/>
              <w:rPr>
                <w:sz w:val="17"/>
                <w:szCs w:val="17"/>
                <w:color w:val="auto"/>
              </w:rPr>
            </w:pPr>
          </w:p>
        </w:tc>
        <w:tc>
          <w:tcPr>
            <w:tcW w:w="120" w:type="dxa"/>
            <w:vAlign w:val="bottom"/>
            <w:vMerge w:val="continue"/>
            <w:shd w:val="clear" w:color="auto" w:fill="CFF0FC"/>
          </w:tcPr>
          <w:p>
            <w:pPr>
              <w:spacing w:after="0"/>
              <w:rPr>
                <w:sz w:val="17"/>
                <w:szCs w:val="17"/>
                <w:color w:val="auto"/>
              </w:rPr>
            </w:pPr>
          </w:p>
        </w:tc>
        <w:tc>
          <w:tcPr>
            <w:tcW w:w="14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Pr>
          <w:p>
            <w:pPr>
              <w:spacing w:after="0" w:line="196" w:lineRule="exact"/>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gridSpan w:val="2"/>
          </w:tcPr>
          <w:p>
            <w:pPr>
              <w:ind w:left="1060"/>
              <w:spacing w:after="0" w:line="196" w:lineRule="exact"/>
              <w:rPr>
                <w:sz w:val="20"/>
                <w:szCs w:val="20"/>
                <w:color w:val="auto"/>
              </w:rPr>
            </w:pPr>
            <w:r>
              <w:rPr>
                <w:rFonts w:ascii="Arial" w:cs="Arial" w:eastAsia="Arial" w:hAnsi="Arial"/>
                <w:sz w:val="18"/>
                <w:szCs w:val="18"/>
                <w:color w:val="auto"/>
              </w:rPr>
              <w:t>(56 )</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-159385</wp:posOffset>
            </wp:positionV>
            <wp:extent cx="76835"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-159385</wp:posOffset>
            </wp:positionV>
            <wp:extent cx="6858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92" w:lineRule="exact"/>
        <w:rPr>
          <w:sz w:val="20"/>
          <w:szCs w:val="20"/>
          <w:color w:val="auto"/>
        </w:rPr>
      </w:pPr>
    </w:p>
    <w:p>
      <w:pPr>
        <w:ind w:left="1140" w:hanging="383"/>
        <w:spacing w:after="0"/>
        <w:tabs>
          <w:tab w:leader="none" w:pos="11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Deferred income tax liabilities related to these amounts are not material.</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12" w:lineRule="exact"/>
        <w:rPr>
          <w:sz w:val="20"/>
          <w:szCs w:val="20"/>
          <w:color w:val="auto"/>
        </w:rPr>
      </w:pPr>
    </w:p>
    <w:p>
      <w:pPr>
        <w:ind w:right="320" w:firstLine="509"/>
        <w:spacing w:after="0" w:line="324" w:lineRule="auto"/>
        <w:rPr>
          <w:sz w:val="20"/>
          <w:szCs w:val="20"/>
          <w:color w:val="auto"/>
        </w:rPr>
      </w:pPr>
      <w:r>
        <w:rPr>
          <w:rFonts w:ascii="Arial" w:cs="Arial" w:eastAsia="Arial" w:hAnsi="Arial"/>
          <w:sz w:val="16"/>
          <w:szCs w:val="16"/>
          <w:color w:val="auto"/>
        </w:rPr>
        <w:t>On November 1, 2019, our Board of Directors authorized the repurchase of an additional $100 million in shares of our common stock under our existing share repurchase program, which increased the amount available to the Company under this share repurchase program to $250 million.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08" w:name="page109"/>
    <w:bookmarkEnd w:id="108"/>
    <w:p>
      <w:pPr>
        <w:jc w:val="both"/>
        <w:ind w:right="300" w:firstLine="509"/>
        <w:spacing w:after="0" w:line="243" w:lineRule="auto"/>
        <w:rPr>
          <w:sz w:val="20"/>
          <w:szCs w:val="20"/>
          <w:color w:val="auto"/>
        </w:rPr>
      </w:pPr>
      <w:r>
        <w:rPr>
          <w:rFonts w:ascii="Arial" w:cs="Arial" w:eastAsia="Arial" w:hAnsi="Arial"/>
          <w:sz w:val="18"/>
          <w:szCs w:val="18"/>
          <w:color w:val="auto"/>
        </w:rPr>
        <w:t>During the years ended December 31, 2020 and 2019, we repurchased 4,707,450 and 2,059,846 shares, respectively, of our outstanding common stock at an average share price of $24.32 and $29.32 per share, exclusive of fees and commissions, respectively, or $115 million and $60 million in the aggregate, respectively. During the year ended December 31, 2021, the Company did not repurchase any shares of outstanding common stock under the share repurchase program.</w:t>
      </w:r>
    </w:p>
    <w:p>
      <w:pPr>
        <w:spacing w:after="0" w:line="18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As of December 31, 2021, we had $75 million remaining available to repurchase shares of our common stock under this share repurchase program, with 18,844,614 shares of the Company’s common stock held in treasury with an aggregate cost of $722 million.</w:t>
      </w:r>
    </w:p>
    <w:p>
      <w:pPr>
        <w:spacing w:after="0" w:line="171"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 xml:space="preserve">Our Board of Directors authorized and directed management, working with the Executive Committee of our Board of Directors, to affect the share repurchase program discussed above in compliance with applicable legal requirements. While the Board of Directors has not suspended or terminated the share repurchase program, the terms of the Credit Agreement currently limit the Company from engaging in share repurchases during the Leverage Covenant Holiday and the terms of our 2025 Indenture also imposes certain limitations and restrictions on share repurchases. Refer to “Note 10: </w:t>
      </w:r>
      <w:r>
        <w:rPr>
          <w:rFonts w:ascii="Arial" w:cs="Arial" w:eastAsia="Arial" w:hAnsi="Arial"/>
          <w:sz w:val="18"/>
          <w:szCs w:val="18"/>
          <w:i w:val="1"/>
          <w:iCs w:val="1"/>
          <w:color w:val="auto"/>
        </w:rPr>
        <w:t>Debt</w:t>
      </w:r>
      <w:r>
        <w:rPr>
          <w:rFonts w:ascii="Arial" w:cs="Arial" w:eastAsia="Arial" w:hAnsi="Arial"/>
          <w:sz w:val="18"/>
          <w:szCs w:val="18"/>
          <w:color w:val="auto"/>
        </w:rPr>
        <w:t>” for further information about our Credit Agreement and our 2025 Indenture.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On November 1, 2019, the Company's Board of Directors declared a special cash dividend of $3.50 per share, or approximately $488 million in the aggregate. The dividend was payable on December 4, 2019 to stockholders of record on November 20, 2019. During the years ended December 31, 2021 and 2020, our Board of Directors did not declare any dividends on our outstanding common stock.</w:t>
      </w:r>
    </w:p>
    <w:p>
      <w:pPr>
        <w:spacing w:after="0" w:line="182"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Any determination to pay dividends in the future will be at the discretion of our Board of Directors and will depend on our results of operations, earnings, capital requirements, financial condition, future prospects, contractual restrictions and other factors deemed relevant by our Board of Directors. Our ability to pay dividends is also limited by the terms of our Credit Agreement during the Leverage Covenant Holiday and our 2025 Indenture. In connection with the declaration of such dividends, our non-vested RSUs were entitled to dividend equivalents, which will be payable to the holder subject to, and only upon vesting of, the underlying awards.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Earnings Per Share Attributable to Common Stockholders</w:t>
      </w:r>
    </w:p>
    <w:p>
      <w:pPr>
        <w:spacing w:after="0" w:line="104" w:lineRule="exact"/>
        <w:rPr>
          <w:sz w:val="20"/>
          <w:szCs w:val="20"/>
          <w:color w:val="auto"/>
        </w:rPr>
      </w:pPr>
    </w:p>
    <w:p>
      <w:pPr>
        <w:ind w:right="180" w:firstLine="509"/>
        <w:spacing w:after="0" w:line="284" w:lineRule="auto"/>
        <w:rPr>
          <w:sz w:val="20"/>
          <w:szCs w:val="20"/>
          <w:color w:val="auto"/>
        </w:rPr>
      </w:pPr>
      <w:r>
        <w:rPr>
          <w:rFonts w:ascii="Arial" w:cs="Arial" w:eastAsia="Arial" w:hAnsi="Arial"/>
          <w:sz w:val="16"/>
          <w:szCs w:val="16"/>
          <w:color w:val="auto"/>
        </w:rPr>
        <w:t>We compute basic earnings per share, or Basic EPS, by dividing net income (loss)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Earnings Per Share Attributable to Common Stockholders</w:t>
      </w:r>
    </w:p>
    <w:p>
      <w:pPr>
        <w:spacing w:after="0" w:line="10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Diluted earnings per share, or Diluted EPS, includes the potential dilution of common equivalent shares outstanding that could occur from stock-based awards and other stock-based commitments using the treasury stock method. We compute Diluted EPS by dividing net income (loss)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EPS calculation as indicated above, and (ii) if dilutive, the incremental weighted average common stock that we would issue upon the assumed exercise of outstanding common equivalent shares, primarily related to stock options and the vesting of restricted stock units using the treasury stock method, and (iii) if dilutive, performance-based and market-based awards based on the number of shares that would be issuable as of the end of the reporting period assuming the end of the reporting period was also the end of the contingency period.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9" w:name="page110"/>
    <w:bookmarkEnd w:id="109"/>
    <w:p>
      <w:pPr>
        <w:jc w:val="both"/>
        <w:ind w:right="80" w:firstLine="509"/>
        <w:spacing w:after="0" w:line="294"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147"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In periods of net income, shares of our common stock subject to the potential conversion of the 2026 Senior Notes outstanding during the period is also included in our weighted average number of shares outstanding used to calculate Diluted EPS using the if-converted method under GAAP, as share settlement is presumed. The Capped Calls are excluded from the calculation of Diluted EPS, as they would be antidilutive. However, upon conversion of the 2026 Senior Notes, unless the market price of our common stock exceeds the cap price, an exercise of the Capped Calls would generally offset any dilution from the 2026 Senior Notes from the conversion price up to the cap price. As of December 31, 2021, the market price of a share of our common stock did not exceed the $107.36 cap price.</w:t>
      </w:r>
    </w:p>
    <w:p>
      <w:pPr>
        <w:spacing w:after="0" w:line="189" w:lineRule="exact"/>
        <w:rPr>
          <w:sz w:val="20"/>
          <w:szCs w:val="20"/>
          <w:color w:val="auto"/>
        </w:rPr>
      </w:pPr>
    </w:p>
    <w:p>
      <w:pPr>
        <w:ind w:right="160" w:firstLine="509"/>
        <w:spacing w:after="0" w:line="294" w:lineRule="auto"/>
        <w:rPr>
          <w:sz w:val="20"/>
          <w:szCs w:val="20"/>
          <w:color w:val="auto"/>
        </w:rPr>
      </w:pPr>
      <w:r>
        <w:rPr>
          <w:rFonts w:ascii="Arial" w:cs="Arial" w:eastAsia="Arial" w:hAnsi="Arial"/>
          <w:sz w:val="16"/>
          <w:szCs w:val="16"/>
          <w:color w:val="auto"/>
        </w:rPr>
        <w:t>In periods of a net loss, common equivalent shares are excluded from the calculation of Diluted EPS as their inclusion would have an antidilutive effect. Accordingly, for periods in which we report a net loss, such as for both the years ended December 31, 2021 and 2020, respectively, Diluted EPS is the same as Basic EPS, since dilutive common equivalent shares are not assumed to have been issued if their effect is antidilutive.</w:t>
      </w:r>
    </w:p>
    <w:p>
      <w:pPr>
        <w:spacing w:after="0" w:line="147"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80" w:type="dxa"/>
            <w:vAlign w:val="bottom"/>
            <w:tcBorders>
              <w:left w:val="single" w:sz="8" w:color="CFF0FC"/>
            </w:tcBorders>
            <w:gridSpan w:val="3"/>
            <w:shd w:val="clear" w:color="auto" w:fill="CFF0FC"/>
          </w:tcPr>
          <w:p>
            <w:pPr>
              <w:ind w:left="20"/>
              <w:spacing w:after="0" w:line="169" w:lineRule="exact"/>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40" w:type="dxa"/>
            <w:vAlign w:val="bottom"/>
            <w:tcBorders>
              <w:left w:val="single" w:sz="8" w:color="CFF0FC"/>
            </w:tcBorders>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53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(148 )</w:t>
            </w:r>
          </w:p>
        </w:tc>
        <w:tc>
          <w:tcPr>
            <w:tcW w:w="4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(289 )</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480" w:type="dxa"/>
            <w:vAlign w:val="bottom"/>
            <w:tcBorders>
              <w:left w:val="single" w:sz="8" w:color="CFF0FC"/>
            </w:tcBorders>
            <w:gridSpan w:val="3"/>
            <w:shd w:val="clear" w:color="auto" w:fill="CFF0FC"/>
          </w:tcPr>
          <w:p>
            <w:pPr>
              <w:ind w:left="20"/>
              <w:spacing w:after="0" w:line="176" w:lineRule="exact"/>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940" w:type="dxa"/>
            <w:vAlign w:val="bottom"/>
            <w:tcBorders>
              <w:left w:val="single" w:sz="8" w:color="CFF0FC"/>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3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480" w:type="dxa"/>
            <w:vAlign w:val="bottom"/>
            <w:gridSpan w:val="3"/>
          </w:tcPr>
          <w:p>
            <w:pPr>
              <w:ind w:left="200"/>
              <w:spacing w:after="0" w:line="162" w:lineRule="exact"/>
              <w:rPr>
                <w:sz w:val="20"/>
                <w:szCs w:val="20"/>
                <w:color w:val="auto"/>
              </w:rPr>
            </w:pPr>
            <w:r>
              <w:rPr>
                <w:rFonts w:ascii="Arial" w:cs="Arial" w:eastAsia="Arial" w:hAnsi="Arial"/>
                <w:sz w:val="18"/>
                <w:szCs w:val="18"/>
                <w:color w:val="auto"/>
              </w:rPr>
              <w:t>Weighted average shares used to compute</w:t>
            </w:r>
          </w:p>
        </w:tc>
        <w:tc>
          <w:tcPr>
            <w:tcW w:w="3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137,234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134,858</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138,975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80" w:type="dxa"/>
            <w:vAlign w:val="bottom"/>
            <w:gridSpan w:val="3"/>
          </w:tcPr>
          <w:p>
            <w:pPr>
              <w:ind w:left="340"/>
              <w:spacing w:after="0"/>
              <w:rPr>
                <w:sz w:val="20"/>
                <w:szCs w:val="20"/>
                <w:color w:val="auto"/>
              </w:rPr>
            </w:pPr>
            <w:r>
              <w:rPr>
                <w:rFonts w:ascii="Arial" w:cs="Arial" w:eastAsia="Arial" w:hAnsi="Arial"/>
                <w:sz w:val="18"/>
                <w:szCs w:val="18"/>
                <w:color w:val="auto"/>
              </w:rPr>
              <w:t>Basic EPS</w:t>
            </w:r>
          </w:p>
        </w:tc>
        <w:tc>
          <w:tcPr>
            <w:tcW w:w="3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480" w:type="dxa"/>
            <w:vAlign w:val="bottom"/>
            <w:tcBorders>
              <w:left w:val="single" w:sz="8" w:color="CFF0FC"/>
            </w:tcBorders>
            <w:gridSpan w:val="3"/>
            <w:shd w:val="clear" w:color="auto" w:fill="CFF0FC"/>
          </w:tcPr>
          <w:p>
            <w:pPr>
              <w:ind w:left="200"/>
              <w:spacing w:after="0" w:line="162" w:lineRule="exact"/>
              <w:rPr>
                <w:sz w:val="20"/>
                <w:szCs w:val="20"/>
                <w:color w:val="auto"/>
              </w:rPr>
            </w:pPr>
            <w:r>
              <w:rPr>
                <w:rFonts w:ascii="Arial" w:cs="Arial" w:eastAsia="Arial" w:hAnsi="Arial"/>
                <w:sz w:val="18"/>
                <w:szCs w:val="18"/>
                <w:color w:val="auto"/>
              </w:rPr>
              <w:t>Weighted average effect of dilutive</w:t>
            </w:r>
          </w:p>
        </w:tc>
        <w:tc>
          <w:tcPr>
            <w:tcW w:w="3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80" w:type="dxa"/>
            <w:vAlign w:val="bottom"/>
            <w:tcBorders>
              <w:left w:val="single" w:sz="8" w:color="CFF0FC"/>
            </w:tcBorders>
            <w:gridSpan w:val="3"/>
            <w:shd w:val="clear" w:color="auto" w:fill="CFF0FC"/>
          </w:tcPr>
          <w:p>
            <w:pPr>
              <w:ind w:left="340"/>
              <w:spacing w:after="0"/>
              <w:rPr>
                <w:sz w:val="20"/>
                <w:szCs w:val="20"/>
                <w:color w:val="auto"/>
              </w:rPr>
            </w:pPr>
            <w:r>
              <w:rPr>
                <w:rFonts w:ascii="Arial" w:cs="Arial" w:eastAsia="Arial" w:hAnsi="Arial"/>
                <w:sz w:val="18"/>
                <w:szCs w:val="18"/>
                <w:color w:val="auto"/>
              </w:rPr>
              <w:t>securities:</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80" w:type="dxa"/>
            <w:vAlign w:val="bottom"/>
            <w:gridSpan w:val="3"/>
          </w:tcPr>
          <w:p>
            <w:pPr>
              <w:ind w:left="380"/>
              <w:spacing w:after="0" w:line="202" w:lineRule="exact"/>
              <w:rPr>
                <w:sz w:val="20"/>
                <w:szCs w:val="20"/>
                <w:color w:val="auto"/>
              </w:rPr>
            </w:pPr>
            <w:r>
              <w:rPr>
                <w:rFonts w:ascii="Arial" w:cs="Arial" w:eastAsia="Arial" w:hAnsi="Arial"/>
                <w:sz w:val="18"/>
                <w:szCs w:val="18"/>
                <w:color w:val="auto"/>
              </w:rPr>
              <w:t>Stock options</w:t>
            </w:r>
          </w:p>
        </w:tc>
        <w:tc>
          <w:tcPr>
            <w:tcW w:w="340" w:type="dxa"/>
            <w:vAlign w:val="bottom"/>
          </w:tcPr>
          <w:p>
            <w:pPr>
              <w:spacing w:after="0"/>
              <w:rPr>
                <w:sz w:val="17"/>
                <w:szCs w:val="17"/>
                <w:color w:val="auto"/>
              </w:rPr>
            </w:pPr>
          </w:p>
        </w:tc>
        <w:tc>
          <w:tcPr>
            <w:tcW w:w="11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Borders>
              <w:left w:val="single" w:sz="8" w:color="CFF0FC"/>
            </w:tcBorders>
            <w:gridSpan w:val="3"/>
            <w:shd w:val="clear" w:color="auto" w:fill="CFF0FC"/>
          </w:tcPr>
          <w:p>
            <w:pPr>
              <w:ind w:left="380"/>
              <w:spacing w:after="0" w:line="202" w:lineRule="exact"/>
              <w:rPr>
                <w:sz w:val="20"/>
                <w:szCs w:val="20"/>
                <w:color w:val="auto"/>
              </w:rPr>
            </w:pPr>
            <w:r>
              <w:rPr>
                <w:rFonts w:ascii="Arial" w:cs="Arial" w:eastAsia="Arial" w:hAnsi="Arial"/>
                <w:sz w:val="18"/>
                <w:szCs w:val="18"/>
                <w:color w:val="auto"/>
              </w:rPr>
              <w:t>RSUs/MSUs</w:t>
            </w:r>
          </w:p>
        </w:tc>
        <w:tc>
          <w:tcPr>
            <w:tcW w:w="3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6480" w:type="dxa"/>
            <w:vAlign w:val="bottom"/>
            <w:tcBorders>
              <w:top w:val="single" w:sz="8" w:color="CFF0FC"/>
            </w:tcBorders>
            <w:gridSpan w:val="3"/>
          </w:tcPr>
          <w:p>
            <w:pPr>
              <w:ind w:left="200"/>
              <w:spacing w:after="0" w:line="156" w:lineRule="exact"/>
              <w:rPr>
                <w:sz w:val="20"/>
                <w:szCs w:val="20"/>
                <w:color w:val="auto"/>
              </w:rPr>
            </w:pPr>
            <w:r>
              <w:rPr>
                <w:rFonts w:ascii="Arial" w:cs="Arial" w:eastAsia="Arial" w:hAnsi="Arial"/>
                <w:sz w:val="18"/>
                <w:szCs w:val="18"/>
                <w:color w:val="auto"/>
              </w:rPr>
              <w:t>Weighted average shares used to compute</w:t>
            </w:r>
          </w:p>
        </w:tc>
        <w:tc>
          <w:tcPr>
            <w:tcW w:w="3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137,234</w:t>
            </w: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134,858</w:t>
            </w:r>
          </w:p>
        </w:tc>
        <w:tc>
          <w:tcPr>
            <w:tcW w:w="26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140,658</w:t>
            </w:r>
          </w:p>
        </w:tc>
        <w:tc>
          <w:tcPr>
            <w:tcW w:w="6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480" w:type="dxa"/>
            <w:vAlign w:val="bottom"/>
            <w:gridSpan w:val="3"/>
          </w:tcPr>
          <w:p>
            <w:pPr>
              <w:ind w:left="340"/>
              <w:spacing w:after="0" w:line="156" w:lineRule="exact"/>
              <w:rPr>
                <w:sz w:val="20"/>
                <w:szCs w:val="20"/>
                <w:color w:val="auto"/>
              </w:rPr>
            </w:pPr>
            <w:r>
              <w:rPr>
                <w:rFonts w:ascii="Arial" w:cs="Arial" w:eastAsia="Arial" w:hAnsi="Arial"/>
                <w:sz w:val="18"/>
                <w:szCs w:val="18"/>
                <w:color w:val="auto"/>
              </w:rPr>
              <w:t>Diluted EPS</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Borders>
              <w:left w:val="single" w:sz="8" w:color="CFF0FC"/>
            </w:tcBorders>
            <w:gridSpan w:val="3"/>
            <w:shd w:val="clear" w:color="auto" w:fill="CFF0FC"/>
          </w:tcPr>
          <w:p>
            <w:pPr>
              <w:ind w:left="20"/>
              <w:spacing w:after="0" w:line="183" w:lineRule="exact"/>
              <w:rPr>
                <w:sz w:val="20"/>
                <w:szCs w:val="20"/>
                <w:color w:val="auto"/>
              </w:rPr>
            </w:pPr>
            <w:r>
              <w:rPr>
                <w:rFonts w:ascii="Arial" w:cs="Arial" w:eastAsia="Arial" w:hAnsi="Arial"/>
                <w:sz w:val="18"/>
                <w:szCs w:val="18"/>
                <w:color w:val="auto"/>
              </w:rPr>
              <w:t>Basic EPS</w:t>
            </w:r>
          </w:p>
        </w:tc>
        <w:tc>
          <w:tcPr>
            <w:tcW w:w="340" w:type="dxa"/>
            <w:vAlign w:val="bottom"/>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(1.08</w:t>
            </w: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(2.14</w:t>
            </w:r>
          </w:p>
        </w:tc>
        <w:tc>
          <w:tcPr>
            <w:tcW w:w="260" w:type="dxa"/>
            <w:vAlign w:val="bottom"/>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0.91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80" w:type="dxa"/>
            <w:vAlign w:val="bottom"/>
            <w:gridSpan w:val="3"/>
          </w:tcPr>
          <w:p>
            <w:pPr>
              <w:ind w:left="20"/>
              <w:spacing w:after="0"/>
              <w:rPr>
                <w:sz w:val="20"/>
                <w:szCs w:val="20"/>
                <w:color w:val="auto"/>
              </w:rPr>
            </w:pPr>
            <w:r>
              <w:rPr>
                <w:rFonts w:ascii="Arial" w:cs="Arial" w:eastAsia="Arial" w:hAnsi="Arial"/>
                <w:sz w:val="18"/>
                <w:szCs w:val="18"/>
                <w:color w:val="auto"/>
              </w:rPr>
              <w:t>Diluted EPS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(1.08 )</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(2.14 )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-520065</wp:posOffset>
            </wp:positionV>
            <wp:extent cx="6858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-520065</wp:posOffset>
            </wp:positionV>
            <wp:extent cx="60325"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-520065</wp:posOffset>
            </wp:positionV>
            <wp:extent cx="4318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46"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Potential common shares, consisting of outstanding stock options, RSUs, MSUs, and those issuable under the 2026 Senior Notes, totaling approximately 16.1 million, 13.7 million, and 6.7 million, for the years ended December 31, 2021, 2020 and 2019, respectively, have been excluded from the calculations of Diluted EPS because their effect would have been antidilutive. In addition, potential common shares of certain performance-based awards of approximately 0.1 million, 0.2 million, and 0.7 million, for the years ended December 31, 2021, 2020 and 2019, respectively, for which all targets required to trigger vesting had not been achieved, were excluded from the calculation of weighted average shares used to compute Diluted EPS for those reporting periods.</w:t>
      </w:r>
    </w:p>
    <w:p>
      <w:pPr>
        <w:spacing w:after="0" w:line="189" w:lineRule="exact"/>
        <w:rPr>
          <w:sz w:val="20"/>
          <w:szCs w:val="20"/>
          <w:color w:val="auto"/>
        </w:rPr>
      </w:pPr>
    </w:p>
    <w:p>
      <w:pPr>
        <w:ind w:right="80" w:firstLine="509"/>
        <w:spacing w:after="0" w:line="208" w:lineRule="exact"/>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 In addition, our non-vested RSUs and MSUs are entitled to dividend equivalents, which are payable to the holder subject to, and only upon vesting of, the underlying awards and are therefore forfeitable. Given such dividend equivalents are forfeitable, we do not consider them to be participating securities and, consequently, they are not subject to the two</w:t>
      </w:r>
      <w:r>
        <w:rPr>
          <w:rFonts w:ascii="MS PGothic" w:cs="MS PGothic" w:eastAsia="MS PGothic" w:hAnsi="MS PGothic"/>
          <w:sz w:val="18"/>
          <w:szCs w:val="18"/>
          <w:color w:val="auto"/>
        </w:rPr>
        <w:t>‑</w:t>
      </w:r>
      <w:r>
        <w:rPr>
          <w:rFonts w:ascii="Arial" w:cs="Arial" w:eastAsia="Arial" w:hAnsi="Arial"/>
          <w:sz w:val="18"/>
          <w:szCs w:val="18"/>
          <w:color w:val="auto"/>
        </w:rPr>
        <w:t>class method of determining earnings per share.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NOTE 18: OTHER INCOME (EXPENSE), NET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(expense), net, consists of the following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980" w:type="dxa"/>
            <w:vAlign w:val="bottom"/>
          </w:tcPr>
          <w:p>
            <w:pPr>
              <w:spacing w:after="0"/>
              <w:rPr>
                <w:sz w:val="15"/>
                <w:szCs w:val="15"/>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r>
      <w:tr>
        <w:trPr>
          <w:trHeight w:val="196"/>
        </w:trPr>
        <w:tc>
          <w:tcPr>
            <w:tcW w:w="5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currency exchange gains (losses), net (1)</w:t>
            </w:r>
          </w:p>
        </w:tc>
        <w:tc>
          <w:tcPr>
            <w:tcW w:w="1100" w:type="dxa"/>
            <w:vAlign w:val="bottom"/>
            <w:shd w:val="clear" w:color="auto" w:fill="CFF0FC"/>
          </w:tcPr>
          <w:p>
            <w:pPr>
              <w:jc w:val="right"/>
              <w:ind w:right="916"/>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c>
          <w:tcPr>
            <w:tcW w:w="3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8"/>
                <w:szCs w:val="18"/>
                <w:color w:val="auto"/>
              </w:rPr>
              <w:t>Earnings (losses) from equity investment, net</w:t>
            </w:r>
          </w:p>
        </w:tc>
        <w:tc>
          <w:tcPr>
            <w:tcW w:w="110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(3 )</w:t>
            </w:r>
          </w:p>
        </w:tc>
        <w:tc>
          <w:tcPr>
            <w:tcW w:w="36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(1 )</w:t>
            </w:r>
          </w:p>
        </w:tc>
      </w:tr>
      <w:tr>
        <w:trPr>
          <w:trHeight w:val="203"/>
        </w:trPr>
        <w:tc>
          <w:tcPr>
            <w:tcW w:w="5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 on sale/disposal of business (2)</w:t>
            </w:r>
          </w:p>
        </w:tc>
        <w:tc>
          <w:tcPr>
            <w:tcW w:w="11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(6 )</w:t>
            </w: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8"/>
                <w:szCs w:val="18"/>
                <w:color w:val="auto"/>
              </w:rPr>
              <w:t>Other, net</w:t>
            </w:r>
          </w:p>
        </w:tc>
        <w:tc>
          <w:tcPr>
            <w:tcW w:w="110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(4 )</w:t>
            </w:r>
          </w:p>
        </w:tc>
        <w:tc>
          <w:tcPr>
            <w:tcW w:w="360" w:type="dxa"/>
            <w:vAlign w:val="bottom"/>
          </w:tcPr>
          <w:p>
            <w:pPr>
              <w:spacing w:after="0"/>
              <w:rPr>
                <w:sz w:val="17"/>
                <w:szCs w:val="17"/>
                <w:color w:val="auto"/>
              </w:rPr>
            </w:pPr>
          </w:p>
        </w:tc>
        <w:tc>
          <w:tcPr>
            <w:tcW w:w="12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36"/>
        </w:trPr>
        <w:tc>
          <w:tcPr>
            <w:tcW w:w="59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shd w:val="clear" w:color="auto" w:fill="CFF0FC"/>
          </w:tcPr>
          <w:p>
            <w:pPr>
              <w:jc w:val="right"/>
              <w:ind w:right="916"/>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-25400</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596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596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9" w:lineRule="exact"/>
        <w:rPr>
          <w:sz w:val="20"/>
          <w:szCs w:val="20"/>
          <w:color w:val="auto"/>
        </w:rPr>
      </w:pPr>
    </w:p>
    <w:p>
      <w:pPr>
        <w:ind w:left="760" w:right="560" w:hanging="378"/>
        <w:spacing w:after="0" w:line="250" w:lineRule="auto"/>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Foreign currency exchange gains (losses), net, are generally related to foreign exchange transaction gains and losses due to required conversion from transaction currency to functional currency, partially offset by the foreign currency forward contract gains and losses.</w:t>
      </w:r>
    </w:p>
    <w:p>
      <w:pPr>
        <w:ind w:left="760" w:hanging="378"/>
        <w:spacing w:after="0"/>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Related to loss on disposal on the sale of our SmarterTravel business during June 2020.</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RELATED PARTY TRANSACTIONS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between Liberty TripAdvisor Holdings, Inc. and Tripadvisor</w:t>
      </w:r>
    </w:p>
    <w:p>
      <w:pPr>
        <w:spacing w:after="0" w:line="104"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 xml:space="preserve">LTRIP is a controlling stockholder of Tripadvisor. We consider LTRIP a related party. Refer to “Note 1: </w:t>
      </w:r>
      <w:r>
        <w:rPr>
          <w:rFonts w:ascii="Arial" w:cs="Arial" w:eastAsia="Arial" w:hAnsi="Arial"/>
          <w:sz w:val="17"/>
          <w:szCs w:val="17"/>
          <w:i w:val="1"/>
          <w:iCs w:val="1"/>
          <w:color w:val="auto"/>
        </w:rPr>
        <w:t>Organization and Business Description</w:t>
      </w:r>
      <w:r>
        <w:rPr>
          <w:rFonts w:ascii="Arial" w:cs="Arial" w:eastAsia="Arial" w:hAnsi="Arial"/>
          <w:sz w:val="17"/>
          <w:szCs w:val="17"/>
          <w:color w:val="auto"/>
        </w:rPr>
        <w:t>”, which describes the evolution of our relationship with LTRIP, including LTRIP’s stock ownership of Tripadvisor and deemed voting power as of December 31, 2021. We had no related party transactions with LTRIP during the years ended December 31, 2021, 2020 and 2019.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between Chelsea Investment Holding Company PTE Ltd. and Tripadvisor</w:t>
      </w:r>
    </w:p>
    <w:p>
      <w:pPr>
        <w:spacing w:after="0" w:line="104" w:lineRule="exact"/>
        <w:rPr>
          <w:sz w:val="20"/>
          <w:szCs w:val="20"/>
          <w:color w:val="auto"/>
        </w:rPr>
      </w:pPr>
    </w:p>
    <w:p>
      <w:pPr>
        <w:ind w:right="140" w:firstLine="509"/>
        <w:spacing w:after="0" w:line="262" w:lineRule="auto"/>
        <w:rPr>
          <w:sz w:val="20"/>
          <w:szCs w:val="20"/>
          <w:color w:val="auto"/>
        </w:rPr>
      </w:pPr>
      <w:r>
        <w:rPr>
          <w:rFonts w:ascii="Arial" w:cs="Arial" w:eastAsia="Arial" w:hAnsi="Arial"/>
          <w:sz w:val="17"/>
          <w:szCs w:val="17"/>
          <w:color w:val="auto"/>
        </w:rPr>
        <w:t xml:space="preserve">Refer to the discussion regarding our equity method investment in Chelsea Investment Holding Company PTD Ltd. in the section titled “Non-Marketable Investments” within “Note 5: </w:t>
      </w:r>
      <w:r>
        <w:rPr>
          <w:rFonts w:ascii="Arial" w:cs="Arial" w:eastAsia="Arial" w:hAnsi="Arial"/>
          <w:sz w:val="17"/>
          <w:szCs w:val="17"/>
          <w:i w:val="1"/>
          <w:iCs w:val="1"/>
          <w:color w:val="auto"/>
        </w:rPr>
        <w:t>Financial Instruments and Fair Value Measurements”</w:t>
      </w:r>
      <w:r>
        <w:rPr>
          <w:rFonts w:ascii="Arial" w:cs="Arial" w:eastAsia="Arial" w:hAnsi="Arial"/>
          <w:sz w:val="17"/>
          <w:szCs w:val="17"/>
          <w:color w:val="auto"/>
        </w:rPr>
        <w:t xml:space="preserve"> for a description of our relationship and existing commercial arrangements with Chelsea Investment Holding Company PTE Ltd and/or its subsidiaries. We had no material related party transactions with Chelsea Investment Holding Company PTE Ltd or its subsidiaries during the years ended December 31, 2021, 2020 and 2019.</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SEGMENT AND GEOGRAPHIC INFORMATION</w:t>
      </w:r>
    </w:p>
    <w:p>
      <w:pPr>
        <w:spacing w:after="0" w:line="108"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 xml:space="preserve">We have two reportable segments: (1) Hotels, Media &amp; Platform; and (2) Experiences &amp; Dining. Our Hotels, Media &amp; Platform reportable segment includes the following revenue sources: (1) Tripadvisor-branded hotels revenue – primarily consisting of hotel auction revenue, CPA revenue, subscription-based advertising revenue, and hotel sponsored placements revenue; and (2) Tripadvisor-branded display and platform revenue – consisting of display-based advertising revenue. Our Experiences &amp; Dining reportable segment includes an aggregation of our Experiences and Dining operating segments. All remaining business units, including Rentals, Flights &amp; Car, and Cruises have been combined into and reported as “Other”, which does not constitute a reportable segment, as none of these businesses meet the quantitative thresholds and/or other criteria to qualify as reportable segments. The nature of the services provided and revenue recognition policies are summarized by reported segment in “Note 4: </w:t>
      </w:r>
      <w:r>
        <w:rPr>
          <w:rFonts w:ascii="Arial" w:cs="Arial" w:eastAsia="Arial" w:hAnsi="Arial"/>
          <w:sz w:val="17"/>
          <w:szCs w:val="17"/>
          <w:i w:val="1"/>
          <w:iCs w:val="1"/>
          <w:color w:val="auto"/>
        </w:rPr>
        <w:t>Revenue Recognition</w:t>
      </w:r>
      <w:r>
        <w:rPr>
          <w:rFonts w:ascii="Arial" w:cs="Arial" w:eastAsia="Arial" w:hAnsi="Arial"/>
          <w:sz w:val="17"/>
          <w:szCs w:val="17"/>
          <w:color w:val="auto"/>
        </w:rPr>
        <w:t>.” Our operating segments are determined based on how our chief operating decision maker manages our business, regularly accesses information and evaluates performance for operating decision-making purposes, including allocation of resources.</w:t>
      </w:r>
    </w:p>
    <w:p>
      <w:pPr>
        <w:spacing w:after="0" w:line="76" w:lineRule="exact"/>
        <w:rPr>
          <w:sz w:val="20"/>
          <w:szCs w:val="20"/>
          <w:color w:val="auto"/>
        </w:rPr>
      </w:pPr>
    </w:p>
    <w:p>
      <w:pPr>
        <w:ind w:right="540" w:firstLine="509"/>
        <w:spacing w:after="0" w:line="243" w:lineRule="auto"/>
        <w:rPr>
          <w:sz w:val="20"/>
          <w:szCs w:val="20"/>
          <w:color w:val="auto"/>
        </w:rPr>
      </w:pPr>
      <w:r>
        <w:rPr>
          <w:rFonts w:ascii="Arial" w:cs="Arial" w:eastAsia="Arial" w:hAnsi="Arial"/>
          <w:sz w:val="18"/>
          <w:szCs w:val="18"/>
          <w:color w:val="auto"/>
        </w:rPr>
        <w:t>All direct general and administrative costs are included in the applicable segments and business units; however, all corporate general and administrative costs are included in the Hotels, Media &amp; Platform reportable segment. In addition, the Hotels, Media &amp; Platform reportable segment includes all Tripadvisor-related brand advertising expenses (primarily television advertising), technical infrastructure, and other costs supporting the Tripadvisor platform.</w:t>
      </w:r>
    </w:p>
    <w:p>
      <w:pPr>
        <w:spacing w:after="0" w:line="188"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Adjusted EBITDA is our segment profit measure and a key measure used by our management and Board of Directors to understand and evaluate the operating performance of our business and on which internal budgets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1" w:name="page112"/>
    <w:bookmarkEnd w:id="111"/>
    <w:p>
      <w:pPr>
        <w:spacing w:after="0" w:line="243" w:lineRule="auto"/>
        <w:rPr>
          <w:sz w:val="20"/>
          <w:szCs w:val="20"/>
          <w:color w:val="auto"/>
        </w:rPr>
      </w:pPr>
      <w:r>
        <w:rPr>
          <w:rFonts w:ascii="Arial" w:cs="Arial" w:eastAsia="Arial" w:hAnsi="Arial"/>
          <w:sz w:val="18"/>
          <w:szCs w:val="18"/>
          <w:color w:val="auto"/>
        </w:rPr>
        <w:t>forecasts are based and approved. We define Adjusted EBITDA as net income (loss) plus: (1) (provision) benefit for income taxes; (2) other income (expense), net; (3) depreciation and amortization; (4) stock-based compensation and other stock-settled obligations; (5) goodwill, intangible asset, and long-lived asset impairments; (6) legal reserves and settlements; (7) restructuring and other related reorganization costs; and (8) non-recurring expenses and income.</w:t>
      </w:r>
    </w:p>
    <w:p>
      <w:pPr>
        <w:spacing w:after="0" w:line="188"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The following tables present our segment information for the years ended December 31, 2021, 2020 and 2019 and includes a reconciliation of Adjusted EBITDA to Net Income (Loss). We record depreciation and amortization, stock-based compensation and other stock-settled obligations, goodwill, intangible asset and other long-lived asset impairments, legal reserves and settlements, restructuring and other related reorganization costs, and other non-recurring expenses and income, net, which are excluded from segment operating performance, in corporate and unallocated. In addition, we do not report our assets, capital expenditures and related depreciation expense by segment as our CODM does not use this information to evaluate operating segments. Accordingly, we do not regularly provide such information by segment to our CODM. Intersegment revenue is not material and is included and eliminated in Other.</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center"/>
              <w:ind w:left="721"/>
              <w:spacing w:after="0"/>
              <w:rPr>
                <w:sz w:val="20"/>
                <w:szCs w:val="20"/>
                <w:color w:val="auto"/>
              </w:rPr>
            </w:pPr>
            <w:r>
              <w:rPr>
                <w:rFonts w:ascii="Arial" w:cs="Arial" w:eastAsia="Arial" w:hAnsi="Arial"/>
                <w:sz w:val="14"/>
                <w:szCs w:val="14"/>
                <w:b w:val="1"/>
                <w:bCs w:val="1"/>
                <w:color w:val="auto"/>
                <w:w w:val="91"/>
              </w:rPr>
              <w:t>Year ended December 31, 2021</w:t>
            </w: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5"/>
              </w:rPr>
              <w:t>Hotels, Media</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Experiences</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5"/>
              </w:rPr>
              <w:t>Corporate</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1040" w:type="dxa"/>
            <w:vAlign w:val="bottom"/>
            <w:gridSpan w:val="2"/>
            <w:vMerge w:val="restart"/>
          </w:tcPr>
          <w:p>
            <w:pPr>
              <w:jc w:val="right"/>
              <w:ind w:right="45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8"/>
              </w:rPr>
              <w:t>&amp; Platform (1)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&amp; Dining</w:t>
            </w: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Unallocated</w:t>
            </w: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549</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307</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w:t>
            </w:r>
          </w:p>
        </w:tc>
        <w:tc>
          <w:tcPr>
            <w:tcW w:w="4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Adjusted EBITDA</w:t>
            </w: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(36 )</w:t>
            </w: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(111 )</w:t>
            </w: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(120 )</w:t>
            </w:r>
          </w:p>
        </w:tc>
        <w:tc>
          <w:tcPr>
            <w:tcW w:w="26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196"/>
        </w:trPr>
        <w:tc>
          <w:tcPr>
            <w:tcW w:w="3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196"/>
        </w:trPr>
        <w:tc>
          <w:tcPr>
            <w:tcW w:w="3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(185</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(Provision) benefit for income taxes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9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58"/>
        </w:trPr>
        <w:tc>
          <w:tcPr>
            <w:tcW w:w="3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center"/>
              <w:ind w:left="741"/>
              <w:spacing w:after="0"/>
              <w:rPr>
                <w:sz w:val="20"/>
                <w:szCs w:val="20"/>
                <w:color w:val="auto"/>
              </w:rPr>
            </w:pPr>
            <w:r>
              <w:rPr>
                <w:rFonts w:ascii="Arial" w:cs="Arial" w:eastAsia="Arial" w:hAnsi="Arial"/>
                <w:sz w:val="14"/>
                <w:szCs w:val="14"/>
                <w:b w:val="1"/>
                <w:bCs w:val="1"/>
                <w:color w:val="auto"/>
                <w:w w:val="92"/>
              </w:rPr>
              <w:t>Year ended December 31, 2020</w:t>
            </w: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5"/>
              </w:rPr>
              <w:t>Hotels, Media</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9"/>
              </w:rPr>
              <w:t>Experiences</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5"/>
              </w:rPr>
              <w:t>Corporate</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1040" w:type="dxa"/>
            <w:vAlign w:val="bottom"/>
            <w:gridSpan w:val="2"/>
            <w:vMerge w:val="restart"/>
          </w:tcPr>
          <w:p>
            <w:pPr>
              <w:jc w:val="right"/>
              <w:ind w:right="45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&amp; Platform (1)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&amp; Dining</w:t>
            </w: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Unallocated</w:t>
            </w: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361</w:t>
            </w:r>
          </w:p>
        </w:tc>
        <w:tc>
          <w:tcPr>
            <w:tcW w:w="2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186</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w:t>
            </w:r>
          </w:p>
        </w:tc>
        <w:tc>
          <w:tcPr>
            <w:tcW w:w="4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Adjusted EBITDA</w:t>
            </w:r>
          </w:p>
        </w:tc>
        <w:tc>
          <w:tcPr>
            <w:tcW w:w="14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(79 )</w:t>
            </w: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43"/>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(125 )</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(109 )</w:t>
            </w:r>
          </w:p>
        </w:tc>
        <w:tc>
          <w:tcPr>
            <w:tcW w:w="26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162"/>
        </w:trPr>
        <w:tc>
          <w:tcPr>
            <w:tcW w:w="39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Restructuring and other related reorganization</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(41 )</w:t>
            </w:r>
          </w:p>
        </w:tc>
        <w:tc>
          <w:tcPr>
            <w:tcW w:w="260" w:type="dxa"/>
            <w:vAlign w:val="bottom"/>
            <w:shd w:val="clear" w:color="auto" w:fill="CFF0FC"/>
          </w:tcPr>
          <w:p>
            <w:pPr>
              <w:spacing w:after="0"/>
              <w:rPr>
                <w:sz w:val="14"/>
                <w:szCs w:val="14"/>
                <w:color w:val="auto"/>
              </w:rPr>
            </w:pPr>
          </w:p>
        </w:tc>
        <w:tc>
          <w:tcPr>
            <w:tcW w:w="10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Impairment of goodwill</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(3 )</w:t>
            </w:r>
          </w:p>
        </w:tc>
        <w:tc>
          <w:tcPr>
            <w:tcW w:w="26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96"/>
        </w:trPr>
        <w:tc>
          <w:tcPr>
            <w:tcW w:w="3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(329</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7"/>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(289</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42"/>
        </w:trPr>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right"/>
              <w:ind w:right="861"/>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-2853690</wp:posOffset>
            </wp:positionV>
            <wp:extent cx="596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-2836545</wp:posOffset>
            </wp:positionV>
            <wp:extent cx="596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-521970</wp:posOffset>
            </wp:positionV>
            <wp:extent cx="596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-504825</wp:posOffset>
            </wp:positionV>
            <wp:extent cx="596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Year ended December 31, 2019</w:t>
            </w: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9"/>
              </w:rPr>
              <w:t>Hotels, Media</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6"/>
              </w:rPr>
              <w:t>Experiences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5"/>
              </w:rPr>
              <w:t>Corporate</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10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Arial" w:cs="Arial" w:eastAsia="Arial" w:hAnsi="Arial"/>
                <w:sz w:val="14"/>
                <w:szCs w:val="14"/>
                <w:b w:val="1"/>
                <w:bCs w:val="1"/>
                <w:color w:val="auto"/>
              </w:rPr>
              <w:t>&amp; Platform (1)</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81"/>
              <w:spacing w:after="0"/>
              <w:rPr>
                <w:sz w:val="20"/>
                <w:szCs w:val="20"/>
                <w:color w:val="auto"/>
              </w:rPr>
            </w:pPr>
            <w:r>
              <w:rPr>
                <w:rFonts w:ascii="Arial" w:cs="Arial" w:eastAsia="Arial" w:hAnsi="Arial"/>
                <w:sz w:val="14"/>
                <w:szCs w:val="14"/>
                <w:b w:val="1"/>
                <w:bCs w:val="1"/>
                <w:color w:val="auto"/>
              </w:rPr>
              <w:t>&amp; Dining</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Unallocated</w:t>
            </w: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939</w:t>
            </w:r>
          </w:p>
        </w:tc>
        <w:tc>
          <w:tcPr>
            <w:tcW w:w="4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456</w:t>
            </w:r>
          </w:p>
        </w:tc>
        <w:tc>
          <w:tcPr>
            <w:tcW w:w="4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w:t>
            </w:r>
          </w:p>
        </w:tc>
        <w:tc>
          <w:tcPr>
            <w:tcW w:w="4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Adjusted EBITDA</w:t>
            </w: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378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(126 )</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(124 )</w:t>
            </w:r>
          </w:p>
        </w:tc>
        <w:tc>
          <w:tcPr>
            <w:tcW w:w="26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162"/>
        </w:trPr>
        <w:tc>
          <w:tcPr>
            <w:tcW w:w="39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Restructuring and other related reorganization</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(1 )</w:t>
            </w:r>
          </w:p>
        </w:tc>
        <w:tc>
          <w:tcPr>
            <w:tcW w:w="260" w:type="dxa"/>
            <w:vAlign w:val="bottom"/>
            <w:shd w:val="clear" w:color="auto" w:fill="CFF0FC"/>
          </w:tcPr>
          <w:p>
            <w:pPr>
              <w:spacing w:after="0"/>
              <w:rPr>
                <w:sz w:val="14"/>
                <w:szCs w:val="14"/>
                <w:color w:val="auto"/>
              </w:rPr>
            </w:pPr>
          </w:p>
        </w:tc>
        <w:tc>
          <w:tcPr>
            <w:tcW w:w="10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3"/>
        </w:trPr>
        <w:tc>
          <w:tcPr>
            <w:tcW w:w="3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costs</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gridSpan w:val="2"/>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CFF0FC"/>
            </w:tcBorders>
          </w:tcPr>
          <w:p>
            <w:pPr>
              <w:spacing w:after="0"/>
              <w:rPr>
                <w:sz w:val="17"/>
                <w:szCs w:val="17"/>
                <w:color w:val="auto"/>
              </w:rPr>
            </w:pPr>
          </w:p>
        </w:tc>
        <w:tc>
          <w:tcPr>
            <w:tcW w:w="112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10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8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6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196"/>
        </w:trPr>
        <w:tc>
          <w:tcPr>
            <w:tcW w:w="39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CFF0FC"/>
            </w:tcBorders>
          </w:tcPr>
          <w:p>
            <w:pPr>
              <w:spacing w:after="0"/>
              <w:rPr>
                <w:sz w:val="17"/>
                <w:szCs w:val="17"/>
                <w:color w:val="auto"/>
              </w:rPr>
            </w:pPr>
          </w:p>
        </w:tc>
        <w:tc>
          <w:tcPr>
            <w:tcW w:w="112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10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8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6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-750570</wp:posOffset>
            </wp:positionV>
            <wp:extent cx="5969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-467995</wp:posOffset>
            </wp:positionV>
            <wp:extent cx="5969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29" w:lineRule="exact"/>
        <w:rPr>
          <w:sz w:val="20"/>
          <w:szCs w:val="20"/>
          <w:color w:val="auto"/>
        </w:rPr>
      </w:pPr>
    </w:p>
    <w:p>
      <w:pPr>
        <w:ind w:left="520" w:right="120" w:hanging="512"/>
        <w:spacing w:after="0" w:line="254" w:lineRule="auto"/>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Includes allocated </w:t>
      </w:r>
      <w:r>
        <w:rPr>
          <w:rFonts w:ascii="Arial" w:cs="Arial" w:eastAsia="Arial" w:hAnsi="Arial"/>
          <w:sz w:val="15"/>
          <w:szCs w:val="15"/>
          <w:color w:val="auto"/>
        </w:rPr>
        <w:t>corporate general and administrative costs</w:t>
      </w:r>
      <w:r>
        <w:rPr>
          <w:rFonts w:ascii="Arial" w:cs="Arial" w:eastAsia="Arial" w:hAnsi="Arial"/>
          <w:sz w:val="14"/>
          <w:szCs w:val="14"/>
          <w:color w:val="auto"/>
        </w:rPr>
        <w:t xml:space="preserve"> of $74 million, $70 million and $69 million </w:t>
      </w:r>
      <w:r>
        <w:rPr>
          <w:rFonts w:ascii="Arial" w:cs="Arial" w:eastAsia="Arial" w:hAnsi="Arial"/>
          <w:sz w:val="15"/>
          <w:szCs w:val="15"/>
          <w:color w:val="auto"/>
        </w:rPr>
        <w:t>and Tripadvisor-branded advertising expenses of</w:t>
      </w:r>
      <w:r>
        <w:rPr>
          <w:rFonts w:ascii="Arial" w:cs="Arial" w:eastAsia="Arial" w:hAnsi="Arial"/>
          <w:sz w:val="14"/>
          <w:szCs w:val="14"/>
          <w:color w:val="auto"/>
        </w:rPr>
        <w:t xml:space="preserve"> $5 million, $10 million and $77 million for the years ended December 31, 2021, 2020 and 2019, respectively. Tripadvisor-branded advertising expenses have decreased significantly since the year ended December 31, 2019, as the Company shifted from television advertising to leverage other advertising mediums.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and Geographic Information</w:t>
      </w:r>
    </w:p>
    <w:p>
      <w:pPr>
        <w:spacing w:after="0" w:line="212"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 xml:space="preserve">Our revenue sources within our Hotels, Media &amp; Platform segment, including Tripadvisor-branded hotels revenue and Tripadvisor-branded display and platform revenue; which along with our Experience &amp; Dining and Other revenue sources, comprise our products. Refer to “Note 4: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 for our revenue by product.</w:t>
      </w:r>
    </w:p>
    <w:p>
      <w:pPr>
        <w:spacing w:after="0" w:line="209"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The Company measures its geographic revenue information based on the physical location of the Tripadvisor subsidiary which generates the revenue, which is consistent with our measurement of long-lived physical assets, or property and equipment, net. As such, this geographic classification does not necessarily align with where the consumer resides, where the consumer is physically located while using the Company's services, or the location of the travel service provider, experience operator or restaurant.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revenue based on geographic location consists of the following for the periods presented:</w:t>
      </w:r>
    </w:p>
    <w:p>
      <w:pPr>
        <w:spacing w:after="0" w:line="109"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02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2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02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United States</w:t>
            </w:r>
          </w:p>
        </w:tc>
        <w:tc>
          <w:tcPr>
            <w:tcW w:w="800" w:type="dxa"/>
            <w:vAlign w:val="bottom"/>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180"/>
              <w:spacing w:after="0" w:line="202" w:lineRule="exact"/>
              <w:rPr>
                <w:sz w:val="20"/>
                <w:szCs w:val="20"/>
                <w:color w:val="auto"/>
              </w:rPr>
            </w:pPr>
            <w:r>
              <w:rPr>
                <w:rFonts w:ascii="Arial" w:cs="Arial" w:eastAsia="Arial" w:hAnsi="Arial"/>
                <w:sz w:val="18"/>
                <w:szCs w:val="18"/>
                <w:color w:val="auto"/>
              </w:rPr>
              <w:t>United Kingdom</w:t>
            </w:r>
          </w:p>
        </w:tc>
        <w:tc>
          <w:tcPr>
            <w:tcW w:w="8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259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All other countries</w:t>
            </w:r>
          </w:p>
        </w:tc>
        <w:tc>
          <w:tcPr>
            <w:tcW w:w="80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117</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133</w:t>
            </w:r>
          </w:p>
        </w:tc>
        <w:tc>
          <w:tcPr>
            <w:tcW w:w="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273</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Pr>
          <w:p>
            <w:pPr>
              <w:ind w:left="360"/>
              <w:spacing w:after="0" w:line="196" w:lineRule="exact"/>
              <w:rPr>
                <w:sz w:val="20"/>
                <w:szCs w:val="20"/>
                <w:color w:val="auto"/>
              </w:rPr>
            </w:pPr>
            <w:r>
              <w:rPr>
                <w:rFonts w:ascii="Arial" w:cs="Arial" w:eastAsia="Arial" w:hAnsi="Arial"/>
                <w:sz w:val="18"/>
                <w:szCs w:val="18"/>
                <w:color w:val="auto"/>
              </w:rPr>
              <w:t>Total revenue</w:t>
            </w:r>
          </w:p>
        </w:tc>
        <w:tc>
          <w:tcPr>
            <w:tcW w:w="800" w:type="dxa"/>
            <w:vAlign w:val="bottom"/>
          </w:tcPr>
          <w:p>
            <w:pPr>
              <w:jc w:val="right"/>
              <w:ind w:right="647"/>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902</w:t>
            </w:r>
          </w:p>
        </w:tc>
        <w:tc>
          <w:tcPr>
            <w:tcW w:w="3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604</w:t>
            </w:r>
          </w:p>
        </w:tc>
        <w:tc>
          <w:tcPr>
            <w:tcW w:w="4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1,560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-159385</wp:posOffset>
            </wp:positionV>
            <wp:extent cx="51435"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-159385</wp:posOffset>
            </wp:positionV>
            <wp:extent cx="4318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-159385</wp:posOffset>
            </wp:positionV>
            <wp:extent cx="43180"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The Company’s property and equipment, net for the United States and all other countries based on the geographic location of the assets consists of the following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700" w:type="dxa"/>
            <w:vAlign w:val="bottom"/>
          </w:tcPr>
          <w:p>
            <w:pPr>
              <w:spacing w:after="0"/>
              <w:rPr>
                <w:sz w:val="15"/>
                <w:szCs w:val="15"/>
                <w:color w:val="auto"/>
              </w:rPr>
            </w:pPr>
          </w:p>
        </w:tc>
        <w:tc>
          <w:tcPr>
            <w:tcW w:w="3020" w:type="dxa"/>
            <w:vAlign w:val="bottom"/>
            <w:vMerge w:val="restart"/>
          </w:tcPr>
          <w:p>
            <w:pPr>
              <w:spacing w:after="0"/>
              <w:rPr>
                <w:sz w:val="20"/>
                <w:szCs w:val="20"/>
                <w:color w:val="auto"/>
              </w:rPr>
            </w:pPr>
            <w:r>
              <w:rPr>
                <w:rFonts w:ascii="Arial" w:cs="Arial" w:eastAsia="Arial" w:hAnsi="Arial"/>
                <w:sz w:val="18"/>
                <w:szCs w:val="18"/>
                <w:b w:val="1"/>
                <w:bCs w:val="1"/>
                <w:color w:val="auto"/>
              </w:rPr>
              <w:t>Property and equipment, net</w:t>
            </w:r>
          </w:p>
        </w:tc>
        <w:tc>
          <w:tcPr>
            <w:tcW w:w="2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76"/>
              </w:rPr>
              <w:t>millions)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700" w:type="dxa"/>
            <w:vAlign w:val="bottom"/>
          </w:tcPr>
          <w:p>
            <w:pPr>
              <w:spacing w:after="0"/>
              <w:rPr>
                <w:sz w:val="19"/>
                <w:szCs w:val="19"/>
                <w:color w:val="auto"/>
              </w:rPr>
            </w:pPr>
          </w:p>
        </w:tc>
        <w:tc>
          <w:tcPr>
            <w:tcW w:w="3020" w:type="dxa"/>
            <w:vAlign w:val="bottom"/>
            <w:vMerge w:val="continue"/>
          </w:tcPr>
          <w:p>
            <w:pPr>
              <w:spacing w:after="0"/>
              <w:rPr>
                <w:sz w:val="19"/>
                <w:szCs w:val="19"/>
                <w:color w:val="auto"/>
              </w:rPr>
            </w:pPr>
          </w:p>
        </w:tc>
        <w:tc>
          <w:tcPr>
            <w:tcW w:w="2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United States</w:t>
            </w:r>
          </w:p>
        </w:tc>
        <w:tc>
          <w:tcPr>
            <w:tcW w:w="2960" w:type="dxa"/>
            <w:vAlign w:val="bottom"/>
            <w:gridSpan w:val="2"/>
            <w:shd w:val="clear" w:color="auto" w:fill="CFF0FC"/>
          </w:tcPr>
          <w:p>
            <w:pPr>
              <w:jc w:val="right"/>
              <w:ind w:right="659"/>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5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3020" w:type="dxa"/>
            <w:vAlign w:val="bottom"/>
          </w:tcPr>
          <w:p>
            <w:pPr>
              <w:ind w:left="180"/>
              <w:spacing w:after="0" w:line="202" w:lineRule="exact"/>
              <w:rPr>
                <w:sz w:val="20"/>
                <w:szCs w:val="20"/>
                <w:color w:val="auto"/>
              </w:rPr>
            </w:pPr>
            <w:r>
              <w:rPr>
                <w:rFonts w:ascii="Arial" w:cs="Arial" w:eastAsia="Arial" w:hAnsi="Arial"/>
                <w:sz w:val="18"/>
                <w:szCs w:val="18"/>
                <w:color w:val="auto"/>
              </w:rPr>
              <w:t>All other countries</w:t>
            </w:r>
          </w:p>
        </w:tc>
        <w:tc>
          <w:tcPr>
            <w:tcW w:w="21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02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w:t>
            </w:r>
          </w:p>
        </w:tc>
        <w:tc>
          <w:tcPr>
            <w:tcW w:w="21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659"/>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w:t>
            </w:r>
          </w:p>
        </w:tc>
        <w:tc>
          <w:tcPr>
            <w:tcW w:w="1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240</w:t>
            </w:r>
          </w:p>
        </w:tc>
        <w:tc>
          <w:tcPr>
            <w:tcW w:w="8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1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120" w:type="dxa"/>
            <w:vAlign w:val="bottom"/>
          </w:tcPr>
          <w:p>
            <w:pPr>
              <w:jc w:val="right"/>
              <w:ind w:right="990"/>
              <w:spacing w:after="0"/>
              <w:rPr>
                <w:sz w:val="20"/>
                <w:szCs w:val="20"/>
                <w:color w:val="auto"/>
              </w:rPr>
            </w:pPr>
            <w:r>
              <w:rPr>
                <w:rFonts w:ascii="Arial" w:cs="Arial" w:eastAsia="Arial" w:hAnsi="Arial"/>
                <w:sz w:val="18"/>
                <w:szCs w:val="18"/>
                <w:color w:val="auto"/>
              </w:rPr>
              <w:t>111</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020" w:type="dxa"/>
            <w:vAlign w:val="bottom"/>
            <w:tcBorders>
              <w:bottom w:val="single" w:sz="8" w:color="9A9A9A"/>
            </w:tcBorders>
          </w:tcPr>
          <w:p>
            <w:pPr>
              <w:spacing w:after="0"/>
              <w:rPr>
                <w:sz w:val="8"/>
                <w:szCs w:val="8"/>
                <w:color w:val="auto"/>
              </w:rPr>
            </w:pPr>
          </w:p>
        </w:tc>
        <w:tc>
          <w:tcPr>
            <w:tcW w:w="21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-521970</wp:posOffset>
            </wp:positionV>
            <wp:extent cx="514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-504825</wp:posOffset>
            </wp:positionV>
            <wp:extent cx="514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-521970</wp:posOffset>
            </wp:positionV>
            <wp:extent cx="431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431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i w:val="1"/>
          <w:iCs w:val="1"/>
          <w:color w:val="auto"/>
        </w:rPr>
        <w:t>Customer Concentrations</w:t>
      </w:r>
    </w:p>
    <w:p>
      <w:pPr>
        <w:spacing w:after="0" w:line="198"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under the section entitled “Certain Risks and Concentrations” for information regarding our major customer concentrations.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As of December 31, 2021, our management, with the participation of our Chief Executive Officer and President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President and our Chief Financial Officer concluded that, as of December 31, 2021,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720" w:firstLine="509"/>
        <w:spacing w:after="0" w:line="261"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December 31, 2021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08"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13a-15(f) of the Exchange Act. Internal control over financial reporting is a process to provide reasonable assurance regarding the reliability of our financial reporting for external purposes in accordance with accounting principles generally accepted in the United States of America. Under the supervision and with the participation of the Company’s management, including the Chief Executive Officer and President and the Chief Financial Officer, the Company conducted an evaluation of the effectiveness of our internal control over financial reporting based on the criteria for effective internal control over financial reporting described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w:t>
      </w:r>
    </w:p>
    <w:p>
      <w:pPr>
        <w:spacing w:after="0" w:line="161" w:lineRule="exact"/>
        <w:rPr>
          <w:sz w:val="20"/>
          <w:szCs w:val="20"/>
          <w:color w:val="auto"/>
        </w:rPr>
      </w:pPr>
    </w:p>
    <w:p>
      <w:pPr>
        <w:ind w:right="320" w:firstLine="509"/>
        <w:spacing w:after="0" w:line="241" w:lineRule="auto"/>
        <w:rPr>
          <w:sz w:val="20"/>
          <w:szCs w:val="20"/>
          <w:color w:val="auto"/>
        </w:rPr>
      </w:pPr>
      <w:r>
        <w:rPr>
          <w:rFonts w:ascii="Arial" w:cs="Arial" w:eastAsia="Arial" w:hAnsi="Arial"/>
          <w:sz w:val="18"/>
          <w:szCs w:val="18"/>
          <w:color w:val="auto"/>
        </w:rPr>
        <w:t>The Company’s management evaluated the effectiveness of the Company’s internal control over financial reporting as of December 31, 2021. Pursuant to Exchange Act Rule 13a-15(d) or 15d-15(d), management has concluded that, as of December 31, 2021, our internal control over financial reporting was effective. Management has reviewed its assessment with the Audit Committee. KPMG LLP, an independent registered public accounting firm, has audited the effectiveness of our internal control over financial reporting as of December 31, 2021, as stated in their report which is included below.</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08"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14" w:name="page115"/>
    <w:bookmarkEnd w:id="114"/>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9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We have audited Tripadvisor, Inc. and subsidiaries' (the Company)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4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2021 and 2020, the related consolidated statements of operations, comprehensive income (loss), changes in stockholders’ equity, and cash flows for each of the years in the three-year period ended December 31, 2021, and the related notes (collectively, the consolidated financial statements), and our report dated February 18, 2022 expressed an unqualified opinion on those consolidated financial statements.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77"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7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/s/ KPMG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75" w:right="379" w:bottom="1440" w:gutter="0" w:footer="0" w:header="0"/>
        </w:sectPr>
      </w:pPr>
    </w:p>
    <w:bookmarkStart w:id="115" w:name="page116"/>
    <w:bookmarkEnd w:id="115"/>
    <w:p>
      <w:pPr>
        <w:jc w:val="center"/>
        <w:ind w:right="8980"/>
        <w:spacing w:after="0"/>
        <w:rPr>
          <w:sz w:val="20"/>
          <w:szCs w:val="20"/>
          <w:color w:val="auto"/>
        </w:rPr>
      </w:pPr>
      <w:r>
        <w:rPr>
          <w:rFonts w:ascii="Arial" w:cs="Arial" w:eastAsia="Arial" w:hAnsi="Arial"/>
          <w:sz w:val="17"/>
          <w:szCs w:val="17"/>
          <w:b w:val="1"/>
          <w:bCs w:val="1"/>
          <w:color w:val="auto"/>
        </w:rPr>
        <w:t>Item 9B. Other Information</w:t>
      </w:r>
    </w:p>
    <w:p>
      <w:pPr>
        <w:spacing w:after="0" w:line="187"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information required under this item is incorporated herein by reference to our 2022 Proxy Statement, which proxy statement will be filed with the Securities and Exchange Commission not later than 120 days after the close of our fiscal year ended December 31, 2021.</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information required under this item is incorporated herein by reference to our 2022 Proxy Statement, which proxy statement will be filed with the Securities and Exchange Commission not later than 120 days after the close of our fiscal year ended December 31, 2021.</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information required under this item is incorporated herein by reference to our 2022 Proxy Statement, which proxy statement will be filed with the Securities and Exchange Commission not later than 120 days after the close of our fiscal year ended December 31, 2021.</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information required under this item is incorporated herein by reference to our 2022 Proxy Statement, which proxy statement will be filed with the Securities and Exchange Commission not later than 120 days after the close of our fiscal year ended December 31, 2021.</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information required under this item is incorporated herein by reference to our 2022 Proxy Statement, which proxy statement will be filed with the Securities and Exchange Commission not later than 120 days after the close of our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29" w:right="439" w:bottom="1440" w:gutter="0" w:footer="0" w:header="0"/>
        </w:sectPr>
      </w:pPr>
    </w:p>
    <w:bookmarkStart w:id="116" w:name="page117"/>
    <w:bookmarkEnd w:id="116"/>
    <w:p>
      <w:pPr>
        <w:jc w:val="center"/>
        <w:ind w:right="-25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The following is filed as part of this Annual Report on Form 10-K:</w:t>
      </w:r>
    </w:p>
    <w:p>
      <w:pPr>
        <w:spacing w:after="0" w:line="104" w:lineRule="exact"/>
        <w:rPr>
          <w:sz w:val="20"/>
          <w:szCs w:val="20"/>
          <w:color w:val="auto"/>
        </w:rPr>
      </w:pPr>
    </w:p>
    <w:p>
      <w:pPr>
        <w:ind w:left="1020" w:firstLine="6"/>
        <w:spacing w:after="0" w:line="261" w:lineRule="auto"/>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consolidated financial statements and report of independent registered public accounting firms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this item are included in Part II, Item 8.</w:t>
      </w:r>
    </w:p>
    <w:p>
      <w:pPr>
        <w:spacing w:after="0" w:line="63" w:lineRule="exact"/>
        <w:rPr>
          <w:sz w:val="20"/>
          <w:szCs w:val="20"/>
          <w:color w:val="auto"/>
        </w:rPr>
      </w:pPr>
    </w:p>
    <w:p>
      <w:pPr>
        <w:ind w:left="1020" w:right="20"/>
        <w:spacing w:after="0" w:line="261"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shown either in the consolidated financial statements or in the notes thereto.</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 Exhibits:</w:t>
      </w:r>
    </w:p>
    <w:p>
      <w:pPr>
        <w:spacing w:after="0" w:line="23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64" w:right="639" w:bottom="1440" w:gutter="0" w:footer="0" w:header="0"/>
        </w:sectPr>
      </w:pPr>
    </w:p>
    <w:bookmarkStart w:id="117" w:name="page118"/>
    <w:bookmarkEnd w:id="117"/>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ind w:left="260"/>
              <w:spacing w:after="0"/>
              <w:rPr>
                <w:sz w:val="20"/>
                <w:szCs w:val="20"/>
                <w:color w:val="auto"/>
              </w:rPr>
            </w:pPr>
            <w:r>
              <w:rPr>
                <w:rFonts w:ascii="Arial" w:cs="Arial" w:eastAsia="Arial" w:hAnsi="Arial"/>
                <w:sz w:val="14"/>
                <w:szCs w:val="14"/>
                <w:color w:val="auto"/>
              </w:rPr>
              <w:t>Exhibit</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No.</w:t>
            </w:r>
          </w:p>
        </w:tc>
        <w:tc>
          <w:tcPr>
            <w:tcW w:w="1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29"/>
          </w:tcPr>
          <w:p>
            <w:pPr>
              <w:ind w:left="140"/>
              <w:spacing w:after="0"/>
              <w:rPr>
                <w:sz w:val="20"/>
                <w:szCs w:val="20"/>
                <w:color w:val="auto"/>
              </w:rPr>
            </w:pPr>
            <w:r>
              <w:rPr>
                <w:rFonts w:ascii="Arial" w:cs="Arial" w:eastAsia="Arial" w:hAnsi="Arial"/>
                <w:sz w:val="14"/>
                <w:szCs w:val="14"/>
                <w:color w:val="auto"/>
              </w:rPr>
              <w:t>Exhibit Description</w:t>
            </w:r>
          </w:p>
        </w:tc>
        <w:tc>
          <w:tcPr>
            <w:tcW w:w="0" w:type="dxa"/>
            <w:vAlign w:val="bottom"/>
          </w:tcPr>
          <w:p>
            <w:pPr>
              <w:spacing w:after="0"/>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4"/>
                <w:szCs w:val="14"/>
                <w:color w:val="auto"/>
              </w:rPr>
            </w:pPr>
          </w:p>
        </w:tc>
        <w:tc>
          <w:tcPr>
            <w:tcW w:w="5880" w:type="dxa"/>
            <w:vAlign w:val="bottom"/>
            <w:gridSpan w:val="32"/>
          </w:tcPr>
          <w:p>
            <w:pPr>
              <w:spacing w:after="0" w:line="169" w:lineRule="exact"/>
              <w:rPr>
                <w:rFonts w:ascii="Arial" w:cs="Arial" w:eastAsia="Arial" w:hAnsi="Arial"/>
                <w:sz w:val="18"/>
                <w:szCs w:val="18"/>
                <w:color w:val="auto"/>
              </w:rPr>
            </w:pPr>
            <w:hyperlink r:id="rId415">
              <w:r>
                <w:rPr>
                  <w:rFonts w:ascii="Arial" w:cs="Arial" w:eastAsia="Arial" w:hAnsi="Arial"/>
                  <w:sz w:val="18"/>
                  <w:szCs w:val="18"/>
                  <w:color w:val="auto"/>
                </w:rPr>
                <w:t>Restated Certificate of Incorporation of Tripadvisor, Inc.</w:t>
              </w:r>
            </w:hyperlink>
          </w:p>
        </w:tc>
        <w:tc>
          <w:tcPr>
            <w:tcW w:w="0" w:type="dxa"/>
            <w:vAlign w:val="bottom"/>
          </w:tcPr>
          <w:p>
            <w:pPr>
              <w:spacing w:after="0"/>
              <w:rPr>
                <w:sz w:val="1"/>
                <w:szCs w:val="1"/>
                <w:color w:val="auto"/>
              </w:rPr>
            </w:pPr>
          </w:p>
        </w:tc>
      </w:tr>
      <w:tr>
        <w:trPr>
          <w:trHeight w:val="358"/>
        </w:trPr>
        <w:tc>
          <w:tcPr>
            <w:tcW w:w="94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3680" w:type="dxa"/>
            <w:vAlign w:val="bottom"/>
            <w:tcBorders>
              <w:top w:val="single" w:sz="8" w:color="0000EE"/>
              <w:bottom w:val="single" w:sz="8" w:color="0000EE"/>
            </w:tcBorders>
            <w:gridSpan w:val="11"/>
          </w:tcPr>
          <w:p>
            <w:pPr>
              <w:spacing w:after="0"/>
              <w:rPr>
                <w:rFonts w:ascii="Arial" w:cs="Arial" w:eastAsia="Arial" w:hAnsi="Arial"/>
                <w:sz w:val="18"/>
                <w:szCs w:val="18"/>
                <w:color w:val="auto"/>
                <w:w w:val="90"/>
              </w:rPr>
            </w:pPr>
            <w:hyperlink r:id="rId416">
              <w:r>
                <w:rPr>
                  <w:rFonts w:ascii="Arial" w:cs="Arial" w:eastAsia="Arial" w:hAnsi="Arial"/>
                  <w:sz w:val="18"/>
                  <w:szCs w:val="18"/>
                  <w:color w:val="auto"/>
                  <w:w w:val="90"/>
                </w:rPr>
                <w:t>Amended and Restated Bylaws of Tripadvisor, Inc.</w:t>
              </w:r>
            </w:hyperlink>
          </w:p>
        </w:tc>
        <w:tc>
          <w:tcPr>
            <w:tcW w:w="380" w:type="dxa"/>
            <w:vAlign w:val="bottom"/>
            <w:tcBorders>
              <w:top w:val="single" w:sz="8" w:color="0000EE"/>
            </w:tcBorders>
            <w:gridSpan w:val="3"/>
          </w:tcPr>
          <w:p>
            <w:pPr>
              <w:spacing w:after="0"/>
              <w:rPr>
                <w:sz w:val="24"/>
                <w:szCs w:val="24"/>
                <w:color w:val="auto"/>
              </w:rPr>
            </w:pPr>
          </w:p>
        </w:tc>
        <w:tc>
          <w:tcPr>
            <w:tcW w:w="18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40" w:type="dxa"/>
            <w:vAlign w:val="bottom"/>
          </w:tcPr>
          <w:p>
            <w:pPr>
              <w:ind w:left="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5260" w:type="dxa"/>
            <w:vAlign w:val="bottom"/>
            <w:tcBorders>
              <w:bottom w:val="single" w:sz="8" w:color="0000EE"/>
            </w:tcBorders>
            <w:gridSpan w:val="18"/>
          </w:tcPr>
          <w:p>
            <w:pPr>
              <w:spacing w:after="0"/>
              <w:rPr>
                <w:rFonts w:ascii="Arial" w:cs="Arial" w:eastAsia="Arial" w:hAnsi="Arial"/>
                <w:sz w:val="18"/>
                <w:szCs w:val="18"/>
                <w:color w:val="auto"/>
                <w:w w:val="91"/>
              </w:rPr>
            </w:pPr>
            <w:hyperlink r:id="rId417">
              <w:r>
                <w:rPr>
                  <w:rFonts w:ascii="Arial" w:cs="Arial" w:eastAsia="Arial" w:hAnsi="Arial"/>
                  <w:sz w:val="18"/>
                  <w:szCs w:val="18"/>
                  <w:color w:val="auto"/>
                  <w:w w:val="91"/>
                </w:rPr>
                <w:t>Amendment No. 1 to Amended and Restated Bylaws of Tripadvisor, Inc.</w:t>
              </w:r>
            </w:hyperlink>
          </w:p>
        </w:tc>
        <w:tc>
          <w:tcPr>
            <w:tcW w:w="6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4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3920" w:type="dxa"/>
            <w:vAlign w:val="bottom"/>
            <w:tcBorders>
              <w:bottom w:val="single" w:sz="8" w:color="0000EE"/>
            </w:tcBorders>
            <w:gridSpan w:val="12"/>
          </w:tcPr>
          <w:p>
            <w:pPr>
              <w:spacing w:after="0"/>
              <w:rPr>
                <w:rFonts w:ascii="Arial" w:cs="Arial" w:eastAsia="Arial" w:hAnsi="Arial"/>
                <w:sz w:val="18"/>
                <w:szCs w:val="18"/>
                <w:color w:val="auto"/>
                <w:w w:val="91"/>
              </w:rPr>
            </w:pPr>
            <w:hyperlink r:id="rId418">
              <w:r>
                <w:rPr>
                  <w:rFonts w:ascii="Arial" w:cs="Arial" w:eastAsia="Arial" w:hAnsi="Arial"/>
                  <w:sz w:val="18"/>
                  <w:szCs w:val="18"/>
                  <w:color w:val="auto"/>
                  <w:w w:val="91"/>
                </w:rPr>
                <w:t>Specimen Tripadvisor, Inc. Common Stock Certificate</w:t>
              </w:r>
            </w:hyperlink>
          </w:p>
        </w:tc>
        <w:tc>
          <w:tcPr>
            <w:tcW w:w="196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940" w:type="dxa"/>
            <w:vAlign w:val="bottom"/>
          </w:tcPr>
          <w:p>
            <w:pPr>
              <w:ind w:lef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5880" w:type="dxa"/>
            <w:vAlign w:val="bottom"/>
            <w:gridSpan w:val="32"/>
          </w:tcPr>
          <w:p>
            <w:pPr>
              <w:spacing w:after="0"/>
              <w:rPr>
                <w:rFonts w:ascii="Arial" w:cs="Arial" w:eastAsia="Arial" w:hAnsi="Arial"/>
                <w:sz w:val="18"/>
                <w:szCs w:val="18"/>
                <w:color w:val="auto"/>
                <w:w w:val="94"/>
              </w:rPr>
            </w:pPr>
            <w:hyperlink r:id="rId419">
              <w:r>
                <w:rPr>
                  <w:rFonts w:ascii="Arial" w:cs="Arial" w:eastAsia="Arial" w:hAnsi="Arial"/>
                  <w:sz w:val="18"/>
                  <w:szCs w:val="18"/>
                  <w:color w:val="auto"/>
                  <w:w w:val="94"/>
                </w:rPr>
                <w:t>Description of the Registrant’s Securities Registered Pursuant to Section 12 of</w:t>
              </w:r>
            </w:hyperlink>
          </w:p>
        </w:tc>
        <w:tc>
          <w:tcPr>
            <w:tcW w:w="0" w:type="dxa"/>
            <w:vAlign w:val="bottom"/>
          </w:tcPr>
          <w:p>
            <w:pPr>
              <w:spacing w:after="0"/>
              <w:rPr>
                <w:sz w:val="1"/>
                <w:szCs w:val="1"/>
                <w:color w:val="auto"/>
              </w:rPr>
            </w:pPr>
          </w:p>
        </w:tc>
      </w:tr>
      <w:tr>
        <w:trPr>
          <w:trHeight w:val="155"/>
        </w:trPr>
        <w:tc>
          <w:tcPr>
            <w:tcW w:w="940" w:type="dxa"/>
            <w:vAlign w:val="bottom"/>
            <w:vMerge w:val="restart"/>
          </w:tcPr>
          <w:p>
            <w:pPr>
              <w:ind w:left="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3"/>
                <w:szCs w:val="13"/>
                <w:color w:val="auto"/>
              </w:rPr>
            </w:pPr>
          </w:p>
        </w:tc>
        <w:tc>
          <w:tcPr>
            <w:tcW w:w="5680" w:type="dxa"/>
            <w:vAlign w:val="bottom"/>
            <w:tcBorders>
              <w:top w:val="single" w:sz="8" w:color="0000EE"/>
            </w:tcBorders>
            <w:gridSpan w:val="27"/>
          </w:tcPr>
          <w:p>
            <w:pPr>
              <w:spacing w:after="0" w:line="156" w:lineRule="exact"/>
              <w:rPr>
                <w:rFonts w:ascii="Arial" w:cs="Arial" w:eastAsia="Arial" w:hAnsi="Arial"/>
                <w:sz w:val="18"/>
                <w:szCs w:val="18"/>
                <w:color w:val="auto"/>
              </w:rPr>
            </w:pPr>
            <w:hyperlink r:id="rId419">
              <w:r>
                <w:rPr>
                  <w:rFonts w:ascii="Arial" w:cs="Arial" w:eastAsia="Arial" w:hAnsi="Arial"/>
                  <w:sz w:val="18"/>
                  <w:szCs w:val="18"/>
                  <w:color w:val="auto"/>
                </w:rPr>
                <w:t>the Securities Exchange Act of 1934</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tcBorders>
              <w:top w:val="single" w:sz="8" w:color="0000EE"/>
            </w:tcBorders>
            <w:gridSpan w:val="4"/>
          </w:tcPr>
          <w:p>
            <w:pPr>
              <w:spacing w:after="0" w:line="182" w:lineRule="exact"/>
              <w:rPr>
                <w:rFonts w:ascii="Arial" w:cs="Arial" w:eastAsia="Arial" w:hAnsi="Arial"/>
                <w:sz w:val="18"/>
                <w:szCs w:val="18"/>
                <w:color w:val="auto"/>
                <w:w w:val="87"/>
              </w:rPr>
            </w:pPr>
            <w:hyperlink r:id="rId420">
              <w:r>
                <w:rPr>
                  <w:rFonts w:ascii="Arial" w:cs="Arial" w:eastAsia="Arial" w:hAnsi="Arial"/>
                  <w:sz w:val="18"/>
                  <w:szCs w:val="18"/>
                  <w:color w:val="auto"/>
                  <w:w w:val="87"/>
                </w:rPr>
                <w:t>Indenture, dated July 9, 2020, among</w:t>
              </w:r>
            </w:hyperlink>
          </w:p>
        </w:tc>
        <w:tc>
          <w:tcPr>
            <w:tcW w:w="3260" w:type="dxa"/>
            <w:vAlign w:val="bottom"/>
            <w:gridSpan w:val="28"/>
          </w:tcPr>
          <w:p>
            <w:pPr>
              <w:ind w:left="100"/>
              <w:spacing w:after="0" w:line="182" w:lineRule="exact"/>
              <w:rPr>
                <w:rFonts w:ascii="Arial" w:cs="Arial" w:eastAsia="Arial" w:hAnsi="Arial"/>
                <w:sz w:val="18"/>
                <w:szCs w:val="18"/>
                <w:color w:val="auto"/>
              </w:rPr>
            </w:pPr>
            <w:hyperlink r:id="rId420">
              <w:r>
                <w:rPr>
                  <w:rFonts w:ascii="Arial" w:cs="Arial" w:eastAsia="Arial" w:hAnsi="Arial"/>
                  <w:sz w:val="18"/>
                  <w:szCs w:val="18"/>
                  <w:color w:val="auto"/>
                </w:rPr>
                <w:t>Tripadvisor, Inc., the guarantors party</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80" w:type="dxa"/>
            <w:vAlign w:val="bottom"/>
            <w:tcBorders>
              <w:top w:val="single" w:sz="8" w:color="0000EE"/>
            </w:tcBorders>
            <w:gridSpan w:val="21"/>
          </w:tcPr>
          <w:p>
            <w:pPr>
              <w:spacing w:after="0" w:line="156" w:lineRule="exact"/>
              <w:rPr>
                <w:rFonts w:ascii="Arial" w:cs="Arial" w:eastAsia="Arial" w:hAnsi="Arial"/>
                <w:sz w:val="18"/>
                <w:szCs w:val="18"/>
                <w:color w:val="auto"/>
                <w:w w:val="89"/>
              </w:rPr>
            </w:pPr>
            <w:hyperlink r:id="rId420">
              <w:r>
                <w:rPr>
                  <w:rFonts w:ascii="Arial" w:cs="Arial" w:eastAsia="Arial" w:hAnsi="Arial"/>
                  <w:sz w:val="18"/>
                  <w:szCs w:val="18"/>
                  <w:color w:val="auto"/>
                  <w:w w:val="89"/>
                </w:rPr>
                <w:t>thereto and U.S. Bank National Association, as trustee (as successor trustee</w:t>
              </w:r>
            </w:hyperlink>
          </w:p>
        </w:tc>
        <w:tc>
          <w:tcPr>
            <w:tcW w:w="400" w:type="dxa"/>
            <w:vAlign w:val="bottom"/>
            <w:gridSpan w:val="11"/>
          </w:tcPr>
          <w:p>
            <w:pPr>
              <w:spacing w:after="0" w:line="156" w:lineRule="exact"/>
              <w:rPr>
                <w:rFonts w:ascii="Arial" w:cs="Arial" w:eastAsia="Arial" w:hAnsi="Arial"/>
                <w:sz w:val="18"/>
                <w:szCs w:val="18"/>
                <w:color w:val="auto"/>
              </w:rPr>
            </w:pPr>
            <w:hyperlink r:id="rId420">
              <w:r>
                <w:rPr>
                  <w:rFonts w:ascii="Arial" w:cs="Arial" w:eastAsia="Arial" w:hAnsi="Arial"/>
                  <w:sz w:val="18"/>
                  <w:szCs w:val="18"/>
                  <w:color w:val="auto"/>
                </w:rPr>
                <w:t>to</w:t>
              </w:r>
            </w:hyperlink>
          </w:p>
        </w:tc>
        <w:tc>
          <w:tcPr>
            <w:tcW w:w="0" w:type="dxa"/>
            <w:vAlign w:val="bottom"/>
          </w:tcPr>
          <w:p>
            <w:pPr>
              <w:spacing w:after="0"/>
              <w:rPr>
                <w:sz w:val="1"/>
                <w:szCs w:val="1"/>
                <w:color w:val="auto"/>
              </w:rPr>
            </w:pPr>
          </w:p>
        </w:tc>
      </w:tr>
      <w:tr>
        <w:trPr>
          <w:trHeight w:val="155"/>
        </w:trPr>
        <w:tc>
          <w:tcPr>
            <w:tcW w:w="940" w:type="dxa"/>
            <w:vAlign w:val="bottom"/>
            <w:vMerge w:val="restart"/>
          </w:tcPr>
          <w:p>
            <w:pPr>
              <w:ind w:left="2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3"/>
                <w:szCs w:val="13"/>
                <w:color w:val="auto"/>
              </w:rPr>
            </w:pPr>
          </w:p>
        </w:tc>
        <w:tc>
          <w:tcPr>
            <w:tcW w:w="5660" w:type="dxa"/>
            <w:vAlign w:val="bottom"/>
            <w:tcBorders>
              <w:top w:val="single" w:sz="8" w:color="0000EE"/>
            </w:tcBorders>
            <w:gridSpan w:val="26"/>
          </w:tcPr>
          <w:p>
            <w:pPr>
              <w:spacing w:after="0" w:line="156" w:lineRule="exact"/>
              <w:rPr>
                <w:rFonts w:ascii="Arial" w:cs="Arial" w:eastAsia="Arial" w:hAnsi="Arial"/>
                <w:sz w:val="18"/>
                <w:szCs w:val="18"/>
                <w:color w:val="auto"/>
              </w:rPr>
            </w:pPr>
            <w:hyperlink r:id="rId420">
              <w:r>
                <w:rPr>
                  <w:rFonts w:ascii="Arial" w:cs="Arial" w:eastAsia="Arial" w:hAnsi="Arial"/>
                  <w:sz w:val="18"/>
                  <w:szCs w:val="18"/>
                  <w:color w:val="auto"/>
                </w:rPr>
                <w:t>Wilmington Trust, National Association)</w:t>
              </w:r>
            </w:hyperlink>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tcBorders>
              <w:top w:val="single" w:sz="8" w:color="0000EE"/>
            </w:tcBorders>
            <w:gridSpan w:val="6"/>
          </w:tcPr>
          <w:p>
            <w:pPr>
              <w:spacing w:after="0" w:line="182" w:lineRule="exact"/>
              <w:rPr>
                <w:rFonts w:ascii="Arial" w:cs="Arial" w:eastAsia="Arial" w:hAnsi="Arial"/>
                <w:sz w:val="18"/>
                <w:szCs w:val="18"/>
                <w:color w:val="auto"/>
                <w:w w:val="91"/>
              </w:rPr>
            </w:pPr>
            <w:hyperlink r:id="rId420">
              <w:r>
                <w:rPr>
                  <w:rFonts w:ascii="Arial" w:cs="Arial" w:eastAsia="Arial" w:hAnsi="Arial"/>
                  <w:sz w:val="18"/>
                  <w:szCs w:val="18"/>
                  <w:color w:val="auto"/>
                  <w:w w:val="91"/>
                </w:rPr>
                <w:t>Form of Senior Note (included in Exhibit</w:t>
              </w:r>
            </w:hyperlink>
          </w:p>
        </w:tc>
        <w:tc>
          <w:tcPr>
            <w:tcW w:w="400" w:type="dxa"/>
            <w:vAlign w:val="bottom"/>
            <w:gridSpan w:val="4"/>
          </w:tcPr>
          <w:p>
            <w:pPr>
              <w:jc w:val="right"/>
              <w:ind w:right="40"/>
              <w:spacing w:after="0" w:line="182" w:lineRule="exact"/>
              <w:rPr>
                <w:rFonts w:ascii="Arial" w:cs="Arial" w:eastAsia="Arial" w:hAnsi="Arial"/>
                <w:sz w:val="18"/>
                <w:szCs w:val="18"/>
                <w:color w:val="auto"/>
              </w:rPr>
            </w:pPr>
            <w:hyperlink r:id="rId420">
              <w:r>
                <w:rPr>
                  <w:rFonts w:ascii="Arial" w:cs="Arial" w:eastAsia="Arial" w:hAnsi="Arial"/>
                  <w:sz w:val="18"/>
                  <w:szCs w:val="18"/>
                  <w:color w:val="auto"/>
                </w:rPr>
                <w:t>4.1)</w:t>
              </w:r>
            </w:hyperlink>
          </w:p>
        </w:tc>
        <w:tc>
          <w:tcPr>
            <w:tcW w:w="660" w:type="dxa"/>
            <w:vAlign w:val="bottom"/>
            <w:gridSpan w:val="3"/>
          </w:tcPr>
          <w:p>
            <w:pPr>
              <w:spacing w:after="0"/>
              <w:rPr>
                <w:sz w:val="15"/>
                <w:szCs w:val="15"/>
                <w:color w:val="auto"/>
              </w:rPr>
            </w:pPr>
          </w:p>
        </w:tc>
        <w:tc>
          <w:tcPr>
            <w:tcW w:w="4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40" w:type="dxa"/>
            <w:vAlign w:val="bottom"/>
          </w:tcPr>
          <w:p>
            <w:pPr>
              <w:ind w:left="2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5880" w:type="dxa"/>
            <w:vAlign w:val="bottom"/>
            <w:gridSpan w:val="32"/>
          </w:tcPr>
          <w:p>
            <w:pPr>
              <w:spacing w:after="0"/>
              <w:rPr>
                <w:rFonts w:ascii="Arial" w:cs="Arial" w:eastAsia="Arial" w:hAnsi="Arial"/>
                <w:sz w:val="18"/>
                <w:szCs w:val="18"/>
                <w:color w:val="auto"/>
                <w:w w:val="98"/>
              </w:rPr>
            </w:pPr>
            <w:hyperlink r:id="rId421">
              <w:r>
                <w:rPr>
                  <w:rFonts w:ascii="Arial" w:cs="Arial" w:eastAsia="Arial" w:hAnsi="Arial"/>
                  <w:sz w:val="18"/>
                  <w:szCs w:val="18"/>
                  <w:color w:val="auto"/>
                  <w:w w:val="98"/>
                </w:rPr>
                <w:t>Indenture, dated as of March 25, 2021, by and among Tripadvisor, Inc., the</w:t>
              </w:r>
            </w:hyperlink>
          </w:p>
        </w:tc>
        <w:tc>
          <w:tcPr>
            <w:tcW w:w="0" w:type="dxa"/>
            <w:vAlign w:val="bottom"/>
          </w:tcPr>
          <w:p>
            <w:pPr>
              <w:spacing w:after="0"/>
              <w:rPr>
                <w:sz w:val="1"/>
                <w:szCs w:val="1"/>
                <w:color w:val="auto"/>
              </w:rPr>
            </w:pPr>
          </w:p>
        </w:tc>
      </w:tr>
      <w:tr>
        <w:trPr>
          <w:trHeight w:val="156"/>
        </w:trPr>
        <w:tc>
          <w:tcPr>
            <w:tcW w:w="940" w:type="dxa"/>
            <w:vAlign w:val="bottom"/>
            <w:vMerge w:val="restart"/>
          </w:tcPr>
          <w:p>
            <w:pPr>
              <w:ind w:left="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3"/>
                <w:szCs w:val="13"/>
                <w:color w:val="auto"/>
              </w:rPr>
            </w:pPr>
          </w:p>
        </w:tc>
        <w:tc>
          <w:tcPr>
            <w:tcW w:w="5460" w:type="dxa"/>
            <w:vAlign w:val="bottom"/>
            <w:tcBorders>
              <w:top w:val="single" w:sz="8" w:color="0000EE"/>
            </w:tcBorders>
            <w:gridSpan w:val="20"/>
          </w:tcPr>
          <w:p>
            <w:pPr>
              <w:spacing w:after="0" w:line="156" w:lineRule="exact"/>
              <w:rPr>
                <w:rFonts w:ascii="Arial" w:cs="Arial" w:eastAsia="Arial" w:hAnsi="Arial"/>
                <w:sz w:val="18"/>
                <w:szCs w:val="18"/>
                <w:color w:val="auto"/>
                <w:w w:val="95"/>
              </w:rPr>
            </w:pPr>
            <w:hyperlink r:id="rId421">
              <w:r>
                <w:rPr>
                  <w:rFonts w:ascii="Arial" w:cs="Arial" w:eastAsia="Arial" w:hAnsi="Arial"/>
                  <w:sz w:val="18"/>
                  <w:szCs w:val="18"/>
                  <w:color w:val="auto"/>
                  <w:w w:val="95"/>
                </w:rPr>
                <w:t>guarantors party thereto and U.S. Bank National Association, as trustee</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140" w:type="dxa"/>
            <w:vAlign w:val="bottom"/>
            <w:tcBorders>
              <w:top w:val="single" w:sz="8" w:color="0000EE"/>
            </w:tcBorders>
            <w:gridSpan w:val="16"/>
          </w:tcPr>
          <w:p>
            <w:pPr>
              <w:spacing w:after="0" w:line="182" w:lineRule="exact"/>
              <w:rPr>
                <w:rFonts w:ascii="Arial" w:cs="Arial" w:eastAsia="Arial" w:hAnsi="Arial"/>
                <w:sz w:val="18"/>
                <w:szCs w:val="18"/>
                <w:color w:val="auto"/>
                <w:w w:val="90"/>
              </w:rPr>
            </w:pPr>
            <w:hyperlink r:id="rId421">
              <w:r>
                <w:rPr>
                  <w:rFonts w:ascii="Arial" w:cs="Arial" w:eastAsia="Arial" w:hAnsi="Arial"/>
                  <w:sz w:val="18"/>
                  <w:szCs w:val="18"/>
                  <w:color w:val="auto"/>
                  <w:w w:val="90"/>
                </w:rPr>
                <w:t>Form of 0.25% Convertible Senior Notes due 2026 (included as Exhibit</w:t>
              </w:r>
            </w:hyperlink>
          </w:p>
        </w:tc>
        <w:tc>
          <w:tcPr>
            <w:tcW w:w="740" w:type="dxa"/>
            <w:vAlign w:val="bottom"/>
            <w:gridSpan w:val="16"/>
          </w:tcPr>
          <w:p>
            <w:pPr>
              <w:ind w:left="80"/>
              <w:spacing w:after="0" w:line="182" w:lineRule="exact"/>
              <w:rPr>
                <w:rFonts w:ascii="Arial" w:cs="Arial" w:eastAsia="Arial" w:hAnsi="Arial"/>
                <w:sz w:val="18"/>
                <w:szCs w:val="18"/>
                <w:color w:val="auto"/>
              </w:rPr>
            </w:pPr>
            <w:hyperlink r:id="rId421">
              <w:r>
                <w:rPr>
                  <w:rFonts w:ascii="Arial" w:cs="Arial" w:eastAsia="Arial" w:hAnsi="Arial"/>
                  <w:sz w:val="18"/>
                  <w:szCs w:val="18"/>
                  <w:color w:val="auto"/>
                </w:rPr>
                <w:t>A to</w:t>
              </w:r>
            </w:hyperlink>
          </w:p>
        </w:tc>
        <w:tc>
          <w:tcPr>
            <w:tcW w:w="0" w:type="dxa"/>
            <w:vAlign w:val="bottom"/>
          </w:tcPr>
          <w:p>
            <w:pPr>
              <w:spacing w:after="0"/>
              <w:rPr>
                <w:sz w:val="1"/>
                <w:szCs w:val="1"/>
                <w:color w:val="auto"/>
              </w:rPr>
            </w:pPr>
          </w:p>
        </w:tc>
      </w:tr>
      <w:tr>
        <w:trPr>
          <w:trHeight w:val="155"/>
        </w:trPr>
        <w:tc>
          <w:tcPr>
            <w:tcW w:w="940" w:type="dxa"/>
            <w:vAlign w:val="bottom"/>
            <w:vMerge w:val="restart"/>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3"/>
                <w:szCs w:val="13"/>
                <w:color w:val="auto"/>
              </w:rPr>
            </w:pPr>
          </w:p>
        </w:tc>
        <w:tc>
          <w:tcPr>
            <w:tcW w:w="5580" w:type="dxa"/>
            <w:vAlign w:val="bottom"/>
            <w:tcBorders>
              <w:top w:val="single" w:sz="8" w:color="0000EE"/>
            </w:tcBorders>
            <w:gridSpan w:val="25"/>
          </w:tcPr>
          <w:p>
            <w:pPr>
              <w:spacing w:after="0" w:line="156" w:lineRule="exact"/>
              <w:rPr>
                <w:rFonts w:ascii="Arial" w:cs="Arial" w:eastAsia="Arial" w:hAnsi="Arial"/>
                <w:sz w:val="18"/>
                <w:szCs w:val="18"/>
                <w:color w:val="auto"/>
              </w:rPr>
            </w:pPr>
            <w:hyperlink r:id="rId421">
              <w:r>
                <w:rPr>
                  <w:rFonts w:ascii="Arial" w:cs="Arial" w:eastAsia="Arial" w:hAnsi="Arial"/>
                  <w:sz w:val="18"/>
                  <w:szCs w:val="18"/>
                  <w:color w:val="auto"/>
                </w:rPr>
                <w:t>Exhibit 4.1)</w:t>
              </w:r>
            </w:hyperlink>
          </w:p>
        </w:tc>
        <w:tc>
          <w:tcPr>
            <w:tcW w:w="1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top w:val="single" w:sz="8" w:color="0000EE"/>
            </w:tcBorders>
          </w:tcPr>
          <w:p>
            <w:pPr>
              <w:spacing w:after="0" w:line="182" w:lineRule="exact"/>
              <w:rPr>
                <w:rFonts w:ascii="Arial" w:cs="Arial" w:eastAsia="Arial" w:hAnsi="Arial"/>
                <w:sz w:val="18"/>
                <w:szCs w:val="18"/>
                <w:color w:val="auto"/>
                <w:w w:val="85"/>
              </w:rPr>
            </w:pPr>
            <w:hyperlink r:id="rId422">
              <w:r>
                <w:rPr>
                  <w:rFonts w:ascii="Arial" w:cs="Arial" w:eastAsia="Arial" w:hAnsi="Arial"/>
                  <w:sz w:val="18"/>
                  <w:szCs w:val="18"/>
                  <w:color w:val="auto"/>
                  <w:w w:val="85"/>
                </w:rPr>
                <w:t>Governance</w:t>
              </w:r>
            </w:hyperlink>
          </w:p>
        </w:tc>
        <w:tc>
          <w:tcPr>
            <w:tcW w:w="5020" w:type="dxa"/>
            <w:vAlign w:val="bottom"/>
            <w:gridSpan w:val="31"/>
          </w:tcPr>
          <w:p>
            <w:pPr>
              <w:ind w:left="40"/>
              <w:spacing w:after="0" w:line="182" w:lineRule="exact"/>
              <w:rPr>
                <w:rFonts w:ascii="Arial" w:cs="Arial" w:eastAsia="Arial" w:hAnsi="Arial"/>
                <w:sz w:val="18"/>
                <w:szCs w:val="18"/>
                <w:color w:val="auto"/>
                <w:w w:val="99"/>
              </w:rPr>
            </w:pPr>
            <w:hyperlink r:id="rId422">
              <w:r>
                <w:rPr>
                  <w:rFonts w:ascii="Arial" w:cs="Arial" w:eastAsia="Arial" w:hAnsi="Arial"/>
                  <w:sz w:val="18"/>
                  <w:szCs w:val="18"/>
                  <w:color w:val="auto"/>
                  <w:w w:val="99"/>
                </w:rPr>
                <w:t>Agreement, by and among Tripadvisor, Inc., Liberty Interactive</w:t>
              </w:r>
            </w:hyperlink>
          </w:p>
        </w:tc>
        <w:tc>
          <w:tcPr>
            <w:tcW w:w="0" w:type="dxa"/>
            <w:vAlign w:val="bottom"/>
          </w:tcPr>
          <w:p>
            <w:pPr>
              <w:spacing w:after="0"/>
              <w:rPr>
                <w:sz w:val="1"/>
                <w:szCs w:val="1"/>
                <w:color w:val="auto"/>
              </w:rPr>
            </w:pPr>
          </w:p>
        </w:tc>
      </w:tr>
      <w:tr>
        <w:trPr>
          <w:trHeight w:val="156"/>
        </w:trPr>
        <w:tc>
          <w:tcPr>
            <w:tcW w:w="940" w:type="dxa"/>
            <w:vAlign w:val="bottom"/>
            <w:vMerge w:val="restart"/>
          </w:tcPr>
          <w:p>
            <w:pPr>
              <w:ind w:left="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3"/>
                <w:szCs w:val="13"/>
                <w:color w:val="auto"/>
              </w:rPr>
            </w:pPr>
          </w:p>
        </w:tc>
        <w:tc>
          <w:tcPr>
            <w:tcW w:w="5560" w:type="dxa"/>
            <w:vAlign w:val="bottom"/>
            <w:tcBorders>
              <w:top w:val="single" w:sz="8" w:color="0000EE"/>
            </w:tcBorders>
            <w:gridSpan w:val="24"/>
          </w:tcPr>
          <w:p>
            <w:pPr>
              <w:spacing w:after="0" w:line="156" w:lineRule="exact"/>
              <w:rPr>
                <w:rFonts w:ascii="Arial" w:cs="Arial" w:eastAsia="Arial" w:hAnsi="Arial"/>
                <w:sz w:val="18"/>
                <w:szCs w:val="18"/>
                <w:color w:val="auto"/>
              </w:rPr>
            </w:pPr>
            <w:hyperlink r:id="rId422">
              <w:r>
                <w:rPr>
                  <w:rFonts w:ascii="Arial" w:cs="Arial" w:eastAsia="Arial" w:hAnsi="Arial"/>
                  <w:sz w:val="18"/>
                  <w:szCs w:val="18"/>
                  <w:color w:val="auto"/>
                </w:rPr>
                <w:t>Corporation and Barry Diller, dated as of December 20, 2011</w:t>
              </w:r>
            </w:hyperlink>
          </w:p>
        </w:tc>
        <w:tc>
          <w:tcPr>
            <w:tcW w:w="16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400" w:type="dxa"/>
            <w:vAlign w:val="bottom"/>
            <w:tcBorders>
              <w:top w:val="single" w:sz="8" w:color="0000EE"/>
            </w:tcBorders>
            <w:gridSpan w:val="15"/>
          </w:tcPr>
          <w:p>
            <w:pPr>
              <w:spacing w:after="0" w:line="182" w:lineRule="exact"/>
              <w:rPr>
                <w:rFonts w:ascii="Arial" w:cs="Arial" w:eastAsia="Arial" w:hAnsi="Arial"/>
                <w:sz w:val="18"/>
                <w:szCs w:val="18"/>
                <w:color w:val="auto"/>
                <w:w w:val="89"/>
              </w:rPr>
            </w:pPr>
            <w:hyperlink r:id="rId423">
              <w:r>
                <w:rPr>
                  <w:rFonts w:ascii="Arial" w:cs="Arial" w:eastAsia="Arial" w:hAnsi="Arial"/>
                  <w:sz w:val="18"/>
                  <w:szCs w:val="18"/>
                  <w:color w:val="auto"/>
                  <w:w w:val="89"/>
                </w:rPr>
                <w:t>Tax Sharing Agreement by and between Tripadvisor, Inc. and</w:t>
              </w:r>
            </w:hyperlink>
          </w:p>
        </w:tc>
        <w:tc>
          <w:tcPr>
            <w:tcW w:w="1480" w:type="dxa"/>
            <w:vAlign w:val="bottom"/>
            <w:gridSpan w:val="17"/>
          </w:tcPr>
          <w:p>
            <w:pPr>
              <w:ind w:left="80"/>
              <w:spacing w:after="0" w:line="182" w:lineRule="exact"/>
              <w:rPr>
                <w:rFonts w:ascii="Arial" w:cs="Arial" w:eastAsia="Arial" w:hAnsi="Arial"/>
                <w:sz w:val="18"/>
                <w:szCs w:val="18"/>
                <w:color w:val="auto"/>
              </w:rPr>
            </w:pPr>
            <w:hyperlink r:id="rId423">
              <w:r>
                <w:rPr>
                  <w:rFonts w:ascii="Arial" w:cs="Arial" w:eastAsia="Arial" w:hAnsi="Arial"/>
                  <w:sz w:val="18"/>
                  <w:szCs w:val="18"/>
                  <w:color w:val="auto"/>
                </w:rPr>
                <w:t>Expedia, Inc.,</w:t>
              </w:r>
            </w:hyperlink>
          </w:p>
        </w:tc>
        <w:tc>
          <w:tcPr>
            <w:tcW w:w="0" w:type="dxa"/>
            <w:vAlign w:val="bottom"/>
          </w:tcPr>
          <w:p>
            <w:pPr>
              <w:spacing w:after="0"/>
              <w:rPr>
                <w:sz w:val="1"/>
                <w:szCs w:val="1"/>
                <w:color w:val="auto"/>
              </w:rPr>
            </w:pPr>
          </w:p>
        </w:tc>
      </w:tr>
      <w:tr>
        <w:trPr>
          <w:trHeight w:val="155"/>
        </w:trPr>
        <w:tc>
          <w:tcPr>
            <w:tcW w:w="940" w:type="dxa"/>
            <w:vAlign w:val="bottom"/>
            <w:vMerge w:val="restart"/>
          </w:tcPr>
          <w:p>
            <w:pPr>
              <w:ind w:left="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3"/>
                <w:szCs w:val="13"/>
                <w:color w:val="auto"/>
              </w:rPr>
            </w:pPr>
          </w:p>
        </w:tc>
        <w:tc>
          <w:tcPr>
            <w:tcW w:w="5520" w:type="dxa"/>
            <w:vAlign w:val="bottom"/>
            <w:tcBorders>
              <w:top w:val="single" w:sz="8" w:color="0000EE"/>
            </w:tcBorders>
            <w:gridSpan w:val="22"/>
          </w:tcPr>
          <w:p>
            <w:pPr>
              <w:spacing w:after="0" w:line="156" w:lineRule="exact"/>
              <w:rPr>
                <w:rFonts w:ascii="Arial" w:cs="Arial" w:eastAsia="Arial" w:hAnsi="Arial"/>
                <w:sz w:val="18"/>
                <w:szCs w:val="18"/>
                <w:color w:val="auto"/>
              </w:rPr>
            </w:pPr>
            <w:hyperlink r:id="rId423">
              <w:r>
                <w:rPr>
                  <w:rFonts w:ascii="Arial" w:cs="Arial" w:eastAsia="Arial" w:hAnsi="Arial"/>
                  <w:sz w:val="18"/>
                  <w:szCs w:val="18"/>
                  <w:color w:val="auto"/>
                </w:rPr>
                <w:t>dated as of December 20, 2011</w:t>
              </w:r>
            </w:hyperlink>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720" w:type="dxa"/>
            <w:vAlign w:val="bottom"/>
            <w:tcBorders>
              <w:bottom w:val="single" w:sz="8" w:color="0000EE"/>
            </w:tcBorders>
            <w:gridSpan w:val="28"/>
          </w:tcPr>
          <w:p>
            <w:pPr>
              <w:spacing w:after="0" w:line="182" w:lineRule="exact"/>
              <w:rPr>
                <w:rFonts w:ascii="Arial" w:cs="Arial" w:eastAsia="Arial" w:hAnsi="Arial"/>
                <w:sz w:val="18"/>
                <w:szCs w:val="18"/>
                <w:color w:val="auto"/>
                <w:w w:val="90"/>
              </w:rPr>
            </w:pPr>
            <w:hyperlink r:id="rId424">
              <w:r>
                <w:rPr>
                  <w:rFonts w:ascii="Arial" w:cs="Arial" w:eastAsia="Arial" w:hAnsi="Arial"/>
                  <w:sz w:val="18"/>
                  <w:szCs w:val="18"/>
                  <w:color w:val="auto"/>
                  <w:w w:val="90"/>
                </w:rPr>
                <w:t>Amended and Restated Tripadvisor, Inc. 2011 Stock and Annual Incentive Plan</w:t>
              </w:r>
            </w:hyperlink>
          </w:p>
        </w:tc>
        <w:tc>
          <w:tcPr>
            <w:tcW w:w="1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94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5880" w:type="dxa"/>
            <w:vAlign w:val="bottom"/>
            <w:gridSpan w:val="32"/>
          </w:tcPr>
          <w:p>
            <w:pPr>
              <w:spacing w:after="0"/>
              <w:rPr>
                <w:rFonts w:ascii="Arial" w:cs="Arial" w:eastAsia="Arial" w:hAnsi="Arial"/>
                <w:sz w:val="18"/>
                <w:szCs w:val="18"/>
                <w:color w:val="auto"/>
              </w:rPr>
            </w:pPr>
            <w:hyperlink r:id="rId425">
              <w:r>
                <w:rPr>
                  <w:rFonts w:ascii="Arial" w:cs="Arial" w:eastAsia="Arial" w:hAnsi="Arial"/>
                  <w:sz w:val="18"/>
                  <w:szCs w:val="18"/>
                  <w:color w:val="auto"/>
                </w:rPr>
                <w:t>Tripadvisor, Inc. 2018 Stock and Annual Incentive Plan</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40" w:type="dxa"/>
            <w:vAlign w:val="bottom"/>
          </w:tcPr>
          <w:p>
            <w:pPr>
              <w:ind w:left="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5440" w:type="dxa"/>
            <w:vAlign w:val="bottom"/>
            <w:tcBorders>
              <w:bottom w:val="single" w:sz="8" w:color="0000EE"/>
            </w:tcBorders>
            <w:gridSpan w:val="19"/>
          </w:tcPr>
          <w:p>
            <w:pPr>
              <w:spacing w:after="0"/>
              <w:rPr>
                <w:rFonts w:ascii="Arial" w:cs="Arial" w:eastAsia="Arial" w:hAnsi="Arial"/>
                <w:sz w:val="18"/>
                <w:szCs w:val="18"/>
                <w:color w:val="auto"/>
                <w:w w:val="91"/>
              </w:rPr>
            </w:pPr>
            <w:hyperlink r:id="rId426">
              <w:r>
                <w:rPr>
                  <w:rFonts w:ascii="Arial" w:cs="Arial" w:eastAsia="Arial" w:hAnsi="Arial"/>
                  <w:sz w:val="18"/>
                  <w:szCs w:val="18"/>
                  <w:color w:val="auto"/>
                  <w:w w:val="91"/>
                </w:rPr>
                <w:t>Tripadvisor, Inc. Deferred Compensation Plan for Non-Employee Directors</w:t>
              </w:r>
            </w:hyperlink>
          </w:p>
        </w:tc>
        <w:tc>
          <w:tcPr>
            <w:tcW w:w="4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40" w:type="dxa"/>
            <w:vAlign w:val="bottom"/>
          </w:tcPr>
          <w:p>
            <w:pPr>
              <w:ind w:left="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5880" w:type="dxa"/>
            <w:vAlign w:val="bottom"/>
            <w:gridSpan w:val="32"/>
          </w:tcPr>
          <w:p>
            <w:pPr>
              <w:spacing w:after="0"/>
              <w:rPr>
                <w:rFonts w:ascii="Arial" w:cs="Arial" w:eastAsia="Arial" w:hAnsi="Arial"/>
                <w:sz w:val="18"/>
                <w:szCs w:val="18"/>
                <w:color w:val="auto"/>
                <w:w w:val="97"/>
              </w:rPr>
            </w:pPr>
            <w:hyperlink r:id="rId427">
              <w:r>
                <w:rPr>
                  <w:rFonts w:ascii="Arial" w:cs="Arial" w:eastAsia="Arial" w:hAnsi="Arial"/>
                  <w:sz w:val="18"/>
                  <w:szCs w:val="18"/>
                  <w:color w:val="auto"/>
                  <w:w w:val="97"/>
                </w:rPr>
                <w:t>Corporate Headquarters Lease with Normandy Gap-V Needham Building 3,</w:t>
              </w:r>
            </w:hyperlink>
          </w:p>
        </w:tc>
        <w:tc>
          <w:tcPr>
            <w:tcW w:w="0" w:type="dxa"/>
            <w:vAlign w:val="bottom"/>
          </w:tcPr>
          <w:p>
            <w:pPr>
              <w:spacing w:after="0"/>
              <w:rPr>
                <w:sz w:val="1"/>
                <w:szCs w:val="1"/>
                <w:color w:val="auto"/>
              </w:rPr>
            </w:pPr>
          </w:p>
        </w:tc>
      </w:tr>
      <w:tr>
        <w:trPr>
          <w:trHeight w:val="155"/>
        </w:trPr>
        <w:tc>
          <w:tcPr>
            <w:tcW w:w="940" w:type="dxa"/>
            <w:vAlign w:val="bottom"/>
            <w:vMerge w:val="restart"/>
          </w:tcPr>
          <w:p>
            <w:pPr>
              <w:ind w:left="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3"/>
                <w:szCs w:val="13"/>
                <w:color w:val="auto"/>
              </w:rPr>
            </w:pPr>
          </w:p>
        </w:tc>
        <w:tc>
          <w:tcPr>
            <w:tcW w:w="5540" w:type="dxa"/>
            <w:vAlign w:val="bottom"/>
            <w:tcBorders>
              <w:top w:val="single" w:sz="8" w:color="0000EE"/>
            </w:tcBorders>
            <w:gridSpan w:val="23"/>
          </w:tcPr>
          <w:p>
            <w:pPr>
              <w:spacing w:after="0" w:line="156" w:lineRule="exact"/>
              <w:rPr>
                <w:rFonts w:ascii="Arial" w:cs="Arial" w:eastAsia="Arial" w:hAnsi="Arial"/>
                <w:sz w:val="18"/>
                <w:szCs w:val="18"/>
                <w:color w:val="auto"/>
              </w:rPr>
            </w:pPr>
            <w:hyperlink r:id="rId427">
              <w:r>
                <w:rPr>
                  <w:rFonts w:ascii="Arial" w:cs="Arial" w:eastAsia="Arial" w:hAnsi="Arial"/>
                  <w:sz w:val="18"/>
                  <w:szCs w:val="18"/>
                  <w:color w:val="auto"/>
                </w:rPr>
                <w:t>LLC, as landlord, dated as of June 20, 2013</w:t>
              </w:r>
            </w:hyperlink>
          </w:p>
        </w:tc>
        <w:tc>
          <w:tcPr>
            <w:tcW w:w="18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140" w:type="dxa"/>
            <w:vAlign w:val="bottom"/>
            <w:tcBorders>
              <w:top w:val="single" w:sz="8" w:color="0000EE"/>
            </w:tcBorders>
            <w:gridSpan w:val="8"/>
          </w:tcPr>
          <w:p>
            <w:pPr>
              <w:spacing w:after="0" w:line="182" w:lineRule="exact"/>
              <w:rPr>
                <w:rFonts w:ascii="Arial" w:cs="Arial" w:eastAsia="Arial" w:hAnsi="Arial"/>
                <w:sz w:val="18"/>
                <w:szCs w:val="18"/>
                <w:color w:val="auto"/>
                <w:w w:val="85"/>
              </w:rPr>
            </w:pPr>
            <w:hyperlink r:id="rId428">
              <w:r>
                <w:rPr>
                  <w:rFonts w:ascii="Arial" w:cs="Arial" w:eastAsia="Arial" w:hAnsi="Arial"/>
                  <w:sz w:val="18"/>
                  <w:szCs w:val="18"/>
                  <w:color w:val="auto"/>
                  <w:w w:val="85"/>
                </w:rPr>
                <w:t>Guaranty dated June 20, 2013 by Tripadvisor,</w:t>
              </w:r>
            </w:hyperlink>
          </w:p>
        </w:tc>
        <w:tc>
          <w:tcPr>
            <w:tcW w:w="2740" w:type="dxa"/>
            <w:vAlign w:val="bottom"/>
            <w:gridSpan w:val="24"/>
          </w:tcPr>
          <w:p>
            <w:pPr>
              <w:ind w:left="200"/>
              <w:spacing w:after="0" w:line="182" w:lineRule="exact"/>
              <w:rPr>
                <w:rFonts w:ascii="Arial" w:cs="Arial" w:eastAsia="Arial" w:hAnsi="Arial"/>
                <w:sz w:val="18"/>
                <w:szCs w:val="18"/>
                <w:color w:val="auto"/>
                <w:w w:val="99"/>
              </w:rPr>
            </w:pPr>
            <w:hyperlink r:id="rId428">
              <w:r>
                <w:rPr>
                  <w:rFonts w:ascii="Arial" w:cs="Arial" w:eastAsia="Arial" w:hAnsi="Arial"/>
                  <w:sz w:val="18"/>
                  <w:szCs w:val="18"/>
                  <w:color w:val="auto"/>
                  <w:w w:val="99"/>
                </w:rPr>
                <w:t>Inc. for the benefit of Normandy</w:t>
              </w:r>
            </w:hyperlink>
          </w:p>
        </w:tc>
        <w:tc>
          <w:tcPr>
            <w:tcW w:w="0" w:type="dxa"/>
            <w:vAlign w:val="bottom"/>
          </w:tcPr>
          <w:p>
            <w:pPr>
              <w:spacing w:after="0"/>
              <w:rPr>
                <w:sz w:val="1"/>
                <w:szCs w:val="1"/>
                <w:color w:val="auto"/>
              </w:rPr>
            </w:pPr>
          </w:p>
        </w:tc>
      </w:tr>
      <w:tr>
        <w:trPr>
          <w:trHeight w:val="155"/>
        </w:trPr>
        <w:tc>
          <w:tcPr>
            <w:tcW w:w="940" w:type="dxa"/>
            <w:vAlign w:val="bottom"/>
            <w:vMerge w:val="restart"/>
          </w:tcPr>
          <w:p>
            <w:pPr>
              <w:ind w:left="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3"/>
                <w:szCs w:val="13"/>
                <w:color w:val="auto"/>
              </w:rPr>
            </w:pPr>
          </w:p>
        </w:tc>
        <w:tc>
          <w:tcPr>
            <w:tcW w:w="5720" w:type="dxa"/>
            <w:vAlign w:val="bottom"/>
            <w:tcBorders>
              <w:top w:val="single" w:sz="8" w:color="0000EE"/>
            </w:tcBorders>
            <w:gridSpan w:val="28"/>
          </w:tcPr>
          <w:p>
            <w:pPr>
              <w:spacing w:after="0" w:line="156" w:lineRule="exact"/>
              <w:rPr>
                <w:rFonts w:ascii="Arial" w:cs="Arial" w:eastAsia="Arial" w:hAnsi="Arial"/>
                <w:sz w:val="18"/>
                <w:szCs w:val="18"/>
                <w:color w:val="auto"/>
              </w:rPr>
            </w:pPr>
            <w:hyperlink r:id="rId428">
              <w:r>
                <w:rPr>
                  <w:rFonts w:ascii="Arial" w:cs="Arial" w:eastAsia="Arial" w:hAnsi="Arial"/>
                  <w:sz w:val="18"/>
                  <w:szCs w:val="18"/>
                  <w:color w:val="auto"/>
                </w:rPr>
                <w:t>Gap-V Needham Building 3, LLC, as landlord</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340" w:type="dxa"/>
            <w:vAlign w:val="bottom"/>
            <w:tcBorders>
              <w:top w:val="single" w:sz="8" w:color="0000EE"/>
            </w:tcBorders>
            <w:gridSpan w:val="10"/>
          </w:tcPr>
          <w:p>
            <w:pPr>
              <w:spacing w:after="0" w:line="182" w:lineRule="exact"/>
              <w:rPr>
                <w:rFonts w:ascii="Arial" w:cs="Arial" w:eastAsia="Arial" w:hAnsi="Arial"/>
                <w:sz w:val="18"/>
                <w:szCs w:val="18"/>
                <w:color w:val="auto"/>
                <w:w w:val="92"/>
              </w:rPr>
            </w:pPr>
            <w:hyperlink r:id="rId429">
              <w:r>
                <w:rPr>
                  <w:rFonts w:ascii="Arial" w:cs="Arial" w:eastAsia="Arial" w:hAnsi="Arial"/>
                  <w:sz w:val="18"/>
                  <w:szCs w:val="18"/>
                  <w:color w:val="auto"/>
                  <w:w w:val="92"/>
                </w:rPr>
                <w:t>Employment Agreement between Tripadvisor</w:t>
              </w:r>
            </w:hyperlink>
          </w:p>
        </w:tc>
        <w:tc>
          <w:tcPr>
            <w:tcW w:w="2540" w:type="dxa"/>
            <w:vAlign w:val="bottom"/>
            <w:gridSpan w:val="22"/>
          </w:tcPr>
          <w:p>
            <w:pPr>
              <w:spacing w:after="0" w:line="182" w:lineRule="exact"/>
              <w:rPr>
                <w:rFonts w:ascii="Arial" w:cs="Arial" w:eastAsia="Arial" w:hAnsi="Arial"/>
                <w:sz w:val="18"/>
                <w:szCs w:val="18"/>
                <w:color w:val="auto"/>
                <w:w w:val="92"/>
              </w:rPr>
            </w:pPr>
            <w:hyperlink r:id="rId429">
              <w:r>
                <w:rPr>
                  <w:rFonts w:ascii="Arial" w:cs="Arial" w:eastAsia="Arial" w:hAnsi="Arial"/>
                  <w:sz w:val="18"/>
                  <w:szCs w:val="18"/>
                  <w:color w:val="auto"/>
                  <w:w w:val="92"/>
                </w:rPr>
                <w:t>LLC and Seth Kalvert, effective as</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auto"/>
                <w:w w:val="91"/>
              </w:rPr>
            </w:pPr>
            <w:hyperlink r:id="rId429">
              <w:r>
                <w:rPr>
                  <w:rFonts w:ascii="Arial" w:cs="Arial" w:eastAsia="Arial" w:hAnsi="Arial"/>
                  <w:sz w:val="18"/>
                  <w:szCs w:val="18"/>
                  <w:color w:val="auto"/>
                  <w:w w:val="91"/>
                </w:rPr>
                <w:t>of May 19, 2016</w:t>
              </w:r>
            </w:hyperlink>
          </w:p>
        </w:tc>
        <w:tc>
          <w:tcPr>
            <w:tcW w:w="4660" w:type="dxa"/>
            <w:vAlign w:val="bottom"/>
            <w:tcBorders>
              <w:top w:val="single" w:sz="8" w:color="0000EE"/>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940" w:type="dxa"/>
            <w:vAlign w:val="bottom"/>
          </w:tcPr>
          <w:p>
            <w:pPr>
              <w:ind w:left="2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5880" w:type="dxa"/>
            <w:vAlign w:val="bottom"/>
            <w:gridSpan w:val="32"/>
          </w:tcPr>
          <w:p>
            <w:pPr>
              <w:spacing w:after="0"/>
              <w:rPr>
                <w:rFonts w:ascii="Arial" w:cs="Arial" w:eastAsia="Arial" w:hAnsi="Arial"/>
                <w:sz w:val="18"/>
                <w:szCs w:val="18"/>
                <w:color w:val="auto"/>
                <w:w w:val="98"/>
              </w:rPr>
            </w:pPr>
            <w:hyperlink r:id="rId430">
              <w:r>
                <w:rPr>
                  <w:rFonts w:ascii="Arial" w:cs="Arial" w:eastAsia="Arial" w:hAnsi="Arial"/>
                  <w:sz w:val="18"/>
                  <w:szCs w:val="18"/>
                  <w:color w:val="auto"/>
                  <w:w w:val="98"/>
                </w:rPr>
                <w:t>Amendment to Employment Agreement between Tripadvisor LLC and Seth</w:t>
              </w:r>
            </w:hyperlink>
          </w:p>
        </w:tc>
        <w:tc>
          <w:tcPr>
            <w:tcW w:w="0" w:type="dxa"/>
            <w:vAlign w:val="bottom"/>
          </w:tcPr>
          <w:p>
            <w:pPr>
              <w:spacing w:after="0"/>
              <w:rPr>
                <w:sz w:val="1"/>
                <w:szCs w:val="1"/>
                <w:color w:val="auto"/>
              </w:rPr>
            </w:pPr>
          </w:p>
        </w:tc>
      </w:tr>
      <w:tr>
        <w:trPr>
          <w:trHeight w:val="156"/>
        </w:trPr>
        <w:tc>
          <w:tcPr>
            <w:tcW w:w="940" w:type="dxa"/>
            <w:vAlign w:val="bottom"/>
            <w:vMerge w:val="restart"/>
          </w:tcPr>
          <w:p>
            <w:pPr>
              <w:ind w:left="2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13"/>
                <w:szCs w:val="13"/>
                <w:color w:val="auto"/>
              </w:rPr>
            </w:pPr>
          </w:p>
        </w:tc>
        <w:tc>
          <w:tcPr>
            <w:tcW w:w="278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auto"/>
                <w:w w:val="89"/>
              </w:rPr>
            </w:pPr>
            <w:hyperlink r:id="rId430">
              <w:r>
                <w:rPr>
                  <w:rFonts w:ascii="Arial" w:cs="Arial" w:eastAsia="Arial" w:hAnsi="Arial"/>
                  <w:sz w:val="18"/>
                  <w:szCs w:val="18"/>
                  <w:color w:val="auto"/>
                  <w:w w:val="89"/>
                </w:rPr>
                <w:t>Kalvert, dated as of February 19, 2018</w:t>
              </w:r>
            </w:hyperlink>
          </w:p>
        </w:tc>
        <w:tc>
          <w:tcPr>
            <w:tcW w:w="3060" w:type="dxa"/>
            <w:vAlign w:val="bottom"/>
            <w:tcBorders>
              <w:top w:val="single" w:sz="8" w:color="0000EE"/>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880" w:type="dxa"/>
            <w:vAlign w:val="bottom"/>
            <w:gridSpan w:val="32"/>
          </w:tcPr>
          <w:p>
            <w:pPr>
              <w:spacing w:after="0" w:line="182" w:lineRule="exact"/>
              <w:rPr>
                <w:rFonts w:ascii="Arial" w:cs="Arial" w:eastAsia="Arial" w:hAnsi="Arial"/>
                <w:sz w:val="18"/>
                <w:szCs w:val="18"/>
                <w:color w:val="auto"/>
              </w:rPr>
            </w:pPr>
            <w:hyperlink r:id="rId431">
              <w:r>
                <w:rPr>
                  <w:rFonts w:ascii="Arial" w:cs="Arial" w:eastAsia="Arial" w:hAnsi="Arial"/>
                  <w:sz w:val="18"/>
                  <w:szCs w:val="18"/>
                  <w:color w:val="auto"/>
                </w:rPr>
                <w:t>Employment Agreement between Tripadvisor LLC and Stephen Kaufer,</w:t>
              </w:r>
            </w:hyperlink>
          </w:p>
        </w:tc>
        <w:tc>
          <w:tcPr>
            <w:tcW w:w="0" w:type="dxa"/>
            <w:vAlign w:val="bottom"/>
          </w:tcPr>
          <w:p>
            <w:pPr>
              <w:spacing w:after="0"/>
              <w:rPr>
                <w:sz w:val="1"/>
                <w:szCs w:val="1"/>
                <w:color w:val="auto"/>
              </w:rPr>
            </w:pPr>
          </w:p>
        </w:tc>
      </w:tr>
      <w:tr>
        <w:trPr>
          <w:trHeight w:val="155"/>
        </w:trPr>
        <w:tc>
          <w:tcPr>
            <w:tcW w:w="940" w:type="dxa"/>
            <w:vAlign w:val="bottom"/>
            <w:vMerge w:val="restart"/>
          </w:tcPr>
          <w:p>
            <w:pPr>
              <w:ind w:left="2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13"/>
                <w:szCs w:val="13"/>
                <w:color w:val="auto"/>
              </w:rPr>
            </w:pPr>
          </w:p>
        </w:tc>
        <w:tc>
          <w:tcPr>
            <w:tcW w:w="5240" w:type="dxa"/>
            <w:vAlign w:val="bottom"/>
            <w:tcBorders>
              <w:top w:val="single" w:sz="8" w:color="0000EE"/>
            </w:tcBorders>
            <w:gridSpan w:val="17"/>
          </w:tcPr>
          <w:p>
            <w:pPr>
              <w:spacing w:after="0" w:line="156" w:lineRule="exact"/>
              <w:rPr>
                <w:rFonts w:ascii="Arial" w:cs="Arial" w:eastAsia="Arial" w:hAnsi="Arial"/>
                <w:sz w:val="18"/>
                <w:szCs w:val="18"/>
                <w:color w:val="auto"/>
              </w:rPr>
            </w:pPr>
            <w:hyperlink r:id="rId431">
              <w:r>
                <w:rPr>
                  <w:rFonts w:ascii="Arial" w:cs="Arial" w:eastAsia="Arial" w:hAnsi="Arial"/>
                  <w:sz w:val="18"/>
                  <w:szCs w:val="18"/>
                  <w:color w:val="auto"/>
                </w:rPr>
                <w:t>effective as of March 31, 2014</w:t>
              </w:r>
            </w:hyperlink>
          </w:p>
        </w:tc>
        <w:tc>
          <w:tcPr>
            <w:tcW w:w="520" w:type="dxa"/>
            <w:vAlign w:val="bottom"/>
            <w:gridSpan w:val="12"/>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Borders>
              <w:top w:val="single" w:sz="8" w:color="0000EE"/>
            </w:tcBorders>
            <w:gridSpan w:val="3"/>
          </w:tcPr>
          <w:p>
            <w:pPr>
              <w:spacing w:after="0" w:line="182" w:lineRule="exact"/>
              <w:rPr>
                <w:rFonts w:ascii="Arial" w:cs="Arial" w:eastAsia="Arial" w:hAnsi="Arial"/>
                <w:sz w:val="18"/>
                <w:szCs w:val="18"/>
                <w:color w:val="auto"/>
                <w:w w:val="98"/>
              </w:rPr>
            </w:pPr>
            <w:hyperlink r:id="rId432">
              <w:r>
                <w:rPr>
                  <w:rFonts w:ascii="Arial" w:cs="Arial" w:eastAsia="Arial" w:hAnsi="Arial"/>
                  <w:sz w:val="18"/>
                  <w:szCs w:val="18"/>
                  <w:color w:val="auto"/>
                  <w:w w:val="98"/>
                </w:rPr>
                <w:t>Amendment to Employment</w:t>
              </w:r>
            </w:hyperlink>
          </w:p>
        </w:tc>
        <w:tc>
          <w:tcPr>
            <w:tcW w:w="3660" w:type="dxa"/>
            <w:vAlign w:val="bottom"/>
            <w:gridSpan w:val="29"/>
          </w:tcPr>
          <w:p>
            <w:pPr>
              <w:spacing w:after="0" w:line="182" w:lineRule="exact"/>
              <w:rPr>
                <w:rFonts w:ascii="Arial" w:cs="Arial" w:eastAsia="Arial" w:hAnsi="Arial"/>
                <w:sz w:val="18"/>
                <w:szCs w:val="18"/>
                <w:color w:val="auto"/>
                <w:w w:val="90"/>
              </w:rPr>
            </w:pPr>
            <w:hyperlink r:id="rId432">
              <w:r>
                <w:rPr>
                  <w:rFonts w:ascii="Arial" w:cs="Arial" w:eastAsia="Arial" w:hAnsi="Arial"/>
                  <w:sz w:val="18"/>
                  <w:szCs w:val="18"/>
                  <w:color w:val="auto"/>
                  <w:w w:val="90"/>
                </w:rPr>
                <w:t>Agreement between Tripadvisor LLC and Stephen</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80" w:type="dxa"/>
            <w:vAlign w:val="bottom"/>
            <w:tcBorders>
              <w:top w:val="single" w:sz="8" w:color="0000EE"/>
              <w:bottom w:val="single" w:sz="8" w:color="0000EE"/>
            </w:tcBorders>
            <w:gridSpan w:val="7"/>
          </w:tcPr>
          <w:p>
            <w:pPr>
              <w:spacing w:after="0" w:line="156" w:lineRule="exact"/>
              <w:rPr>
                <w:rFonts w:ascii="Arial" w:cs="Arial" w:eastAsia="Arial" w:hAnsi="Arial"/>
                <w:sz w:val="18"/>
                <w:szCs w:val="18"/>
                <w:color w:val="auto"/>
                <w:w w:val="90"/>
              </w:rPr>
            </w:pPr>
            <w:hyperlink r:id="rId432">
              <w:r>
                <w:rPr>
                  <w:rFonts w:ascii="Arial" w:cs="Arial" w:eastAsia="Arial" w:hAnsi="Arial"/>
                  <w:sz w:val="18"/>
                  <w:szCs w:val="18"/>
                  <w:color w:val="auto"/>
                  <w:w w:val="90"/>
                </w:rPr>
                <w:t>Kaufer, effective as of November 28, 2017</w:t>
              </w:r>
            </w:hyperlink>
          </w:p>
        </w:tc>
        <w:tc>
          <w:tcPr>
            <w:tcW w:w="2680" w:type="dxa"/>
            <w:vAlign w:val="bottom"/>
            <w:tcBorders>
              <w:top w:val="single" w:sz="8" w:color="0000EE"/>
            </w:tcBorders>
            <w:gridSpan w:val="22"/>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669"/>
        </w:trPr>
        <w:tc>
          <w:tcPr>
            <w:tcW w:w="940" w:type="dxa"/>
            <w:vAlign w:val="bottom"/>
          </w:tcPr>
          <w:p>
            <w:pPr>
              <w:spacing w:after="0"/>
              <w:rPr>
                <w:sz w:val="24"/>
                <w:szCs w:val="24"/>
                <w:color w:val="auto"/>
              </w:rPr>
            </w:pPr>
          </w:p>
        </w:tc>
        <w:tc>
          <w:tcPr>
            <w:tcW w:w="5280" w:type="dxa"/>
            <w:vAlign w:val="bottom"/>
            <w:gridSpan w:val="17"/>
          </w:tcPr>
          <w:p>
            <w:pPr>
              <w:jc w:val="right"/>
              <w:ind w:right="37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500"/>
        <w:spacing w:after="0"/>
        <w:rPr>
          <w:sz w:val="20"/>
          <w:szCs w:val="20"/>
          <w:color w:val="auto"/>
        </w:rPr>
      </w:pPr>
      <w:r>
        <w:rPr>
          <w:rFonts w:ascii="Arial" w:cs="Arial" w:eastAsia="Arial" w:hAnsi="Arial"/>
          <w:sz w:val="14"/>
          <w:szCs w:val="14"/>
          <w:color w:val="auto"/>
        </w:rPr>
        <w:t>Incorporated by</w:t>
      </w:r>
    </w:p>
    <w:p>
      <w:pPr>
        <w:ind w:left="1680"/>
        <w:spacing w:after="0"/>
        <w:rPr>
          <w:sz w:val="20"/>
          <w:szCs w:val="20"/>
          <w:color w:val="auto"/>
        </w:rPr>
      </w:pPr>
      <w:r>
        <w:rPr>
          <w:rFonts w:ascii="Arial" w:cs="Arial" w:eastAsia="Arial" w:hAnsi="Arial"/>
          <w:sz w:val="14"/>
          <w:szCs w:val="14"/>
          <w:color w:val="auto"/>
        </w:rPr>
        <w:t>Reference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17"/>
        </w:trPr>
        <w:tc>
          <w:tcPr>
            <w:tcW w:w="740" w:type="dxa"/>
            <w:vAlign w:val="bottom"/>
          </w:tcPr>
          <w:p>
            <w:pPr>
              <w:jc w:val="center"/>
              <w:spacing w:after="0" w:line="117" w:lineRule="exact"/>
              <w:rPr>
                <w:sz w:val="20"/>
                <w:szCs w:val="20"/>
                <w:color w:val="auto"/>
              </w:rPr>
            </w:pPr>
            <w:r>
              <w:rPr>
                <w:rFonts w:ascii="Arial" w:cs="Arial" w:eastAsia="Arial" w:hAnsi="Arial"/>
                <w:sz w:val="13"/>
                <w:szCs w:val="13"/>
                <w:color w:val="auto"/>
              </w:rPr>
              <w:t>Filed</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80"/>
              <w:spacing w:after="0" w:line="117" w:lineRule="exact"/>
              <w:rPr>
                <w:sz w:val="20"/>
                <w:szCs w:val="20"/>
                <w:color w:val="auto"/>
              </w:rPr>
            </w:pPr>
            <w:r>
              <w:rPr>
                <w:rFonts w:ascii="Arial" w:cs="Arial" w:eastAsia="Arial" w:hAnsi="Arial"/>
                <w:sz w:val="13"/>
                <w:szCs w:val="13"/>
                <w:color w:val="auto"/>
              </w:rPr>
              <w:t>SEC File</w:t>
            </w:r>
          </w:p>
        </w:tc>
        <w:tc>
          <w:tcPr>
            <w:tcW w:w="640" w:type="dxa"/>
            <w:vAlign w:val="bottom"/>
            <w:gridSpan w:val="2"/>
          </w:tcPr>
          <w:p>
            <w:pPr>
              <w:jc w:val="center"/>
              <w:ind w:right="20"/>
              <w:spacing w:after="0" w:line="117" w:lineRule="exact"/>
              <w:rPr>
                <w:sz w:val="20"/>
                <w:szCs w:val="20"/>
                <w:color w:val="auto"/>
              </w:rPr>
            </w:pPr>
            <w:r>
              <w:rPr>
                <w:rFonts w:ascii="Arial" w:cs="Arial" w:eastAsia="Arial" w:hAnsi="Arial"/>
                <w:sz w:val="13"/>
                <w:szCs w:val="13"/>
                <w:color w:val="auto"/>
              </w:rPr>
              <w:t>Exhibit</w:t>
            </w:r>
          </w:p>
        </w:tc>
        <w:tc>
          <w:tcPr>
            <w:tcW w:w="200" w:type="dxa"/>
            <w:vAlign w:val="bottom"/>
          </w:tcPr>
          <w:p>
            <w:pPr>
              <w:spacing w:after="0"/>
              <w:rPr>
                <w:sz w:val="10"/>
                <w:szCs w:val="10"/>
                <w:color w:val="auto"/>
              </w:rPr>
            </w:pPr>
          </w:p>
        </w:tc>
        <w:tc>
          <w:tcPr>
            <w:tcW w:w="960" w:type="dxa"/>
            <w:vAlign w:val="bottom"/>
          </w:tcPr>
          <w:p>
            <w:pPr>
              <w:jc w:val="center"/>
              <w:spacing w:after="0" w:line="117" w:lineRule="exact"/>
              <w:rPr>
                <w:sz w:val="20"/>
                <w:szCs w:val="20"/>
                <w:color w:val="auto"/>
              </w:rPr>
            </w:pPr>
            <w:r>
              <w:rPr>
                <w:rFonts w:ascii="Arial" w:cs="Arial" w:eastAsia="Arial" w:hAnsi="Arial"/>
                <w:sz w:val="13"/>
                <w:szCs w:val="13"/>
                <w:color w:val="auto"/>
              </w:rPr>
              <w:t>Filing</w:t>
            </w:r>
          </w:p>
        </w:tc>
      </w:tr>
      <w:tr>
        <w:trPr>
          <w:trHeight w:val="181"/>
        </w:trPr>
        <w:tc>
          <w:tcPr>
            <w:tcW w:w="740" w:type="dxa"/>
            <w:vAlign w:val="bottom"/>
          </w:tcPr>
          <w:p>
            <w:pPr>
              <w:jc w:val="center"/>
              <w:spacing w:after="0"/>
              <w:rPr>
                <w:sz w:val="20"/>
                <w:szCs w:val="20"/>
                <w:color w:val="auto"/>
              </w:rPr>
            </w:pPr>
            <w:r>
              <w:rPr>
                <w:rFonts w:ascii="Arial" w:cs="Arial" w:eastAsia="Arial" w:hAnsi="Arial"/>
                <w:sz w:val="14"/>
                <w:szCs w:val="14"/>
                <w:color w:val="auto"/>
                <w:w w:val="97"/>
              </w:rPr>
              <w:t>Herewith</w:t>
            </w:r>
          </w:p>
        </w:tc>
        <w:tc>
          <w:tcPr>
            <w:tcW w:w="120" w:type="dxa"/>
            <w:vAlign w:val="bottom"/>
          </w:tcPr>
          <w:p>
            <w:pPr>
              <w:spacing w:after="0"/>
              <w:rPr>
                <w:sz w:val="15"/>
                <w:szCs w:val="15"/>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color w:val="auto"/>
              </w:rPr>
              <w:t>Form</w:t>
            </w:r>
          </w:p>
        </w:tc>
        <w:tc>
          <w:tcPr>
            <w:tcW w:w="12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No.</w:t>
            </w:r>
          </w:p>
        </w:tc>
        <w:tc>
          <w:tcPr>
            <w:tcW w:w="640" w:type="dxa"/>
            <w:vAlign w:val="bottom"/>
            <w:gridSpan w:val="2"/>
          </w:tcPr>
          <w:p>
            <w:pPr>
              <w:jc w:val="center"/>
              <w:ind w:right="20"/>
              <w:spacing w:after="0"/>
              <w:rPr>
                <w:sz w:val="20"/>
                <w:szCs w:val="20"/>
                <w:color w:val="auto"/>
              </w:rPr>
            </w:pPr>
            <w:r>
              <w:rPr>
                <w:rFonts w:ascii="Arial" w:cs="Arial" w:eastAsia="Arial" w:hAnsi="Arial"/>
                <w:sz w:val="14"/>
                <w:szCs w:val="14"/>
                <w:color w:val="auto"/>
              </w:rPr>
              <w:t>No.</w:t>
            </w:r>
          </w:p>
        </w:tc>
        <w:tc>
          <w:tcPr>
            <w:tcW w:w="2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Date</w:t>
            </w:r>
          </w:p>
        </w:tc>
      </w:tr>
      <w:tr>
        <w:trPr>
          <w:trHeight w:val="156"/>
        </w:trPr>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jc w:val="center"/>
              <w:ind w:left="31"/>
              <w:spacing w:after="0" w:line="156" w:lineRule="exact"/>
              <w:rPr>
                <w:sz w:val="20"/>
                <w:szCs w:val="20"/>
                <w:color w:val="auto"/>
              </w:rPr>
            </w:pPr>
            <w:r>
              <w:rPr>
                <w:rFonts w:ascii="Arial" w:cs="Arial" w:eastAsia="Arial" w:hAnsi="Arial"/>
                <w:sz w:val="18"/>
                <w:szCs w:val="18"/>
                <w:color w:val="auto"/>
                <w:w w:val="99"/>
              </w:rPr>
              <w:t>8-K</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jc w:val="center"/>
              <w:ind w:left="104"/>
              <w:spacing w:after="0" w:line="156" w:lineRule="exact"/>
              <w:rPr>
                <w:sz w:val="20"/>
                <w:szCs w:val="20"/>
                <w:color w:val="auto"/>
              </w:rPr>
            </w:pPr>
            <w:r>
              <w:rPr>
                <w:rFonts w:ascii="Arial" w:cs="Arial" w:eastAsia="Arial" w:hAnsi="Arial"/>
                <w:sz w:val="18"/>
                <w:szCs w:val="18"/>
                <w:color w:val="auto"/>
                <w:w w:val="88"/>
              </w:rPr>
              <w:t>001-</w:t>
            </w:r>
          </w:p>
        </w:tc>
        <w:tc>
          <w:tcPr>
            <w:tcW w:w="120" w:type="dxa"/>
            <w:vAlign w:val="bottom"/>
          </w:tcPr>
          <w:p>
            <w:pPr>
              <w:spacing w:after="0"/>
              <w:rPr>
                <w:sz w:val="13"/>
                <w:szCs w:val="13"/>
                <w:color w:val="auto"/>
              </w:rPr>
            </w:pPr>
          </w:p>
        </w:tc>
        <w:tc>
          <w:tcPr>
            <w:tcW w:w="640" w:type="dxa"/>
            <w:vAlign w:val="bottom"/>
            <w:tcBorders>
              <w:top w:val="single" w:sz="8" w:color="auto"/>
            </w:tcBorders>
            <w:gridSpan w:val="2"/>
          </w:tcPr>
          <w:p>
            <w:pPr>
              <w:jc w:val="center"/>
              <w:ind w:left="12"/>
              <w:spacing w:after="0" w:line="156" w:lineRule="exact"/>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13"/>
                <w:szCs w:val="13"/>
                <w:color w:val="auto"/>
              </w:rPr>
            </w:pPr>
          </w:p>
        </w:tc>
        <w:tc>
          <w:tcPr>
            <w:tcW w:w="960" w:type="dxa"/>
            <w:vAlign w:val="bottom"/>
            <w:tcBorders>
              <w:top w:val="single" w:sz="8" w:color="auto"/>
            </w:tcBorders>
          </w:tcPr>
          <w:p>
            <w:pPr>
              <w:jc w:val="center"/>
              <w:ind w:left="44"/>
              <w:spacing w:after="0" w:line="156" w:lineRule="exact"/>
              <w:rPr>
                <w:sz w:val="20"/>
                <w:szCs w:val="20"/>
                <w:color w:val="auto"/>
              </w:rPr>
            </w:pPr>
            <w:r>
              <w:rPr>
                <w:rFonts w:ascii="Arial" w:cs="Arial" w:eastAsia="Arial" w:hAnsi="Arial"/>
                <w:sz w:val="18"/>
                <w:szCs w:val="18"/>
                <w:color w:val="auto"/>
                <w:w w:val="91"/>
              </w:rPr>
              <w:t>12/27/11</w:t>
            </w:r>
          </w:p>
        </w:tc>
      </w:tr>
      <w:tr>
        <w:trPr>
          <w:trHeight w:val="202"/>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center"/>
              <w:ind w:left="210"/>
              <w:spacing w:after="0" w:line="201" w:lineRule="exact"/>
              <w:rPr>
                <w:sz w:val="20"/>
                <w:szCs w:val="20"/>
                <w:color w:val="auto"/>
              </w:rPr>
            </w:pPr>
            <w:r>
              <w:rPr>
                <w:rFonts w:ascii="Arial" w:cs="Arial" w:eastAsia="Arial" w:hAnsi="Arial"/>
                <w:sz w:val="18"/>
                <w:szCs w:val="18"/>
                <w:color w:val="auto"/>
                <w:w w:val="87"/>
              </w:rPr>
              <w:t>35362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6"/>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center"/>
              <w:ind w:left="11"/>
              <w:spacing w:after="0" w:line="176" w:lineRule="exact"/>
              <w:rPr>
                <w:sz w:val="20"/>
                <w:szCs w:val="20"/>
                <w:color w:val="auto"/>
              </w:rPr>
            </w:pPr>
            <w:r>
              <w:rPr>
                <w:rFonts w:ascii="Arial" w:cs="Arial" w:eastAsia="Arial" w:hAnsi="Arial"/>
                <w:sz w:val="18"/>
                <w:szCs w:val="18"/>
                <w:color w:val="auto"/>
                <w:w w:val="99"/>
              </w:rPr>
              <w:t>8-K</w:t>
            </w:r>
          </w:p>
        </w:tc>
        <w:tc>
          <w:tcPr>
            <w:tcW w:w="8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8"/>
              </w:rPr>
              <w:t>001-</w:t>
            </w:r>
          </w:p>
        </w:tc>
        <w:tc>
          <w:tcPr>
            <w:tcW w:w="120" w:type="dxa"/>
            <w:vAlign w:val="bottom"/>
          </w:tcPr>
          <w:p>
            <w:pPr>
              <w:spacing w:after="0"/>
              <w:rPr>
                <w:sz w:val="15"/>
                <w:szCs w:val="15"/>
                <w:color w:val="auto"/>
              </w:rPr>
            </w:pPr>
          </w:p>
        </w:tc>
        <w:tc>
          <w:tcPr>
            <w:tcW w:w="640" w:type="dxa"/>
            <w:vAlign w:val="bottom"/>
            <w:gridSpan w:val="2"/>
          </w:tcPr>
          <w:p>
            <w:pPr>
              <w:jc w:val="center"/>
              <w:ind w:left="12"/>
              <w:spacing w:after="0" w:line="176" w:lineRule="exact"/>
              <w:rPr>
                <w:sz w:val="20"/>
                <w:szCs w:val="20"/>
                <w:color w:val="auto"/>
              </w:rPr>
            </w:pPr>
            <w:r>
              <w:rPr>
                <w:rFonts w:ascii="Arial" w:cs="Arial" w:eastAsia="Arial" w:hAnsi="Arial"/>
                <w:sz w:val="18"/>
                <w:szCs w:val="18"/>
                <w:color w:val="auto"/>
                <w:w w:val="87"/>
              </w:rPr>
              <w:t>3.2</w:t>
            </w:r>
          </w:p>
        </w:tc>
        <w:tc>
          <w:tcPr>
            <w:tcW w:w="1160" w:type="dxa"/>
            <w:vAlign w:val="bottom"/>
            <w:gridSpan w:val="2"/>
          </w:tcPr>
          <w:p>
            <w:pPr>
              <w:jc w:val="center"/>
              <w:ind w:left="230"/>
              <w:spacing w:after="0" w:line="176" w:lineRule="exact"/>
              <w:rPr>
                <w:sz w:val="20"/>
                <w:szCs w:val="20"/>
                <w:color w:val="auto"/>
              </w:rPr>
            </w:pPr>
            <w:r>
              <w:rPr>
                <w:rFonts w:ascii="Arial" w:cs="Arial" w:eastAsia="Arial" w:hAnsi="Arial"/>
                <w:sz w:val="18"/>
                <w:szCs w:val="18"/>
                <w:color w:val="auto"/>
                <w:w w:val="91"/>
              </w:rPr>
              <w:t>12/27/11</w:t>
            </w:r>
          </w:p>
        </w:tc>
      </w:tr>
      <w:tr>
        <w:trPr>
          <w:trHeight w:val="202"/>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center"/>
              <w:ind w:left="210"/>
              <w:spacing w:after="0" w:line="201" w:lineRule="exact"/>
              <w:rPr>
                <w:sz w:val="20"/>
                <w:szCs w:val="20"/>
                <w:color w:val="auto"/>
              </w:rPr>
            </w:pPr>
            <w:r>
              <w:rPr>
                <w:rFonts w:ascii="Arial" w:cs="Arial" w:eastAsia="Arial" w:hAnsi="Arial"/>
                <w:sz w:val="18"/>
                <w:szCs w:val="18"/>
                <w:color w:val="auto"/>
                <w:w w:val="87"/>
              </w:rPr>
              <w:t>35362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6"/>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center"/>
              <w:ind w:left="11"/>
              <w:spacing w:after="0" w:line="176" w:lineRule="exact"/>
              <w:rPr>
                <w:sz w:val="20"/>
                <w:szCs w:val="20"/>
                <w:color w:val="auto"/>
              </w:rPr>
            </w:pPr>
            <w:r>
              <w:rPr>
                <w:rFonts w:ascii="Arial" w:cs="Arial" w:eastAsia="Arial" w:hAnsi="Arial"/>
                <w:sz w:val="18"/>
                <w:szCs w:val="18"/>
                <w:color w:val="auto"/>
                <w:w w:val="99"/>
              </w:rPr>
              <w:t>8-K</w:t>
            </w:r>
          </w:p>
        </w:tc>
        <w:tc>
          <w:tcPr>
            <w:tcW w:w="8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8"/>
              </w:rPr>
              <w:t>001-</w:t>
            </w:r>
          </w:p>
        </w:tc>
        <w:tc>
          <w:tcPr>
            <w:tcW w:w="120" w:type="dxa"/>
            <w:vAlign w:val="bottom"/>
          </w:tcPr>
          <w:p>
            <w:pPr>
              <w:spacing w:after="0"/>
              <w:rPr>
                <w:sz w:val="15"/>
                <w:szCs w:val="15"/>
                <w:color w:val="auto"/>
              </w:rPr>
            </w:pPr>
          </w:p>
        </w:tc>
        <w:tc>
          <w:tcPr>
            <w:tcW w:w="640" w:type="dxa"/>
            <w:vAlign w:val="bottom"/>
            <w:gridSpan w:val="2"/>
          </w:tcPr>
          <w:p>
            <w:pPr>
              <w:jc w:val="center"/>
              <w:ind w:left="12"/>
              <w:spacing w:after="0" w:line="176" w:lineRule="exact"/>
              <w:rPr>
                <w:sz w:val="20"/>
                <w:szCs w:val="20"/>
                <w:color w:val="auto"/>
              </w:rPr>
            </w:pPr>
            <w:r>
              <w:rPr>
                <w:rFonts w:ascii="Arial" w:cs="Arial" w:eastAsia="Arial" w:hAnsi="Arial"/>
                <w:sz w:val="18"/>
                <w:szCs w:val="18"/>
                <w:color w:val="auto"/>
                <w:w w:val="87"/>
              </w:rPr>
              <w:t>3.1</w:t>
            </w:r>
          </w:p>
        </w:tc>
        <w:tc>
          <w:tcPr>
            <w:tcW w:w="11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9"/>
              </w:rPr>
              <w:t>2/12/13</w:t>
            </w:r>
          </w:p>
        </w:tc>
      </w:tr>
      <w:tr>
        <w:trPr>
          <w:trHeight w:val="202"/>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center"/>
              <w:ind w:left="210"/>
              <w:spacing w:after="0" w:line="201" w:lineRule="exact"/>
              <w:rPr>
                <w:sz w:val="20"/>
                <w:szCs w:val="20"/>
                <w:color w:val="auto"/>
              </w:rPr>
            </w:pPr>
            <w:r>
              <w:rPr>
                <w:rFonts w:ascii="Arial" w:cs="Arial" w:eastAsia="Arial" w:hAnsi="Arial"/>
                <w:sz w:val="18"/>
                <w:szCs w:val="18"/>
                <w:color w:val="auto"/>
                <w:w w:val="87"/>
              </w:rPr>
              <w:t>35362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6"/>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center"/>
              <w:ind w:left="11"/>
              <w:spacing w:after="0" w:line="176" w:lineRule="exact"/>
              <w:rPr>
                <w:sz w:val="20"/>
                <w:szCs w:val="20"/>
                <w:color w:val="auto"/>
              </w:rPr>
            </w:pPr>
            <w:r>
              <w:rPr>
                <w:rFonts w:ascii="Arial" w:cs="Arial" w:eastAsia="Arial" w:hAnsi="Arial"/>
                <w:sz w:val="18"/>
                <w:szCs w:val="18"/>
                <w:color w:val="auto"/>
                <w:w w:val="88"/>
              </w:rPr>
              <w:t>S-</w:t>
            </w:r>
          </w:p>
        </w:tc>
        <w:tc>
          <w:tcPr>
            <w:tcW w:w="8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8"/>
              </w:rPr>
              <w:t>333-</w:t>
            </w:r>
          </w:p>
        </w:tc>
        <w:tc>
          <w:tcPr>
            <w:tcW w:w="120" w:type="dxa"/>
            <w:vAlign w:val="bottom"/>
          </w:tcPr>
          <w:p>
            <w:pPr>
              <w:spacing w:after="0"/>
              <w:rPr>
                <w:sz w:val="15"/>
                <w:szCs w:val="15"/>
                <w:color w:val="auto"/>
              </w:rPr>
            </w:pPr>
          </w:p>
        </w:tc>
        <w:tc>
          <w:tcPr>
            <w:tcW w:w="640" w:type="dxa"/>
            <w:vAlign w:val="bottom"/>
            <w:gridSpan w:val="2"/>
          </w:tcPr>
          <w:p>
            <w:pPr>
              <w:jc w:val="center"/>
              <w:ind w:left="12"/>
              <w:spacing w:after="0" w:line="176" w:lineRule="exact"/>
              <w:rPr>
                <w:sz w:val="20"/>
                <w:szCs w:val="20"/>
                <w:color w:val="auto"/>
              </w:rPr>
            </w:pPr>
            <w:r>
              <w:rPr>
                <w:rFonts w:ascii="Arial" w:cs="Arial" w:eastAsia="Arial" w:hAnsi="Arial"/>
                <w:sz w:val="18"/>
                <w:szCs w:val="18"/>
                <w:color w:val="auto"/>
                <w:w w:val="87"/>
              </w:rPr>
              <w:t>4.6</w:t>
            </w:r>
          </w:p>
        </w:tc>
        <w:tc>
          <w:tcPr>
            <w:tcW w:w="1160" w:type="dxa"/>
            <w:vAlign w:val="bottom"/>
            <w:gridSpan w:val="2"/>
          </w:tcPr>
          <w:p>
            <w:pPr>
              <w:jc w:val="center"/>
              <w:ind w:left="230"/>
              <w:spacing w:after="0" w:line="176" w:lineRule="exact"/>
              <w:rPr>
                <w:sz w:val="20"/>
                <w:szCs w:val="20"/>
                <w:color w:val="auto"/>
              </w:rPr>
            </w:pPr>
            <w:r>
              <w:rPr>
                <w:rFonts w:ascii="Arial" w:cs="Arial" w:eastAsia="Arial" w:hAnsi="Arial"/>
                <w:sz w:val="18"/>
                <w:szCs w:val="18"/>
                <w:color w:val="auto"/>
                <w:w w:val="91"/>
              </w:rPr>
              <w:t>10/24/11</w:t>
            </w:r>
          </w:p>
        </w:tc>
      </w:tr>
      <w:tr>
        <w:trPr>
          <w:trHeight w:val="176"/>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center"/>
              <w:ind w:left="11"/>
              <w:spacing w:after="0" w:line="176" w:lineRule="exact"/>
              <w:rPr>
                <w:sz w:val="20"/>
                <w:szCs w:val="20"/>
                <w:color w:val="auto"/>
              </w:rPr>
            </w:pPr>
            <w:r>
              <w:rPr>
                <w:rFonts w:ascii="Arial" w:cs="Arial" w:eastAsia="Arial" w:hAnsi="Arial"/>
                <w:sz w:val="18"/>
                <w:szCs w:val="18"/>
                <w:color w:val="auto"/>
              </w:rPr>
              <w:t>4/A</w:t>
            </w:r>
          </w:p>
        </w:tc>
        <w:tc>
          <w:tcPr>
            <w:tcW w:w="980" w:type="dxa"/>
            <w:vAlign w:val="bottom"/>
            <w:gridSpan w:val="3"/>
          </w:tcPr>
          <w:p>
            <w:pPr>
              <w:jc w:val="center"/>
              <w:ind w:left="90"/>
              <w:spacing w:after="0" w:line="176" w:lineRule="exact"/>
              <w:rPr>
                <w:sz w:val="20"/>
                <w:szCs w:val="20"/>
                <w:color w:val="auto"/>
              </w:rPr>
            </w:pPr>
            <w:r>
              <w:rPr>
                <w:rFonts w:ascii="Arial" w:cs="Arial" w:eastAsia="Arial" w:hAnsi="Arial"/>
                <w:sz w:val="18"/>
                <w:szCs w:val="18"/>
                <w:color w:val="auto"/>
                <w:w w:val="90"/>
              </w:rPr>
              <w:t>175828-</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2"/>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center"/>
              <w:ind w:left="190"/>
              <w:spacing w:after="0" w:line="201" w:lineRule="exact"/>
              <w:rPr>
                <w:sz w:val="20"/>
                <w:szCs w:val="20"/>
                <w:color w:val="auto"/>
              </w:rPr>
            </w:pPr>
            <w:r>
              <w:rPr>
                <w:rFonts w:ascii="Arial" w:cs="Arial" w:eastAsia="Arial" w:hAnsi="Arial"/>
                <w:sz w:val="18"/>
                <w:szCs w:val="18"/>
                <w:color w:val="auto"/>
                <w:w w:val="89"/>
              </w:rPr>
              <w:t>01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6"/>
        </w:trPr>
        <w:tc>
          <w:tcPr>
            <w:tcW w:w="740" w:type="dxa"/>
            <w:vAlign w:val="bottom"/>
          </w:tcPr>
          <w:p>
            <w:pPr>
              <w:spacing w:after="0"/>
              <w:rPr>
                <w:sz w:val="15"/>
                <w:szCs w:val="15"/>
                <w:color w:val="auto"/>
              </w:rPr>
            </w:pPr>
          </w:p>
        </w:tc>
        <w:tc>
          <w:tcPr>
            <w:tcW w:w="600" w:type="dxa"/>
            <w:vAlign w:val="bottom"/>
            <w:gridSpan w:val="2"/>
          </w:tcPr>
          <w:p>
            <w:pPr>
              <w:jc w:val="center"/>
              <w:ind w:left="150"/>
              <w:spacing w:after="0" w:line="176" w:lineRule="exact"/>
              <w:rPr>
                <w:sz w:val="20"/>
                <w:szCs w:val="20"/>
                <w:color w:val="auto"/>
              </w:rPr>
            </w:pPr>
            <w:r>
              <w:rPr>
                <w:rFonts w:ascii="Arial" w:cs="Arial" w:eastAsia="Arial" w:hAnsi="Arial"/>
                <w:sz w:val="18"/>
                <w:szCs w:val="18"/>
                <w:color w:val="auto"/>
                <w:w w:val="92"/>
              </w:rPr>
              <w:t>10-</w:t>
            </w:r>
          </w:p>
        </w:tc>
        <w:tc>
          <w:tcPr>
            <w:tcW w:w="20" w:type="dxa"/>
            <w:vAlign w:val="bottom"/>
          </w:tcPr>
          <w:p>
            <w:pPr>
              <w:spacing w:after="0"/>
              <w:rPr>
                <w:sz w:val="15"/>
                <w:szCs w:val="15"/>
                <w:color w:val="auto"/>
              </w:rPr>
            </w:pPr>
          </w:p>
        </w:tc>
        <w:tc>
          <w:tcPr>
            <w:tcW w:w="8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8"/>
              </w:rPr>
              <w:t>001-</w:t>
            </w:r>
          </w:p>
        </w:tc>
        <w:tc>
          <w:tcPr>
            <w:tcW w:w="120" w:type="dxa"/>
            <w:vAlign w:val="bottom"/>
          </w:tcPr>
          <w:p>
            <w:pPr>
              <w:spacing w:after="0"/>
              <w:rPr>
                <w:sz w:val="15"/>
                <w:szCs w:val="15"/>
                <w:color w:val="auto"/>
              </w:rPr>
            </w:pPr>
          </w:p>
        </w:tc>
        <w:tc>
          <w:tcPr>
            <w:tcW w:w="640" w:type="dxa"/>
            <w:vAlign w:val="bottom"/>
            <w:gridSpan w:val="2"/>
          </w:tcPr>
          <w:p>
            <w:pPr>
              <w:jc w:val="center"/>
              <w:ind w:left="12"/>
              <w:spacing w:after="0" w:line="176" w:lineRule="exact"/>
              <w:rPr>
                <w:sz w:val="20"/>
                <w:szCs w:val="20"/>
                <w:color w:val="auto"/>
              </w:rPr>
            </w:pPr>
            <w:r>
              <w:rPr>
                <w:rFonts w:ascii="Arial" w:cs="Arial" w:eastAsia="Arial" w:hAnsi="Arial"/>
                <w:sz w:val="18"/>
                <w:szCs w:val="18"/>
                <w:color w:val="auto"/>
                <w:w w:val="87"/>
              </w:rPr>
              <w:t>4.2</w:t>
            </w:r>
          </w:p>
        </w:tc>
        <w:tc>
          <w:tcPr>
            <w:tcW w:w="11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9"/>
              </w:rPr>
              <w:t>2/19/20</w:t>
            </w:r>
          </w:p>
        </w:tc>
      </w:tr>
      <w:tr>
        <w:trPr>
          <w:trHeight w:val="202"/>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center"/>
              <w:ind w:left="11"/>
              <w:spacing w:after="0" w:line="201" w:lineRule="exact"/>
              <w:rPr>
                <w:sz w:val="20"/>
                <w:szCs w:val="20"/>
                <w:color w:val="auto"/>
              </w:rPr>
            </w:pPr>
            <w:r>
              <w:rPr>
                <w:rFonts w:ascii="Arial" w:cs="Arial" w:eastAsia="Arial" w:hAnsi="Arial"/>
                <w:sz w:val="18"/>
                <w:szCs w:val="18"/>
                <w:color w:val="auto"/>
                <w:w w:val="99"/>
              </w:rPr>
              <w:t>K</w:t>
            </w:r>
          </w:p>
        </w:tc>
        <w:tc>
          <w:tcPr>
            <w:tcW w:w="860" w:type="dxa"/>
            <w:vAlign w:val="bottom"/>
            <w:gridSpan w:val="2"/>
          </w:tcPr>
          <w:p>
            <w:pPr>
              <w:jc w:val="center"/>
              <w:ind w:left="210"/>
              <w:spacing w:after="0" w:line="201" w:lineRule="exact"/>
              <w:rPr>
                <w:sz w:val="20"/>
                <w:szCs w:val="20"/>
                <w:color w:val="auto"/>
              </w:rPr>
            </w:pPr>
            <w:r>
              <w:rPr>
                <w:rFonts w:ascii="Arial" w:cs="Arial" w:eastAsia="Arial" w:hAnsi="Arial"/>
                <w:sz w:val="18"/>
                <w:szCs w:val="18"/>
                <w:color w:val="auto"/>
                <w:w w:val="87"/>
              </w:rPr>
              <w:t>35362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6"/>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center"/>
              <w:ind w:left="11"/>
              <w:spacing w:after="0" w:line="176" w:lineRule="exact"/>
              <w:rPr>
                <w:sz w:val="20"/>
                <w:szCs w:val="20"/>
                <w:color w:val="auto"/>
              </w:rPr>
            </w:pPr>
            <w:r>
              <w:rPr>
                <w:rFonts w:ascii="Arial" w:cs="Arial" w:eastAsia="Arial" w:hAnsi="Arial"/>
                <w:sz w:val="18"/>
                <w:szCs w:val="18"/>
                <w:color w:val="auto"/>
                <w:w w:val="99"/>
              </w:rPr>
              <w:t>8-K</w:t>
            </w:r>
          </w:p>
        </w:tc>
        <w:tc>
          <w:tcPr>
            <w:tcW w:w="8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8"/>
              </w:rPr>
              <w:t>001-</w:t>
            </w:r>
          </w:p>
        </w:tc>
        <w:tc>
          <w:tcPr>
            <w:tcW w:w="120" w:type="dxa"/>
            <w:vAlign w:val="bottom"/>
          </w:tcPr>
          <w:p>
            <w:pPr>
              <w:spacing w:after="0"/>
              <w:rPr>
                <w:sz w:val="15"/>
                <w:szCs w:val="15"/>
                <w:color w:val="auto"/>
              </w:rPr>
            </w:pPr>
          </w:p>
        </w:tc>
        <w:tc>
          <w:tcPr>
            <w:tcW w:w="640" w:type="dxa"/>
            <w:vAlign w:val="bottom"/>
            <w:gridSpan w:val="2"/>
          </w:tcPr>
          <w:p>
            <w:pPr>
              <w:jc w:val="center"/>
              <w:ind w:left="12"/>
              <w:spacing w:after="0" w:line="176" w:lineRule="exact"/>
              <w:rPr>
                <w:sz w:val="20"/>
                <w:szCs w:val="20"/>
                <w:color w:val="auto"/>
              </w:rPr>
            </w:pPr>
            <w:r>
              <w:rPr>
                <w:rFonts w:ascii="Arial" w:cs="Arial" w:eastAsia="Arial" w:hAnsi="Arial"/>
                <w:sz w:val="18"/>
                <w:szCs w:val="18"/>
                <w:color w:val="auto"/>
                <w:w w:val="87"/>
              </w:rPr>
              <w:t>4.1</w:t>
            </w:r>
          </w:p>
        </w:tc>
        <w:tc>
          <w:tcPr>
            <w:tcW w:w="11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91"/>
              </w:rPr>
              <w:t>7/9/20</w:t>
            </w:r>
          </w:p>
        </w:tc>
      </w:tr>
      <w:tr>
        <w:trPr>
          <w:trHeight w:val="230"/>
        </w:trPr>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35362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23"/>
        </w:trPr>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8-K</w:t>
            </w:r>
          </w:p>
        </w:tc>
        <w:tc>
          <w:tcPr>
            <w:tcW w:w="86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001-</w:t>
            </w:r>
          </w:p>
        </w:tc>
        <w:tc>
          <w:tcPr>
            <w:tcW w:w="120" w:type="dxa"/>
            <w:vAlign w:val="bottom"/>
          </w:tcPr>
          <w:p>
            <w:pPr>
              <w:spacing w:after="0"/>
              <w:rPr>
                <w:sz w:val="24"/>
                <w:szCs w:val="24"/>
                <w:color w:val="auto"/>
              </w:rPr>
            </w:pPr>
          </w:p>
        </w:tc>
        <w:tc>
          <w:tcPr>
            <w:tcW w:w="64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4.2</w:t>
            </w:r>
          </w:p>
        </w:tc>
        <w:tc>
          <w:tcPr>
            <w:tcW w:w="116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7/9/20</w:t>
            </w:r>
          </w:p>
        </w:tc>
      </w:tr>
      <w:tr>
        <w:trPr>
          <w:trHeight w:val="202"/>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center"/>
              <w:ind w:left="210"/>
              <w:spacing w:after="0" w:line="201" w:lineRule="exact"/>
              <w:rPr>
                <w:sz w:val="20"/>
                <w:szCs w:val="20"/>
                <w:color w:val="auto"/>
              </w:rPr>
            </w:pPr>
            <w:r>
              <w:rPr>
                <w:rFonts w:ascii="Arial" w:cs="Arial" w:eastAsia="Arial" w:hAnsi="Arial"/>
                <w:sz w:val="18"/>
                <w:szCs w:val="18"/>
                <w:color w:val="auto"/>
                <w:w w:val="87"/>
              </w:rPr>
              <w:t>35362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6"/>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center"/>
              <w:ind w:left="11"/>
              <w:spacing w:after="0" w:line="176" w:lineRule="exact"/>
              <w:rPr>
                <w:sz w:val="20"/>
                <w:szCs w:val="20"/>
                <w:color w:val="auto"/>
              </w:rPr>
            </w:pPr>
            <w:r>
              <w:rPr>
                <w:rFonts w:ascii="Arial" w:cs="Arial" w:eastAsia="Arial" w:hAnsi="Arial"/>
                <w:sz w:val="18"/>
                <w:szCs w:val="18"/>
                <w:color w:val="auto"/>
                <w:w w:val="99"/>
              </w:rPr>
              <w:t>8-K</w:t>
            </w:r>
          </w:p>
        </w:tc>
        <w:tc>
          <w:tcPr>
            <w:tcW w:w="8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8"/>
              </w:rPr>
              <w:t>001-</w:t>
            </w:r>
          </w:p>
        </w:tc>
        <w:tc>
          <w:tcPr>
            <w:tcW w:w="120" w:type="dxa"/>
            <w:vAlign w:val="bottom"/>
          </w:tcPr>
          <w:p>
            <w:pPr>
              <w:spacing w:after="0"/>
              <w:rPr>
                <w:sz w:val="15"/>
                <w:szCs w:val="15"/>
                <w:color w:val="auto"/>
              </w:rPr>
            </w:pPr>
          </w:p>
        </w:tc>
        <w:tc>
          <w:tcPr>
            <w:tcW w:w="640" w:type="dxa"/>
            <w:vAlign w:val="bottom"/>
            <w:gridSpan w:val="2"/>
          </w:tcPr>
          <w:p>
            <w:pPr>
              <w:jc w:val="center"/>
              <w:ind w:left="12"/>
              <w:spacing w:after="0" w:line="176" w:lineRule="exact"/>
              <w:rPr>
                <w:sz w:val="20"/>
                <w:szCs w:val="20"/>
                <w:color w:val="auto"/>
              </w:rPr>
            </w:pPr>
            <w:r>
              <w:rPr>
                <w:rFonts w:ascii="Arial" w:cs="Arial" w:eastAsia="Arial" w:hAnsi="Arial"/>
                <w:sz w:val="18"/>
                <w:szCs w:val="18"/>
                <w:color w:val="auto"/>
                <w:w w:val="87"/>
              </w:rPr>
              <w:t>4.1</w:t>
            </w:r>
          </w:p>
        </w:tc>
        <w:tc>
          <w:tcPr>
            <w:tcW w:w="11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9"/>
              </w:rPr>
              <w:t>3/25/21</w:t>
            </w:r>
          </w:p>
        </w:tc>
      </w:tr>
      <w:tr>
        <w:trPr>
          <w:trHeight w:val="202"/>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center"/>
              <w:ind w:left="210"/>
              <w:spacing w:after="0" w:line="201" w:lineRule="exact"/>
              <w:rPr>
                <w:sz w:val="20"/>
                <w:szCs w:val="20"/>
                <w:color w:val="auto"/>
              </w:rPr>
            </w:pPr>
            <w:r>
              <w:rPr>
                <w:rFonts w:ascii="Arial" w:cs="Arial" w:eastAsia="Arial" w:hAnsi="Arial"/>
                <w:sz w:val="18"/>
                <w:szCs w:val="18"/>
                <w:color w:val="auto"/>
                <w:w w:val="87"/>
              </w:rPr>
              <w:t>35362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6"/>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center"/>
              <w:ind w:left="11"/>
              <w:spacing w:after="0" w:line="176" w:lineRule="exact"/>
              <w:rPr>
                <w:sz w:val="20"/>
                <w:szCs w:val="20"/>
                <w:color w:val="auto"/>
              </w:rPr>
            </w:pPr>
            <w:r>
              <w:rPr>
                <w:rFonts w:ascii="Arial" w:cs="Arial" w:eastAsia="Arial" w:hAnsi="Arial"/>
                <w:sz w:val="18"/>
                <w:szCs w:val="18"/>
                <w:color w:val="auto"/>
                <w:w w:val="99"/>
              </w:rPr>
              <w:t>8-K</w:t>
            </w:r>
          </w:p>
        </w:tc>
        <w:tc>
          <w:tcPr>
            <w:tcW w:w="8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8"/>
              </w:rPr>
              <w:t>001-</w:t>
            </w:r>
          </w:p>
        </w:tc>
        <w:tc>
          <w:tcPr>
            <w:tcW w:w="120" w:type="dxa"/>
            <w:vAlign w:val="bottom"/>
          </w:tcPr>
          <w:p>
            <w:pPr>
              <w:spacing w:after="0"/>
              <w:rPr>
                <w:sz w:val="15"/>
                <w:szCs w:val="15"/>
                <w:color w:val="auto"/>
              </w:rPr>
            </w:pPr>
          </w:p>
        </w:tc>
        <w:tc>
          <w:tcPr>
            <w:tcW w:w="640" w:type="dxa"/>
            <w:vAlign w:val="bottom"/>
            <w:gridSpan w:val="2"/>
          </w:tcPr>
          <w:p>
            <w:pPr>
              <w:jc w:val="center"/>
              <w:ind w:left="12"/>
              <w:spacing w:after="0" w:line="176" w:lineRule="exact"/>
              <w:rPr>
                <w:sz w:val="20"/>
                <w:szCs w:val="20"/>
                <w:color w:val="auto"/>
              </w:rPr>
            </w:pPr>
            <w:r>
              <w:rPr>
                <w:rFonts w:ascii="Arial" w:cs="Arial" w:eastAsia="Arial" w:hAnsi="Arial"/>
                <w:sz w:val="18"/>
                <w:szCs w:val="18"/>
                <w:color w:val="auto"/>
                <w:w w:val="87"/>
              </w:rPr>
              <w:t>4.2</w:t>
            </w:r>
          </w:p>
        </w:tc>
        <w:tc>
          <w:tcPr>
            <w:tcW w:w="11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9"/>
              </w:rPr>
              <w:t>3/25/21</w:t>
            </w:r>
          </w:p>
        </w:tc>
      </w:tr>
      <w:tr>
        <w:trPr>
          <w:trHeight w:val="202"/>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center"/>
              <w:ind w:left="210"/>
              <w:spacing w:after="0" w:line="201" w:lineRule="exact"/>
              <w:rPr>
                <w:sz w:val="20"/>
                <w:szCs w:val="20"/>
                <w:color w:val="auto"/>
              </w:rPr>
            </w:pPr>
            <w:r>
              <w:rPr>
                <w:rFonts w:ascii="Arial" w:cs="Arial" w:eastAsia="Arial" w:hAnsi="Arial"/>
                <w:sz w:val="18"/>
                <w:szCs w:val="18"/>
                <w:color w:val="auto"/>
                <w:w w:val="87"/>
              </w:rPr>
              <w:t>35362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6"/>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center"/>
              <w:ind w:left="11"/>
              <w:spacing w:after="0" w:line="176" w:lineRule="exact"/>
              <w:rPr>
                <w:sz w:val="20"/>
                <w:szCs w:val="20"/>
                <w:color w:val="auto"/>
              </w:rPr>
            </w:pPr>
            <w:r>
              <w:rPr>
                <w:rFonts w:ascii="Arial" w:cs="Arial" w:eastAsia="Arial" w:hAnsi="Arial"/>
                <w:sz w:val="18"/>
                <w:szCs w:val="18"/>
                <w:color w:val="auto"/>
                <w:w w:val="99"/>
              </w:rPr>
              <w:t>8-K</w:t>
            </w:r>
          </w:p>
        </w:tc>
        <w:tc>
          <w:tcPr>
            <w:tcW w:w="8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8"/>
              </w:rPr>
              <w:t>001-</w:t>
            </w:r>
          </w:p>
        </w:tc>
        <w:tc>
          <w:tcPr>
            <w:tcW w:w="120" w:type="dxa"/>
            <w:vAlign w:val="bottom"/>
          </w:tcPr>
          <w:p>
            <w:pPr>
              <w:spacing w:after="0"/>
              <w:rPr>
                <w:sz w:val="15"/>
                <w:szCs w:val="15"/>
                <w:color w:val="auto"/>
              </w:rPr>
            </w:pPr>
          </w:p>
        </w:tc>
        <w:tc>
          <w:tcPr>
            <w:tcW w:w="640" w:type="dxa"/>
            <w:vAlign w:val="bottom"/>
            <w:gridSpan w:val="2"/>
          </w:tcPr>
          <w:p>
            <w:pPr>
              <w:jc w:val="center"/>
              <w:ind w:left="32"/>
              <w:spacing w:after="0" w:line="176" w:lineRule="exact"/>
              <w:rPr>
                <w:sz w:val="20"/>
                <w:szCs w:val="20"/>
                <w:color w:val="auto"/>
              </w:rPr>
            </w:pPr>
            <w:r>
              <w:rPr>
                <w:rFonts w:ascii="Arial" w:cs="Arial" w:eastAsia="Arial" w:hAnsi="Arial"/>
                <w:sz w:val="18"/>
                <w:szCs w:val="18"/>
                <w:color w:val="auto"/>
                <w:w w:val="91"/>
              </w:rPr>
              <w:t>10.1</w:t>
            </w:r>
          </w:p>
        </w:tc>
        <w:tc>
          <w:tcPr>
            <w:tcW w:w="1160" w:type="dxa"/>
            <w:vAlign w:val="bottom"/>
            <w:gridSpan w:val="2"/>
          </w:tcPr>
          <w:p>
            <w:pPr>
              <w:jc w:val="center"/>
              <w:ind w:left="230"/>
              <w:spacing w:after="0" w:line="176" w:lineRule="exact"/>
              <w:rPr>
                <w:sz w:val="20"/>
                <w:szCs w:val="20"/>
                <w:color w:val="auto"/>
              </w:rPr>
            </w:pPr>
            <w:r>
              <w:rPr>
                <w:rFonts w:ascii="Arial" w:cs="Arial" w:eastAsia="Arial" w:hAnsi="Arial"/>
                <w:sz w:val="18"/>
                <w:szCs w:val="18"/>
                <w:color w:val="auto"/>
                <w:w w:val="91"/>
              </w:rPr>
              <w:t>12/27/11</w:t>
            </w:r>
          </w:p>
        </w:tc>
      </w:tr>
      <w:tr>
        <w:trPr>
          <w:trHeight w:val="202"/>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center"/>
              <w:ind w:left="210"/>
              <w:spacing w:after="0" w:line="201" w:lineRule="exact"/>
              <w:rPr>
                <w:sz w:val="20"/>
                <w:szCs w:val="20"/>
                <w:color w:val="auto"/>
              </w:rPr>
            </w:pPr>
            <w:r>
              <w:rPr>
                <w:rFonts w:ascii="Arial" w:cs="Arial" w:eastAsia="Arial" w:hAnsi="Arial"/>
                <w:sz w:val="18"/>
                <w:szCs w:val="18"/>
                <w:color w:val="auto"/>
                <w:w w:val="87"/>
              </w:rPr>
              <w:t>35362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6"/>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center"/>
              <w:ind w:left="11"/>
              <w:spacing w:after="0" w:line="176" w:lineRule="exact"/>
              <w:rPr>
                <w:sz w:val="20"/>
                <w:szCs w:val="20"/>
                <w:color w:val="auto"/>
              </w:rPr>
            </w:pPr>
            <w:r>
              <w:rPr>
                <w:rFonts w:ascii="Arial" w:cs="Arial" w:eastAsia="Arial" w:hAnsi="Arial"/>
                <w:sz w:val="18"/>
                <w:szCs w:val="18"/>
                <w:color w:val="auto"/>
                <w:w w:val="99"/>
              </w:rPr>
              <w:t>8-K</w:t>
            </w:r>
          </w:p>
        </w:tc>
        <w:tc>
          <w:tcPr>
            <w:tcW w:w="8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8"/>
              </w:rPr>
              <w:t>001-</w:t>
            </w:r>
          </w:p>
        </w:tc>
        <w:tc>
          <w:tcPr>
            <w:tcW w:w="120" w:type="dxa"/>
            <w:vAlign w:val="bottom"/>
          </w:tcPr>
          <w:p>
            <w:pPr>
              <w:spacing w:after="0"/>
              <w:rPr>
                <w:sz w:val="15"/>
                <w:szCs w:val="15"/>
                <w:color w:val="auto"/>
              </w:rPr>
            </w:pPr>
          </w:p>
        </w:tc>
        <w:tc>
          <w:tcPr>
            <w:tcW w:w="640" w:type="dxa"/>
            <w:vAlign w:val="bottom"/>
            <w:gridSpan w:val="2"/>
          </w:tcPr>
          <w:p>
            <w:pPr>
              <w:jc w:val="center"/>
              <w:ind w:left="32"/>
              <w:spacing w:after="0" w:line="176" w:lineRule="exact"/>
              <w:rPr>
                <w:sz w:val="20"/>
                <w:szCs w:val="20"/>
                <w:color w:val="auto"/>
              </w:rPr>
            </w:pPr>
            <w:r>
              <w:rPr>
                <w:rFonts w:ascii="Arial" w:cs="Arial" w:eastAsia="Arial" w:hAnsi="Arial"/>
                <w:sz w:val="18"/>
                <w:szCs w:val="18"/>
                <w:color w:val="auto"/>
                <w:w w:val="91"/>
              </w:rPr>
              <w:t>10.2</w:t>
            </w:r>
          </w:p>
        </w:tc>
        <w:tc>
          <w:tcPr>
            <w:tcW w:w="1160" w:type="dxa"/>
            <w:vAlign w:val="bottom"/>
            <w:gridSpan w:val="2"/>
          </w:tcPr>
          <w:p>
            <w:pPr>
              <w:jc w:val="center"/>
              <w:ind w:left="230"/>
              <w:spacing w:after="0" w:line="176" w:lineRule="exact"/>
              <w:rPr>
                <w:sz w:val="20"/>
                <w:szCs w:val="20"/>
                <w:color w:val="auto"/>
              </w:rPr>
            </w:pPr>
            <w:r>
              <w:rPr>
                <w:rFonts w:ascii="Arial" w:cs="Arial" w:eastAsia="Arial" w:hAnsi="Arial"/>
                <w:sz w:val="18"/>
                <w:szCs w:val="18"/>
                <w:color w:val="auto"/>
                <w:w w:val="91"/>
              </w:rPr>
              <w:t>12/27/11</w:t>
            </w:r>
          </w:p>
        </w:tc>
      </w:tr>
      <w:tr>
        <w:trPr>
          <w:trHeight w:val="202"/>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center"/>
              <w:ind w:left="210"/>
              <w:spacing w:after="0" w:line="201" w:lineRule="exact"/>
              <w:rPr>
                <w:sz w:val="20"/>
                <w:szCs w:val="20"/>
                <w:color w:val="auto"/>
              </w:rPr>
            </w:pPr>
            <w:r>
              <w:rPr>
                <w:rFonts w:ascii="Arial" w:cs="Arial" w:eastAsia="Arial" w:hAnsi="Arial"/>
                <w:sz w:val="18"/>
                <w:szCs w:val="18"/>
                <w:color w:val="auto"/>
                <w:w w:val="87"/>
              </w:rPr>
              <w:t>35362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6"/>
        </w:trPr>
        <w:tc>
          <w:tcPr>
            <w:tcW w:w="740" w:type="dxa"/>
            <w:vAlign w:val="bottom"/>
          </w:tcPr>
          <w:p>
            <w:pPr>
              <w:spacing w:after="0"/>
              <w:rPr>
                <w:sz w:val="15"/>
                <w:szCs w:val="15"/>
                <w:color w:val="auto"/>
              </w:rPr>
            </w:pPr>
          </w:p>
        </w:tc>
        <w:tc>
          <w:tcPr>
            <w:tcW w:w="600" w:type="dxa"/>
            <w:vAlign w:val="bottom"/>
            <w:gridSpan w:val="2"/>
          </w:tcPr>
          <w:p>
            <w:pPr>
              <w:jc w:val="center"/>
              <w:ind w:left="150"/>
              <w:spacing w:after="0" w:line="176" w:lineRule="exact"/>
              <w:rPr>
                <w:sz w:val="20"/>
                <w:szCs w:val="20"/>
                <w:color w:val="auto"/>
              </w:rPr>
            </w:pPr>
            <w:r>
              <w:rPr>
                <w:rFonts w:ascii="Arial" w:cs="Arial" w:eastAsia="Arial" w:hAnsi="Arial"/>
                <w:sz w:val="18"/>
                <w:szCs w:val="18"/>
                <w:color w:val="auto"/>
                <w:w w:val="92"/>
              </w:rPr>
              <w:t>10-</w:t>
            </w:r>
          </w:p>
        </w:tc>
        <w:tc>
          <w:tcPr>
            <w:tcW w:w="20" w:type="dxa"/>
            <w:vAlign w:val="bottom"/>
          </w:tcPr>
          <w:p>
            <w:pPr>
              <w:spacing w:after="0"/>
              <w:rPr>
                <w:sz w:val="15"/>
                <w:szCs w:val="15"/>
                <w:color w:val="auto"/>
              </w:rPr>
            </w:pPr>
          </w:p>
        </w:tc>
        <w:tc>
          <w:tcPr>
            <w:tcW w:w="8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8"/>
              </w:rPr>
              <w:t>001-</w:t>
            </w:r>
          </w:p>
        </w:tc>
        <w:tc>
          <w:tcPr>
            <w:tcW w:w="120" w:type="dxa"/>
            <w:vAlign w:val="bottom"/>
          </w:tcPr>
          <w:p>
            <w:pPr>
              <w:spacing w:after="0"/>
              <w:rPr>
                <w:sz w:val="15"/>
                <w:szCs w:val="15"/>
                <w:color w:val="auto"/>
              </w:rPr>
            </w:pPr>
          </w:p>
        </w:tc>
        <w:tc>
          <w:tcPr>
            <w:tcW w:w="640" w:type="dxa"/>
            <w:vAlign w:val="bottom"/>
            <w:gridSpan w:val="2"/>
          </w:tcPr>
          <w:p>
            <w:pPr>
              <w:jc w:val="center"/>
              <w:ind w:left="32"/>
              <w:spacing w:after="0" w:line="176" w:lineRule="exact"/>
              <w:rPr>
                <w:sz w:val="20"/>
                <w:szCs w:val="20"/>
                <w:color w:val="auto"/>
              </w:rPr>
            </w:pPr>
            <w:r>
              <w:rPr>
                <w:rFonts w:ascii="Arial" w:cs="Arial" w:eastAsia="Arial" w:hAnsi="Arial"/>
                <w:sz w:val="18"/>
                <w:szCs w:val="18"/>
                <w:color w:val="auto"/>
                <w:w w:val="91"/>
              </w:rPr>
              <w:t>10.1</w:t>
            </w:r>
          </w:p>
        </w:tc>
        <w:tc>
          <w:tcPr>
            <w:tcW w:w="11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9"/>
              </w:rPr>
              <w:t>11/8/16</w:t>
            </w:r>
          </w:p>
        </w:tc>
      </w:tr>
      <w:tr>
        <w:trPr>
          <w:trHeight w:val="202"/>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center"/>
              <w:ind w:left="11"/>
              <w:spacing w:after="0" w:line="201" w:lineRule="exact"/>
              <w:rPr>
                <w:sz w:val="20"/>
                <w:szCs w:val="20"/>
                <w:color w:val="auto"/>
              </w:rPr>
            </w:pPr>
            <w:r>
              <w:rPr>
                <w:rFonts w:ascii="Arial" w:cs="Arial" w:eastAsia="Arial" w:hAnsi="Arial"/>
                <w:sz w:val="18"/>
                <w:szCs w:val="18"/>
                <w:color w:val="auto"/>
                <w:w w:val="85"/>
              </w:rPr>
              <w:t>Q</w:t>
            </w:r>
          </w:p>
        </w:tc>
        <w:tc>
          <w:tcPr>
            <w:tcW w:w="860" w:type="dxa"/>
            <w:vAlign w:val="bottom"/>
            <w:gridSpan w:val="2"/>
          </w:tcPr>
          <w:p>
            <w:pPr>
              <w:jc w:val="center"/>
              <w:ind w:left="210"/>
              <w:spacing w:after="0" w:line="201" w:lineRule="exact"/>
              <w:rPr>
                <w:sz w:val="20"/>
                <w:szCs w:val="20"/>
                <w:color w:val="auto"/>
              </w:rPr>
            </w:pPr>
            <w:r>
              <w:rPr>
                <w:rFonts w:ascii="Arial" w:cs="Arial" w:eastAsia="Arial" w:hAnsi="Arial"/>
                <w:sz w:val="18"/>
                <w:szCs w:val="18"/>
                <w:color w:val="auto"/>
                <w:w w:val="87"/>
              </w:rPr>
              <w:t>35362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6"/>
        </w:trPr>
        <w:tc>
          <w:tcPr>
            <w:tcW w:w="740" w:type="dxa"/>
            <w:vAlign w:val="bottom"/>
          </w:tcPr>
          <w:p>
            <w:pPr>
              <w:spacing w:after="0"/>
              <w:rPr>
                <w:sz w:val="15"/>
                <w:szCs w:val="15"/>
                <w:color w:val="auto"/>
              </w:rPr>
            </w:pPr>
          </w:p>
        </w:tc>
        <w:tc>
          <w:tcPr>
            <w:tcW w:w="600" w:type="dxa"/>
            <w:vAlign w:val="bottom"/>
            <w:gridSpan w:val="2"/>
          </w:tcPr>
          <w:p>
            <w:pPr>
              <w:jc w:val="center"/>
              <w:ind w:left="150"/>
              <w:spacing w:after="0" w:line="176" w:lineRule="exact"/>
              <w:rPr>
                <w:sz w:val="20"/>
                <w:szCs w:val="20"/>
                <w:color w:val="auto"/>
              </w:rPr>
            </w:pPr>
            <w:r>
              <w:rPr>
                <w:rFonts w:ascii="Arial" w:cs="Arial" w:eastAsia="Arial" w:hAnsi="Arial"/>
                <w:sz w:val="18"/>
                <w:szCs w:val="18"/>
                <w:color w:val="auto"/>
                <w:w w:val="92"/>
              </w:rPr>
              <w:t>10-</w:t>
            </w:r>
          </w:p>
        </w:tc>
        <w:tc>
          <w:tcPr>
            <w:tcW w:w="20" w:type="dxa"/>
            <w:vAlign w:val="bottom"/>
          </w:tcPr>
          <w:p>
            <w:pPr>
              <w:spacing w:after="0"/>
              <w:rPr>
                <w:sz w:val="15"/>
                <w:szCs w:val="15"/>
                <w:color w:val="auto"/>
              </w:rPr>
            </w:pPr>
          </w:p>
        </w:tc>
        <w:tc>
          <w:tcPr>
            <w:tcW w:w="8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8"/>
              </w:rPr>
              <w:t>001-</w:t>
            </w:r>
          </w:p>
        </w:tc>
        <w:tc>
          <w:tcPr>
            <w:tcW w:w="120" w:type="dxa"/>
            <w:vAlign w:val="bottom"/>
          </w:tcPr>
          <w:p>
            <w:pPr>
              <w:spacing w:after="0"/>
              <w:rPr>
                <w:sz w:val="15"/>
                <w:szCs w:val="15"/>
                <w:color w:val="auto"/>
              </w:rPr>
            </w:pPr>
          </w:p>
        </w:tc>
        <w:tc>
          <w:tcPr>
            <w:tcW w:w="640" w:type="dxa"/>
            <w:vAlign w:val="bottom"/>
            <w:gridSpan w:val="2"/>
          </w:tcPr>
          <w:p>
            <w:pPr>
              <w:jc w:val="center"/>
              <w:ind w:left="32"/>
              <w:spacing w:after="0" w:line="176" w:lineRule="exact"/>
              <w:rPr>
                <w:sz w:val="20"/>
                <w:szCs w:val="20"/>
                <w:color w:val="auto"/>
              </w:rPr>
            </w:pPr>
            <w:r>
              <w:rPr>
                <w:rFonts w:ascii="Arial" w:cs="Arial" w:eastAsia="Arial" w:hAnsi="Arial"/>
                <w:sz w:val="18"/>
                <w:szCs w:val="18"/>
                <w:color w:val="auto"/>
                <w:w w:val="91"/>
              </w:rPr>
              <w:t>10.1</w:t>
            </w:r>
          </w:p>
        </w:tc>
        <w:tc>
          <w:tcPr>
            <w:tcW w:w="11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91"/>
              </w:rPr>
              <w:t>8/1/18</w:t>
            </w:r>
          </w:p>
        </w:tc>
      </w:tr>
      <w:tr>
        <w:trPr>
          <w:trHeight w:val="202"/>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center"/>
              <w:ind w:left="11"/>
              <w:spacing w:after="0" w:line="201" w:lineRule="exact"/>
              <w:rPr>
                <w:sz w:val="20"/>
                <w:szCs w:val="20"/>
                <w:color w:val="auto"/>
              </w:rPr>
            </w:pPr>
            <w:r>
              <w:rPr>
                <w:rFonts w:ascii="Arial" w:cs="Arial" w:eastAsia="Arial" w:hAnsi="Arial"/>
                <w:sz w:val="18"/>
                <w:szCs w:val="18"/>
                <w:color w:val="auto"/>
                <w:w w:val="85"/>
              </w:rPr>
              <w:t>Q</w:t>
            </w:r>
          </w:p>
        </w:tc>
        <w:tc>
          <w:tcPr>
            <w:tcW w:w="860" w:type="dxa"/>
            <w:vAlign w:val="bottom"/>
            <w:gridSpan w:val="2"/>
          </w:tcPr>
          <w:p>
            <w:pPr>
              <w:jc w:val="center"/>
              <w:ind w:left="210"/>
              <w:spacing w:after="0" w:line="201" w:lineRule="exact"/>
              <w:rPr>
                <w:sz w:val="20"/>
                <w:szCs w:val="20"/>
                <w:color w:val="auto"/>
              </w:rPr>
            </w:pPr>
            <w:r>
              <w:rPr>
                <w:rFonts w:ascii="Arial" w:cs="Arial" w:eastAsia="Arial" w:hAnsi="Arial"/>
                <w:sz w:val="18"/>
                <w:szCs w:val="18"/>
                <w:color w:val="auto"/>
                <w:w w:val="87"/>
              </w:rPr>
              <w:t>35362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6"/>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center"/>
              <w:ind w:left="11"/>
              <w:spacing w:after="0" w:line="176" w:lineRule="exact"/>
              <w:rPr>
                <w:sz w:val="20"/>
                <w:szCs w:val="20"/>
                <w:color w:val="auto"/>
              </w:rPr>
            </w:pPr>
            <w:r>
              <w:rPr>
                <w:rFonts w:ascii="Arial" w:cs="Arial" w:eastAsia="Arial" w:hAnsi="Arial"/>
                <w:sz w:val="18"/>
                <w:szCs w:val="18"/>
                <w:color w:val="auto"/>
                <w:w w:val="85"/>
              </w:rPr>
              <w:t>S-8</w:t>
            </w:r>
          </w:p>
        </w:tc>
        <w:tc>
          <w:tcPr>
            <w:tcW w:w="8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8"/>
              </w:rPr>
              <w:t>333-</w:t>
            </w:r>
          </w:p>
        </w:tc>
        <w:tc>
          <w:tcPr>
            <w:tcW w:w="120" w:type="dxa"/>
            <w:vAlign w:val="bottom"/>
          </w:tcPr>
          <w:p>
            <w:pPr>
              <w:spacing w:after="0"/>
              <w:rPr>
                <w:sz w:val="15"/>
                <w:szCs w:val="15"/>
                <w:color w:val="auto"/>
              </w:rPr>
            </w:pPr>
          </w:p>
        </w:tc>
        <w:tc>
          <w:tcPr>
            <w:tcW w:w="640" w:type="dxa"/>
            <w:vAlign w:val="bottom"/>
            <w:gridSpan w:val="2"/>
          </w:tcPr>
          <w:p>
            <w:pPr>
              <w:jc w:val="center"/>
              <w:ind w:left="12"/>
              <w:spacing w:after="0" w:line="176" w:lineRule="exact"/>
              <w:rPr>
                <w:sz w:val="20"/>
                <w:szCs w:val="20"/>
                <w:color w:val="auto"/>
              </w:rPr>
            </w:pPr>
            <w:r>
              <w:rPr>
                <w:rFonts w:ascii="Arial" w:cs="Arial" w:eastAsia="Arial" w:hAnsi="Arial"/>
                <w:sz w:val="18"/>
                <w:szCs w:val="18"/>
                <w:color w:val="auto"/>
                <w:w w:val="87"/>
              </w:rPr>
              <w:t>4.6</w:t>
            </w:r>
          </w:p>
        </w:tc>
        <w:tc>
          <w:tcPr>
            <w:tcW w:w="1160" w:type="dxa"/>
            <w:vAlign w:val="bottom"/>
            <w:gridSpan w:val="2"/>
          </w:tcPr>
          <w:p>
            <w:pPr>
              <w:jc w:val="center"/>
              <w:ind w:left="230"/>
              <w:spacing w:after="0" w:line="176" w:lineRule="exact"/>
              <w:rPr>
                <w:sz w:val="20"/>
                <w:szCs w:val="20"/>
                <w:color w:val="auto"/>
              </w:rPr>
            </w:pPr>
            <w:r>
              <w:rPr>
                <w:rFonts w:ascii="Arial" w:cs="Arial" w:eastAsia="Arial" w:hAnsi="Arial"/>
                <w:sz w:val="18"/>
                <w:szCs w:val="18"/>
                <w:color w:val="auto"/>
                <w:w w:val="91"/>
              </w:rPr>
              <w:t>12/20/11</w:t>
            </w:r>
          </w:p>
        </w:tc>
      </w:tr>
      <w:tr>
        <w:trPr>
          <w:trHeight w:val="202"/>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center"/>
              <w:ind w:left="190"/>
              <w:spacing w:after="0" w:line="201" w:lineRule="exact"/>
              <w:rPr>
                <w:sz w:val="20"/>
                <w:szCs w:val="20"/>
                <w:color w:val="auto"/>
              </w:rPr>
            </w:pPr>
            <w:r>
              <w:rPr>
                <w:rFonts w:ascii="Arial" w:cs="Arial" w:eastAsia="Arial" w:hAnsi="Arial"/>
                <w:sz w:val="18"/>
                <w:szCs w:val="18"/>
                <w:color w:val="auto"/>
                <w:w w:val="89"/>
              </w:rPr>
              <w:t>178637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6"/>
        </w:trPr>
        <w:tc>
          <w:tcPr>
            <w:tcW w:w="740" w:type="dxa"/>
            <w:vAlign w:val="bottom"/>
          </w:tcPr>
          <w:p>
            <w:pPr>
              <w:spacing w:after="0"/>
              <w:rPr>
                <w:sz w:val="15"/>
                <w:szCs w:val="15"/>
                <w:color w:val="auto"/>
              </w:rPr>
            </w:pPr>
          </w:p>
        </w:tc>
        <w:tc>
          <w:tcPr>
            <w:tcW w:w="600" w:type="dxa"/>
            <w:vAlign w:val="bottom"/>
            <w:gridSpan w:val="2"/>
          </w:tcPr>
          <w:p>
            <w:pPr>
              <w:jc w:val="center"/>
              <w:ind w:left="150"/>
              <w:spacing w:after="0" w:line="176" w:lineRule="exact"/>
              <w:rPr>
                <w:sz w:val="20"/>
                <w:szCs w:val="20"/>
                <w:color w:val="auto"/>
              </w:rPr>
            </w:pPr>
            <w:r>
              <w:rPr>
                <w:rFonts w:ascii="Arial" w:cs="Arial" w:eastAsia="Arial" w:hAnsi="Arial"/>
                <w:sz w:val="18"/>
                <w:szCs w:val="18"/>
                <w:color w:val="auto"/>
                <w:w w:val="92"/>
              </w:rPr>
              <w:t>10-</w:t>
            </w:r>
          </w:p>
        </w:tc>
        <w:tc>
          <w:tcPr>
            <w:tcW w:w="20" w:type="dxa"/>
            <w:vAlign w:val="bottom"/>
          </w:tcPr>
          <w:p>
            <w:pPr>
              <w:spacing w:after="0"/>
              <w:rPr>
                <w:sz w:val="15"/>
                <w:szCs w:val="15"/>
                <w:color w:val="auto"/>
              </w:rPr>
            </w:pPr>
          </w:p>
        </w:tc>
        <w:tc>
          <w:tcPr>
            <w:tcW w:w="8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8"/>
              </w:rPr>
              <w:t>001-</w:t>
            </w:r>
          </w:p>
        </w:tc>
        <w:tc>
          <w:tcPr>
            <w:tcW w:w="120" w:type="dxa"/>
            <w:vAlign w:val="bottom"/>
          </w:tcPr>
          <w:p>
            <w:pPr>
              <w:spacing w:after="0"/>
              <w:rPr>
                <w:sz w:val="15"/>
                <w:szCs w:val="15"/>
                <w:color w:val="auto"/>
              </w:rPr>
            </w:pPr>
          </w:p>
        </w:tc>
        <w:tc>
          <w:tcPr>
            <w:tcW w:w="640" w:type="dxa"/>
            <w:vAlign w:val="bottom"/>
            <w:gridSpan w:val="2"/>
          </w:tcPr>
          <w:p>
            <w:pPr>
              <w:jc w:val="center"/>
              <w:ind w:left="32"/>
              <w:spacing w:after="0" w:line="176" w:lineRule="exact"/>
              <w:rPr>
                <w:sz w:val="20"/>
                <w:szCs w:val="20"/>
                <w:color w:val="auto"/>
              </w:rPr>
            </w:pPr>
            <w:r>
              <w:rPr>
                <w:rFonts w:ascii="Arial" w:cs="Arial" w:eastAsia="Arial" w:hAnsi="Arial"/>
                <w:sz w:val="18"/>
                <w:szCs w:val="18"/>
                <w:color w:val="auto"/>
                <w:w w:val="91"/>
              </w:rPr>
              <w:t>10.1</w:t>
            </w:r>
          </w:p>
        </w:tc>
        <w:tc>
          <w:tcPr>
            <w:tcW w:w="11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9"/>
              </w:rPr>
              <w:t>7/24/13</w:t>
            </w:r>
          </w:p>
        </w:tc>
      </w:tr>
      <w:tr>
        <w:trPr>
          <w:trHeight w:val="202"/>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center"/>
              <w:ind w:left="11"/>
              <w:spacing w:after="0" w:line="201" w:lineRule="exact"/>
              <w:rPr>
                <w:sz w:val="20"/>
                <w:szCs w:val="20"/>
                <w:color w:val="auto"/>
              </w:rPr>
            </w:pPr>
            <w:r>
              <w:rPr>
                <w:rFonts w:ascii="Arial" w:cs="Arial" w:eastAsia="Arial" w:hAnsi="Arial"/>
                <w:sz w:val="18"/>
                <w:szCs w:val="18"/>
                <w:color w:val="auto"/>
                <w:w w:val="85"/>
              </w:rPr>
              <w:t>Q</w:t>
            </w:r>
          </w:p>
        </w:tc>
        <w:tc>
          <w:tcPr>
            <w:tcW w:w="860" w:type="dxa"/>
            <w:vAlign w:val="bottom"/>
            <w:gridSpan w:val="2"/>
          </w:tcPr>
          <w:p>
            <w:pPr>
              <w:jc w:val="center"/>
              <w:ind w:left="210"/>
              <w:spacing w:after="0" w:line="201" w:lineRule="exact"/>
              <w:rPr>
                <w:sz w:val="20"/>
                <w:szCs w:val="20"/>
                <w:color w:val="auto"/>
              </w:rPr>
            </w:pPr>
            <w:r>
              <w:rPr>
                <w:rFonts w:ascii="Arial" w:cs="Arial" w:eastAsia="Arial" w:hAnsi="Arial"/>
                <w:sz w:val="18"/>
                <w:szCs w:val="18"/>
                <w:color w:val="auto"/>
                <w:w w:val="87"/>
              </w:rPr>
              <w:t>35362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6"/>
        </w:trPr>
        <w:tc>
          <w:tcPr>
            <w:tcW w:w="740" w:type="dxa"/>
            <w:vAlign w:val="bottom"/>
          </w:tcPr>
          <w:p>
            <w:pPr>
              <w:spacing w:after="0"/>
              <w:rPr>
                <w:sz w:val="15"/>
                <w:szCs w:val="15"/>
                <w:color w:val="auto"/>
              </w:rPr>
            </w:pPr>
          </w:p>
        </w:tc>
        <w:tc>
          <w:tcPr>
            <w:tcW w:w="600" w:type="dxa"/>
            <w:vAlign w:val="bottom"/>
            <w:gridSpan w:val="2"/>
          </w:tcPr>
          <w:p>
            <w:pPr>
              <w:jc w:val="center"/>
              <w:ind w:left="150"/>
              <w:spacing w:after="0" w:line="176" w:lineRule="exact"/>
              <w:rPr>
                <w:sz w:val="20"/>
                <w:szCs w:val="20"/>
                <w:color w:val="auto"/>
              </w:rPr>
            </w:pPr>
            <w:r>
              <w:rPr>
                <w:rFonts w:ascii="Arial" w:cs="Arial" w:eastAsia="Arial" w:hAnsi="Arial"/>
                <w:sz w:val="18"/>
                <w:szCs w:val="18"/>
                <w:color w:val="auto"/>
                <w:w w:val="92"/>
              </w:rPr>
              <w:t>10-</w:t>
            </w:r>
          </w:p>
        </w:tc>
        <w:tc>
          <w:tcPr>
            <w:tcW w:w="20" w:type="dxa"/>
            <w:vAlign w:val="bottom"/>
          </w:tcPr>
          <w:p>
            <w:pPr>
              <w:spacing w:after="0"/>
              <w:rPr>
                <w:sz w:val="15"/>
                <w:szCs w:val="15"/>
                <w:color w:val="auto"/>
              </w:rPr>
            </w:pPr>
          </w:p>
        </w:tc>
        <w:tc>
          <w:tcPr>
            <w:tcW w:w="8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8"/>
              </w:rPr>
              <w:t>001-</w:t>
            </w:r>
          </w:p>
        </w:tc>
        <w:tc>
          <w:tcPr>
            <w:tcW w:w="120" w:type="dxa"/>
            <w:vAlign w:val="bottom"/>
          </w:tcPr>
          <w:p>
            <w:pPr>
              <w:spacing w:after="0"/>
              <w:rPr>
                <w:sz w:val="15"/>
                <w:szCs w:val="15"/>
                <w:color w:val="auto"/>
              </w:rPr>
            </w:pPr>
          </w:p>
        </w:tc>
        <w:tc>
          <w:tcPr>
            <w:tcW w:w="640" w:type="dxa"/>
            <w:vAlign w:val="bottom"/>
            <w:gridSpan w:val="2"/>
          </w:tcPr>
          <w:p>
            <w:pPr>
              <w:jc w:val="center"/>
              <w:ind w:left="32"/>
              <w:spacing w:after="0" w:line="176" w:lineRule="exact"/>
              <w:rPr>
                <w:sz w:val="20"/>
                <w:szCs w:val="20"/>
                <w:color w:val="auto"/>
              </w:rPr>
            </w:pPr>
            <w:r>
              <w:rPr>
                <w:rFonts w:ascii="Arial" w:cs="Arial" w:eastAsia="Arial" w:hAnsi="Arial"/>
                <w:sz w:val="18"/>
                <w:szCs w:val="18"/>
                <w:color w:val="auto"/>
                <w:w w:val="91"/>
              </w:rPr>
              <w:t>10.2</w:t>
            </w:r>
          </w:p>
        </w:tc>
        <w:tc>
          <w:tcPr>
            <w:tcW w:w="11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9"/>
              </w:rPr>
              <w:t>7/24/13</w:t>
            </w:r>
          </w:p>
        </w:tc>
      </w:tr>
      <w:tr>
        <w:trPr>
          <w:trHeight w:val="202"/>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center"/>
              <w:ind w:left="11"/>
              <w:spacing w:after="0" w:line="201" w:lineRule="exact"/>
              <w:rPr>
                <w:sz w:val="20"/>
                <w:szCs w:val="20"/>
                <w:color w:val="auto"/>
              </w:rPr>
            </w:pPr>
            <w:r>
              <w:rPr>
                <w:rFonts w:ascii="Arial" w:cs="Arial" w:eastAsia="Arial" w:hAnsi="Arial"/>
                <w:sz w:val="18"/>
                <w:szCs w:val="18"/>
                <w:color w:val="auto"/>
                <w:w w:val="85"/>
              </w:rPr>
              <w:t>Q</w:t>
            </w:r>
          </w:p>
        </w:tc>
        <w:tc>
          <w:tcPr>
            <w:tcW w:w="860" w:type="dxa"/>
            <w:vAlign w:val="bottom"/>
            <w:gridSpan w:val="2"/>
          </w:tcPr>
          <w:p>
            <w:pPr>
              <w:jc w:val="center"/>
              <w:ind w:left="210"/>
              <w:spacing w:after="0" w:line="201" w:lineRule="exact"/>
              <w:rPr>
                <w:sz w:val="20"/>
                <w:szCs w:val="20"/>
                <w:color w:val="auto"/>
              </w:rPr>
            </w:pPr>
            <w:r>
              <w:rPr>
                <w:rFonts w:ascii="Arial" w:cs="Arial" w:eastAsia="Arial" w:hAnsi="Arial"/>
                <w:sz w:val="18"/>
                <w:szCs w:val="18"/>
                <w:color w:val="auto"/>
                <w:w w:val="87"/>
              </w:rPr>
              <w:t>35362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6"/>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center"/>
              <w:ind w:left="11"/>
              <w:spacing w:after="0" w:line="176" w:lineRule="exact"/>
              <w:rPr>
                <w:sz w:val="20"/>
                <w:szCs w:val="20"/>
                <w:color w:val="auto"/>
              </w:rPr>
            </w:pPr>
            <w:r>
              <w:rPr>
                <w:rFonts w:ascii="Arial" w:cs="Arial" w:eastAsia="Arial" w:hAnsi="Arial"/>
                <w:sz w:val="18"/>
                <w:szCs w:val="18"/>
                <w:color w:val="auto"/>
                <w:w w:val="99"/>
              </w:rPr>
              <w:t>8-K</w:t>
            </w:r>
          </w:p>
        </w:tc>
        <w:tc>
          <w:tcPr>
            <w:tcW w:w="8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8"/>
              </w:rPr>
              <w:t>001-</w:t>
            </w:r>
          </w:p>
        </w:tc>
        <w:tc>
          <w:tcPr>
            <w:tcW w:w="120" w:type="dxa"/>
            <w:vAlign w:val="bottom"/>
          </w:tcPr>
          <w:p>
            <w:pPr>
              <w:spacing w:after="0"/>
              <w:rPr>
                <w:sz w:val="15"/>
                <w:szCs w:val="15"/>
                <w:color w:val="auto"/>
              </w:rPr>
            </w:pPr>
          </w:p>
        </w:tc>
        <w:tc>
          <w:tcPr>
            <w:tcW w:w="640" w:type="dxa"/>
            <w:vAlign w:val="bottom"/>
            <w:gridSpan w:val="2"/>
          </w:tcPr>
          <w:p>
            <w:pPr>
              <w:jc w:val="center"/>
              <w:ind w:left="32"/>
              <w:spacing w:after="0" w:line="176" w:lineRule="exact"/>
              <w:rPr>
                <w:sz w:val="20"/>
                <w:szCs w:val="20"/>
                <w:color w:val="auto"/>
              </w:rPr>
            </w:pPr>
            <w:r>
              <w:rPr>
                <w:rFonts w:ascii="Arial" w:cs="Arial" w:eastAsia="Arial" w:hAnsi="Arial"/>
                <w:sz w:val="18"/>
                <w:szCs w:val="18"/>
                <w:color w:val="auto"/>
                <w:w w:val="91"/>
              </w:rPr>
              <w:t>10.1</w:t>
            </w:r>
          </w:p>
        </w:tc>
        <w:tc>
          <w:tcPr>
            <w:tcW w:w="11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9"/>
              </w:rPr>
              <w:t>5/23/16</w:t>
            </w:r>
          </w:p>
        </w:tc>
      </w:tr>
      <w:tr>
        <w:trPr>
          <w:trHeight w:val="230"/>
        </w:trPr>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35362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23"/>
        </w:trPr>
        <w:tc>
          <w:tcPr>
            <w:tcW w:w="740" w:type="dxa"/>
            <w:vAlign w:val="bottom"/>
          </w:tcPr>
          <w:p>
            <w:pPr>
              <w:spacing w:after="0"/>
              <w:rPr>
                <w:sz w:val="24"/>
                <w:szCs w:val="24"/>
                <w:color w:val="auto"/>
              </w:rPr>
            </w:pPr>
          </w:p>
        </w:tc>
        <w:tc>
          <w:tcPr>
            <w:tcW w:w="60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10-</w:t>
            </w:r>
          </w:p>
        </w:tc>
        <w:tc>
          <w:tcPr>
            <w:tcW w:w="20" w:type="dxa"/>
            <w:vAlign w:val="bottom"/>
          </w:tcPr>
          <w:p>
            <w:pPr>
              <w:spacing w:after="0"/>
              <w:rPr>
                <w:sz w:val="24"/>
                <w:szCs w:val="24"/>
                <w:color w:val="auto"/>
              </w:rPr>
            </w:pPr>
          </w:p>
        </w:tc>
        <w:tc>
          <w:tcPr>
            <w:tcW w:w="86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001-</w:t>
            </w:r>
          </w:p>
        </w:tc>
        <w:tc>
          <w:tcPr>
            <w:tcW w:w="120" w:type="dxa"/>
            <w:vAlign w:val="bottom"/>
          </w:tcPr>
          <w:p>
            <w:pPr>
              <w:spacing w:after="0"/>
              <w:rPr>
                <w:sz w:val="24"/>
                <w:szCs w:val="24"/>
                <w:color w:val="auto"/>
              </w:rPr>
            </w:pPr>
          </w:p>
        </w:tc>
        <w:tc>
          <w:tcPr>
            <w:tcW w:w="64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10.8</w:t>
            </w:r>
          </w:p>
        </w:tc>
        <w:tc>
          <w:tcPr>
            <w:tcW w:w="116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2/21/18</w:t>
            </w:r>
          </w:p>
        </w:tc>
      </w:tr>
      <w:tr>
        <w:trPr>
          <w:trHeight w:val="202"/>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center"/>
              <w:ind w:left="11"/>
              <w:spacing w:after="0" w:line="201" w:lineRule="exact"/>
              <w:rPr>
                <w:sz w:val="20"/>
                <w:szCs w:val="20"/>
                <w:color w:val="auto"/>
              </w:rPr>
            </w:pPr>
            <w:r>
              <w:rPr>
                <w:rFonts w:ascii="Arial" w:cs="Arial" w:eastAsia="Arial" w:hAnsi="Arial"/>
                <w:sz w:val="18"/>
                <w:szCs w:val="18"/>
                <w:color w:val="auto"/>
                <w:w w:val="99"/>
              </w:rPr>
              <w:t>K</w:t>
            </w:r>
          </w:p>
        </w:tc>
        <w:tc>
          <w:tcPr>
            <w:tcW w:w="860" w:type="dxa"/>
            <w:vAlign w:val="bottom"/>
            <w:gridSpan w:val="2"/>
          </w:tcPr>
          <w:p>
            <w:pPr>
              <w:jc w:val="center"/>
              <w:ind w:left="210"/>
              <w:spacing w:after="0" w:line="201" w:lineRule="exact"/>
              <w:rPr>
                <w:sz w:val="20"/>
                <w:szCs w:val="20"/>
                <w:color w:val="auto"/>
              </w:rPr>
            </w:pPr>
            <w:r>
              <w:rPr>
                <w:rFonts w:ascii="Arial" w:cs="Arial" w:eastAsia="Arial" w:hAnsi="Arial"/>
                <w:sz w:val="18"/>
                <w:szCs w:val="18"/>
                <w:color w:val="auto"/>
                <w:w w:val="87"/>
              </w:rPr>
              <w:t>35362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6"/>
        </w:trPr>
        <w:tc>
          <w:tcPr>
            <w:tcW w:w="740" w:type="dxa"/>
            <w:vAlign w:val="bottom"/>
          </w:tcPr>
          <w:p>
            <w:pPr>
              <w:spacing w:after="0"/>
              <w:rPr>
                <w:sz w:val="15"/>
                <w:szCs w:val="15"/>
                <w:color w:val="auto"/>
              </w:rPr>
            </w:pPr>
          </w:p>
        </w:tc>
        <w:tc>
          <w:tcPr>
            <w:tcW w:w="600" w:type="dxa"/>
            <w:vAlign w:val="bottom"/>
            <w:gridSpan w:val="2"/>
          </w:tcPr>
          <w:p>
            <w:pPr>
              <w:jc w:val="center"/>
              <w:ind w:left="150"/>
              <w:spacing w:after="0" w:line="176" w:lineRule="exact"/>
              <w:rPr>
                <w:sz w:val="20"/>
                <w:szCs w:val="20"/>
                <w:color w:val="auto"/>
              </w:rPr>
            </w:pPr>
            <w:r>
              <w:rPr>
                <w:rFonts w:ascii="Arial" w:cs="Arial" w:eastAsia="Arial" w:hAnsi="Arial"/>
                <w:sz w:val="18"/>
                <w:szCs w:val="18"/>
                <w:color w:val="auto"/>
                <w:w w:val="92"/>
              </w:rPr>
              <w:t>10-</w:t>
            </w:r>
          </w:p>
        </w:tc>
        <w:tc>
          <w:tcPr>
            <w:tcW w:w="20" w:type="dxa"/>
            <w:vAlign w:val="bottom"/>
          </w:tcPr>
          <w:p>
            <w:pPr>
              <w:spacing w:after="0"/>
              <w:rPr>
                <w:sz w:val="15"/>
                <w:szCs w:val="15"/>
                <w:color w:val="auto"/>
              </w:rPr>
            </w:pPr>
          </w:p>
        </w:tc>
        <w:tc>
          <w:tcPr>
            <w:tcW w:w="8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88"/>
              </w:rPr>
              <w:t>001-</w:t>
            </w:r>
          </w:p>
        </w:tc>
        <w:tc>
          <w:tcPr>
            <w:tcW w:w="120" w:type="dxa"/>
            <w:vAlign w:val="bottom"/>
          </w:tcPr>
          <w:p>
            <w:pPr>
              <w:spacing w:after="0"/>
              <w:rPr>
                <w:sz w:val="15"/>
                <w:szCs w:val="15"/>
                <w:color w:val="auto"/>
              </w:rPr>
            </w:pPr>
          </w:p>
        </w:tc>
        <w:tc>
          <w:tcPr>
            <w:tcW w:w="640" w:type="dxa"/>
            <w:vAlign w:val="bottom"/>
            <w:gridSpan w:val="2"/>
          </w:tcPr>
          <w:p>
            <w:pPr>
              <w:jc w:val="center"/>
              <w:ind w:left="32"/>
              <w:spacing w:after="0" w:line="176" w:lineRule="exact"/>
              <w:rPr>
                <w:sz w:val="20"/>
                <w:szCs w:val="20"/>
                <w:color w:val="auto"/>
              </w:rPr>
            </w:pPr>
            <w:r>
              <w:rPr>
                <w:rFonts w:ascii="Arial" w:cs="Arial" w:eastAsia="Arial" w:hAnsi="Arial"/>
                <w:sz w:val="18"/>
                <w:szCs w:val="18"/>
                <w:color w:val="auto"/>
                <w:w w:val="91"/>
              </w:rPr>
              <w:t>10.3</w:t>
            </w:r>
          </w:p>
        </w:tc>
        <w:tc>
          <w:tcPr>
            <w:tcW w:w="11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91"/>
              </w:rPr>
              <w:t>5/6/14</w:t>
            </w:r>
          </w:p>
        </w:tc>
      </w:tr>
      <w:tr>
        <w:trPr>
          <w:trHeight w:val="202"/>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center"/>
              <w:ind w:left="11"/>
              <w:spacing w:after="0" w:line="201" w:lineRule="exact"/>
              <w:rPr>
                <w:sz w:val="20"/>
                <w:szCs w:val="20"/>
                <w:color w:val="auto"/>
              </w:rPr>
            </w:pPr>
            <w:r>
              <w:rPr>
                <w:rFonts w:ascii="Arial" w:cs="Arial" w:eastAsia="Arial" w:hAnsi="Arial"/>
                <w:sz w:val="18"/>
                <w:szCs w:val="18"/>
                <w:color w:val="auto"/>
                <w:w w:val="85"/>
              </w:rPr>
              <w:t>Q</w:t>
            </w:r>
          </w:p>
        </w:tc>
        <w:tc>
          <w:tcPr>
            <w:tcW w:w="860" w:type="dxa"/>
            <w:vAlign w:val="bottom"/>
            <w:gridSpan w:val="2"/>
          </w:tcPr>
          <w:p>
            <w:pPr>
              <w:jc w:val="center"/>
              <w:ind w:left="210"/>
              <w:spacing w:after="0" w:line="201" w:lineRule="exact"/>
              <w:rPr>
                <w:sz w:val="20"/>
                <w:szCs w:val="20"/>
                <w:color w:val="auto"/>
              </w:rPr>
            </w:pPr>
            <w:r>
              <w:rPr>
                <w:rFonts w:ascii="Arial" w:cs="Arial" w:eastAsia="Arial" w:hAnsi="Arial"/>
                <w:sz w:val="18"/>
                <w:szCs w:val="18"/>
                <w:color w:val="auto"/>
                <w:w w:val="87"/>
              </w:rPr>
              <w:t>35362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2"/>
        </w:trPr>
        <w:tc>
          <w:tcPr>
            <w:tcW w:w="740" w:type="dxa"/>
            <w:vAlign w:val="bottom"/>
          </w:tcPr>
          <w:p>
            <w:pPr>
              <w:spacing w:after="0"/>
              <w:rPr>
                <w:sz w:val="16"/>
                <w:szCs w:val="16"/>
                <w:color w:val="auto"/>
              </w:rPr>
            </w:pPr>
          </w:p>
        </w:tc>
        <w:tc>
          <w:tcPr>
            <w:tcW w:w="600" w:type="dxa"/>
            <w:vAlign w:val="bottom"/>
            <w:gridSpan w:val="2"/>
          </w:tcPr>
          <w:p>
            <w:pPr>
              <w:jc w:val="center"/>
              <w:ind w:left="150"/>
              <w:spacing w:after="0" w:line="192" w:lineRule="exact"/>
              <w:rPr>
                <w:sz w:val="20"/>
                <w:szCs w:val="20"/>
                <w:color w:val="auto"/>
              </w:rPr>
            </w:pPr>
            <w:r>
              <w:rPr>
                <w:rFonts w:ascii="Arial" w:cs="Arial" w:eastAsia="Arial" w:hAnsi="Arial"/>
                <w:sz w:val="18"/>
                <w:szCs w:val="18"/>
                <w:color w:val="auto"/>
                <w:w w:val="92"/>
              </w:rPr>
              <w:t>10-</w:t>
            </w:r>
          </w:p>
        </w:tc>
        <w:tc>
          <w:tcPr>
            <w:tcW w:w="20" w:type="dxa"/>
            <w:vAlign w:val="bottom"/>
          </w:tcPr>
          <w:p>
            <w:pPr>
              <w:spacing w:after="0"/>
              <w:rPr>
                <w:sz w:val="16"/>
                <w:szCs w:val="16"/>
                <w:color w:val="auto"/>
              </w:rPr>
            </w:pPr>
          </w:p>
        </w:tc>
        <w:tc>
          <w:tcPr>
            <w:tcW w:w="860" w:type="dxa"/>
            <w:vAlign w:val="bottom"/>
            <w:gridSpan w:val="2"/>
          </w:tcPr>
          <w:p>
            <w:pPr>
              <w:jc w:val="center"/>
              <w:ind w:left="210"/>
              <w:spacing w:after="0" w:line="192" w:lineRule="exact"/>
              <w:rPr>
                <w:sz w:val="20"/>
                <w:szCs w:val="20"/>
                <w:color w:val="auto"/>
              </w:rPr>
            </w:pPr>
            <w:r>
              <w:rPr>
                <w:rFonts w:ascii="Arial" w:cs="Arial" w:eastAsia="Arial" w:hAnsi="Arial"/>
                <w:sz w:val="18"/>
                <w:szCs w:val="18"/>
                <w:color w:val="auto"/>
                <w:w w:val="88"/>
              </w:rPr>
              <w:t>001-</w:t>
            </w:r>
          </w:p>
        </w:tc>
        <w:tc>
          <w:tcPr>
            <w:tcW w:w="120" w:type="dxa"/>
            <w:vAlign w:val="bottom"/>
          </w:tcPr>
          <w:p>
            <w:pPr>
              <w:spacing w:after="0"/>
              <w:rPr>
                <w:sz w:val="16"/>
                <w:szCs w:val="16"/>
                <w:color w:val="auto"/>
              </w:rPr>
            </w:pPr>
          </w:p>
        </w:tc>
        <w:tc>
          <w:tcPr>
            <w:tcW w:w="640" w:type="dxa"/>
            <w:vAlign w:val="bottom"/>
            <w:gridSpan w:val="2"/>
          </w:tcPr>
          <w:p>
            <w:pPr>
              <w:jc w:val="center"/>
              <w:ind w:left="32"/>
              <w:spacing w:after="0" w:line="192" w:lineRule="exact"/>
              <w:rPr>
                <w:sz w:val="20"/>
                <w:szCs w:val="20"/>
                <w:color w:val="auto"/>
              </w:rPr>
            </w:pPr>
            <w:r>
              <w:rPr>
                <w:rFonts w:ascii="Arial" w:cs="Arial" w:eastAsia="Arial" w:hAnsi="Arial"/>
                <w:sz w:val="18"/>
                <w:szCs w:val="18"/>
                <w:color w:val="auto"/>
                <w:w w:val="88"/>
              </w:rPr>
              <w:t>10.10</w:t>
            </w:r>
          </w:p>
        </w:tc>
        <w:tc>
          <w:tcPr>
            <w:tcW w:w="1160" w:type="dxa"/>
            <w:vAlign w:val="bottom"/>
            <w:gridSpan w:val="2"/>
          </w:tcPr>
          <w:p>
            <w:pPr>
              <w:jc w:val="center"/>
              <w:ind w:left="210"/>
              <w:spacing w:after="0" w:line="192" w:lineRule="exact"/>
              <w:rPr>
                <w:sz w:val="20"/>
                <w:szCs w:val="20"/>
                <w:color w:val="auto"/>
              </w:rPr>
            </w:pPr>
            <w:r>
              <w:rPr>
                <w:rFonts w:ascii="Arial" w:cs="Arial" w:eastAsia="Arial" w:hAnsi="Arial"/>
                <w:sz w:val="18"/>
                <w:szCs w:val="18"/>
                <w:color w:val="auto"/>
                <w:w w:val="89"/>
              </w:rPr>
              <w:t>2/21/18</w:t>
            </w:r>
          </w:p>
        </w:tc>
      </w:tr>
    </w:tbl>
    <w:p>
      <w:pPr>
        <w:ind w:left="1720" w:hanging="623"/>
        <w:spacing w:after="0"/>
        <w:tabs>
          <w:tab w:leader="none" w:pos="1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35362</w:t>
      </w:r>
    </w:p>
    <w:p>
      <w:pPr>
        <w:sectPr>
          <w:pgSz w:w="11900" w:h="16838" w:orient="portrait"/>
          <w:cols w:equalWidth="0" w:num="2">
            <w:col w:w="6940" w:space="60"/>
            <w:col w:w="4140"/>
          </w:cols>
          <w:pgMar w:left="320" w:top="579" w:right="439" w:bottom="1440" w:gutter="0" w:footer="0" w:header="0"/>
        </w:sectPr>
      </w:pPr>
    </w:p>
    <w:bookmarkStart w:id="118" w:name="page119"/>
    <w:bookmarkEnd w:id="118"/>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10.12+</w:t>
            </w:r>
          </w:p>
        </w:tc>
        <w:tc>
          <w:tcPr>
            <w:tcW w:w="5860" w:type="dxa"/>
            <w:vAlign w:val="bottom"/>
            <w:gridSpan w:val="26"/>
          </w:tcPr>
          <w:p>
            <w:pPr>
              <w:spacing w:after="0"/>
              <w:rPr>
                <w:rFonts w:ascii="Arial" w:cs="Arial" w:eastAsia="Arial" w:hAnsi="Arial"/>
                <w:sz w:val="18"/>
                <w:szCs w:val="18"/>
                <w:color w:val="auto"/>
                <w:w w:val="90"/>
              </w:rPr>
            </w:pPr>
            <w:hyperlink r:id="rId434">
              <w:r>
                <w:rPr>
                  <w:rFonts w:ascii="Arial" w:cs="Arial" w:eastAsia="Arial" w:hAnsi="Arial"/>
                  <w:sz w:val="18"/>
                  <w:szCs w:val="18"/>
                  <w:color w:val="auto"/>
                  <w:w w:val="90"/>
                </w:rPr>
                <w:t>Amended and Restated Option Agreement dated June 5, 2017 between Stephen</w:t>
              </w:r>
            </w:hyperlink>
          </w:p>
        </w:tc>
        <w:tc>
          <w:tcPr>
            <w:tcW w:w="0" w:type="dxa"/>
            <w:vAlign w:val="bottom"/>
          </w:tcPr>
          <w:p>
            <w:pPr>
              <w:spacing w:after="0"/>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13"/>
                <w:szCs w:val="13"/>
                <w:color w:val="auto"/>
              </w:rPr>
            </w:pPr>
          </w:p>
        </w:tc>
        <w:tc>
          <w:tcPr>
            <w:tcW w:w="5780" w:type="dxa"/>
            <w:vAlign w:val="bottom"/>
            <w:tcBorders>
              <w:top w:val="single" w:sz="8" w:color="0000EE"/>
            </w:tcBorders>
            <w:gridSpan w:val="21"/>
          </w:tcPr>
          <w:p>
            <w:pPr>
              <w:spacing w:after="0" w:line="156" w:lineRule="exact"/>
              <w:rPr>
                <w:rFonts w:ascii="Arial" w:cs="Arial" w:eastAsia="Arial" w:hAnsi="Arial"/>
                <w:sz w:val="18"/>
                <w:szCs w:val="18"/>
                <w:color w:val="auto"/>
              </w:rPr>
            </w:pPr>
            <w:hyperlink r:id="rId434">
              <w:r>
                <w:rPr>
                  <w:rFonts w:ascii="Arial" w:cs="Arial" w:eastAsia="Arial" w:hAnsi="Arial"/>
                  <w:sz w:val="18"/>
                  <w:szCs w:val="18"/>
                  <w:color w:val="auto"/>
                </w:rPr>
                <w:t>Kaufer and Tripadvisor,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5860" w:type="dxa"/>
            <w:vAlign w:val="bottom"/>
            <w:gridSpan w:val="26"/>
          </w:tcPr>
          <w:p>
            <w:pPr>
              <w:spacing w:after="0" w:line="182" w:lineRule="exact"/>
              <w:rPr>
                <w:rFonts w:ascii="Arial" w:cs="Arial" w:eastAsia="Arial" w:hAnsi="Arial"/>
                <w:sz w:val="18"/>
                <w:szCs w:val="18"/>
                <w:color w:val="auto"/>
                <w:w w:val="91"/>
              </w:rPr>
            </w:pPr>
            <w:hyperlink r:id="rId435">
              <w:r>
                <w:rPr>
                  <w:rFonts w:ascii="Arial" w:cs="Arial" w:eastAsia="Arial" w:hAnsi="Arial"/>
                  <w:sz w:val="18"/>
                  <w:szCs w:val="18"/>
                  <w:color w:val="auto"/>
                  <w:w w:val="91"/>
                </w:rPr>
                <w:t>Stock Option Agreement (time-based) between Stephen Kaufer and Tripadvisor,</w:t>
              </w:r>
            </w:hyperlink>
          </w:p>
        </w:tc>
        <w:tc>
          <w:tcPr>
            <w:tcW w:w="0" w:type="dxa"/>
            <w:vAlign w:val="bottom"/>
          </w:tcPr>
          <w:p>
            <w:pPr>
              <w:spacing w:after="0"/>
              <w:rPr>
                <w:sz w:val="1"/>
                <w:szCs w:val="1"/>
                <w:color w:val="auto"/>
              </w:rPr>
            </w:pPr>
          </w:p>
        </w:tc>
      </w:tr>
      <w:tr>
        <w:trPr>
          <w:trHeight w:val="155"/>
        </w:trPr>
        <w:tc>
          <w:tcPr>
            <w:tcW w:w="1020" w:type="dxa"/>
            <w:vAlign w:val="bottom"/>
            <w:vMerge w:val="restart"/>
          </w:tcPr>
          <w:p>
            <w:pPr>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13"/>
                <w:szCs w:val="13"/>
                <w:color w:val="auto"/>
              </w:rPr>
            </w:pPr>
          </w:p>
        </w:tc>
        <w:tc>
          <w:tcPr>
            <w:tcW w:w="5840" w:type="dxa"/>
            <w:vAlign w:val="bottom"/>
            <w:tcBorders>
              <w:top w:val="single" w:sz="8" w:color="0000EE"/>
            </w:tcBorders>
            <w:gridSpan w:val="25"/>
          </w:tcPr>
          <w:p>
            <w:pPr>
              <w:spacing w:after="0" w:line="156" w:lineRule="exact"/>
              <w:rPr>
                <w:rFonts w:ascii="Arial" w:cs="Arial" w:eastAsia="Arial" w:hAnsi="Arial"/>
                <w:sz w:val="18"/>
                <w:szCs w:val="18"/>
                <w:color w:val="auto"/>
              </w:rPr>
            </w:pPr>
            <w:hyperlink r:id="rId435">
              <w:r>
                <w:rPr>
                  <w:rFonts w:ascii="Arial" w:cs="Arial" w:eastAsia="Arial" w:hAnsi="Arial"/>
                  <w:sz w:val="18"/>
                  <w:szCs w:val="18"/>
                  <w:color w:val="auto"/>
                </w:rPr>
                <w:t>Inc. dated November 28, 2017</w:t>
              </w:r>
            </w:hyperlink>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2200" w:type="dxa"/>
            <w:vAlign w:val="bottom"/>
            <w:tcBorders>
              <w:top w:val="single" w:sz="8" w:color="0000EE"/>
            </w:tcBorders>
            <w:gridSpan w:val="5"/>
          </w:tcPr>
          <w:p>
            <w:pPr>
              <w:spacing w:after="0" w:line="182" w:lineRule="exact"/>
              <w:rPr>
                <w:rFonts w:ascii="Arial" w:cs="Arial" w:eastAsia="Arial" w:hAnsi="Arial"/>
                <w:sz w:val="18"/>
                <w:szCs w:val="18"/>
                <w:color w:val="auto"/>
                <w:w w:val="91"/>
              </w:rPr>
            </w:pPr>
            <w:hyperlink r:id="rId436">
              <w:r>
                <w:rPr>
                  <w:rFonts w:ascii="Arial" w:cs="Arial" w:eastAsia="Arial" w:hAnsi="Arial"/>
                  <w:sz w:val="18"/>
                  <w:szCs w:val="18"/>
                  <w:color w:val="auto"/>
                  <w:w w:val="91"/>
                </w:rPr>
                <w:t>RSU Agreement (time-based)</w:t>
              </w:r>
            </w:hyperlink>
          </w:p>
        </w:tc>
        <w:tc>
          <w:tcPr>
            <w:tcW w:w="3660" w:type="dxa"/>
            <w:vAlign w:val="bottom"/>
            <w:gridSpan w:val="21"/>
          </w:tcPr>
          <w:p>
            <w:pPr>
              <w:spacing w:after="0" w:line="182" w:lineRule="exact"/>
              <w:rPr>
                <w:rFonts w:ascii="Arial" w:cs="Arial" w:eastAsia="Arial" w:hAnsi="Arial"/>
                <w:sz w:val="18"/>
                <w:szCs w:val="18"/>
                <w:color w:val="auto"/>
                <w:w w:val="99"/>
              </w:rPr>
            </w:pPr>
            <w:hyperlink r:id="rId436">
              <w:r>
                <w:rPr>
                  <w:rFonts w:ascii="Arial" w:cs="Arial" w:eastAsia="Arial" w:hAnsi="Arial"/>
                  <w:sz w:val="18"/>
                  <w:szCs w:val="18"/>
                  <w:color w:val="auto"/>
                  <w:w w:val="99"/>
                </w:rPr>
                <w:t>between Stephen Kaufer and Tripadvisor, Inc.</w:t>
              </w:r>
            </w:hyperlink>
          </w:p>
        </w:tc>
        <w:tc>
          <w:tcPr>
            <w:tcW w:w="0" w:type="dxa"/>
            <w:vAlign w:val="bottom"/>
          </w:tcPr>
          <w:p>
            <w:pPr>
              <w:spacing w:after="0"/>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8"/>
                <w:szCs w:val="18"/>
                <w:color w:val="auto"/>
              </w:rPr>
              <w:t>10.15+</w:t>
            </w:r>
          </w:p>
        </w:tc>
        <w:tc>
          <w:tcPr>
            <w:tcW w:w="20" w:type="dxa"/>
            <w:vAlign w:val="bottom"/>
            <w:tcBorders>
              <w:bottom w:val="single" w:sz="8" w:color="0000EE"/>
            </w:tcBorders>
          </w:tcPr>
          <w:p>
            <w:pPr>
              <w:spacing w:after="0"/>
              <w:rPr>
                <w:sz w:val="13"/>
                <w:szCs w:val="13"/>
                <w:color w:val="auto"/>
              </w:rPr>
            </w:pPr>
          </w:p>
        </w:tc>
        <w:tc>
          <w:tcPr>
            <w:tcW w:w="186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auto"/>
                <w:w w:val="88"/>
              </w:rPr>
            </w:pPr>
            <w:hyperlink r:id="rId436">
              <w:r>
                <w:rPr>
                  <w:rFonts w:ascii="Arial" w:cs="Arial" w:eastAsia="Arial" w:hAnsi="Arial"/>
                  <w:sz w:val="18"/>
                  <w:szCs w:val="18"/>
                  <w:color w:val="auto"/>
                  <w:w w:val="88"/>
                </w:rPr>
                <w:t>dated November 28, 2017</w:t>
              </w:r>
            </w:hyperlink>
          </w:p>
        </w:tc>
        <w:tc>
          <w:tcPr>
            <w:tcW w:w="3680" w:type="dxa"/>
            <w:vAlign w:val="bottom"/>
            <w:tcBorders>
              <w:top w:val="single" w:sz="8" w:color="0000EE"/>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5860" w:type="dxa"/>
            <w:vAlign w:val="bottom"/>
            <w:gridSpan w:val="26"/>
          </w:tcPr>
          <w:p>
            <w:pPr>
              <w:spacing w:after="0" w:line="182" w:lineRule="exact"/>
              <w:rPr>
                <w:rFonts w:ascii="Arial" w:cs="Arial" w:eastAsia="Arial" w:hAnsi="Arial"/>
                <w:sz w:val="18"/>
                <w:szCs w:val="18"/>
                <w:color w:val="auto"/>
                <w:w w:val="95"/>
              </w:rPr>
            </w:pPr>
            <w:hyperlink r:id="rId437">
              <w:r>
                <w:rPr>
                  <w:rFonts w:ascii="Arial" w:cs="Arial" w:eastAsia="Arial" w:hAnsi="Arial"/>
                  <w:sz w:val="18"/>
                  <w:szCs w:val="18"/>
                  <w:color w:val="auto"/>
                  <w:w w:val="95"/>
                </w:rPr>
                <w:t>RSU Agreement (performance based (market)) between Stephen Kaufer and</w:t>
              </w:r>
            </w:hyperlink>
          </w:p>
        </w:tc>
        <w:tc>
          <w:tcPr>
            <w:tcW w:w="0" w:type="dxa"/>
            <w:vAlign w:val="bottom"/>
          </w:tcPr>
          <w:p>
            <w:pPr>
              <w:spacing w:after="0"/>
              <w:rPr>
                <w:sz w:val="1"/>
                <w:szCs w:val="1"/>
                <w:color w:val="auto"/>
              </w:rPr>
            </w:pPr>
          </w:p>
        </w:tc>
      </w:tr>
      <w:tr>
        <w:trPr>
          <w:trHeight w:val="155"/>
        </w:trPr>
        <w:tc>
          <w:tcPr>
            <w:tcW w:w="1020" w:type="dxa"/>
            <w:vAlign w:val="bottom"/>
            <w:vMerge w:val="restart"/>
          </w:tcPr>
          <w:p>
            <w:pPr>
              <w:spacing w:after="0"/>
              <w:rPr>
                <w:sz w:val="20"/>
                <w:szCs w:val="20"/>
                <w:color w:val="auto"/>
              </w:rPr>
            </w:pPr>
            <w:r>
              <w:rPr>
                <w:rFonts w:ascii="Arial" w:cs="Arial" w:eastAsia="Arial" w:hAnsi="Arial"/>
                <w:sz w:val="18"/>
                <w:szCs w:val="18"/>
                <w:color w:val="auto"/>
              </w:rPr>
              <w:t>10.16+</w:t>
            </w:r>
          </w:p>
        </w:tc>
        <w:tc>
          <w:tcPr>
            <w:tcW w:w="20" w:type="dxa"/>
            <w:vAlign w:val="bottom"/>
            <w:tcBorders>
              <w:bottom w:val="single" w:sz="8" w:color="0000EE"/>
            </w:tcBorders>
          </w:tcPr>
          <w:p>
            <w:pPr>
              <w:spacing w:after="0"/>
              <w:rPr>
                <w:sz w:val="13"/>
                <w:szCs w:val="13"/>
                <w:color w:val="auto"/>
              </w:rPr>
            </w:pPr>
          </w:p>
        </w:tc>
        <w:tc>
          <w:tcPr>
            <w:tcW w:w="3100" w:type="dxa"/>
            <w:vAlign w:val="bottom"/>
            <w:tcBorders>
              <w:top w:val="single" w:sz="8" w:color="0000EE"/>
              <w:bottom w:val="single" w:sz="8" w:color="0000EE"/>
            </w:tcBorders>
            <w:gridSpan w:val="6"/>
          </w:tcPr>
          <w:p>
            <w:pPr>
              <w:spacing w:after="0" w:line="156" w:lineRule="exact"/>
              <w:rPr>
                <w:rFonts w:ascii="Arial" w:cs="Arial" w:eastAsia="Arial" w:hAnsi="Arial"/>
                <w:sz w:val="18"/>
                <w:szCs w:val="18"/>
                <w:color w:val="auto"/>
                <w:w w:val="90"/>
              </w:rPr>
            </w:pPr>
            <w:hyperlink r:id="rId437">
              <w:r>
                <w:rPr>
                  <w:rFonts w:ascii="Arial" w:cs="Arial" w:eastAsia="Arial" w:hAnsi="Arial"/>
                  <w:sz w:val="18"/>
                  <w:szCs w:val="18"/>
                  <w:color w:val="auto"/>
                  <w:w w:val="90"/>
                </w:rPr>
                <w:t>Tripadvisor, Inc. dated November 28, 2017</w:t>
              </w:r>
            </w:hyperlink>
          </w:p>
        </w:tc>
        <w:tc>
          <w:tcPr>
            <w:tcW w:w="2460" w:type="dxa"/>
            <w:vAlign w:val="bottom"/>
            <w:tcBorders>
              <w:top w:val="single" w:sz="8" w:color="0000EE"/>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5860" w:type="dxa"/>
            <w:vAlign w:val="bottom"/>
            <w:gridSpan w:val="26"/>
          </w:tcPr>
          <w:p>
            <w:pPr>
              <w:spacing w:after="0" w:line="182" w:lineRule="exact"/>
              <w:rPr>
                <w:rFonts w:ascii="Arial" w:cs="Arial" w:eastAsia="Arial" w:hAnsi="Arial"/>
                <w:sz w:val="18"/>
                <w:szCs w:val="18"/>
                <w:color w:val="auto"/>
                <w:w w:val="91"/>
              </w:rPr>
            </w:pPr>
            <w:hyperlink r:id="rId438">
              <w:r>
                <w:rPr>
                  <w:rFonts w:ascii="Arial" w:cs="Arial" w:eastAsia="Arial" w:hAnsi="Arial"/>
                  <w:sz w:val="18"/>
                  <w:szCs w:val="18"/>
                  <w:color w:val="auto"/>
                  <w:w w:val="91"/>
                </w:rPr>
                <w:t>RSU Agreement (performance based (financial and strategic)) between Stephen</w:t>
              </w:r>
            </w:hyperlink>
          </w:p>
        </w:tc>
        <w:tc>
          <w:tcPr>
            <w:tcW w:w="0" w:type="dxa"/>
            <w:vAlign w:val="bottom"/>
          </w:tcPr>
          <w:p>
            <w:pPr>
              <w:spacing w:after="0"/>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13"/>
                <w:szCs w:val="13"/>
                <w:color w:val="auto"/>
              </w:rPr>
            </w:pPr>
          </w:p>
        </w:tc>
        <w:tc>
          <w:tcPr>
            <w:tcW w:w="5820" w:type="dxa"/>
            <w:vAlign w:val="bottom"/>
            <w:tcBorders>
              <w:top w:val="single" w:sz="8" w:color="0000EE"/>
            </w:tcBorders>
            <w:gridSpan w:val="23"/>
          </w:tcPr>
          <w:p>
            <w:pPr>
              <w:spacing w:after="0" w:line="156" w:lineRule="exact"/>
              <w:rPr>
                <w:rFonts w:ascii="Arial" w:cs="Arial" w:eastAsia="Arial" w:hAnsi="Arial"/>
                <w:sz w:val="18"/>
                <w:szCs w:val="18"/>
                <w:color w:val="auto"/>
              </w:rPr>
            </w:pPr>
            <w:hyperlink r:id="rId438">
              <w:r>
                <w:rPr>
                  <w:rFonts w:ascii="Arial" w:cs="Arial" w:eastAsia="Arial" w:hAnsi="Arial"/>
                  <w:sz w:val="18"/>
                  <w:szCs w:val="18"/>
                  <w:color w:val="auto"/>
                </w:rPr>
                <w:t>Kaufer and Tripadvisor, Inc. dated November 28, 2017</w:t>
              </w:r>
            </w:hyperlink>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27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auto"/>
                <w:w w:val="91"/>
              </w:rPr>
            </w:pPr>
            <w:hyperlink r:id="rId439">
              <w:r>
                <w:rPr>
                  <w:rFonts w:ascii="Arial" w:cs="Arial" w:eastAsia="Arial" w:hAnsi="Arial"/>
                  <w:sz w:val="18"/>
                  <w:szCs w:val="18"/>
                  <w:color w:val="auto"/>
                  <w:w w:val="91"/>
                </w:rPr>
                <w:t>Viator, Inc. 2010 Stock Incentive Plan</w:t>
              </w:r>
            </w:hyperlink>
          </w:p>
        </w:tc>
        <w:tc>
          <w:tcPr>
            <w:tcW w:w="1200" w:type="dxa"/>
            <w:vAlign w:val="bottom"/>
            <w:tcBorders>
              <w:top w:val="single" w:sz="8" w:color="0000EE"/>
            </w:tcBorders>
            <w:gridSpan w:val="2"/>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8"/>
                <w:szCs w:val="18"/>
                <w:color w:val="auto"/>
              </w:rPr>
              <w:t>10.19</w:t>
            </w:r>
          </w:p>
        </w:tc>
        <w:tc>
          <w:tcPr>
            <w:tcW w:w="5860" w:type="dxa"/>
            <w:vAlign w:val="bottom"/>
            <w:gridSpan w:val="26"/>
          </w:tcPr>
          <w:p>
            <w:pPr>
              <w:spacing w:after="0"/>
              <w:rPr>
                <w:rFonts w:ascii="Arial" w:cs="Arial" w:eastAsia="Arial" w:hAnsi="Arial"/>
                <w:sz w:val="18"/>
                <w:szCs w:val="18"/>
                <w:color w:val="auto"/>
                <w:w w:val="95"/>
              </w:rPr>
            </w:pPr>
            <w:hyperlink r:id="rId440">
              <w:r>
                <w:rPr>
                  <w:rFonts w:ascii="Arial" w:cs="Arial" w:eastAsia="Arial" w:hAnsi="Arial"/>
                  <w:sz w:val="18"/>
                  <w:szCs w:val="18"/>
                  <w:color w:val="auto"/>
                  <w:w w:val="95"/>
                </w:rPr>
                <w:t>Credit Agreement dated as of June 26, 2015 by and among Tripadvisor, Inc.,</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80" w:type="dxa"/>
            <w:vAlign w:val="bottom"/>
            <w:tcBorders>
              <w:top w:val="single" w:sz="8" w:color="0000EE"/>
            </w:tcBorders>
            <w:gridSpan w:val="14"/>
          </w:tcPr>
          <w:p>
            <w:pPr>
              <w:spacing w:after="0" w:line="156" w:lineRule="exact"/>
              <w:rPr>
                <w:rFonts w:ascii="Arial" w:cs="Arial" w:eastAsia="Arial" w:hAnsi="Arial"/>
                <w:sz w:val="18"/>
                <w:szCs w:val="18"/>
                <w:color w:val="auto"/>
                <w:w w:val="94"/>
              </w:rPr>
            </w:pPr>
            <w:hyperlink r:id="rId440">
              <w:r>
                <w:rPr>
                  <w:rFonts w:ascii="Arial" w:cs="Arial" w:eastAsia="Arial" w:hAnsi="Arial"/>
                  <w:sz w:val="18"/>
                  <w:szCs w:val="18"/>
                  <w:color w:val="auto"/>
                  <w:w w:val="94"/>
                </w:rPr>
                <w:t>Tripadvisor Holdings, LLC, Tripadvisor LLC, JPMorgan Chase Bank, N.A.,</w:t>
              </w:r>
            </w:hyperlink>
          </w:p>
        </w:tc>
        <w:tc>
          <w:tcPr>
            <w:tcW w:w="260" w:type="dxa"/>
            <w:vAlign w:val="bottom"/>
            <w:gridSpan w:val="11"/>
          </w:tcPr>
          <w:p>
            <w:pPr>
              <w:jc w:val="center"/>
              <w:ind w:right="160"/>
              <w:spacing w:after="0"/>
              <w:rPr>
                <w:rFonts w:ascii="Arial" w:cs="Arial" w:eastAsia="Arial" w:hAnsi="Arial"/>
                <w:sz w:val="13"/>
                <w:szCs w:val="13"/>
                <w:color w:val="auto"/>
                <w:w w:val="72"/>
              </w:rPr>
            </w:pPr>
            <w:hyperlink r:id="rId440">
              <w:r>
                <w:rPr>
                  <w:rFonts w:ascii="Arial" w:cs="Arial" w:eastAsia="Arial" w:hAnsi="Arial"/>
                  <w:sz w:val="13"/>
                  <w:szCs w:val="13"/>
                  <w:color w:val="auto"/>
                  <w:w w:val="72"/>
                </w:rPr>
                <w:t>as</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EE"/>
            </w:tcBorders>
            <w:gridSpan w:val="20"/>
          </w:tcPr>
          <w:p>
            <w:pPr>
              <w:spacing w:after="0" w:line="156" w:lineRule="exact"/>
              <w:rPr>
                <w:rFonts w:ascii="Arial" w:cs="Arial" w:eastAsia="Arial" w:hAnsi="Arial"/>
                <w:sz w:val="18"/>
                <w:szCs w:val="18"/>
                <w:color w:val="auto"/>
                <w:w w:val="93"/>
              </w:rPr>
            </w:pPr>
            <w:hyperlink r:id="rId440">
              <w:r>
                <w:rPr>
                  <w:rFonts w:ascii="Arial" w:cs="Arial" w:eastAsia="Arial" w:hAnsi="Arial"/>
                  <w:sz w:val="18"/>
                  <w:szCs w:val="18"/>
                  <w:color w:val="auto"/>
                  <w:w w:val="93"/>
                </w:rPr>
                <w:t>Administrative Agent; J.P. Morgan Europe Limited, as London Agent; Morgan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EE"/>
            </w:tcBorders>
            <w:gridSpan w:val="18"/>
          </w:tcPr>
          <w:p>
            <w:pPr>
              <w:spacing w:after="0" w:line="156" w:lineRule="exact"/>
              <w:rPr>
                <w:rFonts w:ascii="Arial" w:cs="Arial" w:eastAsia="Arial" w:hAnsi="Arial"/>
                <w:sz w:val="18"/>
                <w:szCs w:val="18"/>
                <w:color w:val="auto"/>
                <w:w w:val="97"/>
              </w:rPr>
            </w:pPr>
            <w:hyperlink r:id="rId440">
              <w:r>
                <w:rPr>
                  <w:rFonts w:ascii="Arial" w:cs="Arial" w:eastAsia="Arial" w:hAnsi="Arial"/>
                  <w:sz w:val="18"/>
                  <w:szCs w:val="18"/>
                  <w:color w:val="auto"/>
                  <w:w w:val="97"/>
                </w:rPr>
                <w:t>Stanley Bank, N.A.; Bank of America, N.A.; BNP Paribas; SunTrust Bank;</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EE"/>
              <w:bottom w:val="single" w:sz="8" w:color="0000EE"/>
            </w:tcBorders>
            <w:gridSpan w:val="11"/>
          </w:tcPr>
          <w:p>
            <w:pPr>
              <w:spacing w:after="0" w:line="156" w:lineRule="exact"/>
              <w:rPr>
                <w:rFonts w:ascii="Arial" w:cs="Arial" w:eastAsia="Arial" w:hAnsi="Arial"/>
                <w:sz w:val="18"/>
                <w:szCs w:val="18"/>
                <w:color w:val="auto"/>
                <w:w w:val="93"/>
              </w:rPr>
            </w:pPr>
            <w:hyperlink r:id="rId440">
              <w:r>
                <w:rPr>
                  <w:rFonts w:ascii="Arial" w:cs="Arial" w:eastAsia="Arial" w:hAnsi="Arial"/>
                  <w:sz w:val="18"/>
                  <w:szCs w:val="18"/>
                  <w:color w:val="auto"/>
                  <w:w w:val="93"/>
                </w:rPr>
                <w:t>Wells Fargo Bank, National Association; Royal Bank of Canada; Barclays</w:t>
              </w:r>
            </w:hyperlink>
          </w:p>
        </w:tc>
        <w:tc>
          <w:tcPr>
            <w:tcW w:w="380" w:type="dxa"/>
            <w:vAlign w:val="bottom"/>
            <w:tcBorders>
              <w:bottom w:val="single" w:sz="8" w:color="0000EE"/>
            </w:tcBorders>
            <w:gridSpan w:val="14"/>
          </w:tcPr>
          <w:p>
            <w:pPr>
              <w:jc w:val="center"/>
              <w:ind w:right="80"/>
              <w:spacing w:after="0" w:line="156" w:lineRule="exact"/>
              <w:rPr>
                <w:rFonts w:ascii="Arial" w:cs="Arial" w:eastAsia="Arial" w:hAnsi="Arial"/>
                <w:sz w:val="18"/>
                <w:szCs w:val="18"/>
                <w:color w:val="auto"/>
                <w:w w:val="73"/>
              </w:rPr>
            </w:pPr>
            <w:hyperlink r:id="rId440">
              <w:r>
                <w:rPr>
                  <w:rFonts w:ascii="Arial" w:cs="Arial" w:eastAsia="Arial" w:hAnsi="Arial"/>
                  <w:sz w:val="18"/>
                  <w:szCs w:val="18"/>
                  <w:color w:val="auto"/>
                  <w:w w:val="73"/>
                </w:rPr>
                <w:t>Bank</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gridSpan w:val="25"/>
          </w:tcPr>
          <w:p>
            <w:pPr>
              <w:spacing w:after="0" w:line="156" w:lineRule="exact"/>
              <w:rPr>
                <w:rFonts w:ascii="Arial" w:cs="Arial" w:eastAsia="Arial" w:hAnsi="Arial"/>
                <w:sz w:val="18"/>
                <w:szCs w:val="18"/>
                <w:color w:val="auto"/>
              </w:rPr>
            </w:pPr>
            <w:hyperlink r:id="rId440">
              <w:r>
                <w:rPr>
                  <w:rFonts w:ascii="Arial" w:cs="Arial" w:eastAsia="Arial" w:hAnsi="Arial"/>
                  <w:sz w:val="18"/>
                  <w:szCs w:val="18"/>
                  <w:color w:val="auto"/>
                </w:rPr>
                <w:t>PLC; U.S. Bank National Association; Citibank, N.A.; The Bank of Tokyo-</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5440" w:type="dxa"/>
            <w:vAlign w:val="bottom"/>
            <w:tcBorders>
              <w:top w:val="single" w:sz="8" w:color="0000EE"/>
            </w:tcBorders>
            <w:gridSpan w:val="11"/>
          </w:tcPr>
          <w:p>
            <w:pPr>
              <w:spacing w:after="0" w:line="156" w:lineRule="exact"/>
              <w:rPr>
                <w:rFonts w:ascii="Arial" w:cs="Arial" w:eastAsia="Arial" w:hAnsi="Arial"/>
                <w:sz w:val="18"/>
                <w:szCs w:val="18"/>
                <w:color w:val="auto"/>
                <w:w w:val="93"/>
              </w:rPr>
            </w:pPr>
            <w:hyperlink r:id="rId440">
              <w:r>
                <w:rPr>
                  <w:rFonts w:ascii="Arial" w:cs="Arial" w:eastAsia="Arial" w:hAnsi="Arial"/>
                  <w:sz w:val="18"/>
                  <w:szCs w:val="18"/>
                  <w:color w:val="auto"/>
                  <w:w w:val="93"/>
                </w:rPr>
                <w:t>Mitsubishi UFJ, Ltd.; Goldman Sachs Bank USA; and Deutsche Bank AG</w:t>
              </w:r>
            </w:hyperlink>
          </w:p>
        </w:tc>
        <w:tc>
          <w:tcPr>
            <w:tcW w:w="420" w:type="dxa"/>
            <w:vAlign w:val="bottom"/>
            <w:gridSpan w:val="15"/>
          </w:tcPr>
          <w:p>
            <w:pPr>
              <w:spacing w:after="0" w:line="156" w:lineRule="exact"/>
              <w:rPr>
                <w:rFonts w:ascii="Arial" w:cs="Arial" w:eastAsia="Arial" w:hAnsi="Arial"/>
                <w:sz w:val="18"/>
                <w:szCs w:val="18"/>
                <w:color w:val="auto"/>
              </w:rPr>
            </w:pPr>
            <w:hyperlink r:id="rId440">
              <w:r>
                <w:rPr>
                  <w:rFonts w:ascii="Arial" w:cs="Arial" w:eastAsia="Arial" w:hAnsi="Arial"/>
                  <w:sz w:val="18"/>
                  <w:szCs w:val="18"/>
                  <w:color w:val="auto"/>
                </w:rPr>
                <w:t>New</w:t>
              </w:r>
            </w:hyperlink>
          </w:p>
        </w:tc>
        <w:tc>
          <w:tcPr>
            <w:tcW w:w="0" w:type="dxa"/>
            <w:vAlign w:val="bottom"/>
          </w:tcPr>
          <w:p>
            <w:pPr>
              <w:spacing w:after="0"/>
              <w:rPr>
                <w:sz w:val="1"/>
                <w:szCs w:val="1"/>
                <w:color w:val="auto"/>
              </w:rPr>
            </w:pPr>
          </w:p>
        </w:tc>
      </w:tr>
      <w:tr>
        <w:trPr>
          <w:trHeight w:val="155"/>
        </w:trPr>
        <w:tc>
          <w:tcPr>
            <w:tcW w:w="1020" w:type="dxa"/>
            <w:vAlign w:val="bottom"/>
            <w:vMerge w:val="restart"/>
          </w:tcPr>
          <w:p>
            <w:pPr>
              <w:spacing w:after="0"/>
              <w:rPr>
                <w:sz w:val="20"/>
                <w:szCs w:val="20"/>
                <w:color w:val="auto"/>
              </w:rPr>
            </w:pPr>
            <w:r>
              <w:rPr>
                <w:rFonts w:ascii="Arial" w:cs="Arial" w:eastAsia="Arial" w:hAnsi="Arial"/>
                <w:sz w:val="18"/>
                <w:szCs w:val="18"/>
                <w:color w:val="auto"/>
              </w:rPr>
              <w:t>10.20</w:t>
            </w:r>
          </w:p>
        </w:tc>
        <w:tc>
          <w:tcPr>
            <w:tcW w:w="20" w:type="dxa"/>
            <w:vAlign w:val="bottom"/>
          </w:tcPr>
          <w:p>
            <w:pPr>
              <w:spacing w:after="0"/>
              <w:rPr>
                <w:sz w:val="13"/>
                <w:szCs w:val="13"/>
                <w:color w:val="auto"/>
              </w:rPr>
            </w:pPr>
          </w:p>
        </w:tc>
        <w:tc>
          <w:tcPr>
            <w:tcW w:w="5800" w:type="dxa"/>
            <w:vAlign w:val="bottom"/>
            <w:tcBorders>
              <w:top w:val="single" w:sz="8" w:color="0000EE"/>
            </w:tcBorders>
            <w:gridSpan w:val="22"/>
          </w:tcPr>
          <w:p>
            <w:pPr>
              <w:spacing w:after="0" w:line="156" w:lineRule="exact"/>
              <w:rPr>
                <w:rFonts w:ascii="Arial" w:cs="Arial" w:eastAsia="Arial" w:hAnsi="Arial"/>
                <w:sz w:val="18"/>
                <w:szCs w:val="18"/>
                <w:color w:val="auto"/>
              </w:rPr>
            </w:pPr>
            <w:hyperlink r:id="rId440">
              <w:r>
                <w:rPr>
                  <w:rFonts w:ascii="Arial" w:cs="Arial" w:eastAsia="Arial" w:hAnsi="Arial"/>
                  <w:sz w:val="18"/>
                  <w:szCs w:val="18"/>
                  <w:color w:val="auto"/>
                </w:rPr>
                <w:t>York Branch</w:t>
              </w:r>
            </w:hyperlink>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2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5860" w:type="dxa"/>
            <w:vAlign w:val="bottom"/>
            <w:gridSpan w:val="26"/>
          </w:tcPr>
          <w:p>
            <w:pPr>
              <w:spacing w:after="0" w:line="182" w:lineRule="exact"/>
              <w:rPr>
                <w:rFonts w:ascii="Arial" w:cs="Arial" w:eastAsia="Arial" w:hAnsi="Arial"/>
                <w:sz w:val="18"/>
                <w:szCs w:val="18"/>
                <w:color w:val="auto"/>
                <w:w w:val="95"/>
              </w:rPr>
            </w:pPr>
            <w:hyperlink r:id="rId441">
              <w:r>
                <w:rPr>
                  <w:rFonts w:ascii="Arial" w:cs="Arial" w:eastAsia="Arial" w:hAnsi="Arial"/>
                  <w:sz w:val="18"/>
                  <w:szCs w:val="18"/>
                  <w:color w:val="auto"/>
                  <w:w w:val="95"/>
                </w:rPr>
                <w:t>First Amendment, dated as of May 12, 2017, by and among Tripadvisor, Inc.,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16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840" w:type="dxa"/>
            <w:vAlign w:val="bottom"/>
            <w:gridSpan w:val="25"/>
          </w:tcPr>
          <w:p>
            <w:pPr>
              <w:spacing w:after="0" w:line="156" w:lineRule="exact"/>
              <w:rPr>
                <w:rFonts w:ascii="Arial" w:cs="Arial" w:eastAsia="Arial" w:hAnsi="Arial"/>
                <w:sz w:val="18"/>
                <w:szCs w:val="18"/>
                <w:color w:val="auto"/>
                <w:w w:val="93"/>
              </w:rPr>
            </w:pPr>
            <w:hyperlink r:id="rId441">
              <w:r>
                <w:rPr>
                  <w:rFonts w:ascii="Arial" w:cs="Arial" w:eastAsia="Arial" w:hAnsi="Arial"/>
                  <w:sz w:val="18"/>
                  <w:szCs w:val="18"/>
                  <w:color w:val="auto"/>
                  <w:w w:val="93"/>
                </w:rPr>
                <w:t>Tripadvisor Holdings, LLC, Tripadvisor LLC and other Subsidiary Loan Parties</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EE"/>
            </w:tcBorders>
            <w:gridSpan w:val="24"/>
          </w:tcPr>
          <w:p>
            <w:pPr>
              <w:spacing w:after="0" w:line="156" w:lineRule="exact"/>
              <w:rPr>
                <w:rFonts w:ascii="Arial" w:cs="Arial" w:eastAsia="Arial" w:hAnsi="Arial"/>
                <w:sz w:val="18"/>
                <w:szCs w:val="18"/>
                <w:color w:val="auto"/>
              </w:rPr>
            </w:pPr>
            <w:hyperlink r:id="rId441">
              <w:r>
                <w:rPr>
                  <w:rFonts w:ascii="Arial" w:cs="Arial" w:eastAsia="Arial" w:hAnsi="Arial"/>
                  <w:sz w:val="18"/>
                  <w:szCs w:val="18"/>
                  <w:color w:val="auto"/>
                </w:rPr>
                <w:t>party thereto, the Lenders party thereto, JPMorgan Chase Bank, N.A., as</w:t>
              </w:r>
            </w:hyperlink>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vMerge w:val="restart"/>
          </w:tcPr>
          <w:p>
            <w:pPr>
              <w:spacing w:after="0"/>
              <w:rPr>
                <w:sz w:val="20"/>
                <w:szCs w:val="20"/>
                <w:color w:val="auto"/>
              </w:rPr>
            </w:pPr>
            <w:r>
              <w:rPr>
                <w:rFonts w:ascii="Arial" w:cs="Arial" w:eastAsia="Arial" w:hAnsi="Arial"/>
                <w:sz w:val="18"/>
                <w:szCs w:val="18"/>
                <w:color w:val="auto"/>
              </w:rPr>
              <w:t>10.21</w:t>
            </w:r>
          </w:p>
        </w:tc>
        <w:tc>
          <w:tcPr>
            <w:tcW w:w="20" w:type="dxa"/>
            <w:vAlign w:val="bottom"/>
          </w:tcPr>
          <w:p>
            <w:pPr>
              <w:spacing w:after="0"/>
              <w:rPr>
                <w:sz w:val="13"/>
                <w:szCs w:val="13"/>
                <w:color w:val="auto"/>
              </w:rPr>
            </w:pPr>
          </w:p>
        </w:tc>
        <w:tc>
          <w:tcPr>
            <w:tcW w:w="5260" w:type="dxa"/>
            <w:vAlign w:val="bottom"/>
            <w:tcBorders>
              <w:top w:val="single" w:sz="8" w:color="0000EE"/>
            </w:tcBorders>
            <w:gridSpan w:val="9"/>
          </w:tcPr>
          <w:p>
            <w:pPr>
              <w:spacing w:after="0" w:line="156" w:lineRule="exact"/>
              <w:rPr>
                <w:rFonts w:ascii="Arial" w:cs="Arial" w:eastAsia="Arial" w:hAnsi="Arial"/>
                <w:sz w:val="18"/>
                <w:szCs w:val="18"/>
                <w:color w:val="auto"/>
                <w:w w:val="91"/>
              </w:rPr>
            </w:pPr>
            <w:hyperlink r:id="rId441">
              <w:r>
                <w:rPr>
                  <w:rFonts w:ascii="Arial" w:cs="Arial" w:eastAsia="Arial" w:hAnsi="Arial"/>
                  <w:sz w:val="18"/>
                  <w:szCs w:val="18"/>
                  <w:color w:val="auto"/>
                  <w:w w:val="91"/>
                </w:rPr>
                <w:t>administrative agent, and J.P.Morgan Europe Limited, as London Agent</w:t>
              </w:r>
            </w:hyperlink>
          </w:p>
        </w:tc>
        <w:tc>
          <w:tcPr>
            <w:tcW w:w="34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5180" w:type="dxa"/>
            <w:vAlign w:val="bottom"/>
            <w:tcBorders>
              <w:top w:val="single" w:sz="8" w:color="0000EE"/>
            </w:tcBorders>
            <w:gridSpan w:val="9"/>
          </w:tcPr>
          <w:p>
            <w:pPr>
              <w:spacing w:after="0" w:line="182" w:lineRule="exact"/>
              <w:rPr>
                <w:rFonts w:ascii="Arial" w:cs="Arial" w:eastAsia="Arial" w:hAnsi="Arial"/>
                <w:sz w:val="18"/>
                <w:szCs w:val="18"/>
                <w:color w:val="auto"/>
                <w:w w:val="87"/>
              </w:rPr>
            </w:pPr>
            <w:hyperlink r:id="rId442">
              <w:r>
                <w:rPr>
                  <w:rFonts w:ascii="Arial" w:cs="Arial" w:eastAsia="Arial" w:hAnsi="Arial"/>
                  <w:sz w:val="18"/>
                  <w:szCs w:val="18"/>
                  <w:color w:val="auto"/>
                  <w:w w:val="87"/>
                </w:rPr>
                <w:t>Second Amendment, dated as of May 5, 2020, by and among Tripadvisor,</w:t>
              </w:r>
            </w:hyperlink>
          </w:p>
        </w:tc>
        <w:tc>
          <w:tcPr>
            <w:tcW w:w="680" w:type="dxa"/>
            <w:vAlign w:val="bottom"/>
            <w:gridSpan w:val="17"/>
          </w:tcPr>
          <w:p>
            <w:pPr>
              <w:ind w:left="200"/>
              <w:spacing w:after="0" w:line="182" w:lineRule="exact"/>
              <w:rPr>
                <w:rFonts w:ascii="Arial" w:cs="Arial" w:eastAsia="Arial" w:hAnsi="Arial"/>
                <w:sz w:val="18"/>
                <w:szCs w:val="18"/>
                <w:color w:val="auto"/>
              </w:rPr>
            </w:pPr>
            <w:hyperlink r:id="rId442">
              <w:r>
                <w:rPr>
                  <w:rFonts w:ascii="Arial" w:cs="Arial" w:eastAsia="Arial" w:hAnsi="Arial"/>
                  <w:sz w:val="18"/>
                  <w:szCs w:val="18"/>
                  <w:color w:val="auto"/>
                </w:rPr>
                <w:t>Inc.,</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40" w:type="dxa"/>
            <w:vAlign w:val="bottom"/>
            <w:tcBorders>
              <w:top w:val="single" w:sz="8" w:color="0000EE"/>
              <w:bottom w:val="single" w:sz="8" w:color="0000EE"/>
            </w:tcBorders>
            <w:gridSpan w:val="19"/>
          </w:tcPr>
          <w:p>
            <w:pPr>
              <w:spacing w:after="0" w:line="156" w:lineRule="exact"/>
              <w:rPr>
                <w:rFonts w:ascii="Arial" w:cs="Arial" w:eastAsia="Arial" w:hAnsi="Arial"/>
                <w:sz w:val="18"/>
                <w:szCs w:val="18"/>
                <w:color w:val="auto"/>
                <w:w w:val="91"/>
              </w:rPr>
            </w:pPr>
            <w:hyperlink r:id="rId442">
              <w:r>
                <w:rPr>
                  <w:rFonts w:ascii="Arial" w:cs="Arial" w:eastAsia="Arial" w:hAnsi="Arial"/>
                  <w:sz w:val="18"/>
                  <w:szCs w:val="18"/>
                  <w:color w:val="auto"/>
                  <w:w w:val="91"/>
                </w:rPr>
                <w:t>Tripadvisor Holdings, LLC, Tripadvisor LLC, the other Borrowers party thereto,</w:t>
              </w:r>
            </w:hyperlink>
          </w:p>
        </w:tc>
        <w:tc>
          <w:tcPr>
            <w:tcW w:w="100" w:type="dxa"/>
            <w:vAlign w:val="bottom"/>
            <w:tcBorders>
              <w:bottom w:val="single" w:sz="8" w:color="0000EE"/>
            </w:tcBorders>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bottom w:val="single" w:sz="8" w:color="0000EE"/>
            </w:tcBorders>
            <w:gridSpan w:val="25"/>
          </w:tcPr>
          <w:p>
            <w:pPr>
              <w:spacing w:after="0" w:line="156" w:lineRule="exact"/>
              <w:rPr>
                <w:rFonts w:ascii="Arial" w:cs="Arial" w:eastAsia="Arial" w:hAnsi="Arial"/>
                <w:sz w:val="18"/>
                <w:szCs w:val="18"/>
                <w:color w:val="auto"/>
                <w:w w:val="90"/>
              </w:rPr>
            </w:pPr>
            <w:hyperlink r:id="rId442">
              <w:r>
                <w:rPr>
                  <w:rFonts w:ascii="Arial" w:cs="Arial" w:eastAsia="Arial" w:hAnsi="Arial"/>
                  <w:sz w:val="18"/>
                  <w:szCs w:val="18"/>
                  <w:color w:val="auto"/>
                  <w:w w:val="90"/>
                </w:rPr>
                <w:t>the Lenders party thereto, JPMorgan Chase Bank, N.A., as Administrative Agent</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gridSpan w:val="25"/>
          </w:tcPr>
          <w:p>
            <w:pPr>
              <w:spacing w:after="0" w:line="156" w:lineRule="exact"/>
              <w:rPr>
                <w:rFonts w:ascii="Arial" w:cs="Arial" w:eastAsia="Arial" w:hAnsi="Arial"/>
                <w:sz w:val="18"/>
                <w:szCs w:val="18"/>
                <w:color w:val="auto"/>
                <w:w w:val="97"/>
              </w:rPr>
            </w:pPr>
            <w:hyperlink r:id="rId442">
              <w:r>
                <w:rPr>
                  <w:rFonts w:ascii="Arial" w:cs="Arial" w:eastAsia="Arial" w:hAnsi="Arial"/>
                  <w:sz w:val="18"/>
                  <w:szCs w:val="18"/>
                  <w:color w:val="auto"/>
                  <w:w w:val="97"/>
                </w:rPr>
                <w:t>and London Agent, BofA Securities, Inc., BMO Capital Markets Corp., BNP</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tcBorders>
              <w:top w:val="single" w:sz="8" w:color="0000EE"/>
              <w:bottom w:val="single" w:sz="8" w:color="0000EE"/>
            </w:tcBorders>
            <w:gridSpan w:val="15"/>
          </w:tcPr>
          <w:p>
            <w:pPr>
              <w:spacing w:after="0" w:line="156" w:lineRule="exact"/>
              <w:rPr>
                <w:rFonts w:ascii="Arial" w:cs="Arial" w:eastAsia="Arial" w:hAnsi="Arial"/>
                <w:sz w:val="18"/>
                <w:szCs w:val="18"/>
                <w:color w:val="auto"/>
                <w:w w:val="91"/>
              </w:rPr>
            </w:pPr>
            <w:hyperlink r:id="rId442">
              <w:r>
                <w:rPr>
                  <w:rFonts w:ascii="Arial" w:cs="Arial" w:eastAsia="Arial" w:hAnsi="Arial"/>
                  <w:sz w:val="18"/>
                  <w:szCs w:val="18"/>
                  <w:color w:val="auto"/>
                  <w:w w:val="91"/>
                </w:rPr>
                <w:t>Paribas Securities Corp., SunTrust Robinson Humphrey, Inc., and U.S. Bank</w:t>
              </w:r>
            </w:hyperlink>
          </w:p>
        </w:tc>
        <w:tc>
          <w:tcPr>
            <w:tcW w:w="40" w:type="dxa"/>
            <w:vAlign w:val="bottom"/>
            <w:tcBorders>
              <w:top w:val="single" w:sz="8" w:color="0000EE"/>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gridSpan w:val="25"/>
          </w:tcPr>
          <w:p>
            <w:pPr>
              <w:spacing w:after="0" w:line="156" w:lineRule="exact"/>
              <w:rPr>
                <w:rFonts w:ascii="Arial" w:cs="Arial" w:eastAsia="Arial" w:hAnsi="Arial"/>
                <w:sz w:val="18"/>
                <w:szCs w:val="18"/>
                <w:color w:val="auto"/>
                <w:w w:val="93"/>
              </w:rPr>
            </w:pPr>
            <w:hyperlink r:id="rId442">
              <w:r>
                <w:rPr>
                  <w:rFonts w:ascii="Arial" w:cs="Arial" w:eastAsia="Arial" w:hAnsi="Arial"/>
                  <w:sz w:val="18"/>
                  <w:szCs w:val="18"/>
                  <w:color w:val="auto"/>
                  <w:w w:val="93"/>
                </w:rPr>
                <w:t>National Association, as Joint Lead Arrangers and Joint Bookrunners; Bank of</w:t>
              </w:r>
            </w:hyperlink>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EE"/>
            </w:tcBorders>
            <w:gridSpan w:val="17"/>
          </w:tcPr>
          <w:p>
            <w:pPr>
              <w:spacing w:after="0" w:line="157" w:lineRule="exact"/>
              <w:rPr>
                <w:rFonts w:ascii="Arial" w:cs="Arial" w:eastAsia="Arial" w:hAnsi="Arial"/>
                <w:sz w:val="18"/>
                <w:szCs w:val="18"/>
                <w:color w:val="auto"/>
                <w:w w:val="95"/>
              </w:rPr>
            </w:pPr>
            <w:hyperlink r:id="rId442">
              <w:r>
                <w:rPr>
                  <w:rFonts w:ascii="Arial" w:cs="Arial" w:eastAsia="Arial" w:hAnsi="Arial"/>
                  <w:sz w:val="18"/>
                  <w:szCs w:val="18"/>
                  <w:color w:val="auto"/>
                  <w:w w:val="95"/>
                </w:rPr>
                <w:t>America, N.A., BMO Capital Markets Corp., BNP Paribas Securities Corp.,</w:t>
              </w:r>
            </w:hyperlink>
          </w:p>
        </w:tc>
        <w:tc>
          <w:tcPr>
            <w:tcW w:w="1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-635</wp:posOffset>
            </wp:positionV>
            <wp:extent cx="350329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3">
                      <a:extLst>
                        <a:ext uri="{28A0092B-C50C-407E-A947-70E740481C1C}"/>
                      </a:extLst>
                    </a:blip>
                    <a:srcRect/>
                    <a:stretch>
                      <a:fillRect/>
                    </a:stretch>
                  </pic:blipFill>
                  <pic:spPr bwMode="auto">
                    <a:xfrm>
                      <a:off x="0" y="0"/>
                      <a:ext cx="3503295" cy="8255"/>
                    </a:xfrm>
                    <a:prstGeom prst="rect">
                      <a:avLst/>
                    </a:prstGeom>
                    <a:noFill/>
                  </pic:spPr>
                </pic:pic>
              </a:graphicData>
            </a:graphic>
          </wp:anchor>
        </w:drawing>
      </w:r>
    </w:p>
    <w:p>
      <w:pPr>
        <w:ind w:left="1020" w:right="400"/>
        <w:spacing w:after="0" w:line="248" w:lineRule="auto"/>
        <w:rPr>
          <w:rFonts w:ascii="Arial" w:cs="Arial" w:eastAsia="Arial" w:hAnsi="Arial"/>
          <w:sz w:val="16"/>
          <w:szCs w:val="16"/>
          <w:color w:val="auto"/>
        </w:rPr>
      </w:pPr>
      <w:hyperlink r:id="rId442">
        <w:r>
          <w:rPr>
            <w:rFonts w:ascii="Arial" w:cs="Arial" w:eastAsia="Arial" w:hAnsi="Arial"/>
            <w:sz w:val="16"/>
            <w:szCs w:val="16"/>
            <w:color w:val="auto"/>
          </w:rPr>
          <w:t>SunTrust Robinson Humphrey, Inc. and U.S. Bank National Association, as Co-</w:t>
        </w:r>
      </w:hyperlink>
      <w:hyperlink r:id="rId442">
        <w:r>
          <w:rPr>
            <w:rFonts w:ascii="Arial" w:cs="Arial" w:eastAsia="Arial" w:hAnsi="Arial"/>
            <w:sz w:val="16"/>
            <w:szCs w:val="16"/>
            <w:color w:val="auto"/>
          </w:rPr>
          <w:t>Syndication Agents; and Barclays Bank PLC, Morgan Stanley Senior Funding,</w:t>
        </w:r>
      </w:hyperlink>
      <w:r>
        <w:rPr>
          <w:rFonts w:ascii="Arial" w:cs="Arial" w:eastAsia="Arial" w:hAnsi="Arial"/>
          <w:sz w:val="16"/>
          <w:szCs w:val="16"/>
          <w:color w:val="auto"/>
        </w:rPr>
        <w:t xml:space="preserve"> </w:t>
      </w:r>
      <w:hyperlink r:id="rId442">
        <w:r>
          <w:rPr>
            <w:rFonts w:ascii="Arial" w:cs="Arial" w:eastAsia="Arial" w:hAnsi="Arial"/>
            <w:sz w:val="16"/>
            <w:szCs w:val="16"/>
            <w:color w:val="auto"/>
          </w:rPr>
          <w:t>Inc. and Wells Fargo Bank, National Association, as Co-Documentation Agents.</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652145</wp:posOffset>
            </wp:positionH>
            <wp:positionV relativeFrom="paragraph">
              <wp:posOffset>-251460</wp:posOffset>
            </wp:positionV>
            <wp:extent cx="366014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4">
                      <a:extLst>
                        <a:ext uri="{28A0092B-C50C-407E-A947-70E740481C1C}"/>
                      </a:extLst>
                    </a:blip>
                    <a:srcRect/>
                    <a:stretch>
                      <a:fillRect/>
                    </a:stretch>
                  </pic:blipFill>
                  <pic:spPr bwMode="auto">
                    <a:xfrm>
                      <a:off x="0" y="0"/>
                      <a:ext cx="3660140" cy="825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-139700</wp:posOffset>
            </wp:positionV>
            <wp:extent cx="36410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5">
                      <a:extLst>
                        <a:ext uri="{28A0092B-C50C-407E-A947-70E740481C1C}"/>
                      </a:extLst>
                    </a:blip>
                    <a:srcRect/>
                    <a:stretch>
                      <a:fillRect/>
                    </a:stretch>
                  </pic:blipFill>
                  <pic:spPr bwMode="auto">
                    <a:xfrm>
                      <a:off x="0" y="0"/>
                      <a:ext cx="3641090" cy="825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-28575</wp:posOffset>
            </wp:positionV>
            <wp:extent cx="367284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6">
                      <a:extLst>
                        <a:ext uri="{28A0092B-C50C-407E-A947-70E740481C1C}"/>
                      </a:extLst>
                    </a:blip>
                    <a:srcRect/>
                    <a:stretch>
                      <a:fillRect/>
                    </a:stretch>
                  </pic:blipFill>
                  <pic:spPr bwMode="auto">
                    <a:xfrm>
                      <a:off x="0" y="0"/>
                      <a:ext cx="3672840" cy="8890"/>
                    </a:xfrm>
                    <a:prstGeom prst="rect">
                      <a:avLst/>
                    </a:prstGeom>
                    <a:noFill/>
                  </pic:spPr>
                </pic:pic>
              </a:graphicData>
            </a:graphic>
          </wp:anchor>
        </w:drawing>
      </w:r>
    </w:p>
    <w:p>
      <w:pPr>
        <w:spacing w:after="0" w:line="393" w:lineRule="exact"/>
        <w:rPr>
          <w:rFonts w:ascii="Arial" w:cs="Arial" w:eastAsia="Arial" w:hAnsi="Arial"/>
          <w:sz w:val="16"/>
          <w:szCs w:val="16"/>
          <w:color w:val="auto"/>
        </w:rPr>
      </w:pPr>
    </w:p>
    <w:p>
      <w:pPr>
        <w:ind w:left="5480"/>
        <w:spacing w:after="0"/>
        <w:rPr>
          <w:sz w:val="20"/>
          <w:szCs w:val="20"/>
          <w:color w:val="auto"/>
        </w:rPr>
      </w:pPr>
      <w:r>
        <w:rPr>
          <w:rFonts w:ascii="Arial" w:cs="Arial" w:eastAsia="Arial" w:hAnsi="Arial"/>
          <w:sz w:val="18"/>
          <w:szCs w:val="18"/>
          <w:color w:val="auto"/>
        </w:rPr>
        <w:t>117</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line="1" w:lineRule="exact"/>
        <w:rPr>
          <w:rFonts w:ascii="Arial" w:cs="Arial" w:eastAsia="Arial" w:hAnsi="Arial"/>
          <w:sz w:val="1"/>
          <w:szCs w:val="1"/>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85"/>
              </w:rPr>
              <w:t>10.1</w:t>
            </w:r>
          </w:p>
        </w:tc>
        <w:tc>
          <w:tcPr>
            <w:tcW w:w="820" w:type="dxa"/>
            <w:vAlign w:val="bottom"/>
          </w:tcPr>
          <w:p>
            <w:pPr>
              <w:jc w:val="center"/>
              <w:ind w:left="190"/>
              <w:spacing w:after="0"/>
              <w:rPr>
                <w:sz w:val="20"/>
                <w:szCs w:val="20"/>
                <w:color w:val="auto"/>
              </w:rPr>
            </w:pPr>
            <w:r>
              <w:rPr>
                <w:rFonts w:ascii="Arial" w:cs="Arial" w:eastAsia="Arial" w:hAnsi="Arial"/>
                <w:sz w:val="18"/>
                <w:szCs w:val="18"/>
                <w:color w:val="auto"/>
                <w:w w:val="91"/>
              </w:rPr>
              <w:t>6/8/17</w:t>
            </w:r>
          </w:p>
        </w:tc>
      </w:tr>
      <w:tr>
        <w:trPr>
          <w:trHeight w:val="202"/>
        </w:trPr>
        <w:tc>
          <w:tcPr>
            <w:tcW w:w="480" w:type="dxa"/>
            <w:vAlign w:val="bottom"/>
          </w:tcPr>
          <w:p>
            <w:pPr>
              <w:spacing w:after="0"/>
              <w:rPr>
                <w:sz w:val="17"/>
                <w:szCs w:val="17"/>
                <w:color w:val="auto"/>
              </w:rPr>
            </w:pP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87"/>
              </w:rPr>
              <w:t>35362</w:t>
            </w: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4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2"/>
              </w:rPr>
              <w:t>10-</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88"/>
              </w:rPr>
              <w:t>001-</w:t>
            </w:r>
          </w:p>
        </w:tc>
        <w:tc>
          <w:tcPr>
            <w:tcW w:w="8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8"/>
              </w:rPr>
              <w:t>10.12</w:t>
            </w:r>
          </w:p>
        </w:tc>
        <w:tc>
          <w:tcPr>
            <w:tcW w:w="8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89"/>
              </w:rPr>
              <w:t>2/21/18</w:t>
            </w:r>
          </w:p>
        </w:tc>
      </w:tr>
      <w:tr>
        <w:trPr>
          <w:trHeight w:val="202"/>
        </w:trPr>
        <w:tc>
          <w:tcPr>
            <w:tcW w:w="48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9"/>
              </w:rPr>
              <w:t>K</w:t>
            </w: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87"/>
              </w:rPr>
              <w:t>35362</w:t>
            </w: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4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2"/>
              </w:rPr>
              <w:t>10-</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88"/>
              </w:rPr>
              <w:t>001-</w:t>
            </w:r>
          </w:p>
        </w:tc>
        <w:tc>
          <w:tcPr>
            <w:tcW w:w="8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8"/>
              </w:rPr>
              <w:t>10.13</w:t>
            </w:r>
          </w:p>
        </w:tc>
        <w:tc>
          <w:tcPr>
            <w:tcW w:w="8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89"/>
              </w:rPr>
              <w:t>2/21/18</w:t>
            </w:r>
          </w:p>
        </w:tc>
      </w:tr>
      <w:tr>
        <w:trPr>
          <w:trHeight w:val="202"/>
        </w:trPr>
        <w:tc>
          <w:tcPr>
            <w:tcW w:w="48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9"/>
              </w:rPr>
              <w:t>K</w:t>
            </w: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87"/>
              </w:rPr>
              <w:t>35362</w:t>
            </w: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4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2"/>
              </w:rPr>
              <w:t>10-</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88"/>
              </w:rPr>
              <w:t>001-</w:t>
            </w:r>
          </w:p>
        </w:tc>
        <w:tc>
          <w:tcPr>
            <w:tcW w:w="8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8"/>
              </w:rPr>
              <w:t>10.14</w:t>
            </w:r>
          </w:p>
        </w:tc>
        <w:tc>
          <w:tcPr>
            <w:tcW w:w="8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89"/>
              </w:rPr>
              <w:t>2/21/18</w:t>
            </w:r>
          </w:p>
        </w:tc>
      </w:tr>
      <w:tr>
        <w:trPr>
          <w:trHeight w:val="202"/>
        </w:trPr>
        <w:tc>
          <w:tcPr>
            <w:tcW w:w="48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9"/>
              </w:rPr>
              <w:t>K</w:t>
            </w: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87"/>
              </w:rPr>
              <w:t>35362</w:t>
            </w: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4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2"/>
              </w:rPr>
              <w:t>10-</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88"/>
              </w:rPr>
              <w:t>001-</w:t>
            </w:r>
          </w:p>
        </w:tc>
        <w:tc>
          <w:tcPr>
            <w:tcW w:w="8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8"/>
              </w:rPr>
              <w:t>10.15</w:t>
            </w:r>
          </w:p>
        </w:tc>
        <w:tc>
          <w:tcPr>
            <w:tcW w:w="8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89"/>
              </w:rPr>
              <w:t>2/21/18</w:t>
            </w:r>
          </w:p>
        </w:tc>
      </w:tr>
      <w:tr>
        <w:trPr>
          <w:trHeight w:val="202"/>
        </w:trPr>
        <w:tc>
          <w:tcPr>
            <w:tcW w:w="48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9"/>
              </w:rPr>
              <w:t>K</w:t>
            </w: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87"/>
              </w:rPr>
              <w:t>35362</w:t>
            </w: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4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5"/>
              </w:rPr>
              <w:t>S-8</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88"/>
              </w:rPr>
              <w:t>333-</w:t>
            </w:r>
          </w:p>
        </w:tc>
        <w:tc>
          <w:tcPr>
            <w:tcW w:w="84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85"/>
              </w:rPr>
              <w:t>99.1</w:t>
            </w:r>
          </w:p>
        </w:tc>
        <w:tc>
          <w:tcPr>
            <w:tcW w:w="8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89"/>
              </w:rPr>
              <w:t>9/12/14</w:t>
            </w:r>
          </w:p>
        </w:tc>
      </w:tr>
      <w:tr>
        <w:trPr>
          <w:trHeight w:val="202"/>
        </w:trPr>
        <w:tc>
          <w:tcPr>
            <w:tcW w:w="480" w:type="dxa"/>
            <w:vAlign w:val="bottom"/>
          </w:tcPr>
          <w:p>
            <w:pPr>
              <w:spacing w:after="0"/>
              <w:rPr>
                <w:sz w:val="17"/>
                <w:szCs w:val="17"/>
                <w:color w:val="auto"/>
              </w:rPr>
            </w:pP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89"/>
              </w:rPr>
              <w:t>198726</w:t>
            </w: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4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88"/>
              </w:rPr>
              <w:t>001-</w:t>
            </w:r>
          </w:p>
        </w:tc>
        <w:tc>
          <w:tcPr>
            <w:tcW w:w="84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85"/>
              </w:rPr>
              <w:t>10.1</w:t>
            </w:r>
          </w:p>
        </w:tc>
        <w:tc>
          <w:tcPr>
            <w:tcW w:w="8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89"/>
              </w:rPr>
              <w:t>6/30/15</w:t>
            </w:r>
          </w:p>
        </w:tc>
      </w:tr>
      <w:tr>
        <w:trPr>
          <w:trHeight w:val="230"/>
        </w:trPr>
        <w:tc>
          <w:tcPr>
            <w:tcW w:w="4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35362</w:t>
            </w: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4"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color w:val="auto"/>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10.1</w:t>
            </w:r>
          </w:p>
        </w:tc>
        <w:tc>
          <w:tcPr>
            <w:tcW w:w="840" w:type="dxa"/>
            <w:vAlign w:val="bottom"/>
          </w:tcPr>
          <w:p>
            <w:pPr>
              <w:jc w:val="right"/>
              <w:spacing w:after="0"/>
              <w:rPr>
                <w:sz w:val="20"/>
                <w:szCs w:val="20"/>
                <w:color w:val="auto"/>
              </w:rPr>
            </w:pPr>
            <w:r>
              <w:rPr>
                <w:rFonts w:ascii="Arial" w:cs="Arial" w:eastAsia="Arial" w:hAnsi="Arial"/>
                <w:sz w:val="18"/>
                <w:szCs w:val="18"/>
                <w:color w:val="auto"/>
              </w:rPr>
              <w:t>5/15/17</w:t>
            </w:r>
          </w:p>
        </w:tc>
      </w:tr>
      <w:tr>
        <w:trPr>
          <w:trHeight w:val="230"/>
        </w:trPr>
        <w:tc>
          <w:tcPr>
            <w:tcW w:w="5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35362</w:t>
            </w: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99"/>
        </w:trPr>
        <w:tc>
          <w:tcPr>
            <w:tcW w:w="500" w:type="dxa"/>
            <w:vAlign w:val="bottom"/>
          </w:tcPr>
          <w:p>
            <w:pPr>
              <w:spacing w:after="0"/>
              <w:rPr>
                <w:sz w:val="20"/>
                <w:szCs w:val="20"/>
                <w:color w:val="auto"/>
              </w:rPr>
            </w:pPr>
            <w:r>
              <w:rPr>
                <w:rFonts w:ascii="Arial" w:cs="Arial" w:eastAsia="Arial" w:hAnsi="Arial"/>
                <w:sz w:val="18"/>
                <w:szCs w:val="18"/>
                <w:color w:val="auto"/>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10.1</w:t>
            </w:r>
          </w:p>
        </w:tc>
        <w:tc>
          <w:tcPr>
            <w:tcW w:w="840" w:type="dxa"/>
            <w:vAlign w:val="bottom"/>
          </w:tcPr>
          <w:p>
            <w:pPr>
              <w:jc w:val="right"/>
              <w:spacing w:after="0"/>
              <w:rPr>
                <w:sz w:val="20"/>
                <w:szCs w:val="20"/>
                <w:color w:val="auto"/>
              </w:rPr>
            </w:pPr>
            <w:r>
              <w:rPr>
                <w:rFonts w:ascii="Arial" w:cs="Arial" w:eastAsia="Arial" w:hAnsi="Arial"/>
                <w:sz w:val="18"/>
                <w:szCs w:val="18"/>
                <w:color w:val="auto"/>
              </w:rPr>
              <w:t>5/7/20</w:t>
            </w:r>
          </w:p>
        </w:tc>
      </w:tr>
      <w:tr>
        <w:trPr>
          <w:trHeight w:val="230"/>
        </w:trPr>
        <w:tc>
          <w:tcPr>
            <w:tcW w:w="5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35362</w:t>
            </w: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ectPr>
          <w:pgSz w:w="11900" w:h="16838" w:orient="portrait"/>
          <w:cols w:equalWidth="0" w:num="2">
            <w:col w:w="7220" w:space="720"/>
            <w:col w:w="3020"/>
          </w:cols>
          <w:pgMar w:left="340" w:top="337" w:right="599" w:bottom="1440" w:gutter="0" w:footer="0" w:header="0"/>
        </w:sectPr>
      </w:pPr>
    </w:p>
    <w:bookmarkStart w:id="119" w:name="page120"/>
    <w:bookmarkEnd w:id="119"/>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10.22</w:t>
            </w:r>
          </w:p>
        </w:tc>
        <w:tc>
          <w:tcPr>
            <w:tcW w:w="5860" w:type="dxa"/>
            <w:vAlign w:val="bottom"/>
            <w:gridSpan w:val="38"/>
          </w:tcPr>
          <w:p>
            <w:pPr>
              <w:spacing w:after="0"/>
              <w:rPr>
                <w:rFonts w:ascii="Arial" w:cs="Arial" w:eastAsia="Arial" w:hAnsi="Arial"/>
                <w:sz w:val="18"/>
                <w:szCs w:val="18"/>
                <w:color w:val="auto"/>
                <w:w w:val="92"/>
              </w:rPr>
            </w:pPr>
            <w:hyperlink r:id="rId448">
              <w:r>
                <w:rPr>
                  <w:rFonts w:ascii="Arial" w:cs="Arial" w:eastAsia="Arial" w:hAnsi="Arial"/>
                  <w:sz w:val="18"/>
                  <w:szCs w:val="18"/>
                  <w:color w:val="auto"/>
                  <w:w w:val="92"/>
                </w:rPr>
                <w:t>Third Amendment, dated as of December 17, 2020, by and among Tripadvisor,</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EE"/>
            </w:tcBorders>
            <w:gridSpan w:val="33"/>
          </w:tcPr>
          <w:p>
            <w:pPr>
              <w:spacing w:after="0" w:line="156" w:lineRule="exact"/>
              <w:rPr>
                <w:rFonts w:ascii="Arial" w:cs="Arial" w:eastAsia="Arial" w:hAnsi="Arial"/>
                <w:sz w:val="18"/>
                <w:szCs w:val="18"/>
                <w:color w:val="auto"/>
                <w:w w:val="95"/>
              </w:rPr>
            </w:pPr>
            <w:hyperlink r:id="rId448">
              <w:r>
                <w:rPr>
                  <w:rFonts w:ascii="Arial" w:cs="Arial" w:eastAsia="Arial" w:hAnsi="Arial"/>
                  <w:sz w:val="18"/>
                  <w:szCs w:val="18"/>
                  <w:color w:val="auto"/>
                  <w:w w:val="95"/>
                </w:rPr>
                <w:t>Inc., Tripadvisor Holdings, LLC, Tripadvisor LLC, the other Borrowers party</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tcBorders>
              <w:top w:val="single" w:sz="8" w:color="0000EE"/>
              <w:bottom w:val="single" w:sz="8" w:color="0000EE"/>
            </w:tcBorders>
            <w:gridSpan w:val="18"/>
          </w:tcPr>
          <w:p>
            <w:pPr>
              <w:spacing w:after="0" w:line="156" w:lineRule="exact"/>
              <w:rPr>
                <w:rFonts w:ascii="Arial" w:cs="Arial" w:eastAsia="Arial" w:hAnsi="Arial"/>
                <w:sz w:val="18"/>
                <w:szCs w:val="18"/>
                <w:color w:val="auto"/>
                <w:w w:val="89"/>
              </w:rPr>
            </w:pPr>
            <w:hyperlink r:id="rId448">
              <w:r>
                <w:rPr>
                  <w:rFonts w:ascii="Arial" w:cs="Arial" w:eastAsia="Arial" w:hAnsi="Arial"/>
                  <w:sz w:val="18"/>
                  <w:szCs w:val="18"/>
                  <w:color w:val="auto"/>
                  <w:w w:val="89"/>
                </w:rPr>
                <w:t>thereto, the Lenders party thereto, JPMorgan Chase Bank, N.A., as</w:t>
              </w:r>
            </w:hyperlink>
          </w:p>
        </w:tc>
        <w:tc>
          <w:tcPr>
            <w:tcW w:w="780" w:type="dxa"/>
            <w:vAlign w:val="bottom"/>
            <w:tcBorders>
              <w:top w:val="single" w:sz="8" w:color="0000EE"/>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gridSpan w:val="37"/>
          </w:tcPr>
          <w:p>
            <w:pPr>
              <w:spacing w:after="0" w:line="156" w:lineRule="exact"/>
              <w:rPr>
                <w:rFonts w:ascii="Arial" w:cs="Arial" w:eastAsia="Arial" w:hAnsi="Arial"/>
                <w:sz w:val="18"/>
                <w:szCs w:val="18"/>
                <w:color w:val="auto"/>
                <w:w w:val="96"/>
              </w:rPr>
            </w:pPr>
            <w:hyperlink r:id="rId448">
              <w:r>
                <w:rPr>
                  <w:rFonts w:ascii="Arial" w:cs="Arial" w:eastAsia="Arial" w:hAnsi="Arial"/>
                  <w:sz w:val="18"/>
                  <w:szCs w:val="18"/>
                  <w:color w:val="auto"/>
                  <w:w w:val="96"/>
                </w:rPr>
                <w:t>Administrative Agent and London Agent, BofA Securities, Inc., BMO Capital</w:t>
              </w:r>
            </w:hyperlink>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EE"/>
            </w:tcBorders>
            <w:gridSpan w:val="32"/>
          </w:tcPr>
          <w:p>
            <w:pPr>
              <w:spacing w:after="0" w:line="156" w:lineRule="exact"/>
              <w:rPr>
                <w:rFonts w:ascii="Arial" w:cs="Arial" w:eastAsia="Arial" w:hAnsi="Arial"/>
                <w:sz w:val="18"/>
                <w:szCs w:val="18"/>
                <w:color w:val="auto"/>
                <w:w w:val="91"/>
              </w:rPr>
            </w:pPr>
            <w:hyperlink r:id="rId448">
              <w:r>
                <w:rPr>
                  <w:rFonts w:ascii="Arial" w:cs="Arial" w:eastAsia="Arial" w:hAnsi="Arial"/>
                  <w:sz w:val="18"/>
                  <w:szCs w:val="18"/>
                  <w:color w:val="auto"/>
                  <w:w w:val="91"/>
                </w:rPr>
                <w:t>markets Corp., BNP Paribas Securities Corp., Truist Securities, Inc., and U.S.</w:t>
              </w:r>
            </w:hyperlink>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top w:val="single" w:sz="8" w:color="0000EE"/>
            </w:tcBorders>
            <w:gridSpan w:val="30"/>
          </w:tcPr>
          <w:p>
            <w:pPr>
              <w:spacing w:after="0" w:line="156" w:lineRule="exact"/>
              <w:rPr>
                <w:rFonts w:ascii="Arial" w:cs="Arial" w:eastAsia="Arial" w:hAnsi="Arial"/>
                <w:sz w:val="18"/>
                <w:szCs w:val="18"/>
                <w:color w:val="auto"/>
                <w:w w:val="93"/>
              </w:rPr>
            </w:pPr>
            <w:hyperlink r:id="rId448">
              <w:r>
                <w:rPr>
                  <w:rFonts w:ascii="Arial" w:cs="Arial" w:eastAsia="Arial" w:hAnsi="Arial"/>
                  <w:sz w:val="18"/>
                  <w:szCs w:val="18"/>
                  <w:color w:val="auto"/>
                  <w:w w:val="93"/>
                </w:rPr>
                <w:t>Bank National Association, as Joint Lead Arrangers and Joint Bookrunners;</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tcBorders>
              <w:top w:val="single" w:sz="8" w:color="0000EE"/>
              <w:bottom w:val="single" w:sz="8" w:color="0000EE"/>
            </w:tcBorders>
            <w:gridSpan w:val="27"/>
          </w:tcPr>
          <w:p>
            <w:pPr>
              <w:spacing w:after="0" w:line="156" w:lineRule="exact"/>
              <w:rPr>
                <w:rFonts w:ascii="Arial" w:cs="Arial" w:eastAsia="Arial" w:hAnsi="Arial"/>
                <w:sz w:val="18"/>
                <w:szCs w:val="18"/>
                <w:color w:val="auto"/>
                <w:w w:val="90"/>
              </w:rPr>
            </w:pPr>
            <w:hyperlink r:id="rId448">
              <w:r>
                <w:rPr>
                  <w:rFonts w:ascii="Arial" w:cs="Arial" w:eastAsia="Arial" w:hAnsi="Arial"/>
                  <w:sz w:val="18"/>
                  <w:szCs w:val="18"/>
                  <w:color w:val="auto"/>
                  <w:w w:val="90"/>
                </w:rPr>
                <w:t>Bank of America, N.A., BMO Capital Markets Corp., BNP Paribas Securities</w:t>
              </w:r>
            </w:hyperlink>
          </w:p>
        </w:tc>
        <w:tc>
          <w:tcPr>
            <w:tcW w:w="40" w:type="dxa"/>
            <w:vAlign w:val="bottom"/>
            <w:tcBorders>
              <w:bottom w:val="single" w:sz="8" w:color="0000EE"/>
            </w:tcBorders>
          </w:tcPr>
          <w:p>
            <w:pPr>
              <w:spacing w:after="0"/>
              <w:rPr>
                <w:sz w:val="13"/>
                <w:szCs w:val="13"/>
                <w:color w:val="auto"/>
              </w:rPr>
            </w:pPr>
          </w:p>
        </w:tc>
        <w:tc>
          <w:tcPr>
            <w:tcW w:w="120" w:type="dxa"/>
            <w:vAlign w:val="bottom"/>
            <w:tcBorders>
              <w:bottom w:val="single" w:sz="8" w:color="0000EE"/>
            </w:tcBorders>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5240" w:type="dxa"/>
            <w:vAlign w:val="bottom"/>
            <w:tcBorders>
              <w:bottom w:val="single" w:sz="8" w:color="0000EE"/>
            </w:tcBorders>
            <w:gridSpan w:val="21"/>
          </w:tcPr>
          <w:p>
            <w:pPr>
              <w:spacing w:after="0" w:line="156" w:lineRule="exact"/>
              <w:rPr>
                <w:rFonts w:ascii="Arial" w:cs="Arial" w:eastAsia="Arial" w:hAnsi="Arial"/>
                <w:sz w:val="18"/>
                <w:szCs w:val="18"/>
                <w:color w:val="auto"/>
                <w:w w:val="90"/>
              </w:rPr>
            </w:pPr>
            <w:hyperlink r:id="rId448">
              <w:r>
                <w:rPr>
                  <w:rFonts w:ascii="Arial" w:cs="Arial" w:eastAsia="Arial" w:hAnsi="Arial"/>
                  <w:sz w:val="18"/>
                  <w:szCs w:val="18"/>
                  <w:color w:val="auto"/>
                  <w:w w:val="90"/>
                </w:rPr>
                <w:t>Corp., Truist Securities, Inc. and U.S. Bank National Association, as Co-</w:t>
              </w:r>
            </w:hyperlink>
          </w:p>
        </w:tc>
        <w:tc>
          <w:tcPr>
            <w:tcW w:w="420" w:type="dxa"/>
            <w:vAlign w:val="bottom"/>
            <w:gridSpan w:val="10"/>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5860" w:type="dxa"/>
            <w:vAlign w:val="bottom"/>
            <w:gridSpan w:val="38"/>
          </w:tcPr>
          <w:p>
            <w:pPr>
              <w:spacing w:after="0" w:line="156" w:lineRule="exact"/>
              <w:rPr>
                <w:rFonts w:ascii="Arial" w:cs="Arial" w:eastAsia="Arial" w:hAnsi="Arial"/>
                <w:sz w:val="18"/>
                <w:szCs w:val="18"/>
                <w:color w:val="auto"/>
                <w:w w:val="93"/>
              </w:rPr>
            </w:pPr>
            <w:hyperlink r:id="rId448">
              <w:r>
                <w:rPr>
                  <w:rFonts w:ascii="Arial" w:cs="Arial" w:eastAsia="Arial" w:hAnsi="Arial"/>
                  <w:sz w:val="18"/>
                  <w:szCs w:val="18"/>
                  <w:color w:val="auto"/>
                  <w:w w:val="93"/>
                </w:rPr>
                <w:t>Syndication Agents; and Barclays Bank PLC, Morgan Stanley Senior Funding,</w:t>
              </w:r>
            </w:hyperlink>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vMerge w:val="restart"/>
          </w:tcPr>
          <w:p>
            <w:pPr>
              <w:spacing w:after="0"/>
              <w:rPr>
                <w:sz w:val="20"/>
                <w:szCs w:val="20"/>
                <w:color w:val="auto"/>
              </w:rPr>
            </w:pPr>
            <w:r>
              <w:rPr>
                <w:rFonts w:ascii="Arial" w:cs="Arial" w:eastAsia="Arial" w:hAnsi="Arial"/>
                <w:sz w:val="18"/>
                <w:szCs w:val="18"/>
                <w:color w:val="auto"/>
              </w:rPr>
              <w:t>10.23+</w:t>
            </w:r>
          </w:p>
        </w:tc>
        <w:tc>
          <w:tcPr>
            <w:tcW w:w="20" w:type="dxa"/>
            <w:vAlign w:val="bottom"/>
            <w:tcBorders>
              <w:bottom w:val="single" w:sz="8" w:color="0000EE"/>
            </w:tcBorders>
          </w:tcPr>
          <w:p>
            <w:pPr>
              <w:spacing w:after="0"/>
              <w:rPr>
                <w:sz w:val="13"/>
                <w:szCs w:val="13"/>
                <w:color w:val="auto"/>
              </w:rPr>
            </w:pPr>
          </w:p>
        </w:tc>
        <w:tc>
          <w:tcPr>
            <w:tcW w:w="5740" w:type="dxa"/>
            <w:vAlign w:val="bottom"/>
            <w:tcBorders>
              <w:top w:val="single" w:sz="8" w:color="0000EE"/>
              <w:bottom w:val="single" w:sz="8" w:color="0000EE"/>
            </w:tcBorders>
            <w:gridSpan w:val="34"/>
          </w:tcPr>
          <w:p>
            <w:pPr>
              <w:spacing w:after="0" w:line="156" w:lineRule="exact"/>
              <w:rPr>
                <w:rFonts w:ascii="Arial" w:cs="Arial" w:eastAsia="Arial" w:hAnsi="Arial"/>
                <w:sz w:val="18"/>
                <w:szCs w:val="18"/>
                <w:color w:val="auto"/>
                <w:w w:val="90"/>
              </w:rPr>
            </w:pPr>
            <w:hyperlink r:id="rId448">
              <w:r>
                <w:rPr>
                  <w:rFonts w:ascii="Arial" w:cs="Arial" w:eastAsia="Arial" w:hAnsi="Arial"/>
                  <w:sz w:val="18"/>
                  <w:szCs w:val="18"/>
                  <w:color w:val="auto"/>
                  <w:w w:val="90"/>
                </w:rPr>
                <w:t>Inc. and Wells Fargo Bank, National Association, as Co-Documentation Agents.</w:t>
              </w:r>
            </w:hyperlink>
          </w:p>
        </w:tc>
        <w:tc>
          <w:tcPr>
            <w:tcW w:w="40" w:type="dxa"/>
            <w:vAlign w:val="bottom"/>
            <w:tcBorders>
              <w:bottom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5800" w:type="dxa"/>
            <w:vAlign w:val="bottom"/>
            <w:gridSpan w:val="36"/>
          </w:tcPr>
          <w:p>
            <w:pPr>
              <w:spacing w:after="0" w:line="182" w:lineRule="exact"/>
              <w:rPr>
                <w:rFonts w:ascii="Arial" w:cs="Arial" w:eastAsia="Arial" w:hAnsi="Arial"/>
                <w:sz w:val="18"/>
                <w:szCs w:val="18"/>
                <w:color w:val="auto"/>
                <w:w w:val="90"/>
              </w:rPr>
            </w:pPr>
            <w:hyperlink r:id="rId449">
              <w:r>
                <w:rPr>
                  <w:rFonts w:ascii="Arial" w:cs="Arial" w:eastAsia="Arial" w:hAnsi="Arial"/>
                  <w:sz w:val="18"/>
                  <w:szCs w:val="18"/>
                  <w:color w:val="auto"/>
                  <w:w w:val="90"/>
                </w:rPr>
                <w:t>Employment Agreement, dated as of October 6, 2015, between Tripadvisor, LLC</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8"/>
                <w:szCs w:val="18"/>
                <w:color w:val="auto"/>
              </w:rPr>
              <w:t>10.24+</w:t>
            </w:r>
          </w:p>
        </w:tc>
        <w:tc>
          <w:tcPr>
            <w:tcW w:w="20" w:type="dxa"/>
            <w:vAlign w:val="bottom"/>
            <w:tcBorders>
              <w:bottom w:val="single" w:sz="8" w:color="0000EE"/>
            </w:tcBorders>
          </w:tcPr>
          <w:p>
            <w:pPr>
              <w:spacing w:after="0"/>
              <w:rPr>
                <w:sz w:val="13"/>
                <w:szCs w:val="13"/>
                <w:color w:val="auto"/>
              </w:rPr>
            </w:pPr>
          </w:p>
        </w:tc>
        <w:tc>
          <w:tcPr>
            <w:tcW w:w="144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auto"/>
                <w:w w:val="85"/>
              </w:rPr>
            </w:pPr>
            <w:hyperlink r:id="rId449">
              <w:r>
                <w:rPr>
                  <w:rFonts w:ascii="Arial" w:cs="Arial" w:eastAsia="Arial" w:hAnsi="Arial"/>
                  <w:sz w:val="18"/>
                  <w:szCs w:val="18"/>
                  <w:color w:val="auto"/>
                  <w:w w:val="85"/>
                </w:rPr>
                <w:t>and Ernst Teunissen</w:t>
              </w:r>
            </w:hyperlink>
          </w:p>
        </w:tc>
        <w:tc>
          <w:tcPr>
            <w:tcW w:w="4400" w:type="dxa"/>
            <w:vAlign w:val="bottom"/>
            <w:tcBorders>
              <w:top w:val="single" w:sz="8" w:color="0000EE"/>
            </w:tcBorders>
            <w:gridSpan w:val="32"/>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5860" w:type="dxa"/>
            <w:vAlign w:val="bottom"/>
            <w:gridSpan w:val="38"/>
          </w:tcPr>
          <w:p>
            <w:pPr>
              <w:spacing w:after="0" w:line="182" w:lineRule="exact"/>
              <w:rPr>
                <w:rFonts w:ascii="Arial" w:cs="Arial" w:eastAsia="Arial" w:hAnsi="Arial"/>
                <w:sz w:val="18"/>
                <w:szCs w:val="18"/>
                <w:color w:val="auto"/>
              </w:rPr>
            </w:pPr>
            <w:hyperlink r:id="rId450">
              <w:r>
                <w:rPr>
                  <w:rFonts w:ascii="Arial" w:cs="Arial" w:eastAsia="Arial" w:hAnsi="Arial"/>
                  <w:sz w:val="18"/>
                  <w:szCs w:val="18"/>
                  <w:color w:val="auto"/>
                </w:rPr>
                <w:t>Amendment to Employment Agreement, dated as of November 28, 2017,</w:t>
              </w:r>
            </w:hyperlink>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top w:val="single" w:sz="8" w:color="0000EE"/>
            </w:tcBorders>
            <w:gridSpan w:val="23"/>
          </w:tcPr>
          <w:p>
            <w:pPr>
              <w:spacing w:after="0" w:line="156" w:lineRule="exact"/>
              <w:rPr>
                <w:rFonts w:ascii="Arial" w:cs="Arial" w:eastAsia="Arial" w:hAnsi="Arial"/>
                <w:sz w:val="18"/>
                <w:szCs w:val="18"/>
                <w:color w:val="auto"/>
              </w:rPr>
            </w:pPr>
            <w:hyperlink r:id="rId450">
              <w:r>
                <w:rPr>
                  <w:rFonts w:ascii="Arial" w:cs="Arial" w:eastAsia="Arial" w:hAnsi="Arial"/>
                  <w:sz w:val="18"/>
                  <w:szCs w:val="18"/>
                  <w:color w:val="auto"/>
                </w:rPr>
                <w:t>between Tripadvisor, LLC and Ernst Teunissen</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8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line="182" w:lineRule="exact"/>
              <w:rPr>
                <w:sz w:val="20"/>
                <w:szCs w:val="20"/>
                <w:color w:val="auto"/>
              </w:rPr>
            </w:pPr>
            <w:r>
              <w:rPr>
                <w:rFonts w:ascii="Arial" w:cs="Arial" w:eastAsia="Arial" w:hAnsi="Arial"/>
                <w:sz w:val="18"/>
                <w:szCs w:val="18"/>
                <w:color w:val="auto"/>
              </w:rPr>
              <w:t>10.25+</w:t>
            </w:r>
          </w:p>
        </w:tc>
        <w:tc>
          <w:tcPr>
            <w:tcW w:w="3400" w:type="dxa"/>
            <w:vAlign w:val="bottom"/>
            <w:tcBorders>
              <w:top w:val="single" w:sz="8" w:color="0000EE"/>
            </w:tcBorders>
            <w:gridSpan w:val="12"/>
          </w:tcPr>
          <w:p>
            <w:pPr>
              <w:spacing w:after="0" w:line="182" w:lineRule="exact"/>
              <w:rPr>
                <w:rFonts w:ascii="Arial" w:cs="Arial" w:eastAsia="Arial" w:hAnsi="Arial"/>
                <w:sz w:val="18"/>
                <w:szCs w:val="18"/>
                <w:color w:val="auto"/>
                <w:w w:val="87"/>
              </w:rPr>
            </w:pPr>
            <w:hyperlink r:id="rId451">
              <w:r>
                <w:rPr>
                  <w:rFonts w:ascii="Arial" w:cs="Arial" w:eastAsia="Arial" w:hAnsi="Arial"/>
                  <w:sz w:val="18"/>
                  <w:szCs w:val="18"/>
                  <w:color w:val="auto"/>
                  <w:w w:val="87"/>
                </w:rPr>
                <w:t>Second Amendment to Employment Agreement,</w:t>
              </w:r>
            </w:hyperlink>
          </w:p>
        </w:tc>
        <w:tc>
          <w:tcPr>
            <w:tcW w:w="20" w:type="dxa"/>
            <w:vAlign w:val="bottom"/>
          </w:tcPr>
          <w:p>
            <w:pPr>
              <w:spacing w:after="0"/>
              <w:rPr>
                <w:sz w:val="15"/>
                <w:szCs w:val="15"/>
                <w:color w:val="auto"/>
              </w:rPr>
            </w:pPr>
          </w:p>
        </w:tc>
        <w:tc>
          <w:tcPr>
            <w:tcW w:w="2440" w:type="dxa"/>
            <w:vAlign w:val="bottom"/>
            <w:gridSpan w:val="25"/>
          </w:tcPr>
          <w:p>
            <w:pPr>
              <w:ind w:left="140"/>
              <w:spacing w:after="0" w:line="182" w:lineRule="exact"/>
              <w:rPr>
                <w:rFonts w:ascii="Arial" w:cs="Arial" w:eastAsia="Arial" w:hAnsi="Arial"/>
                <w:sz w:val="18"/>
                <w:szCs w:val="18"/>
                <w:color w:val="auto"/>
              </w:rPr>
            </w:pPr>
            <w:hyperlink r:id="rId451">
              <w:r>
                <w:rPr>
                  <w:rFonts w:ascii="Arial" w:cs="Arial" w:eastAsia="Arial" w:hAnsi="Arial"/>
                  <w:sz w:val="18"/>
                  <w:szCs w:val="18"/>
                  <w:color w:val="auto"/>
                </w:rPr>
                <w:t>dated as of May 8, 2020,</w:t>
              </w:r>
            </w:hyperlink>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8"/>
                <w:szCs w:val="18"/>
                <w:color w:val="auto"/>
              </w:rPr>
              <w:t>10.26+</w:t>
            </w:r>
          </w:p>
        </w:tc>
        <w:tc>
          <w:tcPr>
            <w:tcW w:w="20" w:type="dxa"/>
            <w:vAlign w:val="bottom"/>
          </w:tcPr>
          <w:p>
            <w:pPr>
              <w:spacing w:after="0"/>
              <w:rPr>
                <w:sz w:val="13"/>
                <w:szCs w:val="13"/>
                <w:color w:val="auto"/>
              </w:rPr>
            </w:pPr>
          </w:p>
        </w:tc>
        <w:tc>
          <w:tcPr>
            <w:tcW w:w="5380" w:type="dxa"/>
            <w:vAlign w:val="bottom"/>
            <w:tcBorders>
              <w:top w:val="single" w:sz="8" w:color="0000EE"/>
            </w:tcBorders>
            <w:gridSpan w:val="24"/>
          </w:tcPr>
          <w:p>
            <w:pPr>
              <w:spacing w:after="0" w:line="156" w:lineRule="exact"/>
              <w:rPr>
                <w:rFonts w:ascii="Arial" w:cs="Arial" w:eastAsia="Arial" w:hAnsi="Arial"/>
                <w:sz w:val="18"/>
                <w:szCs w:val="18"/>
                <w:color w:val="auto"/>
              </w:rPr>
            </w:pPr>
            <w:hyperlink r:id="rId451">
              <w:r>
                <w:rPr>
                  <w:rFonts w:ascii="Arial" w:cs="Arial" w:eastAsia="Arial" w:hAnsi="Arial"/>
                  <w:sz w:val="18"/>
                  <w:szCs w:val="18"/>
                  <w:color w:val="auto"/>
                </w:rPr>
                <w:t>between Tripadvisor, LLC and Ernst Teunissen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8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34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auto"/>
                <w:w w:val="91"/>
              </w:rPr>
            </w:pPr>
            <w:hyperlink r:id="rId452">
              <w:r>
                <w:rPr>
                  <w:rFonts w:ascii="Arial" w:cs="Arial" w:eastAsia="Arial" w:hAnsi="Arial"/>
                  <w:sz w:val="18"/>
                  <w:szCs w:val="18"/>
                  <w:color w:val="auto"/>
                  <w:w w:val="91"/>
                </w:rPr>
                <w:t>Executive Severance Plan and Summary Plan</w:t>
              </w:r>
            </w:hyperlink>
          </w:p>
        </w:tc>
        <w:tc>
          <w:tcPr>
            <w:tcW w:w="780" w:type="dxa"/>
            <w:vAlign w:val="bottom"/>
            <w:tcBorders>
              <w:bottom w:val="single" w:sz="8" w:color="0000EE"/>
            </w:tcBorders>
            <w:gridSpan w:val="5"/>
          </w:tcPr>
          <w:p>
            <w:pPr>
              <w:spacing w:after="0" w:line="182" w:lineRule="exact"/>
              <w:rPr>
                <w:rFonts w:ascii="Arial" w:cs="Arial" w:eastAsia="Arial" w:hAnsi="Arial"/>
                <w:sz w:val="18"/>
                <w:szCs w:val="18"/>
                <w:color w:val="auto"/>
                <w:w w:val="84"/>
              </w:rPr>
            </w:pPr>
            <w:hyperlink r:id="rId452">
              <w:r>
                <w:rPr>
                  <w:rFonts w:ascii="Arial" w:cs="Arial" w:eastAsia="Arial" w:hAnsi="Arial"/>
                  <w:sz w:val="18"/>
                  <w:szCs w:val="18"/>
                  <w:color w:val="auto"/>
                  <w:w w:val="84"/>
                </w:rPr>
                <w:t>Description</w:t>
              </w:r>
            </w:hyperlink>
          </w:p>
        </w:tc>
        <w:tc>
          <w:tcPr>
            <w:tcW w:w="1680" w:type="dxa"/>
            <w:vAlign w:val="bottom"/>
            <w:gridSpan w:val="21"/>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8"/>
                <w:szCs w:val="18"/>
                <w:color w:val="auto"/>
              </w:rPr>
              <w:t>10.27</w:t>
            </w:r>
          </w:p>
        </w:tc>
        <w:tc>
          <w:tcPr>
            <w:tcW w:w="5860" w:type="dxa"/>
            <w:vAlign w:val="bottom"/>
            <w:gridSpan w:val="38"/>
          </w:tcPr>
          <w:p>
            <w:pPr>
              <w:spacing w:after="0"/>
              <w:rPr>
                <w:rFonts w:ascii="Arial" w:cs="Arial" w:eastAsia="Arial" w:hAnsi="Arial"/>
                <w:sz w:val="18"/>
                <w:szCs w:val="18"/>
                <w:color w:val="auto"/>
              </w:rPr>
            </w:pPr>
            <w:hyperlink r:id="rId453">
              <w:r>
                <w:rPr>
                  <w:rFonts w:ascii="Arial" w:cs="Arial" w:eastAsia="Arial" w:hAnsi="Arial"/>
                  <w:sz w:val="18"/>
                  <w:szCs w:val="18"/>
                  <w:color w:val="auto"/>
                </w:rPr>
                <w:t>Form of Tripadvisor Media Group Master Advertising Insertion Order</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8"/>
                <w:szCs w:val="18"/>
                <w:color w:val="auto"/>
              </w:rPr>
              <w:t>10.28+</w:t>
            </w:r>
          </w:p>
        </w:tc>
        <w:tc>
          <w:tcPr>
            <w:tcW w:w="2840" w:type="dxa"/>
            <w:vAlign w:val="bottom"/>
            <w:tcBorders>
              <w:top w:val="single" w:sz="8" w:color="0000EE"/>
              <w:bottom w:val="single" w:sz="8" w:color="0000EE"/>
            </w:tcBorders>
            <w:gridSpan w:val="10"/>
          </w:tcPr>
          <w:p>
            <w:pPr>
              <w:spacing w:after="0"/>
              <w:rPr>
                <w:rFonts w:ascii="Arial" w:cs="Arial" w:eastAsia="Arial" w:hAnsi="Arial"/>
                <w:sz w:val="18"/>
                <w:szCs w:val="18"/>
                <w:color w:val="auto"/>
                <w:w w:val="92"/>
              </w:rPr>
            </w:pPr>
            <w:hyperlink r:id="rId454">
              <w:r>
                <w:rPr>
                  <w:rFonts w:ascii="Arial" w:cs="Arial" w:eastAsia="Arial" w:hAnsi="Arial"/>
                  <w:sz w:val="18"/>
                  <w:szCs w:val="18"/>
                  <w:color w:val="auto"/>
                  <w:w w:val="92"/>
                </w:rPr>
                <w:t>Form of Option Agreement (Domestic)</w:t>
              </w:r>
            </w:hyperlink>
          </w:p>
        </w:tc>
        <w:tc>
          <w:tcPr>
            <w:tcW w:w="2220" w:type="dxa"/>
            <w:vAlign w:val="bottom"/>
            <w:tcBorders>
              <w:top w:val="single" w:sz="8" w:color="0000EE"/>
            </w:tcBorders>
            <w:gridSpan w:val="11"/>
          </w:tcPr>
          <w:p>
            <w:pPr>
              <w:spacing w:after="0"/>
              <w:rPr>
                <w:sz w:val="24"/>
                <w:szCs w:val="24"/>
                <w:color w:val="auto"/>
              </w:rPr>
            </w:pPr>
          </w:p>
        </w:tc>
        <w:tc>
          <w:tcPr>
            <w:tcW w:w="800" w:type="dxa"/>
            <w:vAlign w:val="bottom"/>
            <w:gridSpan w:val="17"/>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8"/>
                <w:szCs w:val="18"/>
                <w:color w:val="auto"/>
              </w:rPr>
              <w:t>10.29+</w:t>
            </w:r>
          </w:p>
        </w:tc>
        <w:tc>
          <w:tcPr>
            <w:tcW w:w="5860" w:type="dxa"/>
            <w:vAlign w:val="bottom"/>
            <w:gridSpan w:val="38"/>
          </w:tcPr>
          <w:p>
            <w:pPr>
              <w:spacing w:after="0"/>
              <w:rPr>
                <w:rFonts w:ascii="Arial" w:cs="Arial" w:eastAsia="Arial" w:hAnsi="Arial"/>
                <w:sz w:val="18"/>
                <w:szCs w:val="18"/>
                <w:color w:val="auto"/>
              </w:rPr>
            </w:pPr>
            <w:hyperlink r:id="rId455">
              <w:r>
                <w:rPr>
                  <w:rFonts w:ascii="Arial" w:cs="Arial" w:eastAsia="Arial" w:hAnsi="Arial"/>
                  <w:sz w:val="18"/>
                  <w:szCs w:val="18"/>
                  <w:color w:val="auto"/>
                </w:rPr>
                <w:t>Form of Option Agreement (International)</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8"/>
                <w:szCs w:val="18"/>
                <w:color w:val="auto"/>
              </w:rPr>
              <w:t>10.30+</w:t>
            </w:r>
          </w:p>
        </w:tc>
        <w:tc>
          <w:tcPr>
            <w:tcW w:w="5860" w:type="dxa"/>
            <w:vAlign w:val="bottom"/>
            <w:gridSpan w:val="38"/>
          </w:tcPr>
          <w:p>
            <w:pPr>
              <w:spacing w:after="0"/>
              <w:rPr>
                <w:rFonts w:ascii="Arial" w:cs="Arial" w:eastAsia="Arial" w:hAnsi="Arial"/>
                <w:sz w:val="18"/>
                <w:szCs w:val="18"/>
                <w:color w:val="auto"/>
              </w:rPr>
            </w:pPr>
            <w:hyperlink r:id="rId456">
              <w:r>
                <w:rPr>
                  <w:rFonts w:ascii="Arial" w:cs="Arial" w:eastAsia="Arial" w:hAnsi="Arial"/>
                  <w:sz w:val="18"/>
                  <w:szCs w:val="18"/>
                  <w:color w:val="auto"/>
                </w:rPr>
                <w:t>Form of Restricted Stock Unit Agreement (Domestic)</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8"/>
                <w:szCs w:val="18"/>
                <w:color w:val="auto"/>
              </w:rPr>
              <w:t>10.31+</w:t>
            </w:r>
          </w:p>
        </w:tc>
        <w:tc>
          <w:tcPr>
            <w:tcW w:w="4120" w:type="dxa"/>
            <w:vAlign w:val="bottom"/>
            <w:tcBorders>
              <w:bottom w:val="single" w:sz="8" w:color="0000EE"/>
            </w:tcBorders>
            <w:gridSpan w:val="16"/>
          </w:tcPr>
          <w:p>
            <w:pPr>
              <w:spacing w:after="0"/>
              <w:rPr>
                <w:rFonts w:ascii="Arial" w:cs="Arial" w:eastAsia="Arial" w:hAnsi="Arial"/>
                <w:sz w:val="18"/>
                <w:szCs w:val="18"/>
                <w:color w:val="auto"/>
                <w:w w:val="92"/>
              </w:rPr>
            </w:pPr>
            <w:hyperlink r:id="rId457">
              <w:r>
                <w:rPr>
                  <w:rFonts w:ascii="Arial" w:cs="Arial" w:eastAsia="Arial" w:hAnsi="Arial"/>
                  <w:sz w:val="18"/>
                  <w:szCs w:val="18"/>
                  <w:color w:val="auto"/>
                  <w:w w:val="92"/>
                </w:rPr>
                <w:t>Form of Restricted Stock Unit Agreement (International)</w:t>
              </w:r>
            </w:hyperlink>
          </w:p>
        </w:tc>
        <w:tc>
          <w:tcPr>
            <w:tcW w:w="1740" w:type="dxa"/>
            <w:vAlign w:val="bottom"/>
            <w:gridSpan w:val="22"/>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8"/>
                <w:szCs w:val="18"/>
                <w:color w:val="auto"/>
              </w:rPr>
              <w:t>10.32+</w:t>
            </w:r>
          </w:p>
        </w:tc>
        <w:tc>
          <w:tcPr>
            <w:tcW w:w="3700" w:type="dxa"/>
            <w:vAlign w:val="bottom"/>
            <w:tcBorders>
              <w:bottom w:val="single" w:sz="8" w:color="0000EE"/>
            </w:tcBorders>
            <w:gridSpan w:val="14"/>
          </w:tcPr>
          <w:p>
            <w:pPr>
              <w:spacing w:after="0"/>
              <w:rPr>
                <w:rFonts w:ascii="Arial" w:cs="Arial" w:eastAsia="Arial" w:hAnsi="Arial"/>
                <w:sz w:val="18"/>
                <w:szCs w:val="18"/>
                <w:color w:val="auto"/>
                <w:w w:val="91"/>
              </w:rPr>
            </w:pPr>
            <w:hyperlink r:id="rId458">
              <w:r>
                <w:rPr>
                  <w:rFonts w:ascii="Arial" w:cs="Arial" w:eastAsia="Arial" w:hAnsi="Arial"/>
                  <w:sz w:val="18"/>
                  <w:szCs w:val="18"/>
                  <w:color w:val="auto"/>
                  <w:w w:val="91"/>
                </w:rPr>
                <w:t>Form of Restricted Stock Unit Agreement (French)</w:t>
              </w:r>
            </w:hyperlink>
          </w:p>
        </w:tc>
        <w:tc>
          <w:tcPr>
            <w:tcW w:w="2160" w:type="dxa"/>
            <w:vAlign w:val="bottom"/>
            <w:gridSpan w:val="24"/>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8"/>
                <w:szCs w:val="18"/>
                <w:color w:val="auto"/>
              </w:rPr>
              <w:t>10.35+</w:t>
            </w:r>
          </w:p>
        </w:tc>
        <w:tc>
          <w:tcPr>
            <w:tcW w:w="5860" w:type="dxa"/>
            <w:vAlign w:val="bottom"/>
            <w:gridSpan w:val="38"/>
          </w:tcPr>
          <w:p>
            <w:pPr>
              <w:spacing w:after="0"/>
              <w:rPr>
                <w:rFonts w:ascii="Arial" w:cs="Arial" w:eastAsia="Arial" w:hAnsi="Arial"/>
                <w:sz w:val="18"/>
                <w:szCs w:val="18"/>
                <w:color w:val="auto"/>
              </w:rPr>
            </w:pPr>
            <w:hyperlink r:id="rId459">
              <w:r>
                <w:rPr>
                  <w:rFonts w:ascii="Arial" w:cs="Arial" w:eastAsia="Arial" w:hAnsi="Arial"/>
                  <w:sz w:val="18"/>
                  <w:szCs w:val="18"/>
                  <w:color w:val="auto"/>
                </w:rPr>
                <w:t>Form of Restricted Stock Unit Agreement (Non-Employee Directors)</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8"/>
                <w:szCs w:val="18"/>
                <w:color w:val="auto"/>
              </w:rPr>
              <w:t>10.36</w:t>
            </w:r>
          </w:p>
        </w:tc>
        <w:tc>
          <w:tcPr>
            <w:tcW w:w="5860" w:type="dxa"/>
            <w:vAlign w:val="bottom"/>
            <w:gridSpan w:val="38"/>
          </w:tcPr>
          <w:p>
            <w:pPr>
              <w:spacing w:after="0"/>
              <w:rPr>
                <w:rFonts w:ascii="Arial" w:cs="Arial" w:eastAsia="Arial" w:hAnsi="Arial"/>
                <w:sz w:val="18"/>
                <w:szCs w:val="18"/>
                <w:color w:val="auto"/>
                <w:w w:val="90"/>
              </w:rPr>
            </w:pPr>
            <w:hyperlink r:id="rId460">
              <w:r>
                <w:rPr>
                  <w:rFonts w:ascii="Arial" w:cs="Arial" w:eastAsia="Arial" w:hAnsi="Arial"/>
                  <w:sz w:val="18"/>
                  <w:szCs w:val="18"/>
                  <w:color w:val="auto"/>
                  <w:w w:val="90"/>
                </w:rPr>
                <w:t>Governance Agreement dated as of November 6, 2019 between Tripadvisor, Inc.</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8"/>
                <w:szCs w:val="18"/>
                <w:color w:val="auto"/>
              </w:rPr>
              <w:t>10.37+</w:t>
            </w:r>
          </w:p>
        </w:tc>
        <w:tc>
          <w:tcPr>
            <w:tcW w:w="20" w:type="dxa"/>
            <w:vAlign w:val="bottom"/>
          </w:tcPr>
          <w:p>
            <w:pPr>
              <w:spacing w:after="0"/>
              <w:rPr>
                <w:sz w:val="13"/>
                <w:szCs w:val="13"/>
                <w:color w:val="auto"/>
              </w:rPr>
            </w:pPr>
          </w:p>
        </w:tc>
        <w:tc>
          <w:tcPr>
            <w:tcW w:w="5840" w:type="dxa"/>
            <w:vAlign w:val="bottom"/>
            <w:tcBorders>
              <w:top w:val="single" w:sz="8" w:color="0000EE"/>
            </w:tcBorders>
            <w:gridSpan w:val="37"/>
          </w:tcPr>
          <w:p>
            <w:pPr>
              <w:spacing w:after="0" w:line="156" w:lineRule="exact"/>
              <w:rPr>
                <w:rFonts w:ascii="Arial" w:cs="Arial" w:eastAsia="Arial" w:hAnsi="Arial"/>
                <w:sz w:val="18"/>
                <w:szCs w:val="18"/>
                <w:color w:val="auto"/>
              </w:rPr>
            </w:pPr>
            <w:hyperlink r:id="rId460">
              <w:r>
                <w:rPr>
                  <w:rFonts w:ascii="Arial" w:cs="Arial" w:eastAsia="Arial" w:hAnsi="Arial"/>
                  <w:sz w:val="18"/>
                  <w:szCs w:val="18"/>
                  <w:color w:val="auto"/>
                </w:rPr>
                <w:t>and Trip.com Group Limited</w:t>
              </w:r>
            </w:hyperlink>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5860" w:type="dxa"/>
            <w:vAlign w:val="bottom"/>
            <w:gridSpan w:val="38"/>
          </w:tcPr>
          <w:p>
            <w:pPr>
              <w:spacing w:after="0" w:line="182" w:lineRule="exact"/>
              <w:rPr>
                <w:rFonts w:ascii="Arial" w:cs="Arial" w:eastAsia="Arial" w:hAnsi="Arial"/>
                <w:sz w:val="18"/>
                <w:szCs w:val="18"/>
                <w:color w:val="auto"/>
              </w:rPr>
            </w:pPr>
            <w:hyperlink r:id="rId461">
              <w:r>
                <w:rPr>
                  <w:rFonts w:ascii="Arial" w:cs="Arial" w:eastAsia="Arial" w:hAnsi="Arial"/>
                  <w:sz w:val="18"/>
                  <w:szCs w:val="18"/>
                  <w:color w:val="auto"/>
                </w:rPr>
                <w:t>Amendment No. 1 to 2018 Stock and Annual Incentive Plan</w:t>
              </w:r>
            </w:hyperlink>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8"/>
                <w:szCs w:val="18"/>
                <w:color w:val="auto"/>
              </w:rPr>
              <w:t>10.38+</w:t>
            </w:r>
          </w:p>
        </w:tc>
        <w:tc>
          <w:tcPr>
            <w:tcW w:w="5860" w:type="dxa"/>
            <w:vAlign w:val="bottom"/>
            <w:gridSpan w:val="38"/>
          </w:tcPr>
          <w:p>
            <w:pPr>
              <w:spacing w:after="0"/>
              <w:rPr>
                <w:rFonts w:ascii="Arial" w:cs="Arial" w:eastAsia="Arial" w:hAnsi="Arial"/>
                <w:sz w:val="18"/>
                <w:szCs w:val="18"/>
                <w:color w:val="auto"/>
                <w:w w:val="92"/>
              </w:rPr>
            </w:pPr>
            <w:hyperlink r:id="rId450">
              <w:r>
                <w:rPr>
                  <w:rFonts w:ascii="Arial" w:cs="Arial" w:eastAsia="Arial" w:hAnsi="Arial"/>
                  <w:sz w:val="18"/>
                  <w:szCs w:val="18"/>
                  <w:color w:val="auto"/>
                  <w:w w:val="92"/>
                </w:rPr>
                <w:t>Employment Agreement, dated as of March 29, 2021 between Tripadvisor, LLC</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20" w:type="dxa"/>
            <w:vAlign w:val="bottom"/>
            <w:vMerge w:val="restart"/>
          </w:tcPr>
          <w:p>
            <w:pPr>
              <w:spacing w:after="0"/>
              <w:rPr>
                <w:sz w:val="20"/>
                <w:szCs w:val="20"/>
                <w:color w:val="auto"/>
              </w:rPr>
            </w:pPr>
            <w:r>
              <w:rPr>
                <w:rFonts w:ascii="Arial" w:cs="Arial" w:eastAsia="Arial" w:hAnsi="Arial"/>
                <w:sz w:val="18"/>
                <w:szCs w:val="18"/>
                <w:color w:val="auto"/>
              </w:rPr>
              <w:t>10.39+</w:t>
            </w:r>
          </w:p>
        </w:tc>
        <w:tc>
          <w:tcPr>
            <w:tcW w:w="20" w:type="dxa"/>
            <w:vAlign w:val="bottom"/>
            <w:tcBorders>
              <w:bottom w:val="single" w:sz="8" w:color="0000EE"/>
            </w:tcBorders>
          </w:tcPr>
          <w:p>
            <w:pPr>
              <w:spacing w:after="0"/>
              <w:rPr>
                <w:sz w:val="13"/>
                <w:szCs w:val="13"/>
                <w:color w:val="auto"/>
              </w:rPr>
            </w:pPr>
          </w:p>
        </w:tc>
        <w:tc>
          <w:tcPr>
            <w:tcW w:w="120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auto"/>
                <w:w w:val="88"/>
              </w:rPr>
            </w:pPr>
            <w:hyperlink r:id="rId450">
              <w:r>
                <w:rPr>
                  <w:rFonts w:ascii="Arial" w:cs="Arial" w:eastAsia="Arial" w:hAnsi="Arial"/>
                  <w:sz w:val="18"/>
                  <w:szCs w:val="18"/>
                  <w:color w:val="auto"/>
                  <w:w w:val="88"/>
                </w:rPr>
                <w:t>and Seth Kalvert</w:t>
              </w:r>
            </w:hyperlink>
          </w:p>
        </w:tc>
        <w:tc>
          <w:tcPr>
            <w:tcW w:w="4620" w:type="dxa"/>
            <w:vAlign w:val="bottom"/>
            <w:tcBorders>
              <w:top w:val="single" w:sz="8" w:color="0000EE"/>
            </w:tcBorders>
            <w:gridSpan w:val="32"/>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5860" w:type="dxa"/>
            <w:vAlign w:val="bottom"/>
            <w:gridSpan w:val="38"/>
          </w:tcPr>
          <w:p>
            <w:pPr>
              <w:spacing w:after="0" w:line="182" w:lineRule="exact"/>
              <w:rPr>
                <w:rFonts w:ascii="Arial" w:cs="Arial" w:eastAsia="Arial" w:hAnsi="Arial"/>
                <w:sz w:val="18"/>
                <w:szCs w:val="18"/>
                <w:color w:val="auto"/>
                <w:w w:val="95"/>
              </w:rPr>
            </w:pPr>
            <w:hyperlink r:id="rId450">
              <w:r>
                <w:rPr>
                  <w:rFonts w:ascii="Arial" w:cs="Arial" w:eastAsia="Arial" w:hAnsi="Arial"/>
                  <w:sz w:val="18"/>
                  <w:szCs w:val="18"/>
                  <w:color w:val="auto"/>
                  <w:w w:val="95"/>
                </w:rPr>
                <w:t>Offer Letter, dated as of September 14, 2018, between Tripadvisor, LLC and</w:t>
              </w:r>
            </w:hyperlink>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13"/>
                <w:szCs w:val="13"/>
                <w:color w:val="auto"/>
              </w:rPr>
            </w:pPr>
          </w:p>
        </w:tc>
        <w:tc>
          <w:tcPr>
            <w:tcW w:w="5540" w:type="dxa"/>
            <w:vAlign w:val="bottom"/>
            <w:tcBorders>
              <w:top w:val="single" w:sz="8" w:color="0000EE"/>
            </w:tcBorders>
            <w:gridSpan w:val="28"/>
          </w:tcPr>
          <w:p>
            <w:pPr>
              <w:spacing w:after="0" w:line="156" w:lineRule="exact"/>
              <w:rPr>
                <w:rFonts w:ascii="Arial" w:cs="Arial" w:eastAsia="Arial" w:hAnsi="Arial"/>
                <w:sz w:val="18"/>
                <w:szCs w:val="18"/>
                <w:color w:val="auto"/>
              </w:rPr>
            </w:pPr>
            <w:hyperlink r:id="rId450">
              <w:r>
                <w:rPr>
                  <w:rFonts w:ascii="Arial" w:cs="Arial" w:eastAsia="Arial" w:hAnsi="Arial"/>
                  <w:sz w:val="18"/>
                  <w:szCs w:val="18"/>
                  <w:color w:val="auto"/>
                </w:rPr>
                <w:t>Lindsay Nelson</w:t>
              </w:r>
            </w:hyperlink>
          </w:p>
        </w:tc>
        <w:tc>
          <w:tcPr>
            <w:tcW w:w="300" w:type="dxa"/>
            <w:vAlign w:val="bottom"/>
            <w:gridSpan w:val="9"/>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860" w:type="dxa"/>
            <w:vAlign w:val="bottom"/>
            <w:gridSpan w:val="1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5860" w:type="dxa"/>
            <w:vAlign w:val="bottom"/>
            <w:gridSpan w:val="38"/>
          </w:tcPr>
          <w:p>
            <w:pPr>
              <w:spacing w:after="0" w:line="182" w:lineRule="exact"/>
              <w:rPr>
                <w:rFonts w:ascii="Arial" w:cs="Arial" w:eastAsia="Arial" w:hAnsi="Arial"/>
                <w:sz w:val="18"/>
                <w:szCs w:val="18"/>
                <w:color w:val="auto"/>
                <w:w w:val="98"/>
              </w:rPr>
            </w:pPr>
            <w:hyperlink r:id="rId450">
              <w:r>
                <w:rPr>
                  <w:rFonts w:ascii="Arial" w:cs="Arial" w:eastAsia="Arial" w:hAnsi="Arial"/>
                  <w:sz w:val="18"/>
                  <w:szCs w:val="18"/>
                  <w:color w:val="auto"/>
                  <w:w w:val="98"/>
                </w:rPr>
                <w:t>Offer Letter, dated as of February 13, 2019, between Tripadvisor, LLC and</w:t>
              </w:r>
            </w:hyperlink>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8"/>
                <w:szCs w:val="18"/>
                <w:color w:val="auto"/>
              </w:rPr>
              <w:t>10.41</w:t>
            </w:r>
          </w:p>
        </w:tc>
        <w:tc>
          <w:tcPr>
            <w:tcW w:w="440" w:type="dxa"/>
            <w:vAlign w:val="bottom"/>
            <w:gridSpan w:val="2"/>
          </w:tcPr>
          <w:p>
            <w:pPr>
              <w:spacing w:after="0" w:line="156" w:lineRule="exact"/>
              <w:rPr>
                <w:rFonts w:ascii="Arial" w:cs="Arial" w:eastAsia="Arial" w:hAnsi="Arial"/>
                <w:sz w:val="18"/>
                <w:szCs w:val="18"/>
                <w:color w:val="auto"/>
                <w:w w:val="76"/>
              </w:rPr>
            </w:pPr>
            <w:hyperlink r:id="rId450">
              <w:r>
                <w:rPr>
                  <w:rFonts w:ascii="Arial" w:cs="Arial" w:eastAsia="Arial" w:hAnsi="Arial"/>
                  <w:sz w:val="18"/>
                  <w:szCs w:val="18"/>
                  <w:color w:val="auto"/>
                  <w:w w:val="76"/>
                </w:rPr>
                <w:t>Kanika</w:t>
              </w:r>
            </w:hyperlink>
          </w:p>
        </w:tc>
        <w:tc>
          <w:tcPr>
            <w:tcW w:w="5000" w:type="dxa"/>
            <w:vAlign w:val="bottom"/>
            <w:tcBorders>
              <w:top w:val="single" w:sz="8" w:color="0000EE"/>
            </w:tcBorders>
            <w:gridSpan w:val="25"/>
          </w:tcPr>
          <w:p>
            <w:pPr>
              <w:ind w:left="140"/>
              <w:spacing w:after="0" w:line="156" w:lineRule="exact"/>
              <w:rPr>
                <w:rFonts w:ascii="Arial" w:cs="Arial" w:eastAsia="Arial" w:hAnsi="Arial"/>
                <w:sz w:val="18"/>
                <w:szCs w:val="18"/>
                <w:color w:val="auto"/>
              </w:rPr>
            </w:pPr>
            <w:hyperlink r:id="rId450">
              <w:r>
                <w:rPr>
                  <w:rFonts w:ascii="Arial" w:cs="Arial" w:eastAsia="Arial" w:hAnsi="Arial"/>
                  <w:sz w:val="18"/>
                  <w:szCs w:val="18"/>
                  <w:color w:val="auto"/>
                </w:rPr>
                <w:t>Soni</w:t>
              </w:r>
            </w:hyperlink>
          </w:p>
        </w:tc>
        <w:tc>
          <w:tcPr>
            <w:tcW w:w="420" w:type="dxa"/>
            <w:vAlign w:val="bottom"/>
            <w:gridSpan w:val="11"/>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860" w:type="dxa"/>
            <w:vAlign w:val="bottom"/>
            <w:gridSpan w:val="1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gridSpan w:val="1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5840" w:type="dxa"/>
            <w:vAlign w:val="bottom"/>
            <w:gridSpan w:val="37"/>
          </w:tcPr>
          <w:p>
            <w:pPr>
              <w:spacing w:after="0" w:line="182" w:lineRule="exact"/>
              <w:rPr>
                <w:rFonts w:ascii="Arial" w:cs="Arial" w:eastAsia="Arial" w:hAnsi="Arial"/>
                <w:sz w:val="18"/>
                <w:szCs w:val="18"/>
                <w:color w:val="auto"/>
              </w:rPr>
            </w:pPr>
            <w:hyperlink r:id="rId462">
              <w:r>
                <w:rPr>
                  <w:rFonts w:ascii="Arial" w:cs="Arial" w:eastAsia="Arial" w:hAnsi="Arial"/>
                  <w:sz w:val="18"/>
                  <w:szCs w:val="18"/>
                  <w:color w:val="auto"/>
                </w:rPr>
                <w:t>Form of Capped Call Confirmation</w:t>
              </w:r>
            </w:hyperlink>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8"/>
                <w:szCs w:val="18"/>
                <w:color w:val="auto"/>
              </w:rPr>
              <w:t>21.1</w:t>
            </w:r>
          </w:p>
        </w:tc>
        <w:tc>
          <w:tcPr>
            <w:tcW w:w="2140" w:type="dxa"/>
            <w:vAlign w:val="bottom"/>
            <w:tcBorders>
              <w:top w:val="single" w:sz="8" w:color="0000EE"/>
              <w:bottom w:val="single" w:sz="8" w:color="0000EE"/>
            </w:tcBorders>
            <w:gridSpan w:val="8"/>
          </w:tcPr>
          <w:p>
            <w:pPr>
              <w:spacing w:after="0"/>
              <w:rPr>
                <w:rFonts w:ascii="Arial" w:cs="Arial" w:eastAsia="Arial" w:hAnsi="Arial"/>
                <w:sz w:val="18"/>
                <w:szCs w:val="18"/>
                <w:color w:val="auto"/>
                <w:w w:val="90"/>
              </w:rPr>
            </w:pPr>
            <w:hyperlink w:anchor="page124">
              <w:r>
                <w:rPr>
                  <w:rFonts w:ascii="Arial" w:cs="Arial" w:eastAsia="Arial" w:hAnsi="Arial"/>
                  <w:sz w:val="18"/>
                  <w:szCs w:val="18"/>
                  <w:color w:val="auto"/>
                  <w:w w:val="90"/>
                </w:rPr>
                <w:t>Subsidiaries of the Registrant</w:t>
              </w:r>
            </w:hyperlink>
          </w:p>
        </w:tc>
        <w:tc>
          <w:tcPr>
            <w:tcW w:w="400" w:type="dxa"/>
            <w:vAlign w:val="bottom"/>
            <w:tcBorders>
              <w:top w:val="single" w:sz="8" w:color="0000EE"/>
            </w:tcBorders>
          </w:tcPr>
          <w:p>
            <w:pPr>
              <w:spacing w:after="0"/>
              <w:rPr>
                <w:sz w:val="24"/>
                <w:szCs w:val="24"/>
                <w:color w:val="auto"/>
              </w:rPr>
            </w:pPr>
          </w:p>
        </w:tc>
        <w:tc>
          <w:tcPr>
            <w:tcW w:w="3320" w:type="dxa"/>
            <w:vAlign w:val="bottom"/>
            <w:gridSpan w:val="29"/>
          </w:tcPr>
          <w:p>
            <w:pPr>
              <w:spacing w:after="0"/>
              <w:rPr>
                <w:sz w:val="24"/>
                <w:szCs w:val="24"/>
                <w:color w:val="auto"/>
              </w:rPr>
            </w:pPr>
          </w:p>
        </w:tc>
        <w:tc>
          <w:tcPr>
            <w:tcW w:w="460" w:type="dxa"/>
            <w:vAlign w:val="bottom"/>
          </w:tcPr>
          <w:p>
            <w:pPr>
              <w:ind w:left="36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3"/>
        </w:trPr>
        <w:tc>
          <w:tcPr>
            <w:tcW w:w="1020" w:type="dxa"/>
            <w:vAlign w:val="bottom"/>
          </w:tcPr>
          <w:p>
            <w:pPr>
              <w:spacing w:after="0" w:line="182" w:lineRule="exact"/>
              <w:rPr>
                <w:sz w:val="20"/>
                <w:szCs w:val="20"/>
                <w:color w:val="auto"/>
              </w:rPr>
            </w:pPr>
            <w:r>
              <w:rPr>
                <w:rFonts w:ascii="Arial" w:cs="Arial" w:eastAsia="Arial" w:hAnsi="Arial"/>
                <w:sz w:val="18"/>
                <w:szCs w:val="18"/>
                <w:color w:val="auto"/>
              </w:rPr>
              <w:t>23.1</w:t>
            </w:r>
          </w:p>
        </w:tc>
        <w:tc>
          <w:tcPr>
            <w:tcW w:w="5860" w:type="dxa"/>
            <w:vAlign w:val="bottom"/>
            <w:gridSpan w:val="38"/>
          </w:tcPr>
          <w:p>
            <w:pPr>
              <w:spacing w:after="0" w:line="182" w:lineRule="exact"/>
              <w:rPr>
                <w:rFonts w:ascii="Arial" w:cs="Arial" w:eastAsia="Arial" w:hAnsi="Arial"/>
                <w:sz w:val="18"/>
                <w:szCs w:val="18"/>
                <w:color w:val="auto"/>
              </w:rPr>
            </w:pPr>
            <w:hyperlink w:anchor="page126">
              <w:r>
                <w:rPr>
                  <w:rFonts w:ascii="Arial" w:cs="Arial" w:eastAsia="Arial" w:hAnsi="Arial"/>
                  <w:sz w:val="18"/>
                  <w:szCs w:val="18"/>
                  <w:color w:val="auto"/>
                </w:rPr>
                <w:t>Consent of KPMG LLP, Independent Registered Public Accounting Firm</w:t>
              </w:r>
            </w:hyperlink>
          </w:p>
        </w:tc>
        <w:tc>
          <w:tcPr>
            <w:tcW w:w="460" w:type="dxa"/>
            <w:vAlign w:val="bottom"/>
          </w:tcPr>
          <w:p>
            <w:pPr>
              <w:ind w:left="36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3"/>
        </w:trPr>
        <w:tc>
          <w:tcPr>
            <w:tcW w:w="1020" w:type="dxa"/>
            <w:vAlign w:val="bottom"/>
          </w:tcPr>
          <w:p>
            <w:pPr>
              <w:spacing w:after="0" w:line="182" w:lineRule="exact"/>
              <w:rPr>
                <w:sz w:val="20"/>
                <w:szCs w:val="20"/>
                <w:color w:val="auto"/>
              </w:rPr>
            </w:pPr>
            <w:r>
              <w:rPr>
                <w:rFonts w:ascii="Arial" w:cs="Arial" w:eastAsia="Arial" w:hAnsi="Arial"/>
                <w:sz w:val="18"/>
                <w:szCs w:val="18"/>
                <w:color w:val="auto"/>
              </w:rPr>
              <w:t>24.1</w:t>
            </w:r>
          </w:p>
        </w:tc>
        <w:tc>
          <w:tcPr>
            <w:tcW w:w="342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auto"/>
                <w:w w:val="91"/>
              </w:rPr>
            </w:pPr>
            <w:hyperlink w:anchor="page122">
              <w:r>
                <w:rPr>
                  <w:rFonts w:ascii="Arial" w:cs="Arial" w:eastAsia="Arial" w:hAnsi="Arial"/>
                  <w:sz w:val="18"/>
                  <w:szCs w:val="18"/>
                  <w:color w:val="auto"/>
                  <w:w w:val="91"/>
                </w:rPr>
                <w:t>Power of Attorney (included in signature page)</w:t>
              </w:r>
            </w:hyperlink>
          </w:p>
        </w:tc>
        <w:tc>
          <w:tcPr>
            <w:tcW w:w="1860" w:type="dxa"/>
            <w:vAlign w:val="bottom"/>
            <w:tcBorders>
              <w:top w:val="single" w:sz="8" w:color="0000EE"/>
            </w:tcBorders>
            <w:gridSpan w:val="10"/>
          </w:tcPr>
          <w:p>
            <w:pPr>
              <w:spacing w:after="0"/>
              <w:rPr>
                <w:sz w:val="15"/>
                <w:szCs w:val="15"/>
                <w:color w:val="auto"/>
              </w:rPr>
            </w:pPr>
          </w:p>
        </w:tc>
        <w:tc>
          <w:tcPr>
            <w:tcW w:w="140" w:type="dxa"/>
            <w:vAlign w:val="bottom"/>
            <w:gridSpan w:val="3"/>
          </w:tcPr>
          <w:p>
            <w:pPr>
              <w:spacing w:after="0"/>
              <w:rPr>
                <w:sz w:val="15"/>
                <w:szCs w:val="15"/>
                <w:color w:val="auto"/>
              </w:rPr>
            </w:pPr>
          </w:p>
        </w:tc>
        <w:tc>
          <w:tcPr>
            <w:tcW w:w="440" w:type="dxa"/>
            <w:vAlign w:val="bottom"/>
            <w:gridSpan w:val="12"/>
          </w:tcPr>
          <w:p>
            <w:pPr>
              <w:spacing w:after="0"/>
              <w:rPr>
                <w:sz w:val="15"/>
                <w:szCs w:val="15"/>
                <w:color w:val="auto"/>
              </w:rPr>
            </w:pPr>
          </w:p>
        </w:tc>
        <w:tc>
          <w:tcPr>
            <w:tcW w:w="460" w:type="dxa"/>
            <w:vAlign w:val="bottom"/>
          </w:tcPr>
          <w:p>
            <w:pPr>
              <w:ind w:left="36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3"/>
        </w:trPr>
        <w:tc>
          <w:tcPr>
            <w:tcW w:w="1020" w:type="dxa"/>
            <w:vAlign w:val="bottom"/>
          </w:tcPr>
          <w:p>
            <w:pPr>
              <w:spacing w:after="0" w:line="182" w:lineRule="exact"/>
              <w:rPr>
                <w:sz w:val="20"/>
                <w:szCs w:val="20"/>
                <w:color w:val="auto"/>
              </w:rPr>
            </w:pPr>
            <w:r>
              <w:rPr>
                <w:rFonts w:ascii="Arial" w:cs="Arial" w:eastAsia="Arial" w:hAnsi="Arial"/>
                <w:sz w:val="18"/>
                <w:szCs w:val="18"/>
                <w:color w:val="auto"/>
              </w:rPr>
              <w:t>31.1</w:t>
            </w:r>
          </w:p>
        </w:tc>
        <w:tc>
          <w:tcPr>
            <w:tcW w:w="5860" w:type="dxa"/>
            <w:vAlign w:val="bottom"/>
            <w:gridSpan w:val="38"/>
          </w:tcPr>
          <w:p>
            <w:pPr>
              <w:spacing w:after="0" w:line="182" w:lineRule="exact"/>
              <w:rPr>
                <w:rFonts w:ascii="Arial" w:cs="Arial" w:eastAsia="Arial" w:hAnsi="Arial"/>
                <w:sz w:val="18"/>
                <w:szCs w:val="18"/>
                <w:color w:val="auto"/>
              </w:rPr>
            </w:pPr>
            <w:hyperlink w:anchor="page127">
              <w:r>
                <w:rPr>
                  <w:rFonts w:ascii="Arial" w:cs="Arial" w:eastAsia="Arial" w:hAnsi="Arial"/>
                  <w:sz w:val="18"/>
                  <w:szCs w:val="18"/>
                  <w:color w:val="auto"/>
                </w:rPr>
                <w:t>Certification of the Chief Executive Officer pursuant to Section 302 of the</w:t>
              </w:r>
            </w:hyperlink>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EE"/>
            </w:tcBorders>
            <w:gridSpan w:val="25"/>
          </w:tcPr>
          <w:p>
            <w:pPr>
              <w:spacing w:after="0" w:line="156" w:lineRule="exact"/>
              <w:rPr>
                <w:rFonts w:ascii="Arial" w:cs="Arial" w:eastAsia="Arial" w:hAnsi="Arial"/>
                <w:sz w:val="18"/>
                <w:szCs w:val="18"/>
                <w:color w:val="auto"/>
              </w:rPr>
            </w:pPr>
            <w:hyperlink w:anchor="page127">
              <w:r>
                <w:rPr>
                  <w:rFonts w:ascii="Arial" w:cs="Arial" w:eastAsia="Arial" w:hAnsi="Arial"/>
                  <w:sz w:val="18"/>
                  <w:szCs w:val="18"/>
                  <w:color w:val="auto"/>
                </w:rPr>
                <w:t>Sarbanes-Oxley Act of 2002</w:t>
              </w:r>
            </w:hyperlink>
          </w:p>
        </w:tc>
        <w:tc>
          <w:tcPr>
            <w:tcW w:w="440" w:type="dxa"/>
            <w:vAlign w:val="bottom"/>
            <w:gridSpan w:val="12"/>
          </w:tcPr>
          <w:p>
            <w:pPr>
              <w:spacing w:after="0"/>
              <w:rPr>
                <w:sz w:val="13"/>
                <w:szCs w:val="13"/>
                <w:color w:val="auto"/>
              </w:rPr>
            </w:pPr>
          </w:p>
        </w:tc>
        <w:tc>
          <w:tcPr>
            <w:tcW w:w="460" w:type="dxa"/>
            <w:vAlign w:val="bottom"/>
          </w:tcPr>
          <w:p>
            <w:pPr>
              <w:ind w:left="360"/>
              <w:spacing w:after="0" w:line="155" w:lineRule="exact"/>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668"/>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Borders>
              <w:top w:val="single" w:sz="8" w:color="0000EE"/>
            </w:tcBorders>
            <w:gridSpan w:val="6"/>
          </w:tcPr>
          <w:p>
            <w:pPr>
              <w:spacing w:after="0"/>
              <w:rPr>
                <w:sz w:val="24"/>
                <w:szCs w:val="24"/>
                <w:color w:val="auto"/>
              </w:rPr>
            </w:pPr>
          </w:p>
        </w:tc>
        <w:tc>
          <w:tcPr>
            <w:tcW w:w="2780" w:type="dxa"/>
            <w:vAlign w:val="bottom"/>
            <w:gridSpan w:val="12"/>
          </w:tcPr>
          <w:p>
            <w:pPr>
              <w:jc w:val="right"/>
              <w:ind w:right="14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color w:val="auto"/>
              </w:rPr>
              <w:t>8-K</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001-</w:t>
            </w: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900" w:type="dxa"/>
            <w:vAlign w:val="bottom"/>
          </w:tcPr>
          <w:p>
            <w:pPr>
              <w:jc w:val="right"/>
              <w:spacing w:after="0"/>
              <w:rPr>
                <w:sz w:val="20"/>
                <w:szCs w:val="20"/>
                <w:color w:val="auto"/>
              </w:rPr>
            </w:pPr>
            <w:r>
              <w:rPr>
                <w:rFonts w:ascii="Arial" w:cs="Arial" w:eastAsia="Arial" w:hAnsi="Arial"/>
                <w:sz w:val="18"/>
                <w:szCs w:val="18"/>
                <w:color w:val="auto"/>
              </w:rPr>
              <w:t>12/22/20</w:t>
            </w:r>
          </w:p>
        </w:tc>
      </w:tr>
      <w:tr>
        <w:trPr>
          <w:trHeight w:val="230"/>
        </w:trPr>
        <w:tc>
          <w:tcPr>
            <w:tcW w:w="50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35362</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20" w:type="dxa"/>
            <w:vAlign w:val="bottom"/>
          </w:tcPr>
          <w:p>
            <w:pPr>
              <w:jc w:val="center"/>
              <w:ind w:left="190"/>
              <w:spacing w:after="0"/>
              <w:rPr>
                <w:sz w:val="20"/>
                <w:szCs w:val="20"/>
                <w:color w:val="auto"/>
              </w:rPr>
            </w:pPr>
            <w:r>
              <w:rPr>
                <w:rFonts w:ascii="Arial" w:cs="Arial" w:eastAsia="Arial" w:hAnsi="Arial"/>
                <w:sz w:val="18"/>
                <w:szCs w:val="18"/>
                <w:color w:val="auto"/>
                <w:w w:val="89"/>
              </w:rPr>
              <w:t>10/8/15</w:t>
            </w:r>
          </w:p>
        </w:tc>
      </w:tr>
      <w:tr>
        <w:trPr>
          <w:trHeight w:val="202"/>
        </w:trPr>
        <w:tc>
          <w:tcPr>
            <w:tcW w:w="500" w:type="dxa"/>
            <w:vAlign w:val="bottom"/>
          </w:tcPr>
          <w:p>
            <w:pPr>
              <w:spacing w:after="0"/>
              <w:rPr>
                <w:sz w:val="17"/>
                <w:szCs w:val="17"/>
                <w:color w:val="auto"/>
              </w:rPr>
            </w:pP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87"/>
              </w:rPr>
              <w:t>35362</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5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2"/>
              </w:rPr>
              <w:t>10-</w:t>
            </w: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8"/>
              </w:rPr>
              <w:t>001-</w:t>
            </w:r>
          </w:p>
        </w:tc>
        <w:tc>
          <w:tcPr>
            <w:tcW w:w="8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88"/>
              </w:rPr>
              <w:t>10.21</w:t>
            </w:r>
          </w:p>
        </w:tc>
        <w:tc>
          <w:tcPr>
            <w:tcW w:w="8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89"/>
              </w:rPr>
              <w:t>2/21/18</w:t>
            </w:r>
          </w:p>
        </w:tc>
      </w:tr>
      <w:tr>
        <w:trPr>
          <w:trHeight w:val="202"/>
        </w:trPr>
        <w:tc>
          <w:tcPr>
            <w:tcW w:w="50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99"/>
              </w:rPr>
              <w:t>K</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87"/>
              </w:rPr>
              <w:t>35362</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5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2"/>
              </w:rPr>
              <w:t>10-</w:t>
            </w: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8"/>
              </w:rPr>
              <w:t>001-</w:t>
            </w:r>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5"/>
              </w:rPr>
              <w:t>10.9</w:t>
            </w:r>
          </w:p>
        </w:tc>
        <w:tc>
          <w:tcPr>
            <w:tcW w:w="8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91"/>
              </w:rPr>
              <w:t>5/8/20</w:t>
            </w:r>
          </w:p>
        </w:tc>
      </w:tr>
      <w:tr>
        <w:trPr>
          <w:trHeight w:val="202"/>
        </w:trPr>
        <w:tc>
          <w:tcPr>
            <w:tcW w:w="50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85"/>
              </w:rPr>
              <w:t>Q</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87"/>
              </w:rPr>
              <w:t>35362</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5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2"/>
              </w:rPr>
              <w:t>10-</w:t>
            </w: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8"/>
              </w:rPr>
              <w:t>001-</w:t>
            </w:r>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5"/>
              </w:rPr>
              <w:t>10.4</w:t>
            </w:r>
          </w:p>
        </w:tc>
        <w:tc>
          <w:tcPr>
            <w:tcW w:w="8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91"/>
              </w:rPr>
              <w:t>8/8/17</w:t>
            </w:r>
          </w:p>
        </w:tc>
      </w:tr>
      <w:tr>
        <w:trPr>
          <w:trHeight w:val="202"/>
        </w:trPr>
        <w:tc>
          <w:tcPr>
            <w:tcW w:w="50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85"/>
              </w:rPr>
              <w:t>Q</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87"/>
              </w:rPr>
              <w:t>35362</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5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2"/>
              </w:rPr>
              <w:t>10-</w:t>
            </w: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8"/>
              </w:rPr>
              <w:t>001-</w:t>
            </w:r>
          </w:p>
        </w:tc>
        <w:tc>
          <w:tcPr>
            <w:tcW w:w="8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88"/>
              </w:rPr>
              <w:t>10.23</w:t>
            </w:r>
          </w:p>
        </w:tc>
        <w:tc>
          <w:tcPr>
            <w:tcW w:w="8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89"/>
              </w:rPr>
              <w:t>2/21/18</w:t>
            </w:r>
          </w:p>
        </w:tc>
      </w:tr>
      <w:tr>
        <w:trPr>
          <w:trHeight w:val="202"/>
        </w:trPr>
        <w:tc>
          <w:tcPr>
            <w:tcW w:w="50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99"/>
              </w:rPr>
              <w:t>K</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87"/>
              </w:rPr>
              <w:t>35362</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5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2"/>
              </w:rPr>
              <w:t>10-</w:t>
            </w: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8"/>
              </w:rPr>
              <w:t>001-</w:t>
            </w:r>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5"/>
              </w:rPr>
              <w:t>10.1</w:t>
            </w:r>
          </w:p>
        </w:tc>
        <w:tc>
          <w:tcPr>
            <w:tcW w:w="8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91"/>
              </w:rPr>
              <w:t>5/8/18</w:t>
            </w:r>
          </w:p>
        </w:tc>
      </w:tr>
      <w:tr>
        <w:trPr>
          <w:trHeight w:val="202"/>
        </w:trPr>
        <w:tc>
          <w:tcPr>
            <w:tcW w:w="50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85"/>
              </w:rPr>
              <w:t>Q</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87"/>
              </w:rPr>
              <w:t>35362</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5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2"/>
              </w:rPr>
              <w:t>10-</w:t>
            </w: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8"/>
              </w:rPr>
              <w:t>001-</w:t>
            </w:r>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5"/>
              </w:rPr>
              <w:t>10.2</w:t>
            </w:r>
          </w:p>
        </w:tc>
        <w:tc>
          <w:tcPr>
            <w:tcW w:w="8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91"/>
              </w:rPr>
              <w:t>5/8/18</w:t>
            </w:r>
          </w:p>
        </w:tc>
      </w:tr>
      <w:tr>
        <w:trPr>
          <w:trHeight w:val="202"/>
        </w:trPr>
        <w:tc>
          <w:tcPr>
            <w:tcW w:w="50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85"/>
              </w:rPr>
              <w:t>Q</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87"/>
              </w:rPr>
              <w:t>35362</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5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2"/>
              </w:rPr>
              <w:t>10-</w:t>
            </w: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8"/>
              </w:rPr>
              <w:t>001-</w:t>
            </w:r>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5"/>
              </w:rPr>
              <w:t>10.3</w:t>
            </w:r>
          </w:p>
        </w:tc>
        <w:tc>
          <w:tcPr>
            <w:tcW w:w="8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91"/>
              </w:rPr>
              <w:t>5/8/18</w:t>
            </w:r>
          </w:p>
        </w:tc>
      </w:tr>
      <w:tr>
        <w:trPr>
          <w:trHeight w:val="202"/>
        </w:trPr>
        <w:tc>
          <w:tcPr>
            <w:tcW w:w="50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85"/>
              </w:rPr>
              <w:t>Q</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87"/>
              </w:rPr>
              <w:t>35362</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5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2"/>
              </w:rPr>
              <w:t>10-</w:t>
            </w: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8"/>
              </w:rPr>
              <w:t>001-</w:t>
            </w:r>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5"/>
              </w:rPr>
              <w:t>10.4</w:t>
            </w:r>
          </w:p>
        </w:tc>
        <w:tc>
          <w:tcPr>
            <w:tcW w:w="8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91"/>
              </w:rPr>
              <w:t>5/8/18</w:t>
            </w:r>
          </w:p>
        </w:tc>
      </w:tr>
      <w:tr>
        <w:trPr>
          <w:trHeight w:val="202"/>
        </w:trPr>
        <w:tc>
          <w:tcPr>
            <w:tcW w:w="50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85"/>
              </w:rPr>
              <w:t>Q</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87"/>
              </w:rPr>
              <w:t>35362</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5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2"/>
              </w:rPr>
              <w:t>10-</w:t>
            </w: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8"/>
              </w:rPr>
              <w:t>001-</w:t>
            </w:r>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5"/>
              </w:rPr>
              <w:t>10.5</w:t>
            </w:r>
          </w:p>
        </w:tc>
        <w:tc>
          <w:tcPr>
            <w:tcW w:w="8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91"/>
              </w:rPr>
              <w:t>5/8/18</w:t>
            </w:r>
          </w:p>
        </w:tc>
      </w:tr>
      <w:tr>
        <w:trPr>
          <w:trHeight w:val="202"/>
        </w:trPr>
        <w:tc>
          <w:tcPr>
            <w:tcW w:w="50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85"/>
              </w:rPr>
              <w:t>Q</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87"/>
              </w:rPr>
              <w:t>35362</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5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2"/>
              </w:rPr>
              <w:t>10-</w:t>
            </w: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8"/>
              </w:rPr>
              <w:t>001-</w:t>
            </w:r>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5"/>
              </w:rPr>
              <w:t>10.2</w:t>
            </w:r>
          </w:p>
        </w:tc>
        <w:tc>
          <w:tcPr>
            <w:tcW w:w="8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91"/>
              </w:rPr>
              <w:t>8/1/18</w:t>
            </w:r>
          </w:p>
        </w:tc>
      </w:tr>
      <w:tr>
        <w:trPr>
          <w:trHeight w:val="202"/>
        </w:trPr>
        <w:tc>
          <w:tcPr>
            <w:tcW w:w="50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85"/>
              </w:rPr>
              <w:t>Q</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87"/>
              </w:rPr>
              <w:t>35362</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5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9"/>
              </w:rPr>
              <w:t>8-K</w:t>
            </w: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8"/>
              </w:rPr>
              <w:t>001-</w:t>
            </w:r>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5"/>
              </w:rPr>
              <w:t>10.1</w:t>
            </w:r>
          </w:p>
        </w:tc>
        <w:tc>
          <w:tcPr>
            <w:tcW w:w="8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89"/>
              </w:rPr>
              <w:t>11/6/19</w:t>
            </w:r>
          </w:p>
        </w:tc>
      </w:tr>
      <w:tr>
        <w:trPr>
          <w:trHeight w:val="202"/>
        </w:trPr>
        <w:tc>
          <w:tcPr>
            <w:tcW w:w="500" w:type="dxa"/>
            <w:vAlign w:val="bottom"/>
          </w:tcPr>
          <w:p>
            <w:pPr>
              <w:spacing w:after="0"/>
              <w:rPr>
                <w:sz w:val="17"/>
                <w:szCs w:val="17"/>
                <w:color w:val="auto"/>
              </w:rPr>
            </w:pP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87"/>
              </w:rPr>
              <w:t>35362</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5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9"/>
              </w:rPr>
              <w:t>8-K</w:t>
            </w: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8"/>
              </w:rPr>
              <w:t>001-</w:t>
            </w:r>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5"/>
              </w:rPr>
              <w:t>10.1</w:t>
            </w:r>
          </w:p>
        </w:tc>
        <w:tc>
          <w:tcPr>
            <w:tcW w:w="8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91"/>
              </w:rPr>
              <w:t>8/5/21</w:t>
            </w:r>
          </w:p>
        </w:tc>
      </w:tr>
      <w:tr>
        <w:trPr>
          <w:trHeight w:val="202"/>
        </w:trPr>
        <w:tc>
          <w:tcPr>
            <w:tcW w:w="500" w:type="dxa"/>
            <w:vAlign w:val="bottom"/>
          </w:tcPr>
          <w:p>
            <w:pPr>
              <w:spacing w:after="0"/>
              <w:rPr>
                <w:sz w:val="17"/>
                <w:szCs w:val="17"/>
                <w:color w:val="auto"/>
              </w:rPr>
            </w:pP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87"/>
              </w:rPr>
              <w:t>35362</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5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2"/>
              </w:rPr>
              <w:t>10-</w:t>
            </w: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8"/>
              </w:rPr>
              <w:t>001-</w:t>
            </w:r>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5"/>
              </w:rPr>
              <w:t>10.7</w:t>
            </w:r>
          </w:p>
        </w:tc>
        <w:tc>
          <w:tcPr>
            <w:tcW w:w="8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91"/>
              </w:rPr>
              <w:t>5/6/21</w:t>
            </w:r>
          </w:p>
        </w:tc>
      </w:tr>
      <w:tr>
        <w:trPr>
          <w:trHeight w:val="202"/>
        </w:trPr>
        <w:tc>
          <w:tcPr>
            <w:tcW w:w="50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85"/>
              </w:rPr>
              <w:t>Q</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87"/>
              </w:rPr>
              <w:t>35362</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5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2"/>
              </w:rPr>
              <w:t>10-</w:t>
            </w: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8"/>
              </w:rPr>
              <w:t>001-</w:t>
            </w:r>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5"/>
              </w:rPr>
              <w:t>10.8</w:t>
            </w:r>
          </w:p>
        </w:tc>
        <w:tc>
          <w:tcPr>
            <w:tcW w:w="8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91"/>
              </w:rPr>
              <w:t>5/6/21</w:t>
            </w:r>
          </w:p>
        </w:tc>
      </w:tr>
      <w:tr>
        <w:trPr>
          <w:trHeight w:val="202"/>
        </w:trPr>
        <w:tc>
          <w:tcPr>
            <w:tcW w:w="50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85"/>
              </w:rPr>
              <w:t>Q</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87"/>
              </w:rPr>
              <w:t>35362</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1"/>
        </w:trPr>
        <w:tc>
          <w:tcPr>
            <w:tcW w:w="500" w:type="dxa"/>
            <w:vAlign w:val="bottom"/>
          </w:tcPr>
          <w:p>
            <w:pPr>
              <w:jc w:val="center"/>
              <w:ind w:right="130"/>
              <w:spacing w:after="0" w:line="192" w:lineRule="exact"/>
              <w:rPr>
                <w:sz w:val="20"/>
                <w:szCs w:val="20"/>
                <w:color w:val="auto"/>
              </w:rPr>
            </w:pPr>
            <w:r>
              <w:rPr>
                <w:rFonts w:ascii="Arial" w:cs="Arial" w:eastAsia="Arial" w:hAnsi="Arial"/>
                <w:sz w:val="18"/>
                <w:szCs w:val="18"/>
                <w:color w:val="auto"/>
                <w:w w:val="92"/>
              </w:rPr>
              <w:t>10-</w:t>
            </w:r>
          </w:p>
        </w:tc>
        <w:tc>
          <w:tcPr>
            <w:tcW w:w="840" w:type="dxa"/>
            <w:vAlign w:val="bottom"/>
          </w:tcPr>
          <w:p>
            <w:pPr>
              <w:jc w:val="center"/>
              <w:spacing w:after="0" w:line="192" w:lineRule="exact"/>
              <w:rPr>
                <w:sz w:val="20"/>
                <w:szCs w:val="20"/>
                <w:color w:val="auto"/>
              </w:rPr>
            </w:pPr>
            <w:r>
              <w:rPr>
                <w:rFonts w:ascii="Arial" w:cs="Arial" w:eastAsia="Arial" w:hAnsi="Arial"/>
                <w:sz w:val="18"/>
                <w:szCs w:val="18"/>
                <w:color w:val="auto"/>
                <w:w w:val="88"/>
              </w:rPr>
              <w:t>001-</w:t>
            </w:r>
          </w:p>
        </w:tc>
        <w:tc>
          <w:tcPr>
            <w:tcW w:w="860" w:type="dxa"/>
            <w:vAlign w:val="bottom"/>
          </w:tcPr>
          <w:p>
            <w:pPr>
              <w:jc w:val="center"/>
              <w:spacing w:after="0" w:line="192" w:lineRule="exact"/>
              <w:rPr>
                <w:sz w:val="20"/>
                <w:szCs w:val="20"/>
                <w:color w:val="auto"/>
              </w:rPr>
            </w:pPr>
            <w:r>
              <w:rPr>
                <w:rFonts w:ascii="Arial" w:cs="Arial" w:eastAsia="Arial" w:hAnsi="Arial"/>
                <w:sz w:val="18"/>
                <w:szCs w:val="18"/>
                <w:color w:val="auto"/>
                <w:w w:val="85"/>
              </w:rPr>
              <w:t>10.9</w:t>
            </w:r>
          </w:p>
        </w:tc>
        <w:tc>
          <w:tcPr>
            <w:tcW w:w="820" w:type="dxa"/>
            <w:vAlign w:val="bottom"/>
          </w:tcPr>
          <w:p>
            <w:pPr>
              <w:jc w:val="center"/>
              <w:ind w:left="190"/>
              <w:spacing w:after="0" w:line="192" w:lineRule="exact"/>
              <w:rPr>
                <w:sz w:val="20"/>
                <w:szCs w:val="20"/>
                <w:color w:val="auto"/>
              </w:rPr>
            </w:pPr>
            <w:r>
              <w:rPr>
                <w:rFonts w:ascii="Arial" w:cs="Arial" w:eastAsia="Arial" w:hAnsi="Arial"/>
                <w:sz w:val="18"/>
                <w:szCs w:val="18"/>
                <w:color w:val="auto"/>
                <w:w w:val="91"/>
              </w:rPr>
              <w:t>5/6/21</w:t>
            </w:r>
          </w:p>
        </w:tc>
      </w:tr>
    </w:tbl>
    <w:p>
      <w:pPr>
        <w:ind w:left="720" w:hanging="644"/>
        <w:spacing w:after="0" w:line="234"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35362</w:t>
      </w:r>
    </w:p>
    <w:p>
      <w:pPr>
        <w:spacing w:after="0"/>
        <w:rPr>
          <w:rFonts w:ascii="Arial" w:cs="Arial" w:eastAsia="Arial" w:hAnsi="Arial"/>
          <w:sz w:val="18"/>
          <w:szCs w:val="18"/>
          <w:color w:val="auto"/>
        </w:rPr>
      </w:pPr>
      <w:r>
        <w:rPr>
          <w:rFonts w:ascii="Arial" w:cs="Arial" w:eastAsia="Arial" w:hAnsi="Arial"/>
          <w:sz w:val="18"/>
          <w:szCs w:val="18"/>
          <w:color w:val="auto"/>
        </w:rPr>
        <w:t>8-K</w:t>
      </w:r>
      <w:r>
        <w:rPr>
          <w:rFonts w:ascii="Arial" w:cs="Arial" w:eastAsia="Arial" w:hAnsi="Arial"/>
          <w:sz w:val="15"/>
          <w:szCs w:val="15"/>
          <w:color w:val="auto"/>
        </w:rPr>
        <w:t>001-</w:t>
      </w:r>
    </w:p>
    <w:p>
      <w:pPr>
        <w:ind w:left="720"/>
        <w:spacing w:after="0"/>
        <w:rPr>
          <w:rFonts w:ascii="Arial" w:cs="Arial" w:eastAsia="Arial" w:hAnsi="Arial"/>
          <w:sz w:val="18"/>
          <w:szCs w:val="18"/>
          <w:color w:val="auto"/>
        </w:rPr>
      </w:pPr>
      <w:r>
        <w:rPr>
          <w:rFonts w:ascii="Arial" w:cs="Arial" w:eastAsia="Arial" w:hAnsi="Arial"/>
          <w:sz w:val="18"/>
          <w:szCs w:val="18"/>
          <w:color w:val="auto"/>
        </w:rPr>
        <w:t>3536210.1</w:t>
      </w:r>
      <w:r>
        <w:rPr>
          <w:rFonts w:ascii="Arial" w:cs="Arial" w:eastAsia="Arial" w:hAnsi="Arial"/>
          <w:sz w:val="16"/>
          <w:szCs w:val="16"/>
          <w:color w:val="auto"/>
        </w:rPr>
        <w:t>3/25/21</w:t>
      </w:r>
    </w:p>
    <w:p>
      <w:pPr>
        <w:sectPr>
          <w:pgSz w:w="11900" w:h="16838" w:orient="portrait"/>
          <w:cols w:equalWidth="0" w:num="2">
            <w:col w:w="7340" w:space="600"/>
            <w:col w:w="3060"/>
          </w:cols>
          <w:pgMar w:left="340" w:top="337" w:right="559" w:bottom="1440" w:gutter="0" w:footer="0" w:header="0"/>
        </w:sectPr>
      </w:pPr>
    </w:p>
    <w:bookmarkStart w:id="120" w:name="page121"/>
    <w:bookmarkEnd w:id="120"/>
    <w:tbl>
      <w:tblPr>
        <w:tblLayout w:type="fixed"/>
        <w:tblInd w:w="2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6020" w:type="dxa"/>
            <w:vAlign w:val="bottom"/>
            <w:gridSpan w:val="5"/>
          </w:tcPr>
          <w:p>
            <w:pPr>
              <w:spacing w:after="0"/>
              <w:rPr>
                <w:rFonts w:ascii="Arial" w:cs="Arial" w:eastAsia="Arial" w:hAnsi="Arial"/>
                <w:sz w:val="18"/>
                <w:szCs w:val="18"/>
                <w:color w:val="auto"/>
              </w:rPr>
            </w:pPr>
            <w:hyperlink w:anchor="page128">
              <w:r>
                <w:rPr>
                  <w:rFonts w:ascii="Arial" w:cs="Arial" w:eastAsia="Arial" w:hAnsi="Arial"/>
                  <w:sz w:val="18"/>
                  <w:szCs w:val="18"/>
                  <w:color w:val="auto"/>
                </w:rPr>
                <w:t>Certification of the Chief Financial Officer pursuant to Section 302 of the</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3"/>
                <w:szCs w:val="13"/>
                <w:color w:val="auto"/>
              </w:rPr>
            </w:pPr>
          </w:p>
        </w:tc>
        <w:tc>
          <w:tcPr>
            <w:tcW w:w="5340" w:type="dxa"/>
            <w:vAlign w:val="bottom"/>
            <w:tcBorders>
              <w:top w:val="single" w:sz="8" w:color="0000EE"/>
            </w:tcBorders>
            <w:gridSpan w:val="2"/>
          </w:tcPr>
          <w:p>
            <w:pPr>
              <w:spacing w:after="0" w:line="156" w:lineRule="exact"/>
              <w:rPr>
                <w:rFonts w:ascii="Arial" w:cs="Arial" w:eastAsia="Arial" w:hAnsi="Arial"/>
                <w:sz w:val="18"/>
                <w:szCs w:val="18"/>
                <w:color w:val="auto"/>
              </w:rPr>
            </w:pPr>
            <w:hyperlink w:anchor="page128">
              <w:r>
                <w:rPr>
                  <w:rFonts w:ascii="Arial" w:cs="Arial" w:eastAsia="Arial" w:hAnsi="Arial"/>
                  <w:sz w:val="18"/>
                  <w:szCs w:val="18"/>
                  <w:color w:val="auto"/>
                </w:rPr>
                <w:t>Sarbanes-Oxley Act of 2002</w:t>
              </w:r>
            </w:hyperlink>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ind w:left="200"/>
              <w:spacing w:after="0" w:line="155" w:lineRule="exact"/>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6020" w:type="dxa"/>
            <w:vAlign w:val="bottom"/>
            <w:gridSpan w:val="5"/>
          </w:tcPr>
          <w:p>
            <w:pPr>
              <w:spacing w:after="0" w:line="182" w:lineRule="exact"/>
              <w:rPr>
                <w:rFonts w:ascii="Arial" w:cs="Arial" w:eastAsia="Arial" w:hAnsi="Arial"/>
                <w:sz w:val="18"/>
                <w:szCs w:val="18"/>
                <w:color w:val="auto"/>
              </w:rPr>
            </w:pPr>
            <w:hyperlink w:anchor="page129">
              <w:r>
                <w:rPr>
                  <w:rFonts w:ascii="Arial" w:cs="Arial" w:eastAsia="Arial" w:hAnsi="Arial"/>
                  <w:sz w:val="18"/>
                  <w:szCs w:val="18"/>
                  <w:color w:val="auto"/>
                </w:rPr>
                <w:t>Certification of the Chief Executive Officer pursuant to Section 906 of the</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2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3"/>
                <w:szCs w:val="13"/>
                <w:color w:val="auto"/>
              </w:rPr>
            </w:pPr>
          </w:p>
        </w:tc>
        <w:tc>
          <w:tcPr>
            <w:tcW w:w="5380" w:type="dxa"/>
            <w:vAlign w:val="bottom"/>
            <w:tcBorders>
              <w:top w:val="single" w:sz="8" w:color="0000EE"/>
            </w:tcBorders>
            <w:gridSpan w:val="3"/>
          </w:tcPr>
          <w:p>
            <w:pPr>
              <w:spacing w:after="0" w:line="156" w:lineRule="exact"/>
              <w:rPr>
                <w:rFonts w:ascii="Arial" w:cs="Arial" w:eastAsia="Arial" w:hAnsi="Arial"/>
                <w:sz w:val="18"/>
                <w:szCs w:val="18"/>
                <w:color w:val="auto"/>
              </w:rPr>
            </w:pPr>
            <w:hyperlink w:anchor="page129">
              <w:r>
                <w:rPr>
                  <w:rFonts w:ascii="Arial" w:cs="Arial" w:eastAsia="Arial" w:hAnsi="Arial"/>
                  <w:sz w:val="18"/>
                  <w:szCs w:val="18"/>
                  <w:color w:val="auto"/>
                </w:rPr>
                <w:t>Sarbanes-Oxley Act of 2002</w:t>
              </w:r>
            </w:hyperlink>
          </w:p>
        </w:tc>
        <w:tc>
          <w:tcPr>
            <w:tcW w:w="620" w:type="dxa"/>
            <w:vAlign w:val="bottom"/>
          </w:tcPr>
          <w:p>
            <w:pPr>
              <w:spacing w:after="0"/>
              <w:rPr>
                <w:sz w:val="13"/>
                <w:szCs w:val="13"/>
                <w:color w:val="auto"/>
              </w:rPr>
            </w:pPr>
          </w:p>
        </w:tc>
        <w:tc>
          <w:tcPr>
            <w:tcW w:w="300" w:type="dxa"/>
            <w:vAlign w:val="bottom"/>
          </w:tcPr>
          <w:p>
            <w:pPr>
              <w:ind w:left="200"/>
              <w:spacing w:after="0" w:line="155" w:lineRule="exact"/>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6020" w:type="dxa"/>
            <w:vAlign w:val="bottom"/>
            <w:gridSpan w:val="5"/>
          </w:tcPr>
          <w:p>
            <w:pPr>
              <w:spacing w:after="0" w:line="182" w:lineRule="exact"/>
              <w:rPr>
                <w:rFonts w:ascii="Arial" w:cs="Arial" w:eastAsia="Arial" w:hAnsi="Arial"/>
                <w:sz w:val="18"/>
                <w:szCs w:val="18"/>
                <w:color w:val="auto"/>
              </w:rPr>
            </w:pPr>
            <w:hyperlink w:anchor="page130">
              <w:r>
                <w:rPr>
                  <w:rFonts w:ascii="Arial" w:cs="Arial" w:eastAsia="Arial" w:hAnsi="Arial"/>
                  <w:sz w:val="18"/>
                  <w:szCs w:val="18"/>
                  <w:color w:val="auto"/>
                </w:rPr>
                <w:t>Certification of the Chief Financial Officer pursuant to Section 906 of the</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40" w:type="dxa"/>
            <w:vAlign w:val="bottom"/>
            <w:tcBorders>
              <w:top w:val="single" w:sz="8" w:color="0000EE"/>
            </w:tcBorders>
            <w:gridSpan w:val="2"/>
          </w:tcPr>
          <w:p>
            <w:pPr>
              <w:spacing w:after="0" w:line="156" w:lineRule="exact"/>
              <w:rPr>
                <w:rFonts w:ascii="Arial" w:cs="Arial" w:eastAsia="Arial" w:hAnsi="Arial"/>
                <w:sz w:val="18"/>
                <w:szCs w:val="18"/>
                <w:color w:val="auto"/>
              </w:rPr>
            </w:pPr>
            <w:hyperlink w:anchor="page130">
              <w:r>
                <w:rPr>
                  <w:rFonts w:ascii="Arial" w:cs="Arial" w:eastAsia="Arial" w:hAnsi="Arial"/>
                  <w:sz w:val="18"/>
                  <w:szCs w:val="18"/>
                  <w:color w:val="auto"/>
                </w:rPr>
                <w:t>Sarbanes-Oxley Act of 2002</w:t>
              </w:r>
            </w:hyperlink>
          </w:p>
        </w:tc>
        <w:tc>
          <w:tcPr>
            <w:tcW w:w="660" w:type="dxa"/>
            <w:vAlign w:val="bottom"/>
            <w:gridSpan w:val="2"/>
          </w:tcPr>
          <w:p>
            <w:pPr>
              <w:spacing w:after="0"/>
              <w:rPr>
                <w:sz w:val="13"/>
                <w:szCs w:val="13"/>
                <w:color w:val="auto"/>
              </w:rPr>
            </w:pPr>
          </w:p>
        </w:tc>
        <w:tc>
          <w:tcPr>
            <w:tcW w:w="300" w:type="dxa"/>
            <w:vAlign w:val="bottom"/>
          </w:tcPr>
          <w:p>
            <w:pPr>
              <w:ind w:left="200"/>
              <w:spacing w:after="0" w:line="155" w:lineRule="exact"/>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6020" w:type="dxa"/>
            <w:vAlign w:val="bottom"/>
            <w:gridSpan w:val="5"/>
          </w:tcPr>
          <w:p>
            <w:pPr>
              <w:spacing w:after="0"/>
              <w:rPr>
                <w:sz w:val="20"/>
                <w:szCs w:val="20"/>
                <w:color w:val="auto"/>
              </w:rPr>
            </w:pPr>
            <w:r>
              <w:rPr>
                <w:rFonts w:ascii="Arial" w:cs="Arial" w:eastAsia="Arial" w:hAnsi="Arial"/>
                <w:sz w:val="18"/>
                <w:szCs w:val="18"/>
                <w:color w:val="auto"/>
                <w:w w:val="94"/>
              </w:rPr>
              <w:t>Inline XBRL Instance Document - the instance document does not appear in the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6020" w:type="dxa"/>
            <w:vAlign w:val="bottom"/>
            <w:gridSpan w:val="5"/>
          </w:tcPr>
          <w:p>
            <w:pPr>
              <w:spacing w:after="0" w:line="176" w:lineRule="exact"/>
              <w:rPr>
                <w:sz w:val="20"/>
                <w:szCs w:val="20"/>
                <w:color w:val="auto"/>
              </w:rPr>
            </w:pPr>
            <w:r>
              <w:rPr>
                <w:rFonts w:ascii="Arial" w:cs="Arial" w:eastAsia="Arial" w:hAnsi="Arial"/>
                <w:sz w:val="18"/>
                <w:szCs w:val="18"/>
                <w:color w:val="auto"/>
              </w:rPr>
              <w:t>Interactive Data File because its XBRL tags are embedded within the Inline</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020" w:type="dxa"/>
            <w:vAlign w:val="bottom"/>
            <w:gridSpan w:val="5"/>
          </w:tcPr>
          <w:p>
            <w:pPr>
              <w:spacing w:after="0"/>
              <w:rPr>
                <w:sz w:val="20"/>
                <w:szCs w:val="20"/>
                <w:color w:val="auto"/>
              </w:rPr>
            </w:pPr>
            <w:r>
              <w:rPr>
                <w:rFonts w:ascii="Arial" w:cs="Arial" w:eastAsia="Arial" w:hAnsi="Arial"/>
                <w:sz w:val="18"/>
                <w:szCs w:val="18"/>
                <w:color w:val="auto"/>
              </w:rPr>
              <w:t>XBRL document.</w:t>
            </w:r>
          </w:p>
        </w:tc>
        <w:tc>
          <w:tcPr>
            <w:tcW w:w="300" w:type="dxa"/>
            <w:vAlign w:val="bottom"/>
          </w:tcPr>
          <w:p>
            <w:pPr>
              <w:ind w:left="20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10"/>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602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300" w:type="dxa"/>
            <w:vAlign w:val="bottom"/>
          </w:tcPr>
          <w:p>
            <w:pPr>
              <w:ind w:left="20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10"/>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602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300" w:type="dxa"/>
            <w:vAlign w:val="bottom"/>
          </w:tcPr>
          <w:p>
            <w:pPr>
              <w:ind w:left="20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11"/>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602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300" w:type="dxa"/>
            <w:vAlign w:val="bottom"/>
          </w:tcPr>
          <w:p>
            <w:pPr>
              <w:ind w:left="20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11"/>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602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300" w:type="dxa"/>
            <w:vAlign w:val="bottom"/>
          </w:tcPr>
          <w:p>
            <w:pPr>
              <w:ind w:left="20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10"/>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602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300" w:type="dxa"/>
            <w:vAlign w:val="bottom"/>
          </w:tcPr>
          <w:p>
            <w:pPr>
              <w:ind w:left="20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11"/>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6020" w:type="dxa"/>
            <w:vAlign w:val="bottom"/>
            <w:gridSpan w:val="5"/>
          </w:tcPr>
          <w:p>
            <w:pPr>
              <w:spacing w:after="0"/>
              <w:rPr>
                <w:sz w:val="20"/>
                <w:szCs w:val="20"/>
                <w:color w:val="auto"/>
              </w:rPr>
            </w:pPr>
            <w:r>
              <w:rPr>
                <w:rFonts w:ascii="Arial" w:cs="Arial" w:eastAsia="Arial" w:hAnsi="Arial"/>
                <w:sz w:val="18"/>
                <w:szCs w:val="18"/>
                <w:color w:val="auto"/>
                <w:w w:val="94"/>
              </w:rPr>
              <w:t>Cover Page Interactive Data File (embedded within the Inline XBRL document).</w:t>
            </w:r>
          </w:p>
        </w:tc>
        <w:tc>
          <w:tcPr>
            <w:tcW w:w="300" w:type="dxa"/>
            <w:vAlign w:val="bottom"/>
          </w:tcPr>
          <w:p>
            <w:pPr>
              <w:ind w:left="20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Indicates a management contract or a compensatory plan, contract or arrangement.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1" w:right="1440" w:bottom="1440" w:gutter="0" w:footer="0" w:header="0"/>
        </w:sectPr>
      </w:pPr>
    </w:p>
    <w:bookmarkStart w:id="121" w:name="page122"/>
    <w:bookmarkEnd w:id="121"/>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Pursuant to the requirements of the Section 13 or 15(d) of Securities Exchange Act of 1934, the Registrant has duly caused this report to be signed on its behalf by the undersigned, hereunto duly authorized.</w:t>
      </w:r>
    </w:p>
    <w:p>
      <w:pPr>
        <w:spacing w:after="0" w:line="14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TRIPADVISOR, INC.</w:t>
      </w:r>
    </w:p>
    <w:p>
      <w:pPr>
        <w:spacing w:after="0" w:line="18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By:</w:t>
        <w:tab/>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6350</wp:posOffset>
            </wp:positionV>
            <wp:extent cx="225425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5">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ind w:left="20"/>
        <w:spacing w:after="0"/>
        <w:tabs>
          <w:tab w:leader="none" w:pos="7680" w:val="left"/>
        </w:tabs>
        <w:rPr>
          <w:sz w:val="20"/>
          <w:szCs w:val="20"/>
          <w:color w:val="auto"/>
        </w:rPr>
      </w:pPr>
      <w:r>
        <w:rPr>
          <w:rFonts w:ascii="Arial" w:cs="Arial" w:eastAsia="Arial" w:hAnsi="Arial"/>
          <w:sz w:val="18"/>
          <w:szCs w:val="18"/>
          <w:color w:val="auto"/>
        </w:rPr>
        <w:t>February 18, 2022</w:t>
      </w:r>
      <w:r>
        <w:rPr>
          <w:sz w:val="20"/>
          <w:szCs w:val="20"/>
          <w:color w:val="auto"/>
        </w:rPr>
        <w:tab/>
      </w:r>
      <w:r>
        <w:rPr>
          <w:rFonts w:ascii="Arial" w:cs="Arial" w:eastAsia="Arial" w:hAnsi="Arial"/>
          <w:sz w:val="16"/>
          <w:szCs w:val="16"/>
          <w:color w:val="auto"/>
        </w:rPr>
        <w:t>Stephen Kaufer</w:t>
      </w:r>
    </w:p>
    <w:p>
      <w:pPr>
        <w:ind w:left="7700"/>
        <w:spacing w:after="0"/>
        <w:rPr>
          <w:sz w:val="20"/>
          <w:szCs w:val="20"/>
          <w:color w:val="auto"/>
        </w:rPr>
      </w:pPr>
      <w:r>
        <w:rPr>
          <w:rFonts w:ascii="Arial" w:cs="Arial" w:eastAsia="Arial" w:hAnsi="Arial"/>
          <w:sz w:val="18"/>
          <w:szCs w:val="18"/>
          <w:color w:val="auto"/>
        </w:rPr>
        <w:t>Chief Executive Officer and President</w:t>
      </w: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16"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We, the undersigned officers and directors of Tripadvisor, Inc., hereby severally constitute and appoint Stephen Kaufer and Ernst Teunissen, and each of them singly, our true and lawful attorneys, with full power to them and each of them singly, to sign for us in our names in the capacities indicated below, all amendments to this report, and generally to do all things in our names and on our behalf in such capacities to enable Tripadvisor, Inc. to comply with the provisions of the Securities Exchange Act of 1934, and all requirements of the Securities and Exchange Commission.</w:t>
      </w:r>
    </w:p>
    <w:p>
      <w:pPr>
        <w:spacing w:after="0" w:line="155"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February 18, 2022.</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4" w:right="459" w:bottom="1440" w:gutter="0" w:footer="0" w:header="0"/>
        </w:sectPr>
      </w:pPr>
    </w:p>
    <w:bookmarkStart w:id="122" w:name="page123"/>
    <w:bookmarkEnd w:id="122"/>
    <w:p>
      <w:pPr>
        <w:spacing w:after="0" w:line="27" w:lineRule="exact"/>
        <w:rPr>
          <w:sz w:val="20"/>
          <w:szCs w:val="20"/>
          <w:color w:val="auto"/>
        </w:rPr>
      </w:pPr>
    </w:p>
    <w:p>
      <w:pPr>
        <w:jc w:val="center"/>
        <w:ind w:left="740"/>
        <w:spacing w:after="0"/>
        <w:rPr>
          <w:sz w:val="20"/>
          <w:szCs w:val="20"/>
          <w:color w:val="auto"/>
        </w:rPr>
      </w:pPr>
      <w:r>
        <w:rPr>
          <w:rFonts w:ascii="Arial" w:cs="Arial" w:eastAsia="Arial" w:hAnsi="Arial"/>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3497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497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Stephen Kaufer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 ERNST TEUNISSEN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497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Ernst Teunissen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 GEOFFREY GOUVALARIS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497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Geoffrey Gouvalaris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 GREGORY B. MAFFEI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497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Gregory B. Maffei</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 TRYNKA SHINEMAN BLAKE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Trynka Shineman Blake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3497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 JAY C. HOAG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497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Jay C. Hoag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 BETSY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497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Betsy Morgan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 GREG O’HARA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497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Greg O’Hara</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 JEREMY PHILIPS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497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6">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Jeremy Philips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ALBERT E. ROSENTHALER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497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Albert E. Rosenthaler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 JANE JIE SUN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Jane Jie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3497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/s/ ROBERT S. WIESENTHAL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497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Robert S. Wiesenthal</w:t>
      </w:r>
    </w:p>
    <w:p>
      <w:pPr>
        <w:spacing w:after="0" w:line="20" w:lineRule="exact"/>
        <w:rPr>
          <w:sz w:val="20"/>
          <w:szCs w:val="20"/>
          <w:color w:val="auto"/>
        </w:rPr>
      </w:pPr>
      <w:r>
        <w:rPr>
          <w:sz w:val="20"/>
          <w:szCs w:val="20"/>
          <w:color w:val="auto"/>
        </w:rPr>
        <w:br w:type="column"/>
      </w:r>
    </w:p>
    <w:p>
      <w:pPr>
        <w:jc w:val="center"/>
        <w:ind w:right="-1299"/>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32385</wp:posOffset>
            </wp:positionV>
            <wp:extent cx="34886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24" w:lineRule="exact"/>
        <w:rPr>
          <w:sz w:val="20"/>
          <w:szCs w:val="20"/>
          <w:color w:val="auto"/>
        </w:rPr>
      </w:pPr>
    </w:p>
    <w:p>
      <w:pPr>
        <w:jc w:val="center"/>
        <w:ind w:right="-1299"/>
        <w:spacing w:after="0"/>
        <w:rPr>
          <w:sz w:val="20"/>
          <w:szCs w:val="20"/>
          <w:color w:val="auto"/>
        </w:rPr>
      </w:pPr>
      <w:r>
        <w:rPr>
          <w:rFonts w:ascii="Arial" w:cs="Arial" w:eastAsia="Arial" w:hAnsi="Arial"/>
          <w:sz w:val="16"/>
          <w:szCs w:val="16"/>
          <w:color w:val="auto"/>
        </w:rPr>
        <w:t>Chief Executive Officer, President and Director</w:t>
      </w:r>
    </w:p>
    <w:p>
      <w:pPr>
        <w:spacing w:after="0" w:line="8" w:lineRule="exact"/>
        <w:rPr>
          <w:sz w:val="20"/>
          <w:szCs w:val="20"/>
          <w:color w:val="auto"/>
        </w:rPr>
      </w:pPr>
    </w:p>
    <w:p>
      <w:pPr>
        <w:jc w:val="center"/>
        <w:ind w:right="-1299"/>
        <w:spacing w:after="0"/>
        <w:rPr>
          <w:sz w:val="20"/>
          <w:szCs w:val="20"/>
          <w:color w:val="auto"/>
        </w:rPr>
      </w:pPr>
      <w:r>
        <w:rPr>
          <w:rFonts w:ascii="Arial" w:cs="Arial" w:eastAsia="Arial" w:hAnsi="Arial"/>
          <w:sz w:val="18"/>
          <w:szCs w:val="18"/>
          <w:color w:val="auto"/>
        </w:rPr>
        <w:t>(Principal Executive Officer)</w:t>
      </w:r>
    </w:p>
    <w:p>
      <w:pPr>
        <w:spacing w:after="0" w:line="99" w:lineRule="exact"/>
        <w:rPr>
          <w:sz w:val="20"/>
          <w:szCs w:val="20"/>
          <w:color w:val="auto"/>
        </w:rPr>
      </w:pPr>
    </w:p>
    <w:p>
      <w:pPr>
        <w:jc w:val="center"/>
        <w:ind w:right="-1299"/>
        <w:spacing w:after="0"/>
        <w:rPr>
          <w:sz w:val="20"/>
          <w:szCs w:val="20"/>
          <w:color w:val="auto"/>
        </w:rPr>
      </w:pPr>
      <w:r>
        <w:rPr>
          <w:rFonts w:ascii="Arial" w:cs="Arial" w:eastAsia="Arial" w:hAnsi="Arial"/>
          <w:sz w:val="18"/>
          <w:szCs w:val="18"/>
          <w:color w:val="auto"/>
        </w:rPr>
        <w:t>Chief Financial Officer</w:t>
      </w:r>
    </w:p>
    <w:p>
      <w:pPr>
        <w:jc w:val="center"/>
        <w:ind w:right="-1299"/>
        <w:spacing w:after="0"/>
        <w:rPr>
          <w:sz w:val="20"/>
          <w:szCs w:val="20"/>
          <w:color w:val="auto"/>
        </w:rPr>
      </w:pPr>
      <w:r>
        <w:rPr>
          <w:rFonts w:ascii="Arial" w:cs="Arial" w:eastAsia="Arial" w:hAnsi="Arial"/>
          <w:sz w:val="18"/>
          <w:szCs w:val="18"/>
          <w:color w:val="auto"/>
        </w:rPr>
        <w:t>(Principal Financial Officer)</w:t>
      </w:r>
    </w:p>
    <w:p>
      <w:pPr>
        <w:spacing w:after="0" w:line="99" w:lineRule="exact"/>
        <w:rPr>
          <w:sz w:val="20"/>
          <w:szCs w:val="20"/>
          <w:color w:val="auto"/>
        </w:rPr>
      </w:pPr>
    </w:p>
    <w:p>
      <w:pPr>
        <w:jc w:val="center"/>
        <w:ind w:right="-1299"/>
        <w:spacing w:after="0"/>
        <w:rPr>
          <w:sz w:val="20"/>
          <w:szCs w:val="20"/>
          <w:color w:val="auto"/>
        </w:rPr>
      </w:pPr>
      <w:r>
        <w:rPr>
          <w:rFonts w:ascii="Arial" w:cs="Arial" w:eastAsia="Arial" w:hAnsi="Arial"/>
          <w:sz w:val="18"/>
          <w:szCs w:val="18"/>
          <w:color w:val="auto"/>
        </w:rPr>
        <w:t>Chief Accounting Officer</w:t>
      </w:r>
    </w:p>
    <w:p>
      <w:pPr>
        <w:jc w:val="center"/>
        <w:ind w:right="-1299"/>
        <w:spacing w:after="0"/>
        <w:rPr>
          <w:sz w:val="20"/>
          <w:szCs w:val="20"/>
          <w:color w:val="auto"/>
        </w:rPr>
      </w:pPr>
      <w:r>
        <w:rPr>
          <w:rFonts w:ascii="Arial" w:cs="Arial" w:eastAsia="Arial" w:hAnsi="Arial"/>
          <w:sz w:val="18"/>
          <w:szCs w:val="18"/>
          <w:color w:val="auto"/>
        </w:rPr>
        <w:t>(Principal Accounting Officer)</w:t>
      </w:r>
    </w:p>
    <w:p>
      <w:pPr>
        <w:spacing w:after="0" w:line="128"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Chairman of the Board</w:t>
      </w:r>
    </w:p>
    <w:p>
      <w:pPr>
        <w:spacing w:after="0" w:line="333"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62230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740" w:space="720"/>
            <w:col w:w="4720"/>
          </w:cols>
          <w:pgMar w:left="340" w:top="373" w:right="137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ind w:left="700"/>
              <w:spacing w:after="0"/>
              <w:rPr>
                <w:sz w:val="20"/>
                <w:szCs w:val="20"/>
                <w:color w:val="auto"/>
              </w:rPr>
            </w:pPr>
            <w:r>
              <w:rPr>
                <w:rFonts w:ascii="Arial" w:cs="Arial" w:eastAsia="Arial" w:hAnsi="Arial"/>
                <w:sz w:val="18"/>
                <w:szCs w:val="18"/>
                <w:b w:val="1"/>
                <w:bCs w:val="1"/>
                <w:color w:val="auto"/>
                <w:w w:val="95"/>
              </w:rPr>
              <w:t>Exhibit 21.1</w:t>
            </w:r>
          </w:p>
        </w:tc>
        <w:tc>
          <w:tcPr>
            <w:tcW w:w="0" w:type="dxa"/>
            <w:vAlign w:val="bottom"/>
          </w:tcPr>
          <w:p>
            <w:pPr>
              <w:spacing w:after="0"/>
              <w:rPr>
                <w:sz w:val="1"/>
                <w:szCs w:val="1"/>
                <w:color w:val="auto"/>
              </w:rPr>
            </w:pPr>
          </w:p>
        </w:tc>
      </w:tr>
      <w:tr>
        <w:trPr>
          <w:trHeight w:val="419"/>
        </w:trPr>
        <w:tc>
          <w:tcPr>
            <w:tcW w:w="3800" w:type="dxa"/>
            <w:vAlign w:val="bottom"/>
          </w:tcPr>
          <w:p>
            <w:pPr>
              <w:spacing w:after="0"/>
              <w:rPr>
                <w:sz w:val="24"/>
                <w:szCs w:val="24"/>
                <w:color w:val="auto"/>
              </w:rPr>
            </w:pPr>
          </w:p>
        </w:tc>
        <w:tc>
          <w:tcPr>
            <w:tcW w:w="7440" w:type="dxa"/>
            <w:vAlign w:val="bottom"/>
            <w:gridSpan w:val="3"/>
          </w:tcPr>
          <w:p>
            <w:pPr>
              <w:ind w:left="660"/>
              <w:spacing w:after="0"/>
              <w:rPr>
                <w:sz w:val="20"/>
                <w:szCs w:val="20"/>
                <w:color w:val="auto"/>
              </w:rPr>
            </w:pPr>
            <w:r>
              <w:rPr>
                <w:rFonts w:ascii="Arial" w:cs="Arial" w:eastAsia="Arial" w:hAnsi="Arial"/>
                <w:sz w:val="18"/>
                <w:szCs w:val="18"/>
                <w:b w:val="1"/>
                <w:bCs w:val="1"/>
                <w:color w:val="auto"/>
              </w:rPr>
              <w:t>Subsidiaries of the Registrant</w:t>
            </w:r>
          </w:p>
        </w:tc>
        <w:tc>
          <w:tcPr>
            <w:tcW w:w="0" w:type="dxa"/>
            <w:vAlign w:val="bottom"/>
          </w:tcPr>
          <w:p>
            <w:pPr>
              <w:spacing w:after="0"/>
              <w:rPr>
                <w:sz w:val="1"/>
                <w:szCs w:val="1"/>
                <w:color w:val="auto"/>
              </w:rPr>
            </w:pPr>
          </w:p>
        </w:tc>
      </w:tr>
      <w:tr>
        <w:trPr>
          <w:trHeight w:val="418"/>
        </w:trPr>
        <w:tc>
          <w:tcPr>
            <w:tcW w:w="3800" w:type="dxa"/>
            <w:vAlign w:val="bottom"/>
          </w:tcPr>
          <w:p>
            <w:pPr>
              <w:spacing w:after="0"/>
              <w:rPr>
                <w:sz w:val="20"/>
                <w:szCs w:val="20"/>
                <w:color w:val="auto"/>
              </w:rPr>
            </w:pPr>
            <w:r>
              <w:rPr>
                <w:rFonts w:ascii="Arial" w:cs="Arial" w:eastAsia="Arial" w:hAnsi="Arial"/>
                <w:sz w:val="18"/>
                <w:szCs w:val="18"/>
                <w:b w:val="1"/>
                <w:bCs w:val="1"/>
                <w:color w:val="auto"/>
              </w:rPr>
              <w:t>DOMESTIC</w:t>
            </w:r>
          </w:p>
        </w:tc>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Entity</w:t>
            </w:r>
          </w:p>
        </w:tc>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c>
          <w:tcPr>
            <w:tcW w:w="0" w:type="dxa"/>
            <w:vAlign w:val="bottom"/>
          </w:tcPr>
          <w:p>
            <w:pPr>
              <w:spacing w:after="0"/>
              <w:rPr>
                <w:sz w:val="1"/>
                <w:szCs w:val="1"/>
                <w:color w:val="auto"/>
              </w:rPr>
            </w:pPr>
          </w:p>
        </w:tc>
      </w:tr>
      <w:tr>
        <w:trPr>
          <w:trHeight w:val="216"/>
        </w:trPr>
        <w:tc>
          <w:tcPr>
            <w:tcW w:w="3800" w:type="dxa"/>
            <w:vAlign w:val="bottom"/>
            <w:tcBorders>
              <w:bottom w:val="single" w:sz="8" w:color="auto"/>
            </w:tcBorders>
            <w:vMerge w:val="continue"/>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Formation</w:t>
            </w:r>
          </w:p>
        </w:tc>
        <w:tc>
          <w:tcPr>
            <w:tcW w:w="0" w:type="dxa"/>
            <w:vAlign w:val="bottom"/>
          </w:tcPr>
          <w:p>
            <w:pPr>
              <w:spacing w:after="0"/>
              <w:rPr>
                <w:sz w:val="1"/>
                <w:szCs w:val="1"/>
                <w:color w:val="auto"/>
              </w:rPr>
            </w:pPr>
          </w:p>
        </w:tc>
      </w:tr>
      <w:tr>
        <w:trPr>
          <w:trHeight w:val="209"/>
        </w:trPr>
        <w:tc>
          <w:tcPr>
            <w:tcW w:w="3800" w:type="dxa"/>
            <w:vAlign w:val="bottom"/>
          </w:tcPr>
          <w:p>
            <w:pPr>
              <w:ind w:left="20"/>
              <w:spacing w:after="0"/>
              <w:rPr>
                <w:sz w:val="20"/>
                <w:szCs w:val="20"/>
                <w:color w:val="auto"/>
              </w:rPr>
            </w:pPr>
            <w:r>
              <w:rPr>
                <w:rFonts w:ascii="Arial" w:cs="Arial" w:eastAsia="Arial" w:hAnsi="Arial"/>
                <w:sz w:val="18"/>
                <w:szCs w:val="18"/>
                <w:color w:val="auto"/>
              </w:rPr>
              <w:t>TripAdvisor Holdings, LLC</w:t>
            </w: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3800" w:type="dxa"/>
            <w:vAlign w:val="bottom"/>
          </w:tcPr>
          <w:p>
            <w:pPr>
              <w:ind w:left="240"/>
              <w:spacing w:after="0"/>
              <w:rPr>
                <w:sz w:val="20"/>
                <w:szCs w:val="20"/>
                <w:color w:val="auto"/>
              </w:rPr>
            </w:pPr>
            <w:r>
              <w:rPr>
                <w:rFonts w:ascii="Arial" w:cs="Arial" w:eastAsia="Arial" w:hAnsi="Arial"/>
                <w:sz w:val="18"/>
                <w:szCs w:val="18"/>
                <w:color w:val="auto"/>
              </w:rPr>
              <w:t>TripAdvisor LLC</w:t>
            </w: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3800" w:type="dxa"/>
            <w:vAlign w:val="bottom"/>
          </w:tcPr>
          <w:p>
            <w:pPr>
              <w:ind w:left="460"/>
              <w:spacing w:after="0"/>
              <w:rPr>
                <w:sz w:val="20"/>
                <w:szCs w:val="20"/>
                <w:color w:val="auto"/>
              </w:rPr>
            </w:pPr>
            <w:r>
              <w:rPr>
                <w:rFonts w:ascii="Arial" w:cs="Arial" w:eastAsia="Arial" w:hAnsi="Arial"/>
                <w:sz w:val="18"/>
                <w:szCs w:val="18"/>
                <w:color w:val="auto"/>
              </w:rPr>
              <w:t>FlipKey, Inc.</w:t>
            </w: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3800" w:type="dxa"/>
            <w:vAlign w:val="bottom"/>
          </w:tcPr>
          <w:p>
            <w:pPr>
              <w:ind w:left="460"/>
              <w:spacing w:after="0"/>
              <w:rPr>
                <w:sz w:val="20"/>
                <w:szCs w:val="20"/>
                <w:color w:val="auto"/>
              </w:rPr>
            </w:pPr>
            <w:r>
              <w:rPr>
                <w:rFonts w:ascii="Arial" w:cs="Arial" w:eastAsia="Arial" w:hAnsi="Arial"/>
                <w:sz w:val="18"/>
                <w:szCs w:val="18"/>
                <w:color w:val="auto"/>
              </w:rPr>
              <w:t>TAMG Ventures Co.</w:t>
            </w: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3800" w:type="dxa"/>
            <w:vAlign w:val="bottom"/>
          </w:tcPr>
          <w:p>
            <w:pPr>
              <w:ind w:left="460"/>
              <w:spacing w:after="0"/>
              <w:rPr>
                <w:sz w:val="20"/>
                <w:szCs w:val="20"/>
                <w:color w:val="auto"/>
              </w:rPr>
            </w:pPr>
            <w:r>
              <w:rPr>
                <w:rFonts w:ascii="Arial" w:cs="Arial" w:eastAsia="Arial" w:hAnsi="Arial"/>
                <w:sz w:val="18"/>
                <w:szCs w:val="18"/>
                <w:color w:val="auto"/>
              </w:rPr>
              <w:t>Viator, Inc.</w:t>
            </w: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3800" w:type="dxa"/>
            <w:vAlign w:val="bottom"/>
          </w:tcPr>
          <w:p>
            <w:pPr>
              <w:ind w:left="460"/>
              <w:spacing w:after="0"/>
              <w:rPr>
                <w:sz w:val="20"/>
                <w:szCs w:val="20"/>
                <w:color w:val="auto"/>
              </w:rPr>
            </w:pPr>
            <w:r>
              <w:rPr>
                <w:rFonts w:ascii="Arial" w:cs="Arial" w:eastAsia="Arial" w:hAnsi="Arial"/>
                <w:sz w:val="18"/>
                <w:szCs w:val="18"/>
                <w:color w:val="auto"/>
              </w:rPr>
              <w:t>The Independent Traveler, Inc.</w:t>
            </w: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NJ</w:t>
            </w:r>
          </w:p>
        </w:tc>
        <w:tc>
          <w:tcPr>
            <w:tcW w:w="0" w:type="dxa"/>
            <w:vAlign w:val="bottom"/>
          </w:tcPr>
          <w:p>
            <w:pPr>
              <w:spacing w:after="0"/>
              <w:rPr>
                <w:sz w:val="1"/>
                <w:szCs w:val="1"/>
                <w:color w:val="auto"/>
              </w:rPr>
            </w:pPr>
          </w:p>
        </w:tc>
      </w:tr>
      <w:tr>
        <w:trPr>
          <w:trHeight w:val="216"/>
        </w:trPr>
        <w:tc>
          <w:tcPr>
            <w:tcW w:w="3800" w:type="dxa"/>
            <w:vAlign w:val="bottom"/>
          </w:tcPr>
          <w:p>
            <w:pPr>
              <w:ind w:left="460"/>
              <w:spacing w:after="0"/>
              <w:rPr>
                <w:sz w:val="20"/>
                <w:szCs w:val="20"/>
                <w:color w:val="auto"/>
              </w:rPr>
            </w:pPr>
            <w:r>
              <w:rPr>
                <w:rFonts w:ascii="Arial" w:cs="Arial" w:eastAsia="Arial" w:hAnsi="Arial"/>
                <w:sz w:val="18"/>
                <w:szCs w:val="18"/>
                <w:color w:val="auto"/>
              </w:rPr>
              <w:t>TripAdvisor APAC Holdings Corp.</w:t>
            </w: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3800" w:type="dxa"/>
            <w:vAlign w:val="bottom"/>
          </w:tcPr>
          <w:p>
            <w:pPr>
              <w:ind w:left="680"/>
              <w:spacing w:after="0"/>
              <w:rPr>
                <w:sz w:val="20"/>
                <w:szCs w:val="20"/>
                <w:color w:val="auto"/>
              </w:rPr>
            </w:pPr>
            <w:r>
              <w:rPr>
                <w:rFonts w:ascii="Arial" w:cs="Arial" w:eastAsia="Arial" w:hAnsi="Arial"/>
                <w:sz w:val="18"/>
                <w:szCs w:val="18"/>
                <w:color w:val="auto"/>
              </w:rPr>
              <w:t>TripAdvisor GP1 LLC</w:t>
            </w: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3800" w:type="dxa"/>
            <w:vAlign w:val="bottom"/>
          </w:tcPr>
          <w:p>
            <w:pPr>
              <w:ind w:left="680"/>
              <w:spacing w:after="0"/>
              <w:rPr>
                <w:sz w:val="20"/>
                <w:szCs w:val="20"/>
                <w:color w:val="auto"/>
              </w:rPr>
            </w:pPr>
            <w:r>
              <w:rPr>
                <w:rFonts w:ascii="Arial" w:cs="Arial" w:eastAsia="Arial" w:hAnsi="Arial"/>
                <w:sz w:val="18"/>
                <w:szCs w:val="18"/>
                <w:color w:val="auto"/>
              </w:rPr>
              <w:t>TripAdvisor GP2 LLC</w:t>
            </w: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3800" w:type="dxa"/>
            <w:vAlign w:val="bottom"/>
          </w:tcPr>
          <w:p>
            <w:pPr>
              <w:ind w:left="680"/>
              <w:spacing w:after="0"/>
              <w:rPr>
                <w:sz w:val="20"/>
                <w:szCs w:val="20"/>
                <w:color w:val="auto"/>
              </w:rPr>
            </w:pPr>
            <w:r>
              <w:rPr>
                <w:rFonts w:ascii="Arial" w:cs="Arial" w:eastAsia="Arial" w:hAnsi="Arial"/>
                <w:sz w:val="18"/>
                <w:szCs w:val="18"/>
                <w:color w:val="auto"/>
              </w:rPr>
              <w:t>TripAdvisor Finance LLC</w:t>
            </w: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3800" w:type="dxa"/>
            <w:vAlign w:val="bottom"/>
          </w:tcPr>
          <w:p>
            <w:pPr>
              <w:ind w:left="680"/>
              <w:spacing w:after="0"/>
              <w:rPr>
                <w:sz w:val="20"/>
                <w:szCs w:val="20"/>
                <w:color w:val="auto"/>
              </w:rPr>
            </w:pPr>
            <w:r>
              <w:rPr>
                <w:rFonts w:ascii="Arial" w:cs="Arial" w:eastAsia="Arial" w:hAnsi="Arial"/>
                <w:sz w:val="18"/>
                <w:szCs w:val="18"/>
                <w:color w:val="auto"/>
              </w:rPr>
              <w:t>TripAdvisor LP2 LLC</w:t>
            </w: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3800" w:type="dxa"/>
            <w:vAlign w:val="bottom"/>
          </w:tcPr>
          <w:p>
            <w:pPr>
              <w:ind w:left="680"/>
              <w:spacing w:after="0"/>
              <w:rPr>
                <w:sz w:val="20"/>
                <w:szCs w:val="20"/>
                <w:color w:val="auto"/>
              </w:rPr>
            </w:pPr>
            <w:r>
              <w:rPr>
                <w:rFonts w:ascii="Arial" w:cs="Arial" w:eastAsia="Arial" w:hAnsi="Arial"/>
                <w:sz w:val="18"/>
                <w:szCs w:val="18"/>
                <w:color w:val="auto"/>
              </w:rPr>
              <w:t>Restorando, Inc.</w:t>
            </w: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3800" w:type="dxa"/>
            <w:vAlign w:val="bottom"/>
          </w:tcPr>
          <w:p>
            <w:pPr>
              <w:ind w:left="460"/>
              <w:spacing w:after="0"/>
              <w:rPr>
                <w:sz w:val="20"/>
                <w:szCs w:val="20"/>
                <w:color w:val="auto"/>
              </w:rPr>
            </w:pPr>
            <w:r>
              <w:rPr>
                <w:rFonts w:ascii="Arial" w:cs="Arial" w:eastAsia="Arial" w:hAnsi="Arial"/>
                <w:sz w:val="18"/>
                <w:szCs w:val="18"/>
                <w:color w:val="auto"/>
              </w:rPr>
              <w:t>TripAdvisor Securities Corporation</w:t>
            </w: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3800" w:type="dxa"/>
            <w:vAlign w:val="bottom"/>
          </w:tcPr>
          <w:p>
            <w:pPr>
              <w:ind w:left="460"/>
              <w:spacing w:after="0"/>
              <w:rPr>
                <w:sz w:val="20"/>
                <w:szCs w:val="20"/>
                <w:color w:val="auto"/>
              </w:rPr>
            </w:pPr>
            <w:r>
              <w:rPr>
                <w:rFonts w:ascii="Arial" w:cs="Arial" w:eastAsia="Arial" w:hAnsi="Arial"/>
                <w:sz w:val="18"/>
                <w:szCs w:val="18"/>
                <w:color w:val="auto"/>
              </w:rPr>
              <w:t>SinglePlatform, LLC</w:t>
            </w: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30"/>
        </w:trPr>
        <w:tc>
          <w:tcPr>
            <w:tcW w:w="3800" w:type="dxa"/>
            <w:vAlign w:val="bottom"/>
          </w:tcPr>
          <w:p>
            <w:pPr>
              <w:ind w:left="460"/>
              <w:spacing w:after="0"/>
              <w:rPr>
                <w:sz w:val="20"/>
                <w:szCs w:val="20"/>
                <w:color w:val="auto"/>
              </w:rPr>
            </w:pPr>
            <w:r>
              <w:rPr>
                <w:rFonts w:ascii="Arial" w:cs="Arial" w:eastAsia="Arial" w:hAnsi="Arial"/>
                <w:sz w:val="18"/>
                <w:szCs w:val="18"/>
                <w:color w:val="auto"/>
              </w:rPr>
              <w:t>Bookatable, Inc.</w:t>
            </w:r>
          </w:p>
        </w:tc>
        <w:tc>
          <w:tcPr>
            <w:tcW w:w="5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527"/>
        </w:trPr>
        <w:tc>
          <w:tcPr>
            <w:tcW w:w="380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Entity</w:t>
            </w:r>
          </w:p>
        </w:tc>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c>
          <w:tcPr>
            <w:tcW w:w="0" w:type="dxa"/>
            <w:vAlign w:val="bottom"/>
          </w:tcPr>
          <w:p>
            <w:pPr>
              <w:spacing w:after="0"/>
              <w:rPr>
                <w:sz w:val="1"/>
                <w:szCs w:val="1"/>
                <w:color w:val="auto"/>
              </w:rPr>
            </w:pPr>
          </w:p>
        </w:tc>
      </w:tr>
      <w:tr>
        <w:trPr>
          <w:trHeight w:val="216"/>
        </w:trPr>
        <w:tc>
          <w:tcPr>
            <w:tcW w:w="3800" w:type="dxa"/>
            <w:vAlign w:val="bottom"/>
            <w:tcBorders>
              <w:bottom w:val="single" w:sz="8" w:color="auto"/>
            </w:tcBorders>
            <w:vMerge w:val="continue"/>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Formation</w:t>
            </w:r>
          </w:p>
        </w:tc>
        <w:tc>
          <w:tcPr>
            <w:tcW w:w="0" w:type="dxa"/>
            <w:vAlign w:val="bottom"/>
          </w:tcPr>
          <w:p>
            <w:pPr>
              <w:spacing w:after="0"/>
              <w:rPr>
                <w:sz w:val="1"/>
                <w:szCs w:val="1"/>
                <w:color w:val="auto"/>
              </w:rPr>
            </w:pPr>
          </w:p>
        </w:tc>
      </w:tr>
      <w:tr>
        <w:trPr>
          <w:trHeight w:val="182"/>
        </w:trPr>
        <w:tc>
          <w:tcPr>
            <w:tcW w:w="3800" w:type="dxa"/>
            <w:vAlign w:val="bottom"/>
          </w:tcPr>
          <w:p>
            <w:pPr>
              <w:ind w:left="20"/>
              <w:spacing w:after="0" w:line="182" w:lineRule="exact"/>
              <w:rPr>
                <w:sz w:val="20"/>
                <w:szCs w:val="20"/>
                <w:color w:val="auto"/>
              </w:rPr>
            </w:pPr>
            <w:r>
              <w:rPr>
                <w:rFonts w:ascii="Arial" w:cs="Arial" w:eastAsia="Arial" w:hAnsi="Arial"/>
                <w:sz w:val="18"/>
                <w:szCs w:val="18"/>
                <w:color w:val="auto"/>
              </w:rPr>
              <w:t>TripAdvisor UK1 LP</w:t>
            </w:r>
          </w:p>
        </w:tc>
        <w:tc>
          <w:tcPr>
            <w:tcW w:w="5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ind w:left="20"/>
              <w:spacing w:after="0" w:line="182" w:lineRule="exact"/>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03"/>
        </w:trPr>
        <w:tc>
          <w:tcPr>
            <w:tcW w:w="3800" w:type="dxa"/>
            <w:vAlign w:val="bottom"/>
          </w:tcPr>
          <w:p>
            <w:pPr>
              <w:ind w:left="20"/>
              <w:spacing w:after="0" w:line="202" w:lineRule="exact"/>
              <w:rPr>
                <w:sz w:val="20"/>
                <w:szCs w:val="20"/>
                <w:color w:val="auto"/>
              </w:rPr>
            </w:pPr>
            <w:r>
              <w:rPr>
                <w:rFonts w:ascii="Arial" w:cs="Arial" w:eastAsia="Arial" w:hAnsi="Arial"/>
                <w:sz w:val="18"/>
                <w:szCs w:val="18"/>
                <w:color w:val="auto"/>
              </w:rPr>
              <w:t>TripAdvisor UK2 LP</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Bokun ehf</w:t>
            </w:r>
          </w:p>
        </w:tc>
        <w:tc>
          <w:tcPr>
            <w:tcW w:w="5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Iceland</w:t>
            </w:r>
          </w:p>
        </w:tc>
        <w:tc>
          <w:tcPr>
            <w:tcW w:w="0" w:type="dxa"/>
            <w:vAlign w:val="bottom"/>
          </w:tcPr>
          <w:p>
            <w:pPr>
              <w:spacing w:after="0"/>
              <w:rPr>
                <w:sz w:val="1"/>
                <w:szCs w:val="1"/>
                <w:color w:val="auto"/>
              </w:rPr>
            </w:pPr>
          </w:p>
        </w:tc>
      </w:tr>
      <w:tr>
        <w:trPr>
          <w:trHeight w:val="350"/>
        </w:trPr>
        <w:tc>
          <w:tcPr>
            <w:tcW w:w="3800" w:type="dxa"/>
            <w:vAlign w:val="bottom"/>
          </w:tcPr>
          <w:p>
            <w:pPr>
              <w:ind w:left="20"/>
              <w:spacing w:after="0"/>
              <w:rPr>
                <w:sz w:val="20"/>
                <w:szCs w:val="20"/>
                <w:color w:val="auto"/>
              </w:rPr>
            </w:pPr>
            <w:r>
              <w:rPr>
                <w:rFonts w:ascii="Arial" w:cs="Arial" w:eastAsia="Arial" w:hAnsi="Arial"/>
                <w:sz w:val="18"/>
                <w:szCs w:val="18"/>
                <w:color w:val="auto"/>
              </w:rPr>
              <w:t>Viator Systems Pty Limited</w:t>
            </w:r>
          </w:p>
        </w:tc>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03"/>
        </w:trPr>
        <w:tc>
          <w:tcPr>
            <w:tcW w:w="3800" w:type="dxa"/>
            <w:vAlign w:val="bottom"/>
          </w:tcPr>
          <w:p>
            <w:pPr>
              <w:ind w:left="20"/>
              <w:spacing w:after="0" w:line="202" w:lineRule="exact"/>
              <w:rPr>
                <w:sz w:val="20"/>
                <w:szCs w:val="20"/>
                <w:color w:val="auto"/>
              </w:rPr>
            </w:pPr>
            <w:r>
              <w:rPr>
                <w:rFonts w:ascii="Arial" w:cs="Arial" w:eastAsia="Arial" w:hAnsi="Arial"/>
                <w:sz w:val="18"/>
                <w:szCs w:val="18"/>
                <w:color w:val="auto"/>
              </w:rPr>
              <w:t>Viator Limited</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03"/>
        </w:trPr>
        <w:tc>
          <w:tcPr>
            <w:tcW w:w="3800" w:type="dxa"/>
            <w:vAlign w:val="bottom"/>
          </w:tcPr>
          <w:p>
            <w:pPr>
              <w:ind w:left="20"/>
              <w:spacing w:after="0" w:line="202" w:lineRule="exact"/>
              <w:rPr>
                <w:sz w:val="20"/>
                <w:szCs w:val="20"/>
                <w:color w:val="auto"/>
              </w:rPr>
            </w:pPr>
            <w:r>
              <w:rPr>
                <w:rFonts w:ascii="Arial" w:cs="Arial" w:eastAsia="Arial" w:hAnsi="Arial"/>
                <w:sz w:val="18"/>
                <w:szCs w:val="18"/>
                <w:color w:val="auto"/>
              </w:rPr>
              <w:t>TripAdvisor Canada Corp.</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03"/>
        </w:trPr>
        <w:tc>
          <w:tcPr>
            <w:tcW w:w="3800" w:type="dxa"/>
            <w:vAlign w:val="bottom"/>
          </w:tcPr>
          <w:p>
            <w:pPr>
              <w:ind w:left="20"/>
              <w:spacing w:after="0" w:line="202" w:lineRule="exact"/>
              <w:rPr>
                <w:sz w:val="20"/>
                <w:szCs w:val="20"/>
                <w:color w:val="auto"/>
              </w:rPr>
            </w:pPr>
            <w:r>
              <w:rPr>
                <w:rFonts w:ascii="Arial" w:cs="Arial" w:eastAsia="Arial" w:hAnsi="Arial"/>
                <w:sz w:val="18"/>
                <w:szCs w:val="18"/>
                <w:color w:val="auto"/>
              </w:rPr>
              <w:t>TripAdvisor Travel India Private Limited</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03"/>
        </w:trPr>
        <w:tc>
          <w:tcPr>
            <w:tcW w:w="3800" w:type="dxa"/>
            <w:vAlign w:val="bottom"/>
          </w:tcPr>
          <w:p>
            <w:pPr>
              <w:ind w:left="20"/>
              <w:spacing w:after="0" w:line="202" w:lineRule="exact"/>
              <w:rPr>
                <w:sz w:val="20"/>
                <w:szCs w:val="20"/>
                <w:color w:val="auto"/>
              </w:rPr>
            </w:pPr>
            <w:r>
              <w:rPr>
                <w:rFonts w:ascii="Arial" w:cs="Arial" w:eastAsia="Arial" w:hAnsi="Arial"/>
                <w:sz w:val="18"/>
                <w:szCs w:val="18"/>
                <w:color w:val="auto"/>
              </w:rPr>
              <w:t>TripAdvisor (Barbados) Srl</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Barbados</w:t>
            </w:r>
          </w:p>
        </w:tc>
        <w:tc>
          <w:tcPr>
            <w:tcW w:w="0" w:type="dxa"/>
            <w:vAlign w:val="bottom"/>
          </w:tcPr>
          <w:p>
            <w:pPr>
              <w:spacing w:after="0"/>
              <w:rPr>
                <w:sz w:val="1"/>
                <w:szCs w:val="1"/>
                <w:color w:val="auto"/>
              </w:rPr>
            </w:pPr>
          </w:p>
        </w:tc>
      </w:tr>
      <w:tr>
        <w:trPr>
          <w:trHeight w:val="203"/>
        </w:trPr>
        <w:tc>
          <w:tcPr>
            <w:tcW w:w="3800" w:type="dxa"/>
            <w:vAlign w:val="bottom"/>
          </w:tcPr>
          <w:p>
            <w:pPr>
              <w:ind w:left="20"/>
              <w:spacing w:after="0" w:line="202" w:lineRule="exact"/>
              <w:rPr>
                <w:sz w:val="20"/>
                <w:szCs w:val="20"/>
                <w:color w:val="auto"/>
              </w:rPr>
            </w:pPr>
            <w:r>
              <w:rPr>
                <w:rFonts w:ascii="Arial" w:cs="Arial" w:eastAsia="Arial" w:hAnsi="Arial"/>
                <w:sz w:val="18"/>
                <w:szCs w:val="18"/>
                <w:color w:val="auto"/>
              </w:rPr>
              <w:t>TripAdvisor Cayman Holdings II Limited</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Cayman</w:t>
            </w:r>
          </w:p>
        </w:tc>
        <w:tc>
          <w:tcPr>
            <w:tcW w:w="0" w:type="dxa"/>
            <w:vAlign w:val="bottom"/>
          </w:tcPr>
          <w:p>
            <w:pPr>
              <w:spacing w:after="0"/>
              <w:rPr>
                <w:sz w:val="1"/>
                <w:szCs w:val="1"/>
                <w:color w:val="auto"/>
              </w:rPr>
            </w:pPr>
          </w:p>
        </w:tc>
      </w:tr>
      <w:tr>
        <w:trPr>
          <w:trHeight w:val="203"/>
        </w:trPr>
        <w:tc>
          <w:tcPr>
            <w:tcW w:w="3800" w:type="dxa"/>
            <w:vAlign w:val="bottom"/>
          </w:tcPr>
          <w:p>
            <w:pPr>
              <w:ind w:left="20"/>
              <w:spacing w:after="0" w:line="202" w:lineRule="exact"/>
              <w:rPr>
                <w:sz w:val="20"/>
                <w:szCs w:val="20"/>
                <w:color w:val="auto"/>
              </w:rPr>
            </w:pPr>
            <w:r>
              <w:rPr>
                <w:rFonts w:ascii="Arial" w:cs="Arial" w:eastAsia="Arial" w:hAnsi="Arial"/>
                <w:sz w:val="18"/>
                <w:szCs w:val="18"/>
                <w:color w:val="auto"/>
              </w:rPr>
              <w:t>TripAdvisor UK Holdco, Ltd</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03"/>
        </w:trPr>
        <w:tc>
          <w:tcPr>
            <w:tcW w:w="3800" w:type="dxa"/>
            <w:vAlign w:val="bottom"/>
          </w:tcPr>
          <w:p>
            <w:pPr>
              <w:ind w:left="300"/>
              <w:spacing w:after="0" w:line="202" w:lineRule="exact"/>
              <w:rPr>
                <w:sz w:val="20"/>
                <w:szCs w:val="20"/>
                <w:color w:val="auto"/>
              </w:rPr>
            </w:pPr>
            <w:r>
              <w:rPr>
                <w:rFonts w:ascii="Arial" w:cs="Arial" w:eastAsia="Arial" w:hAnsi="Arial"/>
                <w:sz w:val="18"/>
                <w:szCs w:val="18"/>
                <w:color w:val="auto"/>
              </w:rPr>
              <w:t>LF Holdings (France) SAS</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02"/>
        </w:trPr>
        <w:tc>
          <w:tcPr>
            <w:tcW w:w="3800" w:type="dxa"/>
            <w:vAlign w:val="bottom"/>
          </w:tcPr>
          <w:p>
            <w:pPr>
              <w:ind w:left="300"/>
              <w:spacing w:after="0" w:line="202" w:lineRule="exact"/>
              <w:rPr>
                <w:sz w:val="20"/>
                <w:szCs w:val="20"/>
                <w:color w:val="auto"/>
              </w:rPr>
            </w:pPr>
            <w:r>
              <w:rPr>
                <w:rFonts w:ascii="Arial" w:cs="Arial" w:eastAsia="Arial" w:hAnsi="Arial"/>
                <w:sz w:val="18"/>
                <w:szCs w:val="18"/>
                <w:color w:val="auto"/>
              </w:rPr>
              <w:t>Owl Payments Limited</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03"/>
        </w:trPr>
        <w:tc>
          <w:tcPr>
            <w:tcW w:w="3800" w:type="dxa"/>
            <w:vAlign w:val="bottom"/>
          </w:tcPr>
          <w:p>
            <w:pPr>
              <w:ind w:left="240"/>
              <w:spacing w:after="0" w:line="202" w:lineRule="exact"/>
              <w:rPr>
                <w:sz w:val="20"/>
                <w:szCs w:val="20"/>
                <w:color w:val="auto"/>
              </w:rPr>
            </w:pPr>
            <w:r>
              <w:rPr>
                <w:rFonts w:ascii="Arial" w:cs="Arial" w:eastAsia="Arial" w:hAnsi="Arial"/>
                <w:sz w:val="18"/>
                <w:szCs w:val="18"/>
                <w:color w:val="auto"/>
              </w:rPr>
              <w:t>TripAdvisor Limited</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03"/>
        </w:trPr>
        <w:tc>
          <w:tcPr>
            <w:tcW w:w="3800" w:type="dxa"/>
            <w:vAlign w:val="bottom"/>
          </w:tcPr>
          <w:p>
            <w:pPr>
              <w:ind w:left="460"/>
              <w:spacing w:after="0" w:line="202" w:lineRule="exact"/>
              <w:rPr>
                <w:sz w:val="20"/>
                <w:szCs w:val="20"/>
                <w:color w:val="auto"/>
              </w:rPr>
            </w:pPr>
            <w:r>
              <w:rPr>
                <w:rFonts w:ascii="Arial" w:cs="Arial" w:eastAsia="Arial" w:hAnsi="Arial"/>
                <w:sz w:val="18"/>
                <w:szCs w:val="18"/>
                <w:color w:val="auto"/>
              </w:rPr>
              <w:t>Holiday Lettings (Holdings) Ltd.</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03"/>
        </w:trPr>
        <w:tc>
          <w:tcPr>
            <w:tcW w:w="3800" w:type="dxa"/>
            <w:vAlign w:val="bottom"/>
          </w:tcPr>
          <w:p>
            <w:pPr>
              <w:ind w:left="680"/>
              <w:spacing w:after="0" w:line="202" w:lineRule="exact"/>
              <w:rPr>
                <w:sz w:val="20"/>
                <w:szCs w:val="20"/>
                <w:color w:val="auto"/>
              </w:rPr>
            </w:pPr>
            <w:r>
              <w:rPr>
                <w:rFonts w:ascii="Arial" w:cs="Arial" w:eastAsia="Arial" w:hAnsi="Arial"/>
                <w:sz w:val="18"/>
                <w:szCs w:val="18"/>
                <w:color w:val="auto"/>
              </w:rPr>
              <w:t>Holiday Lettings Ltd.</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03"/>
        </w:trPr>
        <w:tc>
          <w:tcPr>
            <w:tcW w:w="3800" w:type="dxa"/>
            <w:vAlign w:val="bottom"/>
          </w:tcPr>
          <w:p>
            <w:pPr>
              <w:ind w:left="820"/>
              <w:spacing w:after="0" w:line="202" w:lineRule="exact"/>
              <w:rPr>
                <w:sz w:val="20"/>
                <w:szCs w:val="20"/>
                <w:color w:val="auto"/>
              </w:rPr>
            </w:pPr>
            <w:r>
              <w:rPr>
                <w:rFonts w:ascii="Arial" w:cs="Arial" w:eastAsia="Arial" w:hAnsi="Arial"/>
                <w:sz w:val="18"/>
                <w:szCs w:val="18"/>
                <w:color w:val="auto"/>
              </w:rPr>
              <w:t>HouseTrip SA</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03"/>
        </w:trPr>
        <w:tc>
          <w:tcPr>
            <w:tcW w:w="3800" w:type="dxa"/>
            <w:vAlign w:val="bottom"/>
          </w:tcPr>
          <w:p>
            <w:pPr>
              <w:ind w:left="1040"/>
              <w:spacing w:after="0" w:line="202" w:lineRule="exact"/>
              <w:rPr>
                <w:sz w:val="20"/>
                <w:szCs w:val="20"/>
                <w:color w:val="auto"/>
              </w:rPr>
            </w:pPr>
            <w:r>
              <w:rPr>
                <w:rFonts w:ascii="Arial" w:cs="Arial" w:eastAsia="Arial" w:hAnsi="Arial"/>
                <w:sz w:val="18"/>
                <w:szCs w:val="18"/>
                <w:color w:val="auto"/>
              </w:rPr>
              <w:t>HouseTrip Limited</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03"/>
        </w:trPr>
        <w:tc>
          <w:tcPr>
            <w:tcW w:w="3800" w:type="dxa"/>
            <w:vAlign w:val="bottom"/>
          </w:tcPr>
          <w:p>
            <w:pPr>
              <w:ind w:left="1040"/>
              <w:spacing w:after="0" w:line="202" w:lineRule="exact"/>
              <w:rPr>
                <w:sz w:val="20"/>
                <w:szCs w:val="20"/>
                <w:color w:val="auto"/>
              </w:rPr>
            </w:pPr>
            <w:r>
              <w:rPr>
                <w:rFonts w:ascii="Arial" w:cs="Arial" w:eastAsia="Arial" w:hAnsi="Arial"/>
                <w:sz w:val="18"/>
                <w:szCs w:val="18"/>
                <w:color w:val="auto"/>
              </w:rPr>
              <w:t>Tortoise Software Limited</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03"/>
        </w:trPr>
        <w:tc>
          <w:tcPr>
            <w:tcW w:w="3800" w:type="dxa"/>
            <w:vAlign w:val="bottom"/>
          </w:tcPr>
          <w:p>
            <w:pPr>
              <w:ind w:left="460"/>
              <w:spacing w:after="0" w:line="202" w:lineRule="exact"/>
              <w:rPr>
                <w:sz w:val="20"/>
                <w:szCs w:val="20"/>
                <w:color w:val="auto"/>
              </w:rPr>
            </w:pPr>
            <w:r>
              <w:rPr>
                <w:rFonts w:ascii="Arial" w:cs="Arial" w:eastAsia="Arial" w:hAnsi="Arial"/>
                <w:sz w:val="18"/>
                <w:szCs w:val="18"/>
                <w:color w:val="auto"/>
              </w:rPr>
              <w:t>TripAdvisor Australia Pty. Ltd.</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03"/>
        </w:trPr>
        <w:tc>
          <w:tcPr>
            <w:tcW w:w="3800" w:type="dxa"/>
            <w:vAlign w:val="bottom"/>
          </w:tcPr>
          <w:p>
            <w:pPr>
              <w:ind w:left="460"/>
              <w:spacing w:after="0" w:line="202" w:lineRule="exact"/>
              <w:rPr>
                <w:sz w:val="20"/>
                <w:szCs w:val="20"/>
                <w:color w:val="auto"/>
              </w:rPr>
            </w:pPr>
            <w:r>
              <w:rPr>
                <w:rFonts w:ascii="Arial" w:cs="Arial" w:eastAsia="Arial" w:hAnsi="Arial"/>
                <w:sz w:val="18"/>
                <w:szCs w:val="18"/>
                <w:color w:val="auto"/>
              </w:rPr>
              <w:t>TripAdvisor GmbH</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03"/>
        </w:trPr>
        <w:tc>
          <w:tcPr>
            <w:tcW w:w="3800" w:type="dxa"/>
            <w:vAlign w:val="bottom"/>
          </w:tcPr>
          <w:p>
            <w:pPr>
              <w:ind w:left="460"/>
              <w:spacing w:after="0" w:line="202" w:lineRule="exact"/>
              <w:rPr>
                <w:sz w:val="20"/>
                <w:szCs w:val="20"/>
                <w:color w:val="auto"/>
              </w:rPr>
            </w:pPr>
            <w:r>
              <w:rPr>
                <w:rFonts w:ascii="Arial" w:cs="Arial" w:eastAsia="Arial" w:hAnsi="Arial"/>
                <w:sz w:val="18"/>
                <w:szCs w:val="18"/>
                <w:color w:val="auto"/>
              </w:rPr>
              <w:t>TripAdvisor France SAS</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03"/>
        </w:trPr>
        <w:tc>
          <w:tcPr>
            <w:tcW w:w="3800" w:type="dxa"/>
            <w:vAlign w:val="bottom"/>
          </w:tcPr>
          <w:p>
            <w:pPr>
              <w:ind w:left="460"/>
              <w:spacing w:after="0" w:line="202" w:lineRule="exact"/>
              <w:rPr>
                <w:sz w:val="20"/>
                <w:szCs w:val="20"/>
                <w:color w:val="auto"/>
              </w:rPr>
            </w:pPr>
            <w:r>
              <w:rPr>
                <w:rFonts w:ascii="Arial" w:cs="Arial" w:eastAsia="Arial" w:hAnsi="Arial"/>
                <w:sz w:val="18"/>
                <w:szCs w:val="18"/>
                <w:color w:val="auto"/>
              </w:rPr>
              <w:t>TripAdvisor Italy Srl</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03"/>
        </w:trPr>
        <w:tc>
          <w:tcPr>
            <w:tcW w:w="3800" w:type="dxa"/>
            <w:vAlign w:val="bottom"/>
          </w:tcPr>
          <w:p>
            <w:pPr>
              <w:ind w:left="460"/>
              <w:spacing w:after="0" w:line="202" w:lineRule="exact"/>
              <w:rPr>
                <w:sz w:val="20"/>
                <w:szCs w:val="20"/>
                <w:color w:val="auto"/>
              </w:rPr>
            </w:pPr>
            <w:r>
              <w:rPr>
                <w:rFonts w:ascii="Arial" w:cs="Arial" w:eastAsia="Arial" w:hAnsi="Arial"/>
                <w:sz w:val="18"/>
                <w:szCs w:val="18"/>
                <w:color w:val="auto"/>
              </w:rPr>
              <w:t>TripAdvisor Spain S.L.</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03"/>
        </w:trPr>
        <w:tc>
          <w:tcPr>
            <w:tcW w:w="3800" w:type="dxa"/>
            <w:vAlign w:val="bottom"/>
          </w:tcPr>
          <w:p>
            <w:pPr>
              <w:ind w:left="240"/>
              <w:spacing w:after="0" w:line="202" w:lineRule="exact"/>
              <w:rPr>
                <w:sz w:val="20"/>
                <w:szCs w:val="20"/>
                <w:color w:val="auto"/>
              </w:rPr>
            </w:pPr>
            <w:r>
              <w:rPr>
                <w:rFonts w:ascii="Arial" w:cs="Arial" w:eastAsia="Arial" w:hAnsi="Arial"/>
                <w:sz w:val="18"/>
                <w:szCs w:val="18"/>
                <w:color w:val="auto"/>
              </w:rPr>
              <w:t>Guia de Apartamentos Niumba, S.L.</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03"/>
        </w:trPr>
        <w:tc>
          <w:tcPr>
            <w:tcW w:w="3800" w:type="dxa"/>
            <w:vAlign w:val="bottom"/>
          </w:tcPr>
          <w:p>
            <w:pPr>
              <w:ind w:left="240"/>
              <w:spacing w:after="0" w:line="202" w:lineRule="exact"/>
              <w:rPr>
                <w:sz w:val="20"/>
                <w:szCs w:val="20"/>
                <w:color w:val="auto"/>
              </w:rPr>
            </w:pPr>
            <w:r>
              <w:rPr>
                <w:rFonts w:ascii="Arial" w:cs="Arial" w:eastAsia="Arial" w:hAnsi="Arial"/>
                <w:sz w:val="18"/>
                <w:szCs w:val="18"/>
                <w:color w:val="auto"/>
              </w:rPr>
              <w:t>TA Innovation Services Romania S.R.L.</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Romania</w:t>
            </w:r>
          </w:p>
        </w:tc>
        <w:tc>
          <w:tcPr>
            <w:tcW w:w="0" w:type="dxa"/>
            <w:vAlign w:val="bottom"/>
          </w:tcPr>
          <w:p>
            <w:pPr>
              <w:spacing w:after="0"/>
              <w:rPr>
                <w:sz w:val="1"/>
                <w:szCs w:val="1"/>
                <w:color w:val="auto"/>
              </w:rPr>
            </w:pPr>
          </w:p>
        </w:tc>
      </w:tr>
      <w:tr>
        <w:trPr>
          <w:trHeight w:val="202"/>
        </w:trPr>
        <w:tc>
          <w:tcPr>
            <w:tcW w:w="3800" w:type="dxa"/>
            <w:vAlign w:val="bottom"/>
          </w:tcPr>
          <w:p>
            <w:pPr>
              <w:ind w:left="240"/>
              <w:spacing w:after="0" w:line="202" w:lineRule="exact"/>
              <w:rPr>
                <w:sz w:val="20"/>
                <w:szCs w:val="20"/>
                <w:color w:val="auto"/>
              </w:rPr>
            </w:pPr>
            <w:r>
              <w:rPr>
                <w:rFonts w:ascii="Arial" w:cs="Arial" w:eastAsia="Arial" w:hAnsi="Arial"/>
                <w:sz w:val="18"/>
                <w:szCs w:val="18"/>
                <w:color w:val="auto"/>
              </w:rPr>
              <w:t>TripAdvisor Portugal, Unipessoal Lda</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03"/>
        </w:trPr>
        <w:tc>
          <w:tcPr>
            <w:tcW w:w="3800" w:type="dxa"/>
            <w:vAlign w:val="bottom"/>
          </w:tcPr>
          <w:p>
            <w:pPr>
              <w:ind w:left="240"/>
              <w:spacing w:after="0" w:line="202" w:lineRule="exact"/>
              <w:rPr>
                <w:sz w:val="20"/>
                <w:szCs w:val="20"/>
                <w:color w:val="auto"/>
              </w:rPr>
            </w:pPr>
            <w:r>
              <w:rPr>
                <w:rFonts w:ascii="Arial" w:cs="Arial" w:eastAsia="Arial" w:hAnsi="Arial"/>
                <w:sz w:val="18"/>
                <w:szCs w:val="18"/>
                <w:color w:val="auto"/>
              </w:rPr>
              <w:t>TripAdvisor Ireland Ltd</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03"/>
        </w:trPr>
        <w:tc>
          <w:tcPr>
            <w:tcW w:w="3800" w:type="dxa"/>
            <w:vAlign w:val="bottom"/>
          </w:tcPr>
          <w:p>
            <w:pPr>
              <w:ind w:left="240"/>
              <w:spacing w:after="0" w:line="202" w:lineRule="exact"/>
              <w:rPr>
                <w:sz w:val="20"/>
                <w:szCs w:val="20"/>
                <w:color w:val="auto"/>
              </w:rPr>
            </w:pPr>
            <w:r>
              <w:rPr>
                <w:rFonts w:ascii="Arial" w:cs="Arial" w:eastAsia="Arial" w:hAnsi="Arial"/>
                <w:sz w:val="18"/>
                <w:szCs w:val="18"/>
                <w:color w:val="auto"/>
              </w:rPr>
              <w:t>Owl Payments Ireland Limited</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03"/>
        </w:trPr>
        <w:tc>
          <w:tcPr>
            <w:tcW w:w="3800" w:type="dxa"/>
            <w:vAlign w:val="bottom"/>
          </w:tcPr>
          <w:p>
            <w:pPr>
              <w:ind w:left="240"/>
              <w:spacing w:after="0" w:line="202" w:lineRule="exact"/>
              <w:rPr>
                <w:sz w:val="20"/>
                <w:szCs w:val="20"/>
                <w:color w:val="auto"/>
              </w:rPr>
            </w:pPr>
            <w:r>
              <w:rPr>
                <w:rFonts w:ascii="Arial" w:cs="Arial" w:eastAsia="Arial" w:hAnsi="Arial"/>
                <w:sz w:val="18"/>
                <w:szCs w:val="18"/>
                <w:color w:val="auto"/>
              </w:rPr>
              <w:t>TripAdvisor FZ-LLC</w:t>
            </w: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ind w:left="20"/>
              <w:spacing w:after="0" w:line="202" w:lineRule="exact"/>
              <w:rPr>
                <w:sz w:val="20"/>
                <w:szCs w:val="20"/>
                <w:color w:val="auto"/>
              </w:rPr>
            </w:pPr>
            <w:r>
              <w:rPr>
                <w:rFonts w:ascii="Arial" w:cs="Arial" w:eastAsia="Arial" w:hAnsi="Arial"/>
                <w:sz w:val="18"/>
                <w:szCs w:val="18"/>
                <w:color w:val="auto"/>
              </w:rPr>
              <w:t>Dubai</w:t>
            </w:r>
          </w:p>
        </w:tc>
        <w:tc>
          <w:tcPr>
            <w:tcW w:w="0" w:type="dxa"/>
            <w:vAlign w:val="bottom"/>
          </w:tcPr>
          <w:p>
            <w:pPr>
              <w:spacing w:after="0"/>
              <w:rPr>
                <w:sz w:val="1"/>
                <w:szCs w:val="1"/>
                <w:color w:val="auto"/>
              </w:rPr>
            </w:pPr>
          </w:p>
        </w:tc>
      </w:tr>
      <w:tr>
        <w:trPr>
          <w:trHeight w:val="230"/>
        </w:trPr>
        <w:tc>
          <w:tcPr>
            <w:tcW w:w="3800" w:type="dxa"/>
            <w:vAlign w:val="bottom"/>
          </w:tcPr>
          <w:p>
            <w:pPr>
              <w:ind w:left="240"/>
              <w:spacing w:after="0"/>
              <w:rPr>
                <w:sz w:val="20"/>
                <w:szCs w:val="20"/>
                <w:color w:val="auto"/>
              </w:rPr>
            </w:pPr>
            <w:r>
              <w:rPr>
                <w:rFonts w:ascii="Arial" w:cs="Arial" w:eastAsia="Arial" w:hAnsi="Arial"/>
                <w:sz w:val="18"/>
                <w:szCs w:val="18"/>
                <w:color w:val="auto"/>
              </w:rPr>
              <w:t>TA LF Australia Pty Limited</w:t>
            </w:r>
          </w:p>
        </w:tc>
        <w:tc>
          <w:tcPr>
            <w:tcW w:w="5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507"/>
        </w:trPr>
        <w:tc>
          <w:tcPr>
            <w:tcW w:w="380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8000" w:type="dxa"/>
            <w:vAlign w:val="bottom"/>
          </w:tcPr>
          <w:p>
            <w:pPr>
              <w:ind w:left="460"/>
              <w:spacing w:after="0"/>
              <w:rPr>
                <w:sz w:val="20"/>
                <w:szCs w:val="20"/>
                <w:color w:val="auto"/>
              </w:rPr>
            </w:pPr>
            <w:r>
              <w:rPr>
                <w:rFonts w:ascii="Arial" w:cs="Arial" w:eastAsia="Arial" w:hAnsi="Arial"/>
                <w:sz w:val="18"/>
                <w:szCs w:val="18"/>
                <w:color w:val="auto"/>
              </w:rPr>
              <w:t>Dimmi Pty Ltd</w:t>
            </w:r>
          </w:p>
        </w:tc>
        <w:tc>
          <w:tcPr>
            <w:tcW w:w="3240" w:type="dxa"/>
            <w:vAlign w:val="bottom"/>
          </w:tcPr>
          <w:p>
            <w:pPr>
              <w:ind w:left="1580"/>
              <w:spacing w:after="0"/>
              <w:rPr>
                <w:sz w:val="20"/>
                <w:szCs w:val="20"/>
                <w:color w:val="auto"/>
              </w:rPr>
            </w:pPr>
            <w:r>
              <w:rPr>
                <w:rFonts w:ascii="Arial" w:cs="Arial" w:eastAsia="Arial" w:hAnsi="Arial"/>
                <w:sz w:val="18"/>
                <w:szCs w:val="18"/>
                <w:color w:val="auto"/>
              </w:rPr>
              <w:t>Australia</w:t>
            </w:r>
          </w:p>
        </w:tc>
      </w:tr>
      <w:tr>
        <w:trPr>
          <w:trHeight w:val="203"/>
        </w:trPr>
        <w:tc>
          <w:tcPr>
            <w:tcW w:w="8000" w:type="dxa"/>
            <w:vAlign w:val="bottom"/>
          </w:tcPr>
          <w:p>
            <w:pPr>
              <w:ind w:left="240"/>
              <w:spacing w:after="0" w:line="202" w:lineRule="exact"/>
              <w:rPr>
                <w:sz w:val="20"/>
                <w:szCs w:val="20"/>
                <w:color w:val="auto"/>
              </w:rPr>
            </w:pPr>
            <w:r>
              <w:rPr>
                <w:rFonts w:ascii="Arial" w:cs="Arial" w:eastAsia="Arial" w:hAnsi="Arial"/>
                <w:sz w:val="18"/>
                <w:szCs w:val="18"/>
                <w:color w:val="auto"/>
              </w:rPr>
              <w:t>BestTables Brasil Internet Servicos de Informacao e Technologia Ltda.</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8000" w:type="dxa"/>
            <w:vAlign w:val="bottom"/>
          </w:tcPr>
          <w:p>
            <w:pPr>
              <w:ind w:left="460"/>
              <w:spacing w:after="0" w:line="202" w:lineRule="exact"/>
              <w:rPr>
                <w:sz w:val="20"/>
                <w:szCs w:val="20"/>
                <w:color w:val="auto"/>
              </w:rPr>
            </w:pPr>
            <w:r>
              <w:rPr>
                <w:rFonts w:ascii="Arial" w:cs="Arial" w:eastAsia="Arial" w:hAnsi="Arial"/>
                <w:sz w:val="18"/>
                <w:szCs w:val="18"/>
                <w:color w:val="auto"/>
              </w:rPr>
              <w:t>BestTables II Portugal, Unipessoal Lda.</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Portugal</w:t>
            </w:r>
          </w:p>
        </w:tc>
      </w:tr>
      <w:tr>
        <w:trPr>
          <w:trHeight w:val="203"/>
        </w:trPr>
        <w:tc>
          <w:tcPr>
            <w:tcW w:w="8000" w:type="dxa"/>
            <w:vAlign w:val="bottom"/>
          </w:tcPr>
          <w:p>
            <w:pPr>
              <w:ind w:left="240"/>
              <w:spacing w:after="0" w:line="202" w:lineRule="exact"/>
              <w:rPr>
                <w:sz w:val="20"/>
                <w:szCs w:val="20"/>
                <w:color w:val="auto"/>
              </w:rPr>
            </w:pPr>
            <w:r>
              <w:rPr>
                <w:rFonts w:ascii="Arial" w:cs="Arial" w:eastAsia="Arial" w:hAnsi="Arial"/>
                <w:sz w:val="18"/>
                <w:szCs w:val="18"/>
                <w:color w:val="auto"/>
              </w:rPr>
              <w:t>La Fourchette SAS</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France</w:t>
            </w:r>
          </w:p>
        </w:tc>
      </w:tr>
      <w:tr>
        <w:trPr>
          <w:trHeight w:val="203"/>
        </w:trPr>
        <w:tc>
          <w:tcPr>
            <w:tcW w:w="8000" w:type="dxa"/>
            <w:vAlign w:val="bottom"/>
          </w:tcPr>
          <w:p>
            <w:pPr>
              <w:ind w:left="460"/>
              <w:spacing w:after="0" w:line="202" w:lineRule="exact"/>
              <w:rPr>
                <w:sz w:val="20"/>
                <w:szCs w:val="20"/>
                <w:color w:val="auto"/>
              </w:rPr>
            </w:pPr>
            <w:r>
              <w:rPr>
                <w:rFonts w:ascii="Arial" w:cs="Arial" w:eastAsia="Arial" w:hAnsi="Arial"/>
                <w:sz w:val="18"/>
                <w:szCs w:val="18"/>
                <w:color w:val="auto"/>
              </w:rPr>
              <w:t>La Fourchette Espana S.L.</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Spain</w:t>
            </w:r>
          </w:p>
        </w:tc>
      </w:tr>
      <w:tr>
        <w:trPr>
          <w:trHeight w:val="203"/>
        </w:trPr>
        <w:tc>
          <w:tcPr>
            <w:tcW w:w="8000" w:type="dxa"/>
            <w:vAlign w:val="bottom"/>
          </w:tcPr>
          <w:p>
            <w:pPr>
              <w:ind w:left="460"/>
              <w:spacing w:after="0" w:line="202" w:lineRule="exact"/>
              <w:rPr>
                <w:sz w:val="20"/>
                <w:szCs w:val="20"/>
                <w:color w:val="auto"/>
              </w:rPr>
            </w:pPr>
            <w:r>
              <w:rPr>
                <w:rFonts w:ascii="Arial" w:cs="Arial" w:eastAsia="Arial" w:hAnsi="Arial"/>
                <w:sz w:val="18"/>
                <w:szCs w:val="18"/>
                <w:color w:val="auto"/>
              </w:rPr>
              <w:t>LaFourchette Swiss SA</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8000" w:type="dxa"/>
            <w:vAlign w:val="bottom"/>
          </w:tcPr>
          <w:p>
            <w:pPr>
              <w:ind w:left="240"/>
              <w:spacing w:after="0" w:line="202" w:lineRule="exact"/>
              <w:rPr>
                <w:sz w:val="20"/>
                <w:szCs w:val="20"/>
                <w:color w:val="auto"/>
              </w:rPr>
            </w:pPr>
            <w:r>
              <w:rPr>
                <w:rFonts w:ascii="Arial" w:cs="Arial" w:eastAsia="Arial" w:hAnsi="Arial"/>
                <w:sz w:val="18"/>
                <w:szCs w:val="18"/>
                <w:color w:val="auto"/>
              </w:rPr>
              <w:t>La Fourchette (Belgium) SA</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Belgium</w:t>
            </w:r>
          </w:p>
        </w:tc>
      </w:tr>
      <w:tr>
        <w:trPr>
          <w:trHeight w:val="203"/>
        </w:trPr>
        <w:tc>
          <w:tcPr>
            <w:tcW w:w="8000" w:type="dxa"/>
            <w:vAlign w:val="bottom"/>
          </w:tcPr>
          <w:p>
            <w:pPr>
              <w:ind w:left="240"/>
              <w:spacing w:after="0" w:line="202" w:lineRule="exact"/>
              <w:rPr>
                <w:sz w:val="20"/>
                <w:szCs w:val="20"/>
                <w:color w:val="auto"/>
              </w:rPr>
            </w:pPr>
            <w:r>
              <w:rPr>
                <w:rFonts w:ascii="Arial" w:cs="Arial" w:eastAsia="Arial" w:hAnsi="Arial"/>
                <w:sz w:val="18"/>
                <w:szCs w:val="18"/>
                <w:color w:val="auto"/>
              </w:rPr>
              <w:t>La Fourchette Netherlands B.V.</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The Netherlands</w:t>
            </w:r>
          </w:p>
        </w:tc>
      </w:tr>
      <w:tr>
        <w:trPr>
          <w:trHeight w:val="203"/>
        </w:trPr>
        <w:tc>
          <w:tcPr>
            <w:tcW w:w="8000" w:type="dxa"/>
            <w:vAlign w:val="bottom"/>
          </w:tcPr>
          <w:p>
            <w:pPr>
              <w:ind w:left="480"/>
              <w:spacing w:after="0" w:line="202" w:lineRule="exact"/>
              <w:rPr>
                <w:sz w:val="20"/>
                <w:szCs w:val="20"/>
                <w:color w:val="auto"/>
              </w:rPr>
            </w:pPr>
            <w:r>
              <w:rPr>
                <w:rFonts w:ascii="Arial" w:cs="Arial" w:eastAsia="Arial" w:hAnsi="Arial"/>
                <w:sz w:val="18"/>
                <w:szCs w:val="18"/>
                <w:color w:val="auto"/>
              </w:rPr>
              <w:t>IENS Independent Index B.V.</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The Netherlands</w:t>
            </w:r>
          </w:p>
        </w:tc>
      </w:tr>
      <w:tr>
        <w:trPr>
          <w:trHeight w:val="203"/>
        </w:trPr>
        <w:tc>
          <w:tcPr>
            <w:tcW w:w="8000" w:type="dxa"/>
            <w:vAlign w:val="bottom"/>
          </w:tcPr>
          <w:p>
            <w:pPr>
              <w:ind w:left="480"/>
              <w:spacing w:after="0" w:line="202" w:lineRule="exact"/>
              <w:rPr>
                <w:sz w:val="20"/>
                <w:szCs w:val="20"/>
                <w:color w:val="auto"/>
              </w:rPr>
            </w:pPr>
            <w:r>
              <w:rPr>
                <w:rFonts w:ascii="Arial" w:cs="Arial" w:eastAsia="Arial" w:hAnsi="Arial"/>
                <w:sz w:val="18"/>
                <w:szCs w:val="18"/>
                <w:color w:val="auto"/>
              </w:rPr>
              <w:t>LaFourchette (Italy) SRL</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Italy</w:t>
            </w:r>
          </w:p>
        </w:tc>
      </w:tr>
      <w:tr>
        <w:trPr>
          <w:trHeight w:val="203"/>
        </w:trPr>
        <w:tc>
          <w:tcPr>
            <w:tcW w:w="8000" w:type="dxa"/>
            <w:vAlign w:val="bottom"/>
          </w:tcPr>
          <w:p>
            <w:pPr>
              <w:ind w:left="480"/>
              <w:spacing w:after="0" w:line="202" w:lineRule="exact"/>
              <w:rPr>
                <w:sz w:val="20"/>
                <w:szCs w:val="20"/>
                <w:color w:val="auto"/>
              </w:rPr>
            </w:pPr>
            <w:r>
              <w:rPr>
                <w:rFonts w:ascii="Arial" w:cs="Arial" w:eastAsia="Arial" w:hAnsi="Arial"/>
                <w:sz w:val="18"/>
                <w:szCs w:val="18"/>
                <w:color w:val="auto"/>
              </w:rPr>
              <w:t>Livebookings Holdings Limited</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8000" w:type="dxa"/>
            <w:vAlign w:val="bottom"/>
          </w:tcPr>
          <w:p>
            <w:pPr>
              <w:ind w:left="780"/>
              <w:spacing w:after="0" w:line="202" w:lineRule="exact"/>
              <w:rPr>
                <w:sz w:val="20"/>
                <w:szCs w:val="20"/>
                <w:color w:val="auto"/>
              </w:rPr>
            </w:pPr>
            <w:r>
              <w:rPr>
                <w:rFonts w:ascii="Arial" w:cs="Arial" w:eastAsia="Arial" w:hAnsi="Arial"/>
                <w:sz w:val="18"/>
                <w:szCs w:val="18"/>
                <w:color w:val="auto"/>
              </w:rPr>
              <w:t>Bookatable AB</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Sweden</w:t>
            </w:r>
          </w:p>
        </w:tc>
      </w:tr>
      <w:tr>
        <w:trPr>
          <w:trHeight w:val="203"/>
        </w:trPr>
        <w:tc>
          <w:tcPr>
            <w:tcW w:w="8000" w:type="dxa"/>
            <w:vAlign w:val="bottom"/>
          </w:tcPr>
          <w:p>
            <w:pPr>
              <w:ind w:left="780"/>
              <w:spacing w:after="0" w:line="202" w:lineRule="exact"/>
              <w:rPr>
                <w:sz w:val="20"/>
                <w:szCs w:val="20"/>
                <w:color w:val="auto"/>
              </w:rPr>
            </w:pPr>
            <w:r>
              <w:rPr>
                <w:rFonts w:ascii="Arial" w:cs="Arial" w:eastAsia="Arial" w:hAnsi="Arial"/>
                <w:sz w:val="18"/>
                <w:szCs w:val="18"/>
                <w:color w:val="auto"/>
              </w:rPr>
              <w:t>2Book AB</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Sweden</w:t>
            </w:r>
          </w:p>
        </w:tc>
      </w:tr>
      <w:tr>
        <w:trPr>
          <w:trHeight w:val="203"/>
        </w:trPr>
        <w:tc>
          <w:tcPr>
            <w:tcW w:w="8000" w:type="dxa"/>
            <w:vAlign w:val="bottom"/>
          </w:tcPr>
          <w:p>
            <w:pPr>
              <w:ind w:left="780"/>
              <w:spacing w:after="0" w:line="202" w:lineRule="exact"/>
              <w:rPr>
                <w:sz w:val="20"/>
                <w:szCs w:val="20"/>
                <w:color w:val="auto"/>
              </w:rPr>
            </w:pPr>
            <w:r>
              <w:rPr>
                <w:rFonts w:ascii="Arial" w:cs="Arial" w:eastAsia="Arial" w:hAnsi="Arial"/>
                <w:sz w:val="18"/>
                <w:szCs w:val="18"/>
                <w:color w:val="auto"/>
              </w:rPr>
              <w:t>Livebookings AG</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8000" w:type="dxa"/>
            <w:vAlign w:val="bottom"/>
          </w:tcPr>
          <w:p>
            <w:pPr>
              <w:ind w:left="780"/>
              <w:spacing w:after="0" w:line="202" w:lineRule="exact"/>
              <w:rPr>
                <w:sz w:val="20"/>
                <w:szCs w:val="20"/>
                <w:color w:val="auto"/>
              </w:rPr>
            </w:pPr>
            <w:r>
              <w:rPr>
                <w:rFonts w:ascii="Arial" w:cs="Arial" w:eastAsia="Arial" w:hAnsi="Arial"/>
                <w:sz w:val="18"/>
                <w:szCs w:val="18"/>
                <w:color w:val="auto"/>
              </w:rPr>
              <w:t>Bookatable GmbH &amp; Co KG</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8000" w:type="dxa"/>
            <w:vAlign w:val="bottom"/>
          </w:tcPr>
          <w:p>
            <w:pPr>
              <w:ind w:left="780"/>
              <w:spacing w:after="0" w:line="202" w:lineRule="exact"/>
              <w:rPr>
                <w:sz w:val="20"/>
                <w:szCs w:val="20"/>
                <w:color w:val="auto"/>
              </w:rPr>
            </w:pPr>
            <w:r>
              <w:rPr>
                <w:rFonts w:ascii="Arial" w:cs="Arial" w:eastAsia="Arial" w:hAnsi="Arial"/>
                <w:sz w:val="18"/>
                <w:szCs w:val="18"/>
                <w:color w:val="auto"/>
              </w:rPr>
              <w:t>Bookatable Verwaltungs GmbH</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8000" w:type="dxa"/>
            <w:vAlign w:val="bottom"/>
          </w:tcPr>
          <w:p>
            <w:pPr>
              <w:ind w:left="780"/>
              <w:spacing w:after="0" w:line="202" w:lineRule="exact"/>
              <w:rPr>
                <w:sz w:val="20"/>
                <w:szCs w:val="20"/>
                <w:color w:val="auto"/>
              </w:rPr>
            </w:pPr>
            <w:r>
              <w:rPr>
                <w:rFonts w:ascii="Arial" w:cs="Arial" w:eastAsia="Arial" w:hAnsi="Arial"/>
                <w:sz w:val="18"/>
                <w:szCs w:val="18"/>
                <w:color w:val="auto"/>
              </w:rPr>
              <w:t>Livebookings, SL</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Spain</w:t>
            </w:r>
          </w:p>
        </w:tc>
      </w:tr>
      <w:tr>
        <w:trPr>
          <w:trHeight w:val="203"/>
        </w:trPr>
        <w:tc>
          <w:tcPr>
            <w:tcW w:w="8000" w:type="dxa"/>
            <w:vAlign w:val="bottom"/>
          </w:tcPr>
          <w:p>
            <w:pPr>
              <w:ind w:left="780"/>
              <w:spacing w:after="0" w:line="202" w:lineRule="exact"/>
              <w:rPr>
                <w:sz w:val="20"/>
                <w:szCs w:val="20"/>
                <w:color w:val="auto"/>
              </w:rPr>
            </w:pPr>
            <w:r>
              <w:rPr>
                <w:rFonts w:ascii="Arial" w:cs="Arial" w:eastAsia="Arial" w:hAnsi="Arial"/>
                <w:sz w:val="18"/>
                <w:szCs w:val="18"/>
                <w:color w:val="auto"/>
              </w:rPr>
              <w:t>Bookatable Limited</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8000" w:type="dxa"/>
            <w:vAlign w:val="bottom"/>
          </w:tcPr>
          <w:p>
            <w:pPr>
              <w:ind w:left="780"/>
              <w:spacing w:after="0" w:line="202" w:lineRule="exact"/>
              <w:rPr>
                <w:sz w:val="20"/>
                <w:szCs w:val="20"/>
                <w:color w:val="auto"/>
              </w:rPr>
            </w:pPr>
            <w:r>
              <w:rPr>
                <w:rFonts w:ascii="Arial" w:cs="Arial" w:eastAsia="Arial" w:hAnsi="Arial"/>
                <w:sz w:val="18"/>
                <w:szCs w:val="18"/>
                <w:color w:val="auto"/>
              </w:rPr>
              <w:t>Bookatable ApS</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Denmark</w:t>
            </w:r>
          </w:p>
        </w:tc>
      </w:tr>
      <w:tr>
        <w:trPr>
          <w:trHeight w:val="203"/>
        </w:trPr>
        <w:tc>
          <w:tcPr>
            <w:tcW w:w="8000" w:type="dxa"/>
            <w:vAlign w:val="bottom"/>
          </w:tcPr>
          <w:p>
            <w:pPr>
              <w:ind w:left="780"/>
              <w:spacing w:after="0" w:line="202" w:lineRule="exact"/>
              <w:rPr>
                <w:sz w:val="20"/>
                <w:szCs w:val="20"/>
                <w:color w:val="auto"/>
              </w:rPr>
            </w:pPr>
            <w:r>
              <w:rPr>
                <w:rFonts w:ascii="Arial" w:cs="Arial" w:eastAsia="Arial" w:hAnsi="Arial"/>
                <w:sz w:val="18"/>
                <w:szCs w:val="18"/>
                <w:color w:val="auto"/>
              </w:rPr>
              <w:t>Loghos Limited</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8000" w:type="dxa"/>
            <w:vAlign w:val="bottom"/>
          </w:tcPr>
          <w:p>
            <w:pPr>
              <w:ind w:left="780"/>
              <w:spacing w:after="0" w:line="202" w:lineRule="exact"/>
              <w:rPr>
                <w:sz w:val="20"/>
                <w:szCs w:val="20"/>
                <w:color w:val="auto"/>
              </w:rPr>
            </w:pPr>
            <w:r>
              <w:rPr>
                <w:rFonts w:ascii="Arial" w:cs="Arial" w:eastAsia="Arial" w:hAnsi="Arial"/>
                <w:sz w:val="18"/>
                <w:szCs w:val="18"/>
                <w:color w:val="auto"/>
              </w:rPr>
              <w:t>Easy Pre-Orders Limited</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8000" w:type="dxa"/>
            <w:vAlign w:val="bottom"/>
          </w:tcPr>
          <w:p>
            <w:pPr>
              <w:ind w:left="240"/>
              <w:spacing w:after="0" w:line="202" w:lineRule="exact"/>
              <w:rPr>
                <w:sz w:val="20"/>
                <w:szCs w:val="20"/>
                <w:color w:val="auto"/>
              </w:rPr>
            </w:pPr>
            <w:r>
              <w:rPr>
                <w:rFonts w:ascii="Arial" w:cs="Arial" w:eastAsia="Arial" w:hAnsi="Arial"/>
                <w:sz w:val="18"/>
                <w:szCs w:val="18"/>
                <w:color w:val="auto"/>
              </w:rPr>
              <w:t>LaFourchette Sweden AB</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Sweden</w:t>
            </w:r>
          </w:p>
        </w:tc>
      </w:tr>
      <w:tr>
        <w:trPr>
          <w:trHeight w:val="203"/>
        </w:trPr>
        <w:tc>
          <w:tcPr>
            <w:tcW w:w="8000" w:type="dxa"/>
            <w:vAlign w:val="bottom"/>
          </w:tcPr>
          <w:p>
            <w:pPr>
              <w:ind w:left="240"/>
              <w:spacing w:after="0" w:line="202" w:lineRule="exact"/>
              <w:rPr>
                <w:sz w:val="20"/>
                <w:szCs w:val="20"/>
                <w:color w:val="auto"/>
              </w:rPr>
            </w:pPr>
            <w:r>
              <w:rPr>
                <w:rFonts w:ascii="Arial" w:cs="Arial" w:eastAsia="Arial" w:hAnsi="Arial"/>
                <w:sz w:val="18"/>
                <w:szCs w:val="18"/>
                <w:color w:val="auto"/>
              </w:rPr>
              <w:t>Lerumar SA</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Uruguay</w:t>
            </w:r>
          </w:p>
        </w:tc>
      </w:tr>
      <w:tr>
        <w:trPr>
          <w:trHeight w:val="203"/>
        </w:trPr>
        <w:tc>
          <w:tcPr>
            <w:tcW w:w="8000" w:type="dxa"/>
            <w:vAlign w:val="bottom"/>
          </w:tcPr>
          <w:p>
            <w:pPr>
              <w:ind w:left="520"/>
              <w:spacing w:after="0" w:line="202" w:lineRule="exact"/>
              <w:rPr>
                <w:sz w:val="20"/>
                <w:szCs w:val="20"/>
                <w:color w:val="auto"/>
              </w:rPr>
            </w:pPr>
            <w:r>
              <w:rPr>
                <w:rFonts w:ascii="Arial" w:cs="Arial" w:eastAsia="Arial" w:hAnsi="Arial"/>
                <w:sz w:val="18"/>
                <w:szCs w:val="18"/>
                <w:color w:val="auto"/>
              </w:rPr>
              <w:t>Restorando SA</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Argentina</w:t>
            </w:r>
          </w:p>
        </w:tc>
      </w:tr>
      <w:tr>
        <w:trPr>
          <w:trHeight w:val="203"/>
        </w:trPr>
        <w:tc>
          <w:tcPr>
            <w:tcW w:w="8000" w:type="dxa"/>
            <w:vAlign w:val="bottom"/>
          </w:tcPr>
          <w:p>
            <w:pPr>
              <w:ind w:left="520"/>
              <w:spacing w:after="0" w:line="202" w:lineRule="exact"/>
              <w:rPr>
                <w:sz w:val="20"/>
                <w:szCs w:val="20"/>
                <w:color w:val="auto"/>
              </w:rPr>
            </w:pPr>
            <w:r>
              <w:rPr>
                <w:rFonts w:ascii="Arial" w:cs="Arial" w:eastAsia="Arial" w:hAnsi="Arial"/>
                <w:sz w:val="18"/>
                <w:szCs w:val="18"/>
                <w:color w:val="auto"/>
              </w:rPr>
              <w:t>Restorando SPA</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Chile</w:t>
            </w:r>
          </w:p>
        </w:tc>
      </w:tr>
      <w:tr>
        <w:trPr>
          <w:trHeight w:val="202"/>
        </w:trPr>
        <w:tc>
          <w:tcPr>
            <w:tcW w:w="8000" w:type="dxa"/>
            <w:vAlign w:val="bottom"/>
          </w:tcPr>
          <w:p>
            <w:pPr>
              <w:ind w:left="240"/>
              <w:spacing w:after="0" w:line="202" w:lineRule="exact"/>
              <w:rPr>
                <w:sz w:val="20"/>
                <w:szCs w:val="20"/>
                <w:color w:val="auto"/>
              </w:rPr>
            </w:pPr>
            <w:r>
              <w:rPr>
                <w:rFonts w:ascii="Arial" w:cs="Arial" w:eastAsia="Arial" w:hAnsi="Arial"/>
                <w:sz w:val="18"/>
                <w:szCs w:val="18"/>
                <w:color w:val="auto"/>
              </w:rPr>
              <w:t>Restorando Peru SAC</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Peru</w:t>
            </w:r>
          </w:p>
        </w:tc>
      </w:tr>
      <w:tr>
        <w:trPr>
          <w:trHeight w:val="203"/>
        </w:trPr>
        <w:tc>
          <w:tcPr>
            <w:tcW w:w="8000" w:type="dxa"/>
            <w:vAlign w:val="bottom"/>
          </w:tcPr>
          <w:p>
            <w:pPr>
              <w:ind w:left="240"/>
              <w:spacing w:after="0" w:line="202" w:lineRule="exact"/>
              <w:rPr>
                <w:sz w:val="20"/>
                <w:szCs w:val="20"/>
                <w:color w:val="auto"/>
              </w:rPr>
            </w:pPr>
            <w:r>
              <w:rPr>
                <w:rFonts w:ascii="Arial" w:cs="Arial" w:eastAsia="Arial" w:hAnsi="Arial"/>
                <w:sz w:val="18"/>
                <w:szCs w:val="18"/>
                <w:color w:val="auto"/>
              </w:rPr>
              <w:t>Restorando SAS</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Colombia</w:t>
            </w:r>
          </w:p>
        </w:tc>
      </w:tr>
      <w:tr>
        <w:trPr>
          <w:trHeight w:val="203"/>
        </w:trPr>
        <w:tc>
          <w:tcPr>
            <w:tcW w:w="8000" w:type="dxa"/>
            <w:vAlign w:val="bottom"/>
          </w:tcPr>
          <w:p>
            <w:pPr>
              <w:ind w:left="240"/>
              <w:spacing w:after="0" w:line="202" w:lineRule="exact"/>
              <w:rPr>
                <w:sz w:val="20"/>
                <w:szCs w:val="20"/>
                <w:color w:val="auto"/>
              </w:rPr>
            </w:pPr>
            <w:r>
              <w:rPr>
                <w:rFonts w:ascii="Arial" w:cs="Arial" w:eastAsia="Arial" w:hAnsi="Arial"/>
                <w:sz w:val="18"/>
                <w:szCs w:val="18"/>
                <w:color w:val="auto"/>
              </w:rPr>
              <w:t>Restorando Reservas SACV</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8000" w:type="dxa"/>
            <w:vAlign w:val="bottom"/>
          </w:tcPr>
          <w:p>
            <w:pPr>
              <w:ind w:left="240"/>
              <w:spacing w:after="0" w:line="202" w:lineRule="exact"/>
              <w:rPr>
                <w:sz w:val="20"/>
                <w:szCs w:val="20"/>
                <w:color w:val="auto"/>
              </w:rPr>
            </w:pPr>
            <w:r>
              <w:rPr>
                <w:rFonts w:ascii="Arial" w:cs="Arial" w:eastAsia="Arial" w:hAnsi="Arial"/>
                <w:sz w:val="18"/>
                <w:szCs w:val="18"/>
                <w:color w:val="auto"/>
              </w:rPr>
              <w:t>Singaba SA</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Uruguay</w:t>
            </w:r>
          </w:p>
        </w:tc>
      </w:tr>
      <w:tr>
        <w:trPr>
          <w:trHeight w:val="203"/>
        </w:trPr>
        <w:tc>
          <w:tcPr>
            <w:tcW w:w="8000" w:type="dxa"/>
            <w:vAlign w:val="bottom"/>
          </w:tcPr>
          <w:p>
            <w:pPr>
              <w:ind w:left="240"/>
              <w:spacing w:after="0" w:line="202" w:lineRule="exact"/>
              <w:rPr>
                <w:sz w:val="20"/>
                <w:szCs w:val="20"/>
                <w:color w:val="auto"/>
              </w:rPr>
            </w:pPr>
            <w:r>
              <w:rPr>
                <w:rFonts w:ascii="Arial" w:cs="Arial" w:eastAsia="Arial" w:hAnsi="Arial"/>
                <w:sz w:val="18"/>
                <w:szCs w:val="18"/>
                <w:color w:val="auto"/>
              </w:rPr>
              <w:t>La Fourchette (UK) Ltd.</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8000" w:type="dxa"/>
            <w:vAlign w:val="bottom"/>
          </w:tcPr>
          <w:p>
            <w:pPr>
              <w:ind w:left="240"/>
              <w:spacing w:after="0" w:line="202" w:lineRule="exact"/>
              <w:rPr>
                <w:sz w:val="20"/>
                <w:szCs w:val="20"/>
                <w:color w:val="auto"/>
              </w:rPr>
            </w:pPr>
            <w:r>
              <w:rPr>
                <w:rFonts w:ascii="Arial" w:cs="Arial" w:eastAsia="Arial" w:hAnsi="Arial"/>
                <w:sz w:val="18"/>
                <w:szCs w:val="18"/>
                <w:color w:val="auto"/>
              </w:rPr>
              <w:t>TripAdvisor K.K.</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8000" w:type="dxa"/>
            <w:vAlign w:val="bottom"/>
          </w:tcPr>
          <w:p>
            <w:pPr>
              <w:ind w:left="240"/>
              <w:spacing w:after="0" w:line="202" w:lineRule="exact"/>
              <w:rPr>
                <w:sz w:val="20"/>
                <w:szCs w:val="20"/>
                <w:color w:val="auto"/>
              </w:rPr>
            </w:pPr>
            <w:r>
              <w:rPr>
                <w:rFonts w:ascii="Arial" w:cs="Arial" w:eastAsia="Arial" w:hAnsi="Arial"/>
                <w:sz w:val="18"/>
                <w:szCs w:val="18"/>
                <w:color w:val="auto"/>
              </w:rPr>
              <w:t>TripAdvisor Singapore Private Limited</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Singapore</w:t>
            </w:r>
          </w:p>
        </w:tc>
      </w:tr>
      <w:tr>
        <w:trPr>
          <w:trHeight w:val="203"/>
        </w:trPr>
        <w:tc>
          <w:tcPr>
            <w:tcW w:w="8000" w:type="dxa"/>
            <w:vAlign w:val="bottom"/>
          </w:tcPr>
          <w:p>
            <w:pPr>
              <w:ind w:left="460"/>
              <w:spacing w:after="0" w:line="202" w:lineRule="exact"/>
              <w:rPr>
                <w:sz w:val="20"/>
                <w:szCs w:val="20"/>
                <w:color w:val="auto"/>
              </w:rPr>
            </w:pPr>
            <w:r>
              <w:rPr>
                <w:rFonts w:ascii="Arial" w:cs="Arial" w:eastAsia="Arial" w:hAnsi="Arial"/>
                <w:sz w:val="18"/>
                <w:szCs w:val="18"/>
                <w:color w:val="auto"/>
              </w:rPr>
              <w:t>TripAdvisor Korea Co., Ltd.</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Korea</w:t>
            </w:r>
          </w:p>
        </w:tc>
      </w:tr>
      <w:tr>
        <w:trPr>
          <w:trHeight w:val="203"/>
        </w:trPr>
        <w:tc>
          <w:tcPr>
            <w:tcW w:w="8000" w:type="dxa"/>
            <w:vAlign w:val="bottom"/>
          </w:tcPr>
          <w:p>
            <w:pPr>
              <w:ind w:left="460"/>
              <w:spacing w:after="0" w:line="202" w:lineRule="exact"/>
              <w:rPr>
                <w:sz w:val="20"/>
                <w:szCs w:val="20"/>
                <w:color w:val="auto"/>
              </w:rPr>
            </w:pPr>
            <w:r>
              <w:rPr>
                <w:rFonts w:ascii="Arial" w:cs="Arial" w:eastAsia="Arial" w:hAnsi="Arial"/>
                <w:sz w:val="18"/>
                <w:szCs w:val="18"/>
                <w:color w:val="auto"/>
              </w:rPr>
              <w:t>TripAdvisor Hong Kong Limited</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Hong Kong</w:t>
            </w:r>
          </w:p>
        </w:tc>
      </w:tr>
      <w:tr>
        <w:trPr>
          <w:trHeight w:val="203"/>
        </w:trPr>
        <w:tc>
          <w:tcPr>
            <w:tcW w:w="8000" w:type="dxa"/>
            <w:vAlign w:val="bottom"/>
          </w:tcPr>
          <w:p>
            <w:pPr>
              <w:ind w:left="460"/>
              <w:spacing w:after="0" w:line="202" w:lineRule="exact"/>
              <w:rPr>
                <w:sz w:val="20"/>
                <w:szCs w:val="20"/>
                <w:color w:val="auto"/>
              </w:rPr>
            </w:pPr>
            <w:r>
              <w:rPr>
                <w:rFonts w:ascii="Arial" w:cs="Arial" w:eastAsia="Arial" w:hAnsi="Arial"/>
                <w:sz w:val="18"/>
                <w:szCs w:val="18"/>
                <w:color w:val="auto"/>
              </w:rPr>
              <w:t>TripAdvisor China Cayman Holdings Limited</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Cayman</w:t>
            </w:r>
          </w:p>
        </w:tc>
      </w:tr>
      <w:tr>
        <w:trPr>
          <w:trHeight w:val="203"/>
        </w:trPr>
        <w:tc>
          <w:tcPr>
            <w:tcW w:w="8000" w:type="dxa"/>
            <w:vAlign w:val="bottom"/>
          </w:tcPr>
          <w:p>
            <w:pPr>
              <w:ind w:left="680"/>
              <w:spacing w:after="0" w:line="202" w:lineRule="exact"/>
              <w:rPr>
                <w:sz w:val="20"/>
                <w:szCs w:val="20"/>
                <w:color w:val="auto"/>
              </w:rPr>
            </w:pPr>
            <w:r>
              <w:rPr>
                <w:rFonts w:ascii="Arial" w:cs="Arial" w:eastAsia="Arial" w:hAnsi="Arial"/>
                <w:sz w:val="18"/>
                <w:szCs w:val="18"/>
                <w:color w:val="auto"/>
              </w:rPr>
              <w:t>TripAdvisor Consulting Service (Beijing) Co. Ltd</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8000" w:type="dxa"/>
            <w:vAlign w:val="bottom"/>
          </w:tcPr>
          <w:p>
            <w:pPr>
              <w:ind w:left="900"/>
              <w:spacing w:after="0" w:line="202" w:lineRule="exact"/>
              <w:rPr>
                <w:sz w:val="20"/>
                <w:szCs w:val="20"/>
                <w:color w:val="auto"/>
              </w:rPr>
            </w:pPr>
            <w:r>
              <w:rPr>
                <w:rFonts w:ascii="Arial" w:cs="Arial" w:eastAsia="Arial" w:hAnsi="Arial"/>
                <w:sz w:val="18"/>
                <w:szCs w:val="18"/>
                <w:color w:val="auto"/>
              </w:rPr>
              <w:t>Tuqu Net Information Technology (Beijing) Co., Ltd. (beneficial ownership)</w:t>
            </w:r>
          </w:p>
        </w:tc>
        <w:tc>
          <w:tcPr>
            <w:tcW w:w="3240" w:type="dxa"/>
            <w:vAlign w:val="bottom"/>
          </w:tcPr>
          <w:p>
            <w:pPr>
              <w:ind w:left="1580"/>
              <w:spacing w:after="0" w:line="202" w:lineRule="exact"/>
              <w:rPr>
                <w:sz w:val="20"/>
                <w:szCs w:val="20"/>
                <w:color w:val="auto"/>
              </w:rPr>
            </w:pPr>
            <w:r>
              <w:rPr>
                <w:rFonts w:ascii="Arial" w:cs="Arial" w:eastAsia="Arial" w:hAnsi="Arial"/>
                <w:sz w:val="18"/>
                <w:szCs w:val="18"/>
                <w:color w:val="auto"/>
              </w:rPr>
              <w:t>China</w:t>
            </w:r>
          </w:p>
        </w:tc>
      </w:tr>
      <w:tr>
        <w:trPr>
          <w:trHeight w:val="230"/>
        </w:trPr>
        <w:tc>
          <w:tcPr>
            <w:tcW w:w="8000" w:type="dxa"/>
            <w:vAlign w:val="bottom"/>
          </w:tcPr>
          <w:p>
            <w:pPr>
              <w:ind w:left="900"/>
              <w:spacing w:after="0"/>
              <w:rPr>
                <w:sz w:val="20"/>
                <w:szCs w:val="20"/>
                <w:color w:val="auto"/>
              </w:rPr>
            </w:pPr>
            <w:r>
              <w:rPr>
                <w:rFonts w:ascii="Arial" w:cs="Arial" w:eastAsia="Arial" w:hAnsi="Arial"/>
                <w:sz w:val="18"/>
                <w:szCs w:val="18"/>
                <w:color w:val="auto"/>
              </w:rPr>
              <w:t>Beijing Tuqu Business Consulting Co., Ltd. (beneficial ownership)</w:t>
            </w:r>
          </w:p>
        </w:tc>
        <w:tc>
          <w:tcPr>
            <w:tcW w:w="3240" w:type="dxa"/>
            <w:vAlign w:val="bottom"/>
          </w:tcPr>
          <w:p>
            <w:pPr>
              <w:ind w:left="1580"/>
              <w:spacing w:after="0"/>
              <w:rPr>
                <w:sz w:val="20"/>
                <w:szCs w:val="20"/>
                <w:color w:val="auto"/>
              </w:rPr>
            </w:pPr>
            <w:r>
              <w:rPr>
                <w:rFonts w:ascii="Arial" w:cs="Arial" w:eastAsia="Arial" w:hAnsi="Arial"/>
                <w:sz w:val="18"/>
                <w:szCs w:val="18"/>
                <w:color w:val="auto"/>
              </w:rPr>
              <w:t>China</w:t>
            </w:r>
          </w:p>
        </w:tc>
      </w:tr>
      <w:tr>
        <w:trPr>
          <w:trHeight w:val="1276"/>
        </w:trPr>
        <w:tc>
          <w:tcPr>
            <w:tcW w:w="80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196" w:lineRule="exact"/>
        <w:rPr>
          <w:sz w:val="20"/>
          <w:szCs w:val="20"/>
          <w:color w:val="auto"/>
        </w:rPr>
      </w:pPr>
    </w:p>
    <w:p>
      <w:pPr>
        <w:ind w:right="40"/>
        <w:spacing w:after="0" w:line="211" w:lineRule="exact"/>
        <w:rPr>
          <w:sz w:val="20"/>
          <w:szCs w:val="20"/>
          <w:color w:val="auto"/>
        </w:rPr>
      </w:pPr>
      <w:r>
        <w:rPr>
          <w:rFonts w:ascii="Arial" w:cs="Arial" w:eastAsia="Arial" w:hAnsi="Arial"/>
          <w:sz w:val="16"/>
          <w:szCs w:val="16"/>
          <w:color w:val="auto"/>
        </w:rPr>
        <w:t>We consent to the incorporation by reference in the registration statements (No. 333-260877, 333</w:t>
      </w:r>
      <w:r>
        <w:rPr>
          <w:rFonts w:ascii="MS PGothic" w:cs="MS PGothic" w:eastAsia="MS PGothic" w:hAnsi="MS PGothic"/>
          <w:sz w:val="16"/>
          <w:szCs w:val="16"/>
          <w:color w:val="auto"/>
        </w:rPr>
        <w:t>‑</w:t>
      </w:r>
      <w:r>
        <w:rPr>
          <w:rFonts w:ascii="Arial" w:cs="Arial" w:eastAsia="Arial" w:hAnsi="Arial"/>
          <w:sz w:val="16"/>
          <w:szCs w:val="16"/>
          <w:color w:val="auto"/>
        </w:rPr>
        <w:t>178637, 333-190384, 333-198726, 333-226749) on Form S-8 of Tripadvisor, Inc. of our reports dated February 18, 2022, with respect to the consolidated balance sheets of Tripadvisor, Inc. as of December 31,</w:t>
      </w:r>
    </w:p>
    <w:p>
      <w:pPr>
        <w:spacing w:after="0" w:line="1" w:lineRule="exact"/>
        <w:rPr>
          <w:sz w:val="20"/>
          <w:szCs w:val="20"/>
          <w:color w:val="auto"/>
        </w:rPr>
      </w:pPr>
    </w:p>
    <w:p>
      <w:pPr>
        <w:ind w:right="40"/>
        <w:spacing w:after="0" w:line="207" w:lineRule="exact"/>
        <w:rPr>
          <w:sz w:val="20"/>
          <w:szCs w:val="20"/>
          <w:color w:val="auto"/>
        </w:rPr>
      </w:pPr>
      <w:r>
        <w:rPr>
          <w:rFonts w:ascii="Arial" w:cs="Arial" w:eastAsia="Arial" w:hAnsi="Arial"/>
          <w:sz w:val="17"/>
          <w:szCs w:val="17"/>
          <w:color w:val="auto"/>
        </w:rPr>
        <w:t>2021 and 2020, the related consolidated statements of operations, comprehensive income (loss), changes in stockholders’ equity, and cash flows for each of the years in the three-year period ended December 31, 2021, and the related notes, and the effectiveness of internal control over financial reporting as of December 31, 2021, which reports appear in the December 31, 2021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Tripadvisor, Inc.</w:t>
      </w:r>
    </w:p>
    <w:p>
      <w:pPr>
        <w:spacing w:after="0" w:line="18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KPMG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377825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6" w:name="page127"/>
    <w:bookmarkEnd w:id="126"/>
    <w:p>
      <w:pPr>
        <w:ind w:left="10260"/>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Stephen Kaufer, Chief Executive Officer and President of Tripadvisor, Inc., certify that:</w:t>
      </w:r>
    </w:p>
    <w:p>
      <w:pPr>
        <w:spacing w:after="0" w:line="212" w:lineRule="exact"/>
        <w:rPr>
          <w:sz w:val="20"/>
          <w:szCs w:val="20"/>
          <w:color w:val="auto"/>
        </w:rPr>
      </w:pPr>
    </w:p>
    <w:p>
      <w:pPr>
        <w:ind w:left="360" w:hanging="352"/>
        <w:spacing w:after="0"/>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Tripadvisor, Inc.;</w:t>
      </w:r>
    </w:p>
    <w:p>
      <w:pPr>
        <w:spacing w:after="0" w:line="211" w:lineRule="exact"/>
        <w:rPr>
          <w:rFonts w:ascii="Arial" w:cs="Arial" w:eastAsia="Arial" w:hAnsi="Arial"/>
          <w:sz w:val="18"/>
          <w:szCs w:val="18"/>
          <w:color w:val="auto"/>
        </w:rPr>
      </w:pPr>
    </w:p>
    <w:p>
      <w:pPr>
        <w:ind w:left="520" w:right="280" w:hanging="512"/>
        <w:spacing w:after="0" w:line="248" w:lineRule="auto"/>
        <w:tabs>
          <w:tab w:leader="none" w:pos="3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360" w:hanging="512"/>
        <w:spacing w:after="0" w:line="291" w:lineRule="auto"/>
        <w:tabs>
          <w:tab w:leader="none" w:pos="371"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48" w:lineRule="auto"/>
        <w:tabs>
          <w:tab w:leader="none" w:pos="3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right="80" w:hanging="479"/>
        <w:spacing w:after="0" w:line="248" w:lineRule="auto"/>
        <w:tabs>
          <w:tab w:leader="none" w:pos="895"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479"/>
        <w:spacing w:after="0" w:line="248" w:lineRule="auto"/>
        <w:tabs>
          <w:tab w:leader="none" w:pos="895"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20" w:right="480" w:hanging="479"/>
        <w:spacing w:after="0" w:line="324" w:lineRule="auto"/>
        <w:tabs>
          <w:tab w:leader="none" w:pos="895"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20" w:hanging="479"/>
        <w:spacing w:after="0" w:line="248" w:lineRule="auto"/>
        <w:tabs>
          <w:tab w:leader="none" w:pos="895"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00" w:hanging="512"/>
        <w:spacing w:after="0" w:line="291" w:lineRule="auto"/>
        <w:tabs>
          <w:tab w:leader="none" w:pos="371"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40" w:hanging="479"/>
        <w:spacing w:after="0" w:line="291" w:lineRule="auto"/>
        <w:tabs>
          <w:tab w:leader="none" w:pos="895"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right="540" w:hanging="479"/>
        <w:spacing w:after="0" w:line="261" w:lineRule="auto"/>
        <w:tabs>
          <w:tab w:leader="none" w:pos="895"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60" w:type="dxa"/>
            <w:vAlign w:val="bottom"/>
          </w:tcPr>
          <w:p>
            <w:pPr>
              <w:ind w:left="20"/>
              <w:spacing w:after="0"/>
              <w:rPr>
                <w:sz w:val="20"/>
                <w:szCs w:val="20"/>
                <w:color w:val="auto"/>
              </w:rPr>
            </w:pPr>
            <w:r>
              <w:rPr>
                <w:rFonts w:ascii="Arial" w:cs="Arial" w:eastAsia="Arial" w:hAnsi="Arial"/>
                <w:sz w:val="18"/>
                <w:szCs w:val="18"/>
                <w:color w:val="auto"/>
              </w:rPr>
              <w:t>Date: February 18, 2022</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KAUFER</w:t>
            </w:r>
          </w:p>
        </w:tc>
      </w:tr>
      <w:tr>
        <w:trPr>
          <w:trHeight w:val="155"/>
        </w:trPr>
        <w:tc>
          <w:tcPr>
            <w:tcW w:w="5560" w:type="dxa"/>
            <w:vAlign w:val="bottom"/>
          </w:tcPr>
          <w:p>
            <w:pPr>
              <w:spacing w:after="0"/>
              <w:rPr>
                <w:sz w:val="13"/>
                <w:szCs w:val="13"/>
                <w:color w:val="auto"/>
              </w:rPr>
            </w:pPr>
          </w:p>
        </w:tc>
        <w:tc>
          <w:tcPr>
            <w:tcW w:w="5680" w:type="dxa"/>
            <w:vAlign w:val="bottom"/>
          </w:tcPr>
          <w:p>
            <w:pPr>
              <w:ind w:left="360"/>
              <w:spacing w:after="0" w:line="154" w:lineRule="exact"/>
              <w:rPr>
                <w:sz w:val="20"/>
                <w:szCs w:val="20"/>
                <w:color w:val="auto"/>
              </w:rPr>
            </w:pPr>
            <w:r>
              <w:rPr>
                <w:rFonts w:ascii="Arial" w:cs="Arial" w:eastAsia="Arial" w:hAnsi="Arial"/>
                <w:sz w:val="17"/>
                <w:szCs w:val="17"/>
                <w:color w:val="auto"/>
              </w:rPr>
              <w:t>Stephen Kaufer</w:t>
            </w:r>
          </w:p>
        </w:tc>
      </w:tr>
      <w:tr>
        <w:trPr>
          <w:trHeight w:val="230"/>
        </w:trPr>
        <w:tc>
          <w:tcPr>
            <w:tcW w:w="5560" w:type="dxa"/>
            <w:vAlign w:val="bottom"/>
          </w:tcPr>
          <w:p>
            <w:pPr>
              <w:spacing w:after="0"/>
              <w:rPr>
                <w:sz w:val="20"/>
                <w:szCs w:val="20"/>
                <w:color w:val="auto"/>
              </w:rPr>
            </w:pPr>
          </w:p>
        </w:tc>
        <w:tc>
          <w:tcPr>
            <w:tcW w:w="5680" w:type="dxa"/>
            <w:vAlign w:val="bottom"/>
          </w:tcPr>
          <w:p>
            <w:pPr>
              <w:ind w:left="360"/>
              <w:spacing w:after="0"/>
              <w:rPr>
                <w:sz w:val="20"/>
                <w:szCs w:val="20"/>
                <w:color w:val="auto"/>
              </w:rPr>
            </w:pPr>
            <w:r>
              <w:rPr>
                <w:rFonts w:ascii="Arial" w:cs="Arial" w:eastAsia="Arial" w:hAnsi="Arial"/>
                <w:sz w:val="18"/>
                <w:szCs w:val="18"/>
                <w:i w:val="1"/>
                <w:iCs w:val="1"/>
                <w:color w:val="auto"/>
              </w:rPr>
              <w:t>Chief Executive Officer and President</w:t>
            </w:r>
          </w:p>
        </w:tc>
      </w:tr>
      <w:tr>
        <w:trPr>
          <w:trHeight w:val="506"/>
        </w:trPr>
        <w:tc>
          <w:tcPr>
            <w:tcW w:w="556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ind w:left="10260"/>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Ernst Teunissen, Chief Financial Officer of Tripadvisor, Inc. certify that:</w:t>
      </w:r>
    </w:p>
    <w:p>
      <w:pPr>
        <w:spacing w:after="0" w:line="212" w:lineRule="exact"/>
        <w:rPr>
          <w:sz w:val="20"/>
          <w:szCs w:val="20"/>
          <w:color w:val="auto"/>
        </w:rPr>
      </w:pPr>
    </w:p>
    <w:p>
      <w:pPr>
        <w:ind w:left="360" w:hanging="352"/>
        <w:spacing w:after="0"/>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Tripadvisor, Inc.;</w:t>
      </w:r>
    </w:p>
    <w:p>
      <w:pPr>
        <w:spacing w:after="0" w:line="211" w:lineRule="exact"/>
        <w:rPr>
          <w:rFonts w:ascii="Arial" w:cs="Arial" w:eastAsia="Arial" w:hAnsi="Arial"/>
          <w:sz w:val="18"/>
          <w:szCs w:val="18"/>
          <w:color w:val="auto"/>
        </w:rPr>
      </w:pPr>
    </w:p>
    <w:p>
      <w:pPr>
        <w:ind w:left="520" w:right="280" w:hanging="512"/>
        <w:spacing w:after="0" w:line="248" w:lineRule="auto"/>
        <w:tabs>
          <w:tab w:leader="none" w:pos="371"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360" w:hanging="512"/>
        <w:spacing w:after="0" w:line="291" w:lineRule="auto"/>
        <w:tabs>
          <w:tab w:leader="none" w:pos="371"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48" w:lineRule="auto"/>
        <w:tabs>
          <w:tab w:leader="none" w:pos="37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right="80" w:hanging="479"/>
        <w:spacing w:after="0" w:line="248" w:lineRule="auto"/>
        <w:tabs>
          <w:tab w:leader="none" w:pos="895"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479"/>
        <w:spacing w:after="0" w:line="248" w:lineRule="auto"/>
        <w:tabs>
          <w:tab w:leader="none" w:pos="895"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20" w:right="480" w:hanging="479"/>
        <w:spacing w:after="0" w:line="324" w:lineRule="auto"/>
        <w:tabs>
          <w:tab w:leader="none" w:pos="895"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20" w:hanging="479"/>
        <w:spacing w:after="0" w:line="248" w:lineRule="auto"/>
        <w:tabs>
          <w:tab w:leader="none" w:pos="895"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00" w:hanging="512"/>
        <w:spacing w:after="0" w:line="291" w:lineRule="auto"/>
        <w:tabs>
          <w:tab w:leader="none" w:pos="371"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40" w:hanging="479"/>
        <w:spacing w:after="0" w:line="291" w:lineRule="auto"/>
        <w:tabs>
          <w:tab w:leader="none" w:pos="895"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right="540" w:hanging="479"/>
        <w:spacing w:after="0" w:line="261" w:lineRule="auto"/>
        <w:tabs>
          <w:tab w:leader="none" w:pos="895"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60" w:type="dxa"/>
            <w:vAlign w:val="bottom"/>
          </w:tcPr>
          <w:p>
            <w:pPr>
              <w:ind w:left="20"/>
              <w:spacing w:after="0"/>
              <w:rPr>
                <w:sz w:val="20"/>
                <w:szCs w:val="20"/>
                <w:color w:val="auto"/>
              </w:rPr>
            </w:pPr>
            <w:r>
              <w:rPr>
                <w:rFonts w:ascii="Arial" w:cs="Arial" w:eastAsia="Arial" w:hAnsi="Arial"/>
                <w:sz w:val="18"/>
                <w:szCs w:val="18"/>
                <w:color w:val="auto"/>
              </w:rPr>
              <w:t>Date: February 18, 2022</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ERNST TEUNISSEN</w:t>
            </w:r>
          </w:p>
        </w:tc>
      </w:tr>
      <w:tr>
        <w:trPr>
          <w:trHeight w:val="155"/>
        </w:trPr>
        <w:tc>
          <w:tcPr>
            <w:tcW w:w="5560" w:type="dxa"/>
            <w:vAlign w:val="bottom"/>
          </w:tcPr>
          <w:p>
            <w:pPr>
              <w:spacing w:after="0"/>
              <w:rPr>
                <w:sz w:val="13"/>
                <w:szCs w:val="13"/>
                <w:color w:val="auto"/>
              </w:rPr>
            </w:pPr>
          </w:p>
        </w:tc>
        <w:tc>
          <w:tcPr>
            <w:tcW w:w="5680" w:type="dxa"/>
            <w:vAlign w:val="bottom"/>
          </w:tcPr>
          <w:p>
            <w:pPr>
              <w:ind w:left="360"/>
              <w:spacing w:after="0" w:line="154" w:lineRule="exact"/>
              <w:rPr>
                <w:sz w:val="20"/>
                <w:szCs w:val="20"/>
                <w:color w:val="auto"/>
              </w:rPr>
            </w:pPr>
            <w:r>
              <w:rPr>
                <w:rFonts w:ascii="Arial" w:cs="Arial" w:eastAsia="Arial" w:hAnsi="Arial"/>
                <w:sz w:val="17"/>
                <w:szCs w:val="17"/>
                <w:color w:val="auto"/>
              </w:rPr>
              <w:t>Ernst Teunissen</w:t>
            </w:r>
          </w:p>
        </w:tc>
      </w:tr>
      <w:tr>
        <w:trPr>
          <w:trHeight w:val="230"/>
        </w:trPr>
        <w:tc>
          <w:tcPr>
            <w:tcW w:w="5560" w:type="dxa"/>
            <w:vAlign w:val="bottom"/>
          </w:tcPr>
          <w:p>
            <w:pPr>
              <w:spacing w:after="0"/>
              <w:rPr>
                <w:sz w:val="20"/>
                <w:szCs w:val="20"/>
                <w:color w:val="auto"/>
              </w:rPr>
            </w:pPr>
          </w:p>
        </w:tc>
        <w:tc>
          <w:tcPr>
            <w:tcW w:w="5680" w:type="dxa"/>
            <w:vAlign w:val="bottom"/>
          </w:tcPr>
          <w:p>
            <w:pPr>
              <w:ind w:left="360"/>
              <w:spacing w:after="0"/>
              <w:rPr>
                <w:sz w:val="20"/>
                <w:szCs w:val="20"/>
                <w:color w:val="auto"/>
              </w:rPr>
            </w:pPr>
            <w:r>
              <w:rPr>
                <w:rFonts w:ascii="Arial" w:cs="Arial" w:eastAsia="Arial" w:hAnsi="Arial"/>
                <w:sz w:val="18"/>
                <w:szCs w:val="18"/>
                <w:i w:val="1"/>
                <w:iCs w:val="1"/>
                <w:color w:val="auto"/>
              </w:rPr>
              <w:t>Chief Financial Officer</w:t>
            </w:r>
          </w:p>
        </w:tc>
      </w:tr>
      <w:tr>
        <w:trPr>
          <w:trHeight w:val="506"/>
        </w:trPr>
        <w:tc>
          <w:tcPr>
            <w:tcW w:w="556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ind w:left="10260"/>
        <w:spacing w:after="0"/>
        <w:rPr>
          <w:sz w:val="20"/>
          <w:szCs w:val="20"/>
          <w:color w:val="auto"/>
        </w:rPr>
      </w:pPr>
      <w:r>
        <w:rPr>
          <w:rFonts w:ascii="Arial" w:cs="Arial" w:eastAsia="Arial" w:hAnsi="Arial"/>
          <w:sz w:val="17"/>
          <w:szCs w:val="17"/>
          <w:b w:val="1"/>
          <w:bCs w:val="1"/>
          <w:color w:val="auto"/>
        </w:rPr>
        <w:t>Exhibit 32.1</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jc w:val="center"/>
        <w:ind w:right="40"/>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In connection with the Annual Report on Form 10-K of Tripadvisor, Inc. (the “Company”) for the year ended December 31, 2021, as filed with the Securities and Exchange Commission on the date hereof (the “Report”), I, Stephen Kaufer, Chief Executive Officer and President of the Company, certify, pursuant to Section 906 of the Sarbanes-Oxley Act of 2002, 18 U.S.C. Section 1350, that:</w:t>
      </w:r>
    </w:p>
    <w:p>
      <w:pPr>
        <w:spacing w:after="0" w:line="182" w:lineRule="exact"/>
        <w:rPr>
          <w:sz w:val="20"/>
          <w:szCs w:val="20"/>
          <w:color w:val="auto"/>
        </w:rPr>
      </w:pPr>
    </w:p>
    <w:p>
      <w:pPr>
        <w:ind w:left="520" w:right="180" w:hanging="512"/>
        <w:spacing w:after="0" w:line="261" w:lineRule="auto"/>
        <w:tabs>
          <w:tab w:leader="none" w:pos="37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40" w:type="dxa"/>
            <w:vAlign w:val="bottom"/>
          </w:tcPr>
          <w:p>
            <w:pPr>
              <w:ind w:left="20"/>
              <w:spacing w:after="0"/>
              <w:rPr>
                <w:sz w:val="20"/>
                <w:szCs w:val="20"/>
                <w:color w:val="auto"/>
              </w:rPr>
            </w:pPr>
            <w:r>
              <w:rPr>
                <w:rFonts w:ascii="Arial" w:cs="Arial" w:eastAsia="Arial" w:hAnsi="Arial"/>
                <w:sz w:val="18"/>
                <w:szCs w:val="18"/>
                <w:color w:val="auto"/>
              </w:rPr>
              <w:t>Date: February 18, 2022</w:t>
            </w: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KAUFER</w:t>
            </w:r>
          </w:p>
        </w:tc>
      </w:tr>
      <w:tr>
        <w:trPr>
          <w:trHeight w:val="155"/>
        </w:trPr>
        <w:tc>
          <w:tcPr>
            <w:tcW w:w="5740" w:type="dxa"/>
            <w:vAlign w:val="bottom"/>
          </w:tcPr>
          <w:p>
            <w:pPr>
              <w:spacing w:after="0"/>
              <w:rPr>
                <w:sz w:val="13"/>
                <w:szCs w:val="13"/>
                <w:color w:val="auto"/>
              </w:rPr>
            </w:pPr>
          </w:p>
        </w:tc>
        <w:tc>
          <w:tcPr>
            <w:tcW w:w="5500" w:type="dxa"/>
            <w:vAlign w:val="bottom"/>
          </w:tcPr>
          <w:p>
            <w:pPr>
              <w:ind w:left="20"/>
              <w:spacing w:after="0" w:line="154" w:lineRule="exact"/>
              <w:rPr>
                <w:sz w:val="20"/>
                <w:szCs w:val="20"/>
                <w:color w:val="auto"/>
              </w:rPr>
            </w:pPr>
            <w:r>
              <w:rPr>
                <w:rFonts w:ascii="Arial" w:cs="Arial" w:eastAsia="Arial" w:hAnsi="Arial"/>
                <w:sz w:val="17"/>
                <w:szCs w:val="17"/>
                <w:color w:val="auto"/>
              </w:rPr>
              <w:t>Stephen Kaufer</w:t>
            </w:r>
          </w:p>
        </w:tc>
      </w:tr>
      <w:tr>
        <w:trPr>
          <w:trHeight w:val="230"/>
        </w:trPr>
        <w:tc>
          <w:tcPr>
            <w:tcW w:w="574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 and President</w:t>
            </w:r>
          </w:p>
        </w:tc>
      </w:tr>
      <w:tr>
        <w:trPr>
          <w:trHeight w:val="709"/>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ind w:left="10260"/>
        <w:spacing w:after="0"/>
        <w:rPr>
          <w:sz w:val="20"/>
          <w:szCs w:val="20"/>
          <w:color w:val="auto"/>
        </w:rPr>
      </w:pPr>
      <w:r>
        <w:rPr>
          <w:rFonts w:ascii="Arial" w:cs="Arial" w:eastAsia="Arial" w:hAnsi="Arial"/>
          <w:sz w:val="17"/>
          <w:szCs w:val="17"/>
          <w:b w:val="1"/>
          <w:bCs w:val="1"/>
          <w:color w:val="auto"/>
        </w:rPr>
        <w:t>Exhibit 32.2</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jc w:val="center"/>
        <w:ind w:right="40"/>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In connection with the Annual Report on Form 10-K of Tripadvisor, Inc. (the “Company”) for the year ended December 31, 2021, as filed with the Securities and Exchange Commission on the date hereof (the “Report”), I, Ernst Teunissen, Chief Financial Officer of the Company, certify, pursuant to Section 906 of the Sarbanes-Oxley Act of 2002, 18 U.S.C. Section 1350, that:</w:t>
      </w:r>
    </w:p>
    <w:p>
      <w:pPr>
        <w:spacing w:after="0" w:line="182" w:lineRule="exact"/>
        <w:rPr>
          <w:sz w:val="20"/>
          <w:szCs w:val="20"/>
          <w:color w:val="auto"/>
        </w:rPr>
      </w:pPr>
    </w:p>
    <w:p>
      <w:pPr>
        <w:ind w:left="520" w:right="180" w:hanging="512"/>
        <w:spacing w:after="0" w:line="261" w:lineRule="auto"/>
        <w:tabs>
          <w:tab w:leader="none" w:pos="37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40" w:type="dxa"/>
            <w:vAlign w:val="bottom"/>
          </w:tcPr>
          <w:p>
            <w:pPr>
              <w:ind w:left="20"/>
              <w:spacing w:after="0"/>
              <w:rPr>
                <w:sz w:val="20"/>
                <w:szCs w:val="20"/>
                <w:color w:val="auto"/>
              </w:rPr>
            </w:pPr>
            <w:r>
              <w:rPr>
                <w:rFonts w:ascii="Arial" w:cs="Arial" w:eastAsia="Arial" w:hAnsi="Arial"/>
                <w:sz w:val="18"/>
                <w:szCs w:val="18"/>
                <w:color w:val="auto"/>
              </w:rPr>
              <w:t>Date: February 18, 2022</w:t>
            </w: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ERNST TEUNISSEN</w:t>
            </w:r>
          </w:p>
        </w:tc>
      </w:tr>
      <w:tr>
        <w:trPr>
          <w:trHeight w:val="155"/>
        </w:trPr>
        <w:tc>
          <w:tcPr>
            <w:tcW w:w="5740" w:type="dxa"/>
            <w:vAlign w:val="bottom"/>
          </w:tcPr>
          <w:p>
            <w:pPr>
              <w:spacing w:after="0"/>
              <w:rPr>
                <w:sz w:val="13"/>
                <w:szCs w:val="13"/>
                <w:color w:val="auto"/>
              </w:rPr>
            </w:pPr>
          </w:p>
        </w:tc>
        <w:tc>
          <w:tcPr>
            <w:tcW w:w="5500" w:type="dxa"/>
            <w:vAlign w:val="bottom"/>
          </w:tcPr>
          <w:p>
            <w:pPr>
              <w:ind w:left="20"/>
              <w:spacing w:after="0" w:line="154" w:lineRule="exact"/>
              <w:rPr>
                <w:sz w:val="20"/>
                <w:szCs w:val="20"/>
                <w:color w:val="auto"/>
              </w:rPr>
            </w:pPr>
            <w:r>
              <w:rPr>
                <w:rFonts w:ascii="Arial" w:cs="Arial" w:eastAsia="Arial" w:hAnsi="Arial"/>
                <w:sz w:val="17"/>
                <w:szCs w:val="17"/>
                <w:color w:val="auto"/>
              </w:rPr>
              <w:t>Ernst Teunissen</w:t>
            </w:r>
          </w:p>
        </w:tc>
      </w:tr>
      <w:tr>
        <w:trPr>
          <w:trHeight w:val="230"/>
        </w:trPr>
        <w:tc>
          <w:tcPr>
            <w:tcW w:w="574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507"/>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lvl w:ilvl="1">
      <w:lvlJc w:val="left"/>
      <w:lvlText w:val="o"/>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decimal"/>
      <w:start w:val="3"/>
    </w:lvl>
  </w:abstractNum>
  <w:abstractNum w:abstractNumId="26">
    <w:nsid w:val="2A487CB0"/>
    <w:multiLevelType w:val="hybridMultilevel"/>
    <w:lvl w:ilvl="0">
      <w:lvlJc w:val="left"/>
      <w:lvlText w:val="(%1)"/>
      <w:numFmt w:val="lowerRoman"/>
      <w:start w:val="2"/>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1)"/>
      <w:numFmt w:val="decimal"/>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decimal"/>
      <w:start w:val="2"/>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1)"/>
      <w:numFmt w:val="decimal"/>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1)"/>
      <w:numFmt w:val="decimal"/>
      <w:start w:val="1"/>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K"/>
      <w:numFmt w:val="bullet"/>
      <w:start w:val="1"/>
    </w:lvl>
  </w:abstractNum>
  <w:abstractNum w:abstractNumId="54">
    <w:nsid w:val="1CF10FD8"/>
    <w:multiLevelType w:val="hybridMultilevel"/>
    <w:lvl w:ilvl="0">
      <w:lvlJc w:val="left"/>
      <w:lvlText w:val="K"/>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33" Type="http://schemas.openxmlformats.org/officeDocument/2006/relationships/image" Target="media/image408.png"/><Relationship Id="rId443" Type="http://schemas.openxmlformats.org/officeDocument/2006/relationships/image" Target="media/image409.png"/><Relationship Id="rId444" Type="http://schemas.openxmlformats.org/officeDocument/2006/relationships/image" Target="media/image410.png"/><Relationship Id="rId445" Type="http://schemas.openxmlformats.org/officeDocument/2006/relationships/image" Target="media/image411.png"/><Relationship Id="rId446" Type="http://schemas.openxmlformats.org/officeDocument/2006/relationships/image" Target="media/image412.png"/><Relationship Id="rId447" Type="http://schemas.openxmlformats.org/officeDocument/2006/relationships/image" Target="media/image413.png"/><Relationship Id="rId463" Type="http://schemas.openxmlformats.org/officeDocument/2006/relationships/image" Target="media/image414.png"/><Relationship Id="rId464" Type="http://schemas.openxmlformats.org/officeDocument/2006/relationships/image" Target="media/image415.png"/><Relationship Id="rId465" Type="http://schemas.openxmlformats.org/officeDocument/2006/relationships/image" Target="media/image416.png"/><Relationship Id="rId466" Type="http://schemas.openxmlformats.org/officeDocument/2006/relationships/image" Target="media/image417.png"/><Relationship Id="rId467" Type="http://schemas.openxmlformats.org/officeDocument/2006/relationships/image" Target="media/image418.png"/><Relationship Id="rId468" Type="http://schemas.openxmlformats.org/officeDocument/2006/relationships/image" Target="media/image419.png"/><Relationship Id="rId469" Type="http://schemas.openxmlformats.org/officeDocument/2006/relationships/image" Target="media/image420.png"/><Relationship Id="rId470" Type="http://schemas.openxmlformats.org/officeDocument/2006/relationships/image" Target="media/image421.png"/><Relationship Id="rId471" Type="http://schemas.openxmlformats.org/officeDocument/2006/relationships/image" Target="media/image422.png"/><Relationship Id="rId472" Type="http://schemas.openxmlformats.org/officeDocument/2006/relationships/image" Target="media/image423.png"/><Relationship Id="rId473" Type="http://schemas.openxmlformats.org/officeDocument/2006/relationships/image" Target="media/image424.png"/><Relationship Id="rId474" Type="http://schemas.openxmlformats.org/officeDocument/2006/relationships/image" Target="media/image425.png"/><Relationship Id="rId475" Type="http://schemas.openxmlformats.org/officeDocument/2006/relationships/image" Target="media/image426.png"/><Relationship Id="rId476" Type="http://schemas.openxmlformats.org/officeDocument/2006/relationships/image" Target="media/image427.png"/><Relationship Id="rId477" Type="http://schemas.openxmlformats.org/officeDocument/2006/relationships/image" Target="media/image428.png"/><Relationship Id="rId478" Type="http://schemas.openxmlformats.org/officeDocument/2006/relationships/image" Target="media/image429.png"/><Relationship Id="rId479" Type="http://schemas.openxmlformats.org/officeDocument/2006/relationships/image" Target="media/image430.png"/><Relationship Id="rId480" Type="http://schemas.openxmlformats.org/officeDocument/2006/relationships/image" Target="media/image431.png"/><Relationship Id="rId481" Type="http://schemas.openxmlformats.org/officeDocument/2006/relationships/image" Target="media/image432.png"/><Relationship Id="rId482" Type="http://schemas.openxmlformats.org/officeDocument/2006/relationships/image" Target="media/image433.png"/><Relationship Id="rId483" Type="http://schemas.openxmlformats.org/officeDocument/2006/relationships/image" Target="media/image434.png"/><Relationship Id="rId484" Type="http://schemas.openxmlformats.org/officeDocument/2006/relationships/image" Target="media/image435.png"/><Relationship Id="rId485" Type="http://schemas.openxmlformats.org/officeDocument/2006/relationships/image" Target="media/image436.png"/><Relationship Id="rId486" Type="http://schemas.openxmlformats.org/officeDocument/2006/relationships/image" Target="media/image437.png"/><Relationship Id="rId487" Type="http://schemas.openxmlformats.org/officeDocument/2006/relationships/image" Target="media/image438.png"/><Relationship Id="rId488" Type="http://schemas.openxmlformats.org/officeDocument/2006/relationships/image" Target="media/image439.png"/><Relationship Id="rId489" Type="http://schemas.openxmlformats.org/officeDocument/2006/relationships/image" Target="media/image440.png"/><Relationship Id="rId490" Type="http://schemas.openxmlformats.org/officeDocument/2006/relationships/image" Target="media/image441.png"/><Relationship Id="rId491" Type="http://schemas.openxmlformats.org/officeDocument/2006/relationships/image" Target="media/image442.png"/><Relationship Id="rId492" Type="http://schemas.openxmlformats.org/officeDocument/2006/relationships/image" Target="media/image443.png"/><Relationship Id="rId493" Type="http://schemas.openxmlformats.org/officeDocument/2006/relationships/image" Target="media/image444.png"/><Relationship Id="rId494" Type="http://schemas.openxmlformats.org/officeDocument/2006/relationships/image" Target="media/image445.png"/><Relationship Id="rId415" Type="http://schemas.openxmlformats.org/officeDocument/2006/relationships/hyperlink" Target="https://www.sec.gov/Archives/edgar/data/1526520/000119312511352247/d270719dex31.htm" TargetMode="External"/><Relationship Id="rId416" Type="http://schemas.openxmlformats.org/officeDocument/2006/relationships/hyperlink" Target="https://www.sec.gov/Archives/edgar/data/1526520/000119312511352247/d270719dex32.htm" TargetMode="External"/><Relationship Id="rId417" Type="http://schemas.openxmlformats.org/officeDocument/2006/relationships/hyperlink" Target="https://www.sec.gov/Archives/edgar/data/1526520/000119312513051925/d482592dex31.htm" TargetMode="External"/><Relationship Id="rId418" Type="http://schemas.openxmlformats.org/officeDocument/2006/relationships/hyperlink" Target="https://www.sec.gov/Archives/edgar/data/1324424/000119312511277905/d211678dex46.htm" TargetMode="External"/><Relationship Id="rId419" Type="http://schemas.openxmlformats.org/officeDocument/2006/relationships/hyperlink" Target="https://www.sec.gov/Archives/edgar/data/1526520/000156459020005269/trip-ex42_283.htm" TargetMode="External"/><Relationship Id="rId420" Type="http://schemas.openxmlformats.org/officeDocument/2006/relationships/hyperlink" Target="https://www.sec.gov/Archives/edgar/data/1526520/000156459020032136/trip-ex41_15.htm" TargetMode="External"/><Relationship Id="rId421" Type="http://schemas.openxmlformats.org/officeDocument/2006/relationships/hyperlink" Target="https://www.sec.gov/Archives/edgar/data/1526520/000156459021015566/trip-ex41_32.htm" TargetMode="External"/><Relationship Id="rId422" Type="http://schemas.openxmlformats.org/officeDocument/2006/relationships/hyperlink" Target="https://www.sec.gov/Archives/edgar/data/1526520/000119312511352247/d270719dex101.htm" TargetMode="External"/><Relationship Id="rId423" Type="http://schemas.openxmlformats.org/officeDocument/2006/relationships/hyperlink" Target="https://www.sec.gov/Archives/edgar/data/1526520/000119312511352247/d270719dex102.htm" TargetMode="External"/><Relationship Id="rId424" Type="http://schemas.openxmlformats.org/officeDocument/2006/relationships/hyperlink" Target="https://www.sec.gov/Archives/edgar/data/1526520/000156459016028323/trip-ex101_769.htm" TargetMode="External"/><Relationship Id="rId425" Type="http://schemas.openxmlformats.org/officeDocument/2006/relationships/hyperlink" Target="https://www.sec.gov/Archives/edgar/data/1526520/000156459018018438/trip-ex101_278.htm" TargetMode="External"/><Relationship Id="rId426" Type="http://schemas.openxmlformats.org/officeDocument/2006/relationships/hyperlink" Target="https://www.sec.gov/Archives/edgar/data/1526520/000119312511347224/d271461dex46.htm" TargetMode="External"/><Relationship Id="rId427" Type="http://schemas.openxmlformats.org/officeDocument/2006/relationships/hyperlink" Target="https://www.sec.gov/Archives/edgar/data/1526520/000119312513300521/d548543dex101.htm" TargetMode="External"/><Relationship Id="rId428" Type="http://schemas.openxmlformats.org/officeDocument/2006/relationships/hyperlink" Target="https://www.sec.gov/Archives/edgar/data/1526520/000119312513300521/d548543dex102.htm" TargetMode="External"/><Relationship Id="rId429" Type="http://schemas.openxmlformats.org/officeDocument/2006/relationships/hyperlink" Target="https://www.sec.gov/Archives/edgar/data/1526520/000119312516599160/d199565dex101.htm" TargetMode="External"/><Relationship Id="rId430" Type="http://schemas.openxmlformats.org/officeDocument/2006/relationships/hyperlink" Target="https://www.sec.gov/Archives/edgar/data/1526520/000156459018002664/trip-ex108_286.htm" TargetMode="External"/><Relationship Id="rId431" Type="http://schemas.openxmlformats.org/officeDocument/2006/relationships/hyperlink" Target="https://www.sec.gov/Archives/edgar/data/1526520/000156459014001822/trip-ex10_20140331242.htm" TargetMode="External"/><Relationship Id="rId432" Type="http://schemas.openxmlformats.org/officeDocument/2006/relationships/hyperlink" Target="https://www.sec.gov/Archives/edgar/data/1526520/000156459018002664/trip-ex1010_284.htm" TargetMode="External"/><Relationship Id="rId434" Type="http://schemas.openxmlformats.org/officeDocument/2006/relationships/hyperlink" Target="https://www.sec.gov/Archives/edgar/data/1526520/000119312517198515/d411542dex101.htm" TargetMode="External"/><Relationship Id="rId435" Type="http://schemas.openxmlformats.org/officeDocument/2006/relationships/hyperlink" Target="https://www.sec.gov/Archives/edgar/data/1526520/000156459018002664/trip-ex1012_285.htm" TargetMode="External"/><Relationship Id="rId436" Type="http://schemas.openxmlformats.org/officeDocument/2006/relationships/hyperlink" Target="https://www.sec.gov/Archives/edgar/data/1526520/000156459018002664/trip-ex1013_289.htm" TargetMode="External"/><Relationship Id="rId437" Type="http://schemas.openxmlformats.org/officeDocument/2006/relationships/hyperlink" Target="https://www.sec.gov/Archives/edgar/data/1526520/000156459018002664/trip-ex1014_290.htm" TargetMode="External"/><Relationship Id="rId438" Type="http://schemas.openxmlformats.org/officeDocument/2006/relationships/hyperlink" Target="https://www.sec.gov/Archives/edgar/data/1526520/000156459018002664/trip-ex1015_291.htm" TargetMode="External"/><Relationship Id="rId439" Type="http://schemas.openxmlformats.org/officeDocument/2006/relationships/hyperlink" Target="https://www.sec.gov/Archives/edgar/data/1526520/000119312514340478/d756838dex991.htm" TargetMode="External"/><Relationship Id="rId440" Type="http://schemas.openxmlformats.org/officeDocument/2006/relationships/hyperlink" Target="https://www.sec.gov/Archives/edgar/data/1526520/000119312515241292/d947932dex101.htm" TargetMode="External"/><Relationship Id="rId441" Type="http://schemas.openxmlformats.org/officeDocument/2006/relationships/hyperlink" Target="https://www.sec.gov/Archives/edgar/data/1526520/000119312517170835/d393402dex101.htm" TargetMode="External"/><Relationship Id="rId442" Type="http://schemas.openxmlformats.org/officeDocument/2006/relationships/hyperlink" Target="https://www.sec.gov/Archives/edgar/data/1526520/000156459020022868/trip-ex101_159.htm" TargetMode="External"/><Relationship Id="rId448" Type="http://schemas.openxmlformats.org/officeDocument/2006/relationships/hyperlink" Target="https://www.sec.gov/Archives/edgar/data/1526520/000156459020058044/trip-ex101_30.htm" TargetMode="External"/><Relationship Id="rId449" Type="http://schemas.openxmlformats.org/officeDocument/2006/relationships/hyperlink" Target="https://www.sec.gov/Archives/edgar/data/1526520/000119312515340346/d10829dex101.htm" TargetMode="External"/><Relationship Id="rId450" Type="http://schemas.openxmlformats.org/officeDocument/2006/relationships/hyperlink" Target="https://www.sec.gov/Archives/edgar/data/1526520/000156459018002664/trip-ex1021_288.htm" TargetMode="External"/><Relationship Id="rId451" Type="http://schemas.openxmlformats.org/officeDocument/2006/relationships/hyperlink" Target="https://www.sec.gov/Archives/edgar/data/1526520/000156459020023544/trip-ex109_212.htm" TargetMode="External"/><Relationship Id="rId452" Type="http://schemas.openxmlformats.org/officeDocument/2006/relationships/hyperlink" Target="https://www.sec.gov/Archives/edgar/data/1526520/000156459017016506/trip-ex104_676.htm" TargetMode="External"/><Relationship Id="rId453" Type="http://schemas.openxmlformats.org/officeDocument/2006/relationships/hyperlink" Target="https://www.sec.gov/Archives/edgar/data/1526520/000156459018002664/trip-ex1023_287.htm" TargetMode="External"/><Relationship Id="rId454" Type="http://schemas.openxmlformats.org/officeDocument/2006/relationships/hyperlink" Target="https://www.sec.gov/Archives/edgar/data/1526520/000156459018011803/trip-ex101_73.htm" TargetMode="External"/><Relationship Id="rId455" Type="http://schemas.openxmlformats.org/officeDocument/2006/relationships/hyperlink" Target="https://www.sec.gov/Archives/edgar/data/1526520/000156459018011803/trip-ex102_74.htm" TargetMode="External"/><Relationship Id="rId456" Type="http://schemas.openxmlformats.org/officeDocument/2006/relationships/hyperlink" Target="https://www.sec.gov/Archives/edgar/data/1526520/000156459018011803/trip-ex103_75.htm" TargetMode="External"/><Relationship Id="rId457" Type="http://schemas.openxmlformats.org/officeDocument/2006/relationships/hyperlink" Target="https://www.sec.gov/Archives/edgar/data/1526520/000156459018011803/trip-ex104_76.htm" TargetMode="External"/><Relationship Id="rId458" Type="http://schemas.openxmlformats.org/officeDocument/2006/relationships/hyperlink" Target="https://www.sec.gov/Archives/edgar/data/1526520/000156459018011803/trip-ex105_77.htm" TargetMode="External"/><Relationship Id="rId459" Type="http://schemas.openxmlformats.org/officeDocument/2006/relationships/hyperlink" Target="https://www.sec.gov/Archives/edgar/data/1526520/000156459018018438/trip-ex102_182.htm" TargetMode="External"/><Relationship Id="rId460" Type="http://schemas.openxmlformats.org/officeDocument/2006/relationships/hyperlink" Target="https://www.sec.gov/Archives/edgar/data/1526520/000156459019040994/trip-ex101_96.htm" TargetMode="External"/><Relationship Id="rId461" Type="http://schemas.openxmlformats.org/officeDocument/2006/relationships/hyperlink" Target="https://www.sec.gov/Archives/edgar/data/1526520/000156459021041583/trip-ex101_88.htm" TargetMode="External"/><Relationship Id="rId462" Type="http://schemas.openxmlformats.org/officeDocument/2006/relationships/hyperlink" Target="https://www.sec.gov/Archives/edgar/data/1526520/000156459021015566/trip-ex101_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2022-02-18T15:14:19Z</dcterms:created>
  <dcterms:modified xsi:type="dcterms:W3CDTF">2022-02-18T15:14:19Z</dcterms:modified>
</cp:coreProperties>
</file>