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300355</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324485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99695</wp:posOffset>
            </wp:positionV>
            <wp:extent cx="1454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114935</wp:posOffset>
            </wp:positionV>
            <wp:extent cx="1454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315" w:lineRule="exact"/>
        <w:rPr>
          <w:sz w:val="24"/>
          <w:szCs w:val="24"/>
          <w:color w:val="auto"/>
        </w:rPr>
      </w:pPr>
    </w:p>
    <w:p>
      <w:pPr>
        <w:ind w:left="520" w:hanging="518"/>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2014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41" w:lineRule="exact"/>
        <w:rPr>
          <w:sz w:val="24"/>
          <w:szCs w:val="24"/>
          <w:color w:val="auto"/>
        </w:rPr>
      </w:pPr>
    </w:p>
    <w:p>
      <w:pPr>
        <w:ind w:left="520" w:hanging="518"/>
        <w:spacing w:after="0"/>
        <w:tabs>
          <w:tab w:leader="none" w:pos="5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600" w:type="dxa"/>
        <w:tblCellMar>
          <w:top w:w="0" w:type="dxa"/>
          <w:left w:w="0" w:type="dxa"/>
          <w:bottom w:w="0" w:type="dxa"/>
          <w:right w:w="0" w:type="dxa"/>
        </w:tblCellMar>
      </w:tblPr>
      <w:tr>
        <w:trPr>
          <w:trHeight w:val="195"/>
        </w:trPr>
        <w:tc>
          <w:tcPr>
            <w:tcW w:w="2240" w:type="dxa"/>
            <w:vAlign w:val="bottom"/>
          </w:tcPr>
          <w:p>
            <w:pPr>
              <w:spacing w:after="0"/>
              <w:rPr>
                <w:sz w:val="20"/>
                <w:szCs w:val="20"/>
                <w:color w:val="auto"/>
              </w:rPr>
            </w:pPr>
            <w:r>
              <w:rPr>
                <w:rFonts w:ascii="Arial" w:cs="Arial" w:eastAsia="Arial" w:hAnsi="Arial"/>
                <w:sz w:val="17"/>
                <w:szCs w:val="17"/>
                <w:b w:val="1"/>
                <w:bCs w:val="1"/>
                <w:color w:val="auto"/>
                <w:w w:val="92"/>
              </w:rPr>
              <w:t>For the transition period from</w:t>
            </w:r>
          </w:p>
        </w:tc>
        <w:tc>
          <w:tcPr>
            <w:tcW w:w="86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900" w:type="dxa"/>
            <w:vAlign w:val="bottom"/>
            <w:tcBorders>
              <w:bottom w:val="single" w:sz="8" w:color="auto"/>
            </w:tcBorders>
          </w:tcPr>
          <w:p>
            <w:pPr>
              <w:spacing w:after="0"/>
              <w:rPr>
                <w:sz w:val="16"/>
                <w:szCs w:val="16"/>
                <w:color w:val="auto"/>
              </w:rPr>
            </w:pPr>
          </w:p>
        </w:tc>
      </w:tr>
      <w:tr>
        <w:trPr>
          <w:trHeight w:val="375"/>
        </w:trPr>
        <w:tc>
          <w:tcPr>
            <w:tcW w:w="4220" w:type="dxa"/>
            <w:vAlign w:val="bottom"/>
            <w:gridSpan w:val="4"/>
          </w:tcPr>
          <w:p>
            <w:pPr>
              <w:ind w:left="800"/>
              <w:spacing w:after="0"/>
              <w:rPr>
                <w:sz w:val="20"/>
                <w:szCs w:val="20"/>
                <w:color w:val="auto"/>
              </w:rPr>
            </w:pPr>
            <w:r>
              <w:rPr>
                <w:rFonts w:ascii="Arial" w:cs="Arial" w:eastAsia="Arial" w:hAnsi="Arial"/>
                <w:sz w:val="17"/>
                <w:szCs w:val="17"/>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98425</wp:posOffset>
            </wp:positionV>
            <wp:extent cx="1454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TRIPADVISOR,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102235</wp:posOffset>
            </wp:positionV>
            <wp:extent cx="145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p>
      <w:pPr>
        <w:spacing w:after="0" w:line="273" w:lineRule="exact"/>
        <w:rPr>
          <w:sz w:val="24"/>
          <w:szCs w:val="24"/>
          <w:color w:val="auto"/>
        </w:rPr>
      </w:pPr>
    </w:p>
    <w:p>
      <w:pPr>
        <w:ind w:left="31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80-0743202</w:t>
      </w:r>
    </w:p>
    <w:p>
      <w:pPr>
        <w:spacing w:after="0" w:line="45" w:lineRule="exact"/>
        <w:rPr>
          <w:sz w:val="24"/>
          <w:szCs w:val="24"/>
          <w:color w:val="auto"/>
        </w:rPr>
      </w:pPr>
    </w:p>
    <w:p>
      <w:pPr>
        <w:sectPr>
          <w:pgSz w:w="11900" w:h="16838" w:orient="portrait"/>
          <w:cols w:equalWidth="0" w:num="2">
            <w:col w:w="8180" w:space="720"/>
            <w:col w:w="2520"/>
          </w:cols>
          <w:pgMar w:left="240" w:top="561" w:right="239" w:bottom="1440" w:gutter="0" w:footer="0" w:header="0"/>
          <w:type w:val="continuous"/>
        </w:sectPr>
      </w:pPr>
    </w:p>
    <w:p>
      <w:pPr>
        <w:ind w:left="2660"/>
        <w:spacing w:after="0"/>
        <w:rPr>
          <w:sz w:val="20"/>
          <w:szCs w:val="20"/>
          <w:color w:val="auto"/>
        </w:rPr>
      </w:pPr>
      <w:r>
        <w:rPr>
          <w:rFonts w:ascii="Arial" w:cs="Arial" w:eastAsia="Arial" w:hAnsi="Arial"/>
          <w:sz w:val="12"/>
          <w:szCs w:val="12"/>
          <w:b w:val="1"/>
          <w:bCs w:val="1"/>
          <w:color w:val="auto"/>
        </w:rPr>
        <w:t>(State or other jurisdiction of</w:t>
      </w:r>
    </w:p>
    <w:p>
      <w:pPr>
        <w:ind w:left="26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33" w:lineRule="exact"/>
        <w:rPr>
          <w:sz w:val="24"/>
          <w:szCs w:val="24"/>
          <w:color w:val="auto"/>
        </w:rPr>
      </w:pPr>
    </w:p>
    <w:p>
      <w:pPr>
        <w:sectPr>
          <w:pgSz w:w="11900" w:h="16838" w:orient="portrait"/>
          <w:cols w:equalWidth="0" w:num="2">
            <w:col w:w="8060" w:space="720"/>
            <w:col w:w="2640"/>
          </w:cols>
          <w:pgMar w:left="240" w:top="561" w:right="239" w:bottom="1440" w:gutter="0" w:footer="0" w:header="0"/>
          <w:type w:val="continuous"/>
        </w:sectPr>
      </w:pPr>
    </w:p>
    <w:p>
      <w:pPr>
        <w:ind w:left="4980"/>
        <w:spacing w:after="0"/>
        <w:rPr>
          <w:sz w:val="20"/>
          <w:szCs w:val="20"/>
          <w:color w:val="auto"/>
        </w:rPr>
      </w:pPr>
      <w:r>
        <w:rPr>
          <w:rFonts w:ascii="Arial" w:cs="Arial" w:eastAsia="Arial" w:hAnsi="Arial"/>
          <w:sz w:val="17"/>
          <w:szCs w:val="17"/>
          <w:b w:val="1"/>
          <w:bCs w:val="1"/>
          <w:color w:val="auto"/>
        </w:rPr>
        <w:t>141 Needham Street</w:t>
      </w:r>
    </w:p>
    <w:p>
      <w:pPr>
        <w:spacing w:after="0" w:line="24" w:lineRule="exact"/>
        <w:rPr>
          <w:sz w:val="24"/>
          <w:szCs w:val="24"/>
          <w:color w:val="auto"/>
        </w:rPr>
      </w:pPr>
    </w:p>
    <w:p>
      <w:pPr>
        <w:ind w:left="5020"/>
        <w:spacing w:after="0"/>
        <w:rPr>
          <w:sz w:val="20"/>
          <w:szCs w:val="20"/>
          <w:color w:val="auto"/>
        </w:rPr>
      </w:pPr>
      <w:r>
        <w:rPr>
          <w:rFonts w:ascii="Arial" w:cs="Arial" w:eastAsia="Arial" w:hAnsi="Arial"/>
          <w:sz w:val="17"/>
          <w:szCs w:val="17"/>
          <w:b w:val="1"/>
          <w:bCs w:val="1"/>
          <w:color w:val="auto"/>
        </w:rPr>
        <w:t>Newton, MA 02464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128270</wp:posOffset>
            </wp:positionV>
            <wp:extent cx="145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type w:val="continuous"/>
        </w:sectPr>
      </w:pPr>
    </w:p>
    <w:p>
      <w:pPr>
        <w:spacing w:after="0" w:line="373" w:lineRule="exact"/>
        <w:rPr>
          <w:sz w:val="24"/>
          <w:szCs w:val="24"/>
          <w:color w:val="auto"/>
        </w:rPr>
      </w:pPr>
    </w:p>
    <w:p>
      <w:pPr>
        <w:ind w:right="260" w:firstLine="518"/>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jc w:val="both"/>
        <w:ind w:right="120" w:firstLine="518"/>
        <w:spacing w:after="0" w:line="19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5" w:lineRule="exact"/>
        <w:rPr>
          <w:sz w:val="24"/>
          <w:szCs w:val="24"/>
          <w:color w:val="auto"/>
        </w:rPr>
      </w:pPr>
    </w:p>
    <w:p>
      <w:pPr>
        <w:ind w:firstLine="518"/>
        <w:spacing w:after="0" w:line="29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8"/>
        </w:trPr>
        <w:tc>
          <w:tcPr>
            <w:tcW w:w="1700" w:type="dxa"/>
            <w:vAlign w:val="bottom"/>
          </w:tcPr>
          <w:p>
            <w:pPr>
              <w:spacing w:after="0"/>
              <w:rPr>
                <w:sz w:val="20"/>
                <w:szCs w:val="20"/>
                <w:color w:val="auto"/>
              </w:rPr>
            </w:pPr>
            <w:r>
              <w:rPr>
                <w:rFonts w:ascii="Arial" w:cs="Arial" w:eastAsia="Arial" w:hAnsi="Arial"/>
                <w:sz w:val="17"/>
                <w:szCs w:val="17"/>
                <w:color w:val="auto"/>
                <w:w w:val="99"/>
              </w:rPr>
              <w:t>Large accelerated filer</w:t>
            </w:r>
          </w:p>
        </w:tc>
        <w:tc>
          <w:tcPr>
            <w:tcW w:w="6400" w:type="dxa"/>
            <w:vAlign w:val="bottom"/>
            <w:gridSpan w:val="3"/>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2660" w:type="dxa"/>
            <w:vAlign w:val="bottom"/>
          </w:tcPr>
          <w:p>
            <w:pPr>
              <w:ind w:left="2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r>
      <w:tr>
        <w:trPr>
          <w:trHeight w:val="281"/>
        </w:trPr>
        <w:tc>
          <w:tcPr>
            <w:tcW w:w="1700" w:type="dxa"/>
            <w:vAlign w:val="bottom"/>
          </w:tcPr>
          <w:p>
            <w:pPr>
              <w:spacing w:after="0"/>
              <w:rPr>
                <w:sz w:val="20"/>
                <w:szCs w:val="20"/>
                <w:color w:val="auto"/>
              </w:rPr>
            </w:pPr>
            <w:r>
              <w:rPr>
                <w:rFonts w:ascii="Arial" w:cs="Arial" w:eastAsia="Arial" w:hAnsi="Arial"/>
                <w:sz w:val="17"/>
                <w:szCs w:val="17"/>
                <w:color w:val="auto"/>
              </w:rPr>
              <w:t>Non-accelerated filer</w:t>
            </w:r>
          </w:p>
        </w:tc>
        <w:tc>
          <w:tcPr>
            <w:tcW w:w="6400" w:type="dxa"/>
            <w:vAlign w:val="bottom"/>
            <w:gridSpan w:val="3"/>
          </w:tcPr>
          <w:p>
            <w:pPr>
              <w:ind w:left="8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2660" w:type="dxa"/>
            <w:vAlign w:val="bottom"/>
          </w:tcPr>
          <w:p>
            <w:pPr>
              <w:ind w:left="2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r>
      <w:tr>
        <w:trPr>
          <w:trHeight w:val="286"/>
        </w:trPr>
        <w:tc>
          <w:tcPr>
            <w:tcW w:w="8100" w:type="dxa"/>
            <w:vAlign w:val="bottom"/>
            <w:gridSpan w:val="4"/>
          </w:tcPr>
          <w:p>
            <w:pPr>
              <w:ind w:left="520"/>
              <w:spacing w:after="0" w:line="173" w:lineRule="exact"/>
              <w:rPr>
                <w:sz w:val="20"/>
                <w:szCs w:val="20"/>
                <w:color w:val="auto"/>
              </w:rPr>
            </w:pPr>
            <w:r>
              <w:rPr>
                <w:rFonts w:ascii="Arial" w:cs="Arial" w:eastAsia="Arial" w:hAnsi="Arial"/>
                <w:sz w:val="15"/>
                <w:szCs w:val="15"/>
                <w:color w:val="auto"/>
                <w:w w:val="94"/>
              </w:rPr>
              <w:t xml:space="preserve">Indicate by check mark whether the registrant is a shell company (as defined in Rule 12b-2 of the Exchange Act).  Yes </w:t>
            </w:r>
            <w:r>
              <w:rPr>
                <w:rFonts w:ascii="MS PGothic" w:cs="MS PGothic" w:eastAsia="MS PGothic" w:hAnsi="MS PGothic"/>
                <w:sz w:val="15"/>
                <w:szCs w:val="15"/>
                <w:color w:val="auto"/>
                <w:w w:val="94"/>
              </w:rPr>
              <w:t>☐</w:t>
            </w:r>
          </w:p>
        </w:tc>
        <w:tc>
          <w:tcPr>
            <w:tcW w:w="266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660" w:type="dxa"/>
            <w:vAlign w:val="bottom"/>
          </w:tcPr>
          <w:p>
            <w:pPr>
              <w:spacing w:after="0"/>
              <w:rPr>
                <w:sz w:val="24"/>
                <w:szCs w:val="24"/>
                <w:color w:val="auto"/>
              </w:rPr>
            </w:pPr>
          </w:p>
        </w:tc>
      </w:tr>
      <w:tr>
        <w:trPr>
          <w:trHeight w:val="245"/>
        </w:trPr>
        <w:tc>
          <w:tcPr>
            <w:tcW w:w="1700" w:type="dxa"/>
            <w:vAlign w:val="bottom"/>
            <w:tcBorders>
              <w:bottom w:val="single" w:sz="8" w:color="auto"/>
            </w:tcBorders>
          </w:tcPr>
          <w:p>
            <w:pPr>
              <w:spacing w:after="0"/>
              <w:rPr>
                <w:sz w:val="21"/>
                <w:szCs w:val="21"/>
                <w:color w:val="auto"/>
              </w:rPr>
            </w:pPr>
          </w:p>
        </w:tc>
        <w:tc>
          <w:tcPr>
            <w:tcW w:w="5480" w:type="dxa"/>
            <w:vAlign w:val="bottom"/>
            <w:tcBorders>
              <w:bottom w:val="single" w:sz="8" w:color="auto"/>
            </w:tcBorders>
          </w:tcPr>
          <w:p>
            <w:pPr>
              <w:jc w:val="center"/>
              <w:ind w:right="1618"/>
              <w:spacing w:after="0"/>
              <w:rPr>
                <w:sz w:val="20"/>
                <w:szCs w:val="20"/>
                <w:color w:val="auto"/>
              </w:rPr>
            </w:pPr>
            <w:r>
              <w:rPr>
                <w:rFonts w:ascii="Arial" w:cs="Arial" w:eastAsia="Arial" w:hAnsi="Arial"/>
                <w:sz w:val="14"/>
                <w:szCs w:val="14"/>
                <w:color w:val="auto"/>
                <w:w w:val="85"/>
              </w:rPr>
              <w:t>Class</w:t>
            </w:r>
          </w:p>
        </w:tc>
        <w:tc>
          <w:tcPr>
            <w:tcW w:w="920" w:type="dxa"/>
            <w:vAlign w:val="bottom"/>
            <w:gridSpan w:val="2"/>
          </w:tcPr>
          <w:p>
            <w:pPr>
              <w:spacing w:after="0"/>
              <w:rPr>
                <w:sz w:val="21"/>
                <w:szCs w:val="21"/>
                <w:color w:val="auto"/>
              </w:rPr>
            </w:pPr>
          </w:p>
        </w:tc>
        <w:tc>
          <w:tcPr>
            <w:tcW w:w="2660" w:type="dxa"/>
            <w:vAlign w:val="bottom"/>
          </w:tcPr>
          <w:p>
            <w:pPr>
              <w:jc w:val="center"/>
              <w:ind w:right="79"/>
              <w:spacing w:after="0"/>
              <w:rPr>
                <w:sz w:val="20"/>
                <w:szCs w:val="20"/>
                <w:color w:val="auto"/>
              </w:rPr>
            </w:pPr>
            <w:r>
              <w:rPr>
                <w:rFonts w:ascii="Arial" w:cs="Arial" w:eastAsia="Arial" w:hAnsi="Arial"/>
                <w:sz w:val="14"/>
                <w:szCs w:val="14"/>
                <w:color w:val="auto"/>
                <w:w w:val="87"/>
              </w:rPr>
              <w:t>Outstanding Shares at July 23, 2014</w:t>
            </w:r>
          </w:p>
        </w:tc>
        <w:tc>
          <w:tcPr>
            <w:tcW w:w="66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1"/>
        </w:trPr>
        <w:tc>
          <w:tcPr>
            <w:tcW w:w="1700" w:type="dxa"/>
            <w:vAlign w:val="bottom"/>
          </w:tcPr>
          <w:p>
            <w:pPr>
              <w:spacing w:after="0"/>
              <w:rPr>
                <w:sz w:val="14"/>
                <w:szCs w:val="14"/>
                <w:color w:val="auto"/>
              </w:rPr>
            </w:pPr>
          </w:p>
        </w:tc>
        <w:tc>
          <w:tcPr>
            <w:tcW w:w="5600" w:type="dxa"/>
            <w:vAlign w:val="bottom"/>
            <w:gridSpan w:val="2"/>
          </w:tcPr>
          <w:p>
            <w:pPr>
              <w:jc w:val="center"/>
              <w:ind w:right="1820"/>
              <w:spacing w:after="0" w:line="171" w:lineRule="exact"/>
              <w:rPr>
                <w:sz w:val="20"/>
                <w:szCs w:val="20"/>
                <w:color w:val="auto"/>
              </w:rPr>
            </w:pPr>
            <w:r>
              <w:rPr>
                <w:rFonts w:ascii="Arial" w:cs="Arial" w:eastAsia="Arial" w:hAnsi="Arial"/>
                <w:sz w:val="17"/>
                <w:szCs w:val="17"/>
                <w:color w:val="auto"/>
                <w:w w:val="89"/>
              </w:rPr>
              <w:t>Common Stock, $0.001 par value per share</w:t>
            </w:r>
          </w:p>
        </w:tc>
        <w:tc>
          <w:tcPr>
            <w:tcW w:w="80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center"/>
              <w:ind w:right="59"/>
              <w:spacing w:after="0" w:line="171" w:lineRule="exact"/>
              <w:rPr>
                <w:sz w:val="20"/>
                <w:szCs w:val="20"/>
                <w:color w:val="auto"/>
              </w:rPr>
            </w:pPr>
            <w:r>
              <w:rPr>
                <w:rFonts w:ascii="Arial" w:cs="Arial" w:eastAsia="Arial" w:hAnsi="Arial"/>
                <w:sz w:val="17"/>
                <w:szCs w:val="17"/>
                <w:color w:val="auto"/>
                <w:w w:val="87"/>
              </w:rPr>
              <w:t>129,985,348 shares</w:t>
            </w:r>
          </w:p>
        </w:tc>
        <w:tc>
          <w:tcPr>
            <w:tcW w:w="660" w:type="dxa"/>
            <w:vAlign w:val="bottom"/>
            <w:tcBorders>
              <w:top w:val="single" w:sz="8" w:color="auto"/>
            </w:tcBorders>
          </w:tcPr>
          <w:p>
            <w:pPr>
              <w:spacing w:after="0"/>
              <w:rPr>
                <w:sz w:val="14"/>
                <w:szCs w:val="14"/>
                <w:color w:val="auto"/>
              </w:rPr>
            </w:pPr>
          </w:p>
        </w:tc>
      </w:tr>
      <w:tr>
        <w:trPr>
          <w:trHeight w:val="216"/>
        </w:trPr>
        <w:tc>
          <w:tcPr>
            <w:tcW w:w="1700" w:type="dxa"/>
            <w:vAlign w:val="bottom"/>
          </w:tcPr>
          <w:p>
            <w:pPr>
              <w:spacing w:after="0"/>
              <w:rPr>
                <w:sz w:val="18"/>
                <w:szCs w:val="18"/>
                <w:color w:val="auto"/>
              </w:rPr>
            </w:pPr>
          </w:p>
        </w:tc>
        <w:tc>
          <w:tcPr>
            <w:tcW w:w="6400" w:type="dxa"/>
            <w:vAlign w:val="bottom"/>
            <w:gridSpan w:val="3"/>
          </w:tcPr>
          <w:p>
            <w:pPr>
              <w:jc w:val="center"/>
              <w:ind w:right="2620"/>
              <w:spacing w:after="0"/>
              <w:rPr>
                <w:sz w:val="20"/>
                <w:szCs w:val="20"/>
                <w:color w:val="auto"/>
              </w:rPr>
            </w:pPr>
            <w:r>
              <w:rPr>
                <w:rFonts w:ascii="Arial" w:cs="Arial" w:eastAsia="Arial" w:hAnsi="Arial"/>
                <w:sz w:val="17"/>
                <w:szCs w:val="17"/>
                <w:color w:val="auto"/>
                <w:w w:val="89"/>
              </w:rPr>
              <w:t>Class B common stock, $0.001 par value per share</w:t>
            </w:r>
          </w:p>
        </w:tc>
        <w:tc>
          <w:tcPr>
            <w:tcW w:w="2660" w:type="dxa"/>
            <w:vAlign w:val="bottom"/>
          </w:tcPr>
          <w:p>
            <w:pPr>
              <w:jc w:val="center"/>
              <w:ind w:right="59"/>
              <w:spacing w:after="0"/>
              <w:rPr>
                <w:sz w:val="20"/>
                <w:szCs w:val="20"/>
                <w:color w:val="auto"/>
              </w:rPr>
            </w:pPr>
            <w:r>
              <w:rPr>
                <w:rFonts w:ascii="Arial" w:cs="Arial" w:eastAsia="Arial" w:hAnsi="Arial"/>
                <w:sz w:val="17"/>
                <w:szCs w:val="17"/>
                <w:color w:val="auto"/>
                <w:w w:val="88"/>
              </w:rPr>
              <w:t>12,799,999 shares</w:t>
            </w:r>
          </w:p>
        </w:tc>
        <w:tc>
          <w:tcPr>
            <w:tcW w:w="660" w:type="dxa"/>
            <w:vAlign w:val="bottom"/>
          </w:tcPr>
          <w:p>
            <w:pPr>
              <w:spacing w:after="0"/>
              <w:rPr>
                <w:sz w:val="18"/>
                <w:szCs w:val="18"/>
                <w:color w:val="auto"/>
              </w:rPr>
            </w:pPr>
          </w:p>
        </w:tc>
      </w:tr>
      <w:tr>
        <w:trPr>
          <w:trHeight w:val="104"/>
        </w:trPr>
        <w:tc>
          <w:tcPr>
            <w:tcW w:w="170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6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2014</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20" w:type="dxa"/>
            <w:vAlign w:val="bottom"/>
            <w:gridSpan w:val="18"/>
            <w:vMerge w:val="restart"/>
          </w:tcPr>
          <w:p>
            <w:pPr>
              <w:spacing w:after="0"/>
              <w:rPr>
                <w:sz w:val="20"/>
                <w:szCs w:val="20"/>
                <w:color w:val="auto"/>
              </w:rPr>
            </w:pPr>
            <w:r>
              <w:rPr>
                <w:rFonts w:ascii="Arial" w:cs="Arial" w:eastAsia="Arial" w:hAnsi="Arial"/>
                <w:sz w:val="17"/>
                <w:szCs w:val="17"/>
                <w:b w:val="1"/>
                <w:bCs w:val="1"/>
                <w:color w:val="auto"/>
              </w:rPr>
              <w:t>Part I—Financial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4"/>
        </w:trPr>
        <w:tc>
          <w:tcPr>
            <w:tcW w:w="11020" w:type="dxa"/>
            <w:vAlign w:val="bottom"/>
            <w:gridSpan w:val="18"/>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11020" w:type="dxa"/>
            <w:vAlign w:val="bottom"/>
            <w:gridSpan w:val="18"/>
          </w:tcPr>
          <w:p>
            <w:pPr>
              <w:spacing w:after="0"/>
              <w:rPr>
                <w:sz w:val="20"/>
                <w:szCs w:val="20"/>
                <w:color w:val="auto"/>
              </w:rPr>
            </w:pPr>
            <w:r>
              <w:rPr>
                <w:rFonts w:ascii="Arial" w:cs="Arial" w:eastAsia="Arial" w:hAnsi="Arial"/>
                <w:sz w:val="17"/>
                <w:szCs w:val="17"/>
                <w:color w:val="auto"/>
              </w:rPr>
              <w:t>Item 1. Unaudited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0" w:type="dxa"/>
            <w:vAlign w:val="bottom"/>
          </w:tcPr>
          <w:p>
            <w:pPr>
              <w:spacing w:after="0"/>
              <w:rPr>
                <w:sz w:val="24"/>
                <w:szCs w:val="24"/>
                <w:color w:val="auto"/>
              </w:rPr>
            </w:pPr>
          </w:p>
        </w:tc>
        <w:tc>
          <w:tcPr>
            <w:tcW w:w="762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Unaudited Consolidated Statements of Operations for the Three and Six Months Ended June 30, 2014 and 2013</w:t>
              </w:r>
            </w:hyperlink>
          </w:p>
        </w:tc>
        <w:tc>
          <w:tcPr>
            <w:tcW w:w="29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8500" w:type="dxa"/>
            <w:vAlign w:val="bottom"/>
            <w:tcBorders>
              <w:bottom w:val="single" w:sz="8" w:color="0000EE"/>
            </w:tcBorders>
            <w:gridSpan w:val="16"/>
          </w:tcPr>
          <w:p>
            <w:pPr>
              <w:spacing w:after="0" w:line="185" w:lineRule="exact"/>
              <w:rPr>
                <w:rFonts w:ascii="Arial" w:cs="Arial" w:eastAsia="Arial" w:hAnsi="Arial"/>
                <w:sz w:val="17"/>
                <w:szCs w:val="17"/>
                <w:color w:val="0000EE"/>
                <w:w w:val="90"/>
              </w:rPr>
            </w:pPr>
            <w:hyperlink w:anchor="page4">
              <w:r>
                <w:rPr>
                  <w:rFonts w:ascii="Arial" w:cs="Arial" w:eastAsia="Arial" w:hAnsi="Arial"/>
                  <w:sz w:val="17"/>
                  <w:szCs w:val="17"/>
                  <w:color w:val="0000EE"/>
                  <w:w w:val="90"/>
                </w:rPr>
                <w:t>Unaudited Consolidated Statements of Comprehensive Income for the Three and Six Months Ended June 30, 2014 and 2013</w:t>
              </w:r>
            </w:hyperlink>
          </w:p>
        </w:tc>
        <w:tc>
          <w:tcPr>
            <w:tcW w:w="2100" w:type="dxa"/>
            <w:vAlign w:val="bottom"/>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10600" w:type="dxa"/>
            <w:vAlign w:val="bottom"/>
            <w:gridSpan w:val="17"/>
          </w:tcPr>
          <w:p>
            <w:pPr>
              <w:spacing w:after="0" w:line="185" w:lineRule="exact"/>
              <w:rPr>
                <w:rFonts w:ascii="Arial" w:cs="Arial" w:eastAsia="Arial" w:hAnsi="Arial"/>
                <w:sz w:val="17"/>
                <w:szCs w:val="17"/>
                <w:color w:val="0000EE"/>
              </w:rPr>
            </w:pPr>
            <w:hyperlink w:anchor="page5">
              <w:r>
                <w:rPr>
                  <w:rFonts w:ascii="Arial" w:cs="Arial" w:eastAsia="Arial" w:hAnsi="Arial"/>
                  <w:sz w:val="17"/>
                  <w:szCs w:val="17"/>
                  <w:color w:val="0000EE"/>
                </w:rPr>
                <w:t>Unaudited Consolidated Balance Sheets at June 30, 2014 and December 31, 2013</w:t>
              </w:r>
            </w:hyperlink>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0" w:type="dxa"/>
            <w:vAlign w:val="bottom"/>
          </w:tcPr>
          <w:p>
            <w:pPr>
              <w:spacing w:after="0"/>
              <w:rPr>
                <w:sz w:val="16"/>
                <w:szCs w:val="16"/>
                <w:color w:val="auto"/>
              </w:rPr>
            </w:pPr>
          </w:p>
        </w:tc>
        <w:tc>
          <w:tcPr>
            <w:tcW w:w="7660" w:type="dxa"/>
            <w:vAlign w:val="bottom"/>
            <w:tcBorders>
              <w:bottom w:val="single" w:sz="8" w:color="0000EE"/>
            </w:tcBorders>
            <w:gridSpan w:val="15"/>
          </w:tcPr>
          <w:p>
            <w:pPr>
              <w:spacing w:after="0" w:line="185" w:lineRule="exact"/>
              <w:rPr>
                <w:rFonts w:ascii="Arial" w:cs="Arial" w:eastAsia="Arial" w:hAnsi="Arial"/>
                <w:sz w:val="17"/>
                <w:szCs w:val="17"/>
                <w:color w:val="0000EE"/>
                <w:w w:val="90"/>
              </w:rPr>
            </w:pPr>
            <w:hyperlink w:anchor="page6">
              <w:r>
                <w:rPr>
                  <w:rFonts w:ascii="Arial" w:cs="Arial" w:eastAsia="Arial" w:hAnsi="Arial"/>
                  <w:sz w:val="17"/>
                  <w:szCs w:val="17"/>
                  <w:color w:val="0000EE"/>
                  <w:w w:val="90"/>
                </w:rPr>
                <w:t>Unaudited Consolidated Statement of Changes in Stockholders’ Equity for the Six Months Ended June 30, 2014</w:t>
              </w:r>
            </w:hyperlink>
          </w:p>
        </w:tc>
        <w:tc>
          <w:tcPr>
            <w:tcW w:w="2940" w:type="dxa"/>
            <w:vAlign w:val="bottom"/>
            <w:gridSpan w:val="2"/>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10600" w:type="dxa"/>
            <w:vAlign w:val="bottom"/>
            <w:gridSpan w:val="17"/>
          </w:tcPr>
          <w:p>
            <w:pPr>
              <w:spacing w:after="0" w:line="185" w:lineRule="exact"/>
              <w:rPr>
                <w:rFonts w:ascii="Arial" w:cs="Arial" w:eastAsia="Arial" w:hAnsi="Arial"/>
                <w:sz w:val="17"/>
                <w:szCs w:val="17"/>
                <w:color w:val="0000EE"/>
              </w:rPr>
            </w:pPr>
            <w:hyperlink w:anchor="page7">
              <w:r>
                <w:rPr>
                  <w:rFonts w:ascii="Arial" w:cs="Arial" w:eastAsia="Arial" w:hAnsi="Arial"/>
                  <w:sz w:val="17"/>
                  <w:szCs w:val="17"/>
                  <w:color w:val="0000EE"/>
                </w:rPr>
                <w:t>Unaudited Consolidated Statements of Cash Flows for the Six Months Ended June 30, 2014 and 2013</w:t>
              </w:r>
            </w:hyperlink>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8"/>
          </w:tcPr>
          <w:p>
            <w:pPr>
              <w:spacing w:after="0" w:line="185" w:lineRule="exact"/>
              <w:rPr>
                <w:rFonts w:ascii="Arial" w:cs="Arial" w:eastAsia="Arial" w:hAnsi="Arial"/>
                <w:sz w:val="17"/>
                <w:szCs w:val="17"/>
                <w:color w:val="0000EE"/>
                <w:w w:val="90"/>
              </w:rPr>
            </w:pPr>
            <w:hyperlink w:anchor="page8">
              <w:r>
                <w:rPr>
                  <w:rFonts w:ascii="Arial" w:cs="Arial" w:eastAsia="Arial" w:hAnsi="Arial"/>
                  <w:sz w:val="17"/>
                  <w:szCs w:val="17"/>
                  <w:color w:val="0000EE"/>
                  <w:w w:val="90"/>
                </w:rPr>
                <w:t>Notes to Unaudited Consolidated Financial Statements</w:t>
              </w:r>
            </w:hyperlink>
          </w:p>
        </w:tc>
        <w:tc>
          <w:tcPr>
            <w:tcW w:w="3200" w:type="dxa"/>
            <w:vAlign w:val="bottom"/>
            <w:tcBorders>
              <w:top w:val="single" w:sz="8" w:color="0000EE"/>
            </w:tcBorders>
            <w:gridSpan w:val="5"/>
          </w:tcPr>
          <w:p>
            <w:pPr>
              <w:spacing w:after="0"/>
              <w:rPr>
                <w:sz w:val="16"/>
                <w:szCs w:val="16"/>
                <w:color w:val="auto"/>
              </w:rPr>
            </w:pPr>
          </w:p>
        </w:tc>
        <w:tc>
          <w:tcPr>
            <w:tcW w:w="3660" w:type="dxa"/>
            <w:vAlign w:val="bottom"/>
            <w:gridSpan w:val="4"/>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89"/>
        </w:trPr>
        <w:tc>
          <w:tcPr>
            <w:tcW w:w="11020" w:type="dxa"/>
            <w:vAlign w:val="bottom"/>
            <w:gridSpan w:val="18"/>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Item 2. 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5"/>
        </w:trPr>
        <w:tc>
          <w:tcPr>
            <w:tcW w:w="6640" w:type="dxa"/>
            <w:vAlign w:val="bottom"/>
            <w:tcBorders>
              <w:top w:val="single" w:sz="8" w:color="0000EE"/>
            </w:tcBorders>
            <w:gridSpan w:val="13"/>
          </w:tcPr>
          <w:p>
            <w:pPr>
              <w:spacing w:after="0" w:line="185" w:lineRule="exact"/>
              <w:rPr>
                <w:rFonts w:ascii="Arial" w:cs="Arial" w:eastAsia="Arial" w:hAnsi="Arial"/>
                <w:sz w:val="17"/>
                <w:szCs w:val="17"/>
                <w:color w:val="0000EE"/>
              </w:rPr>
            </w:pPr>
            <w:hyperlink w:anchor="page33">
              <w:r>
                <w:rPr>
                  <w:rFonts w:ascii="Arial" w:cs="Arial" w:eastAsia="Arial" w:hAnsi="Arial"/>
                  <w:sz w:val="17"/>
                  <w:szCs w:val="17"/>
                  <w:color w:val="0000EE"/>
                </w:rPr>
                <w:t>Item 3. Quantitative and Qualitative Disclosures about Market Risk</w:t>
              </w:r>
            </w:hyperlink>
          </w:p>
        </w:tc>
        <w:tc>
          <w:tcPr>
            <w:tcW w:w="4380" w:type="dxa"/>
            <w:vAlign w:val="bottom"/>
            <w:gridSpan w:val="5"/>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5"/>
        </w:trPr>
        <w:tc>
          <w:tcPr>
            <w:tcW w:w="4600" w:type="dxa"/>
            <w:vAlign w:val="bottom"/>
            <w:tcBorders>
              <w:top w:val="single" w:sz="8" w:color="0000EE"/>
            </w:tcBorders>
            <w:gridSpan w:val="10"/>
          </w:tcPr>
          <w:p>
            <w:pPr>
              <w:spacing w:after="0" w:line="185" w:lineRule="exact"/>
              <w:rPr>
                <w:rFonts w:ascii="Arial" w:cs="Arial" w:eastAsia="Arial" w:hAnsi="Arial"/>
                <w:sz w:val="17"/>
                <w:szCs w:val="17"/>
                <w:color w:val="0000EE"/>
              </w:rPr>
            </w:pPr>
            <w:hyperlink w:anchor="page34">
              <w:r>
                <w:rPr>
                  <w:rFonts w:ascii="Arial" w:cs="Arial" w:eastAsia="Arial" w:hAnsi="Arial"/>
                  <w:sz w:val="17"/>
                  <w:szCs w:val="17"/>
                  <w:color w:val="0000EE"/>
                </w:rPr>
                <w:t>Item 4. Controls and Procedures</w:t>
              </w:r>
            </w:hyperlink>
          </w:p>
        </w:tc>
        <w:tc>
          <w:tcPr>
            <w:tcW w:w="6420" w:type="dxa"/>
            <w:vAlign w:val="bottom"/>
            <w:gridSpan w:val="8"/>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89"/>
        </w:trPr>
        <w:tc>
          <w:tcPr>
            <w:tcW w:w="2200" w:type="dxa"/>
            <w:vAlign w:val="bottom"/>
            <w:tcBorders>
              <w:top w:val="single" w:sz="8" w:color="0000EE"/>
            </w:tcBorders>
            <w:gridSpan w:val="8"/>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Part II—Other Information</w:t>
              </w:r>
            </w:hyperlink>
          </w:p>
        </w:tc>
        <w:tc>
          <w:tcPr>
            <w:tcW w:w="882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80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0"/>
              </w:rPr>
            </w:pPr>
            <w:hyperlink w:anchor="page35">
              <w:r>
                <w:rPr>
                  <w:rFonts w:ascii="Arial" w:cs="Arial" w:eastAsia="Arial" w:hAnsi="Arial"/>
                  <w:sz w:val="17"/>
                  <w:szCs w:val="17"/>
                  <w:color w:val="0000EE"/>
                  <w:w w:val="90"/>
                </w:rPr>
                <w:t>Item 1. Legal Proceedings</w:t>
              </w:r>
            </w:hyperlink>
          </w:p>
        </w:tc>
        <w:tc>
          <w:tcPr>
            <w:tcW w:w="40" w:type="dxa"/>
            <w:vAlign w:val="bottom"/>
            <w:tcBorders>
              <w:top w:val="single" w:sz="8" w:color="0000EE"/>
            </w:tcBorders>
          </w:tcPr>
          <w:p>
            <w:pPr>
              <w:spacing w:after="0"/>
              <w:rPr>
                <w:sz w:val="24"/>
                <w:szCs w:val="24"/>
                <w:color w:val="auto"/>
              </w:rPr>
            </w:pPr>
          </w:p>
        </w:tc>
        <w:tc>
          <w:tcPr>
            <w:tcW w:w="918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5"/>
        </w:trPr>
        <w:tc>
          <w:tcPr>
            <w:tcW w:w="11020" w:type="dxa"/>
            <w:vAlign w:val="bottom"/>
            <w:gridSpan w:val="18"/>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Item 1A. Risk Factors</w:t>
              </w:r>
            </w:hyperlink>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020" w:type="dxa"/>
            <w:vAlign w:val="bottom"/>
            <w:gridSpan w:val="18"/>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Item 2. Unregistered Sales of Equity Securities and Use of Proceeds</w:t>
              </w:r>
            </w:hyperlink>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5"/>
        </w:trPr>
        <w:tc>
          <w:tcPr>
            <w:tcW w:w="4640" w:type="dxa"/>
            <w:vAlign w:val="bottom"/>
            <w:tcBorders>
              <w:top w:val="single" w:sz="8" w:color="0000EE"/>
            </w:tcBorders>
            <w:gridSpan w:val="11"/>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Item 4. Mine Safety Disclosures</w:t>
              </w:r>
            </w:hyperlink>
          </w:p>
        </w:tc>
        <w:tc>
          <w:tcPr>
            <w:tcW w:w="6380" w:type="dxa"/>
            <w:vAlign w:val="bottom"/>
            <w:gridSpan w:val="7"/>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5"/>
        </w:trPr>
        <w:tc>
          <w:tcPr>
            <w:tcW w:w="1780" w:type="dxa"/>
            <w:vAlign w:val="bottom"/>
            <w:tcBorders>
              <w:top w:val="single" w:sz="8" w:color="0000EE"/>
              <w:bottom w:val="single" w:sz="8" w:color="0000EE"/>
            </w:tcBorders>
            <w:gridSpan w:val="5"/>
          </w:tcPr>
          <w:p>
            <w:pPr>
              <w:spacing w:after="0" w:line="185" w:lineRule="exact"/>
              <w:rPr>
                <w:rFonts w:ascii="Arial" w:cs="Arial" w:eastAsia="Arial" w:hAnsi="Arial"/>
                <w:sz w:val="17"/>
                <w:szCs w:val="17"/>
                <w:color w:val="0000EE"/>
                <w:w w:val="93"/>
              </w:rPr>
            </w:pPr>
            <w:hyperlink w:anchor="page35">
              <w:r>
                <w:rPr>
                  <w:rFonts w:ascii="Arial" w:cs="Arial" w:eastAsia="Arial" w:hAnsi="Arial"/>
                  <w:sz w:val="17"/>
                  <w:szCs w:val="17"/>
                  <w:color w:val="0000EE"/>
                  <w:w w:val="93"/>
                </w:rPr>
                <w:t>Item 5. Other Information</w:t>
              </w:r>
            </w:hyperlink>
          </w:p>
        </w:tc>
        <w:tc>
          <w:tcPr>
            <w:tcW w:w="420" w:type="dxa"/>
            <w:vAlign w:val="bottom"/>
            <w:tcBorders>
              <w:top w:val="single" w:sz="8" w:color="0000EE"/>
            </w:tcBorders>
            <w:gridSpan w:val="3"/>
          </w:tcPr>
          <w:p>
            <w:pPr>
              <w:spacing w:after="0"/>
              <w:rPr>
                <w:sz w:val="16"/>
                <w:szCs w:val="16"/>
                <w:color w:val="auto"/>
              </w:rPr>
            </w:pPr>
          </w:p>
        </w:tc>
        <w:tc>
          <w:tcPr>
            <w:tcW w:w="8820" w:type="dxa"/>
            <w:vAlign w:val="bottom"/>
            <w:gridSpan w:val="10"/>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0000EE"/>
            </w:tcBorders>
            <w:gridSpan w:val="3"/>
          </w:tcPr>
          <w:p>
            <w:pPr>
              <w:spacing w:after="0" w:line="185" w:lineRule="exact"/>
              <w:rPr>
                <w:rFonts w:ascii="Arial" w:cs="Arial" w:eastAsia="Arial" w:hAnsi="Arial"/>
                <w:sz w:val="17"/>
                <w:szCs w:val="17"/>
                <w:color w:val="0000EE"/>
                <w:w w:val="92"/>
              </w:rPr>
            </w:pPr>
            <w:hyperlink w:anchor="page36">
              <w:r>
                <w:rPr>
                  <w:rFonts w:ascii="Arial" w:cs="Arial" w:eastAsia="Arial" w:hAnsi="Arial"/>
                  <w:sz w:val="17"/>
                  <w:szCs w:val="17"/>
                  <w:color w:val="0000EE"/>
                  <w:w w:val="92"/>
                </w:rPr>
                <w:t>Item 6. Exhibits</w:t>
              </w:r>
            </w:hyperlink>
          </w:p>
        </w:tc>
        <w:tc>
          <w:tcPr>
            <w:tcW w:w="9920" w:type="dxa"/>
            <w:vAlign w:val="bottom"/>
            <w:gridSpan w:val="15"/>
          </w:tcPr>
          <w:p>
            <w:pPr>
              <w:spacing w:after="0"/>
              <w:rPr>
                <w:sz w:val="16"/>
                <w:szCs w:val="16"/>
                <w:color w:val="auto"/>
              </w:rPr>
            </w:pPr>
          </w:p>
        </w:tc>
        <w:tc>
          <w:tcPr>
            <w:tcW w:w="400" w:type="dxa"/>
            <w:vAlign w:val="bottom"/>
          </w:tcPr>
          <w:p>
            <w:pPr>
              <w:jc w:val="right"/>
              <w:spacing w:after="0" w:line="185"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389"/>
        </w:trPr>
        <w:tc>
          <w:tcPr>
            <w:tcW w:w="66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37">
              <w:r>
                <w:rPr>
                  <w:rFonts w:ascii="Arial" w:cs="Arial" w:eastAsia="Arial" w:hAnsi="Arial"/>
                  <w:sz w:val="17"/>
                  <w:szCs w:val="17"/>
                  <w:color w:val="0000EE"/>
                  <w:w w:val="87"/>
                </w:rPr>
                <w:t>Signature</w:t>
              </w:r>
            </w:hyperlink>
          </w:p>
        </w:tc>
        <w:tc>
          <w:tcPr>
            <w:tcW w:w="1036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6"/>
        </w:trPr>
        <w:tc>
          <w:tcPr>
            <w:tcW w:w="544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0"/>
              <w:spacing w:after="0" w:line="147"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
              <w:spacing w:after="0" w:line="147"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6"/>
              <w:spacing w:after="0" w:line="147"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7"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360" w:type="dxa"/>
            <w:vAlign w:val="bottom"/>
            <w:gridSpan w:val="2"/>
            <w:shd w:val="clear" w:color="auto" w:fill="CFF0FC"/>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323</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247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604</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434"/>
        </w:trPr>
        <w:tc>
          <w:tcPr>
            <w:tcW w:w="5440" w:type="dxa"/>
            <w:vAlign w:val="bottom"/>
          </w:tcPr>
          <w:p>
            <w:pPr>
              <w:spacing w:after="0"/>
              <w:rPr>
                <w:sz w:val="20"/>
                <w:szCs w:val="20"/>
                <w:color w:val="auto"/>
              </w:rPr>
            </w:pPr>
            <w:r>
              <w:rPr>
                <w:rFonts w:ascii="Arial" w:cs="Arial" w:eastAsia="Arial" w:hAnsi="Arial"/>
                <w:sz w:val="17"/>
                <w:szCs w:val="17"/>
                <w:color w:val="auto"/>
              </w:rPr>
              <w:t>Costs and expenses: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 of revenue (1)</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w:t>
            </w:r>
          </w:p>
        </w:tc>
        <w:tc>
          <w:tcPr>
            <w:tcW w:w="8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Selling and marketing (2)</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127</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Technology and content (2)</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41</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General and administrative (2)</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32</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w:t>
            </w:r>
          </w:p>
        </w:tc>
        <w:tc>
          <w:tcPr>
            <w:tcW w:w="8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Amortization of intangible assets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costs and expenses:</w:t>
            </w:r>
          </w:p>
        </w:tc>
        <w:tc>
          <w:tcPr>
            <w:tcW w:w="5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223</w:t>
            </w:r>
          </w:p>
        </w:tc>
        <w:tc>
          <w:tcPr>
            <w:tcW w:w="8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153</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408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 and other, net</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Total other expense, net</w:t>
            </w: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Income before income taxes</w:t>
            </w:r>
          </w:p>
        </w:tc>
        <w:tc>
          <w:tcPr>
            <w:tcW w:w="5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98</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Provision for income taxes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8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5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68</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136</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Earnings per share attributable to common stockholders (Note 14):</w:t>
            </w:r>
          </w:p>
        </w:tc>
        <w:tc>
          <w:tcPr>
            <w:tcW w:w="5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1360" w:type="dxa"/>
            <w:vAlign w:val="bottom"/>
            <w:gridSpan w:val="2"/>
            <w:shd w:val="clear" w:color="auto" w:fill="CFF0FC"/>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0.48</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0.47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0.95</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Diluted</w:t>
            </w:r>
          </w:p>
        </w:tc>
        <w:tc>
          <w:tcPr>
            <w:tcW w:w="1360" w:type="dxa"/>
            <w:vAlign w:val="bottom"/>
            <w:gridSpan w:val="2"/>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0.47</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0.46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0.93</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common shares outstanding (Note 14):</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Basic</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143</w:t>
            </w:r>
          </w:p>
        </w:tc>
        <w:tc>
          <w:tcPr>
            <w:tcW w:w="8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144</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5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146</w:t>
            </w:r>
          </w:p>
        </w:tc>
        <w:tc>
          <w:tcPr>
            <w:tcW w:w="8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434"/>
        </w:trPr>
        <w:tc>
          <w:tcPr>
            <w:tcW w:w="5440" w:type="dxa"/>
            <w:vAlign w:val="bottom"/>
          </w:tcPr>
          <w:p>
            <w:pPr>
              <w:spacing w:after="0"/>
              <w:rPr>
                <w:sz w:val="20"/>
                <w:szCs w:val="20"/>
                <w:color w:val="auto"/>
              </w:rPr>
            </w:pPr>
            <w:r>
              <w:rPr>
                <w:rFonts w:ascii="Arial" w:cs="Arial" w:eastAsia="Arial" w:hAnsi="Arial"/>
                <w:sz w:val="17"/>
                <w:szCs w:val="17"/>
                <w:color w:val="auto"/>
              </w:rPr>
              <w:t>(1) Excludes amortization as follows: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website development costs included in depreciation</w:t>
            </w:r>
          </w:p>
        </w:tc>
        <w:tc>
          <w:tcPr>
            <w:tcW w:w="1360" w:type="dxa"/>
            <w:vAlign w:val="bottom"/>
            <w:gridSpan w:val="2"/>
            <w:shd w:val="clear" w:color="auto" w:fill="CFF0FC"/>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447"/>
        </w:trPr>
        <w:tc>
          <w:tcPr>
            <w:tcW w:w="5440" w:type="dxa"/>
            <w:vAlign w:val="bottom"/>
          </w:tcPr>
          <w:p>
            <w:pPr>
              <w:spacing w:after="0"/>
              <w:rPr>
                <w:sz w:val="20"/>
                <w:szCs w:val="20"/>
                <w:color w:val="auto"/>
              </w:rPr>
            </w:pPr>
            <w:r>
              <w:rPr>
                <w:rFonts w:ascii="Arial" w:cs="Arial" w:eastAsia="Arial" w:hAnsi="Arial"/>
                <w:sz w:val="17"/>
                <w:szCs w:val="17"/>
                <w:color w:val="auto"/>
              </w:rPr>
              <w:t>(2) Includes stock-based compensation as follows: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Selling and marketing</w:t>
            </w:r>
          </w:p>
        </w:tc>
        <w:tc>
          <w:tcPr>
            <w:tcW w:w="1360" w:type="dxa"/>
            <w:vAlign w:val="bottom"/>
            <w:gridSpan w:val="2"/>
            <w:shd w:val="clear" w:color="auto" w:fill="CFF0FC"/>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Arial" w:cs="Arial" w:eastAsia="Arial" w:hAnsi="Arial"/>
                <w:sz w:val="17"/>
                <w:szCs w:val="17"/>
                <w:color w:val="auto"/>
              </w:rPr>
              <w:t>Technology and content</w:t>
            </w:r>
          </w:p>
        </w:tc>
        <w:tc>
          <w:tcPr>
            <w:tcW w:w="1360" w:type="dxa"/>
            <w:vAlign w:val="bottom"/>
            <w:gridSpan w:val="2"/>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1360" w:type="dxa"/>
            <w:vAlign w:val="bottom"/>
            <w:gridSpan w:val="2"/>
            <w:shd w:val="clear" w:color="auto" w:fill="CFF0FC"/>
          </w:tcPr>
          <w:p>
            <w:pPr>
              <w:jc w:val="right"/>
              <w:ind w:right="65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11</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4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20"/>
              <w:spacing w:after="0" w:line="147"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1"/>
              <w:spacing w:after="0" w:line="147"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8"/>
              <w:spacing w:after="0" w:line="147"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760" w:type="dxa"/>
            <w:vAlign w:val="bottom"/>
            <w:shd w:val="clear" w:color="auto" w:fill="CFF0FC"/>
          </w:tcPr>
          <w:p>
            <w:pPr>
              <w:jc w:val="right"/>
              <w:ind w:right="583"/>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8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7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6480" w:type="dxa"/>
            <w:vAlign w:val="bottom"/>
          </w:tcPr>
          <w:p>
            <w:pPr>
              <w:ind w:left="240"/>
              <w:spacing w:after="0"/>
              <w:rPr>
                <w:sz w:val="20"/>
                <w:szCs w:val="20"/>
                <w:color w:val="auto"/>
              </w:rPr>
            </w:pPr>
            <w:r>
              <w:rPr>
                <w:rFonts w:ascii="Arial" w:cs="Arial" w:eastAsia="Arial" w:hAnsi="Arial"/>
                <w:sz w:val="17"/>
                <w:szCs w:val="17"/>
                <w:color w:val="auto"/>
              </w:rPr>
              <w:t>Available-for-sale investments: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FF0FC"/>
          </w:tcPr>
          <w:p>
            <w:pPr>
              <w:ind w:left="400"/>
              <w:spacing w:after="0"/>
              <w:rPr>
                <w:sz w:val="20"/>
                <w:szCs w:val="20"/>
                <w:color w:val="auto"/>
              </w:rPr>
            </w:pPr>
            <w:r>
              <w:rPr>
                <w:rFonts w:ascii="Arial" w:cs="Arial" w:eastAsia="Arial" w:hAnsi="Arial"/>
                <w:sz w:val="17"/>
                <w:szCs w:val="17"/>
                <w:color w:val="auto"/>
              </w:rPr>
              <w:t>Change in net unrealized loss</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color w:val="auto"/>
              </w:rPr>
              <w:t>Total other comprehensive loss, net of tax</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Comprehensive income</w:t>
            </w:r>
          </w:p>
        </w:tc>
        <w:tc>
          <w:tcPr>
            <w:tcW w:w="760" w:type="dxa"/>
            <w:vAlign w:val="bottom"/>
            <w:tcBorders>
              <w:top w:val="single" w:sz="8" w:color="auto"/>
              <w:bottom w:val="single" w:sz="8" w:color="auto"/>
            </w:tcBorders>
            <w:shd w:val="clear" w:color="auto" w:fill="CFF0FC"/>
          </w:tcPr>
          <w:p>
            <w:pPr>
              <w:jc w:val="right"/>
              <w:ind w:right="583"/>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80"/>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5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number of shares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2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1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rPr>
                <w:sz w:val="20"/>
                <w:szCs w:val="20"/>
                <w:color w:val="auto"/>
              </w:rPr>
            </w:pPr>
            <w:r>
              <w:rPr>
                <w:rFonts w:ascii="Arial" w:cs="Arial" w:eastAsia="Arial" w:hAnsi="Arial"/>
                <w:sz w:val="15"/>
                <w:szCs w:val="15"/>
                <w:color w:val="auto"/>
              </w:rPr>
              <w:t>Current assets: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Cash and cash equivalents</w:t>
            </w:r>
          </w:p>
        </w:tc>
        <w:tc>
          <w:tcPr>
            <w:tcW w:w="2120" w:type="dxa"/>
            <w:vAlign w:val="bottom"/>
            <w:gridSpan w:val="2"/>
            <w:shd w:val="clear" w:color="auto" w:fill="CFF0FC"/>
          </w:tcPr>
          <w:p>
            <w:pPr>
              <w:jc w:val="right"/>
              <w:ind w:right="852"/>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587</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Short-term marketable securities (Note 5)</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99"/>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Accounts receivable, net of allowance for doubtful accounts of $4 and $3 at June 30, 2014 and</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December 31, 2013, respectively</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185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 current assets</w:t>
            </w:r>
          </w:p>
        </w:tc>
        <w:tc>
          <w:tcPr>
            <w:tcW w:w="1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160" w:type="dxa"/>
            <w:vAlign w:val="bottom"/>
            <w:vMerge w:val="continue"/>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855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202"/>
        </w:trPr>
        <w:tc>
          <w:tcPr>
            <w:tcW w:w="7160" w:type="dxa"/>
            <w:vAlign w:val="bottom"/>
          </w:tcPr>
          <w:p>
            <w:pPr>
              <w:spacing w:after="0"/>
              <w:rPr>
                <w:sz w:val="20"/>
                <w:szCs w:val="20"/>
                <w:color w:val="auto"/>
              </w:rPr>
            </w:pPr>
            <w:r>
              <w:rPr>
                <w:rFonts w:ascii="Arial" w:cs="Arial" w:eastAsia="Arial" w:hAnsi="Arial"/>
                <w:sz w:val="15"/>
                <w:szCs w:val="15"/>
                <w:color w:val="auto"/>
              </w:rPr>
              <w:t>Long-term assets: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Long-term marketable securities (Note 5)</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Property and equipment, net (Note 6)</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 long-term assets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Intangible assets, net (Note 7)</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Goodwill (Note 7)</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5"/>
                <w:szCs w:val="15"/>
                <w:b w:val="1"/>
                <w:bCs w:val="1"/>
                <w:color w:val="auto"/>
              </w:rPr>
              <w:t>TOTAL ASSETS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60" w:type="dxa"/>
            <w:vAlign w:val="bottom"/>
            <w:vMerge w:val="continue"/>
          </w:tcPr>
          <w:p>
            <w:pPr>
              <w:spacing w:after="0"/>
              <w:rPr>
                <w:sz w:val="16"/>
                <w:szCs w:val="16"/>
                <w:color w:val="auto"/>
              </w:rPr>
            </w:pPr>
          </w:p>
        </w:tc>
        <w:tc>
          <w:tcPr>
            <w:tcW w:w="2120" w:type="dxa"/>
            <w:vAlign w:val="bottom"/>
            <w:gridSpan w:val="2"/>
          </w:tcPr>
          <w:p>
            <w:pPr>
              <w:jc w:val="right"/>
              <w:ind w:right="852"/>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1,831</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rPr>
                <w:sz w:val="20"/>
                <w:szCs w:val="20"/>
                <w:color w:val="auto"/>
              </w:rPr>
            </w:pPr>
            <w:r>
              <w:rPr>
                <w:rFonts w:ascii="Arial" w:cs="Arial" w:eastAsia="Arial" w:hAnsi="Arial"/>
                <w:sz w:val="15"/>
                <w:szCs w:val="15"/>
                <w:color w:val="auto"/>
              </w:rPr>
              <w:t>Current liabilities: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Accounts payable</w:t>
            </w:r>
          </w:p>
        </w:tc>
        <w:tc>
          <w:tcPr>
            <w:tcW w:w="2120" w:type="dxa"/>
            <w:vAlign w:val="bottom"/>
            <w:gridSpan w:val="2"/>
            <w:shd w:val="clear" w:color="auto" w:fill="CFF0FC"/>
          </w:tcPr>
          <w:p>
            <w:pPr>
              <w:jc w:val="right"/>
              <w:ind w:right="852"/>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27</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Deferred merchant payables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revenue</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Credit facility borrowings (Note 8)</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Borrowings, current (Note 8)</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Taxes payable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Accrued expenses and other current liabilities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5"/>
                <w:szCs w:val="15"/>
                <w:color w:val="auto"/>
              </w:rPr>
              <w:t>Total current liabilities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386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income taxes, net</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Other long-term liabilities (Note 10)</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Borrowings, net of current portion (Note 8)</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280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5"/>
                <w:szCs w:val="15"/>
                <w:color w:val="auto"/>
              </w:rPr>
              <w:t>Total Liabilities</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200"/>
        </w:trPr>
        <w:tc>
          <w:tcPr>
            <w:tcW w:w="7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 (Note 11)</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rPr>
                <w:sz w:val="20"/>
                <w:szCs w:val="20"/>
                <w:color w:val="auto"/>
              </w:rPr>
            </w:pPr>
            <w:r>
              <w:rPr>
                <w:rFonts w:ascii="Arial" w:cs="Arial" w:eastAsia="Arial" w:hAnsi="Arial"/>
                <w:sz w:val="15"/>
                <w:szCs w:val="15"/>
                <w:color w:val="auto"/>
              </w:rPr>
              <w:t>Stockholders’ equity: (Note 12)</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Preferred stock, $0.001 par value</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460"/>
              <w:spacing w:after="0"/>
              <w:rPr>
                <w:sz w:val="20"/>
                <w:szCs w:val="20"/>
                <w:color w:val="auto"/>
              </w:rPr>
            </w:pPr>
            <w:r>
              <w:rPr>
                <w:rFonts w:ascii="Arial" w:cs="Arial" w:eastAsia="Arial" w:hAnsi="Arial"/>
                <w:sz w:val="15"/>
                <w:szCs w:val="15"/>
                <w:color w:val="auto"/>
              </w:rPr>
              <w:t>Authorized shares: 100,000,000</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Shares issued and outstanding: 0 and 0</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Common stock, $0.001 par value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460"/>
              <w:spacing w:after="0"/>
              <w:rPr>
                <w:sz w:val="20"/>
                <w:szCs w:val="20"/>
                <w:color w:val="auto"/>
              </w:rPr>
            </w:pPr>
            <w:r>
              <w:rPr>
                <w:rFonts w:ascii="Arial" w:cs="Arial" w:eastAsia="Arial" w:hAnsi="Arial"/>
                <w:sz w:val="15"/>
                <w:szCs w:val="15"/>
                <w:color w:val="auto"/>
              </w:rPr>
              <w:t>Authorized shares: 1,600,000,000</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460"/>
              <w:spacing w:after="0"/>
              <w:rPr>
                <w:sz w:val="20"/>
                <w:szCs w:val="20"/>
                <w:color w:val="auto"/>
              </w:rPr>
            </w:pPr>
            <w:r>
              <w:rPr>
                <w:rFonts w:ascii="Arial" w:cs="Arial" w:eastAsia="Arial" w:hAnsi="Arial"/>
                <w:sz w:val="15"/>
                <w:szCs w:val="15"/>
                <w:color w:val="auto"/>
              </w:rPr>
              <w:t>Shares issued: 132,091,353 and 131,537,798</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Shares outstanding: 129,970,644 and 129,417,089</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Class B common stock, $0.001 par value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460"/>
              <w:spacing w:after="0"/>
              <w:rPr>
                <w:sz w:val="20"/>
                <w:szCs w:val="20"/>
                <w:color w:val="auto"/>
              </w:rPr>
            </w:pPr>
            <w:r>
              <w:rPr>
                <w:rFonts w:ascii="Arial" w:cs="Arial" w:eastAsia="Arial" w:hAnsi="Arial"/>
                <w:sz w:val="15"/>
                <w:szCs w:val="15"/>
                <w:color w:val="auto"/>
              </w:rPr>
              <w:t>Authorized shares: 400,000,000</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460"/>
              <w:spacing w:after="0"/>
              <w:rPr>
                <w:sz w:val="20"/>
                <w:szCs w:val="20"/>
                <w:color w:val="auto"/>
              </w:rPr>
            </w:pPr>
            <w:r>
              <w:rPr>
                <w:rFonts w:ascii="Arial" w:cs="Arial" w:eastAsia="Arial" w:hAnsi="Arial"/>
                <w:sz w:val="15"/>
                <w:szCs w:val="15"/>
                <w:color w:val="auto"/>
              </w:rPr>
              <w:t>Shares issued and outstanding: 12,799,999 and 12,799,999</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Additional paid-in capital</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633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202"/>
        </w:trPr>
        <w:tc>
          <w:tcPr>
            <w:tcW w:w="7160" w:type="dxa"/>
            <w:vAlign w:val="bottom"/>
          </w:tcPr>
          <w:p>
            <w:pPr>
              <w:ind w:left="240"/>
              <w:spacing w:after="0"/>
              <w:rPr>
                <w:sz w:val="20"/>
                <w:szCs w:val="20"/>
                <w:color w:val="auto"/>
              </w:rPr>
            </w:pPr>
            <w:r>
              <w:rPr>
                <w:rFonts w:ascii="Arial" w:cs="Arial" w:eastAsia="Arial" w:hAnsi="Arial"/>
                <w:sz w:val="15"/>
                <w:szCs w:val="15"/>
                <w:color w:val="auto"/>
              </w:rPr>
              <w:t>Retained earnings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Treasury stock-common stock, at cost, 2,120,709 and 2,120,709 shares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5"/>
                <w:szCs w:val="15"/>
                <w:color w:val="auto"/>
              </w:rPr>
              <w:t>Total Stockholders’ Equity</w:t>
            </w: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865</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1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shd w:val="clear" w:color="auto" w:fill="CFF0FC"/>
          </w:tcPr>
          <w:p>
            <w:pPr>
              <w:spacing w:after="0"/>
              <w:rPr>
                <w:sz w:val="17"/>
                <w:szCs w:val="17"/>
                <w:color w:val="auto"/>
              </w:rPr>
            </w:pPr>
          </w:p>
        </w:tc>
        <w:tc>
          <w:tcPr>
            <w:tcW w:w="2120" w:type="dxa"/>
            <w:vAlign w:val="bottom"/>
            <w:gridSpan w:val="2"/>
            <w:shd w:val="clear" w:color="auto" w:fill="CFF0FC"/>
          </w:tcPr>
          <w:p>
            <w:pPr>
              <w:jc w:val="right"/>
              <w:ind w:right="852"/>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1,831</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number of shares)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2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3"/>
          </w:tcPr>
          <w:p>
            <w:pPr>
              <w:jc w:val="right"/>
              <w:ind w:right="528"/>
              <w:spacing w:after="0" w:line="153"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paid-in</w:t>
            </w:r>
          </w:p>
        </w:tc>
        <w:tc>
          <w:tcPr>
            <w:tcW w:w="8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Retained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268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2"/>
              </w:rPr>
              <w:t>earnings</w:t>
            </w:r>
          </w:p>
        </w:tc>
        <w:tc>
          <w:tcPr>
            <w:tcW w:w="200" w:type="dxa"/>
            <w:vAlign w:val="bottom"/>
          </w:tcPr>
          <w:p>
            <w:pPr>
              <w:spacing w:after="0"/>
              <w:rPr>
                <w:sz w:val="14"/>
                <w:szCs w:val="14"/>
                <w:color w:val="auto"/>
              </w:rPr>
            </w:pPr>
          </w:p>
        </w:tc>
        <w:tc>
          <w:tcPr>
            <w:tcW w:w="18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68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9"/>
              </w:rPr>
              <w:t>Balance as of December 31, 2013</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131,537,798</w:t>
            </w:r>
          </w:p>
        </w:tc>
        <w:tc>
          <w:tcPr>
            <w:tcW w:w="2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428"/>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12,799,999</w:t>
            </w: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608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402</w:t>
            </w: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7"/>
                <w:szCs w:val="17"/>
                <w:b w:val="1"/>
                <w:bCs w:val="1"/>
                <w:color w:val="auto"/>
                <w:w w:val="82"/>
              </w:rPr>
              <w:t>(2,120,709)</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7"/>
                <w:szCs w:val="17"/>
                <w:b w:val="1"/>
                <w:bCs w:val="1"/>
                <w:color w:val="auto"/>
                <w:w w:val="80"/>
              </w:rPr>
              <w:t>(145)</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865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2680" w:type="dxa"/>
            <w:vAlign w:val="bottom"/>
          </w:tcPr>
          <w:p>
            <w:pPr>
              <w:spacing w:after="0"/>
              <w:rPr>
                <w:sz w:val="20"/>
                <w:szCs w:val="20"/>
                <w:color w:val="auto"/>
              </w:rPr>
            </w:pPr>
            <w:r>
              <w:rPr>
                <w:rFonts w:ascii="Arial" w:cs="Arial" w:eastAsia="Arial" w:hAnsi="Arial"/>
                <w:sz w:val="17"/>
                <w:szCs w:val="17"/>
                <w:color w:val="auto"/>
              </w:rPr>
              <w:t>Net income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r>
      <w:tr>
        <w:trPr>
          <w:trHeight w:val="206"/>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w w:val="96"/>
              </w:rPr>
              <w:t>Issuance of common stock related to</w:t>
            </w: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5"/>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exercises of options and vesting of</w:t>
            </w: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7"/>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RSUs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553,555</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r>
      <w:tr>
        <w:trPr>
          <w:trHeight w:val="217"/>
        </w:trPr>
        <w:tc>
          <w:tcPr>
            <w:tcW w:w="2680" w:type="dxa"/>
            <w:vAlign w:val="bottom"/>
          </w:tcPr>
          <w:p>
            <w:pPr>
              <w:spacing w:after="0"/>
              <w:rPr>
                <w:sz w:val="20"/>
                <w:szCs w:val="20"/>
                <w:color w:val="auto"/>
              </w:rPr>
            </w:pPr>
            <w:r>
              <w:rPr>
                <w:rFonts w:ascii="Arial" w:cs="Arial" w:eastAsia="Arial" w:hAnsi="Arial"/>
                <w:sz w:val="17"/>
                <w:szCs w:val="17"/>
                <w:color w:val="auto"/>
              </w:rPr>
              <w:t>Tax benefits on equity awards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r>
      <w:tr>
        <w:trPr>
          <w:trHeight w:val="206"/>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Minimum withholding taxes on net</w:t>
            </w: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7"/>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share settlements of equity awards</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w:t>
            </w:r>
          </w:p>
        </w:tc>
      </w:tr>
      <w:tr>
        <w:trPr>
          <w:trHeight w:val="217"/>
        </w:trPr>
        <w:tc>
          <w:tcPr>
            <w:tcW w:w="268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r>
      <w:tr>
        <w:trPr>
          <w:trHeight w:val="211"/>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June 30, 2014</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132,091,353</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12,799,999</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538</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160"/>
              <w:spacing w:after="0"/>
              <w:rPr>
                <w:sz w:val="20"/>
                <w:szCs w:val="20"/>
                <w:color w:val="auto"/>
              </w:rPr>
            </w:pPr>
            <w:r>
              <w:rPr>
                <w:rFonts w:ascii="Arial" w:cs="Arial" w:eastAsia="Arial" w:hAnsi="Arial"/>
                <w:sz w:val="17"/>
                <w:szCs w:val="17"/>
                <w:b w:val="1"/>
                <w:bCs w:val="1"/>
                <w:color w:val="auto"/>
              </w:rPr>
              <w:t>(2,120,709)</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gridSpan w:val="2"/>
            <w:shd w:val="clear" w:color="auto" w:fill="CFF0FC"/>
          </w:tcPr>
          <w:p>
            <w:pPr>
              <w:ind w:left="280"/>
              <w:spacing w:after="0"/>
              <w:rPr>
                <w:sz w:val="20"/>
                <w:szCs w:val="20"/>
                <w:color w:val="auto"/>
              </w:rPr>
            </w:pPr>
            <w:r>
              <w:rPr>
                <w:rFonts w:ascii="Arial" w:cs="Arial" w:eastAsia="Arial" w:hAnsi="Arial"/>
                <w:sz w:val="17"/>
                <w:szCs w:val="17"/>
                <w:b w:val="1"/>
                <w:bCs w:val="1"/>
                <w:color w:val="auto"/>
              </w:rPr>
              <w:t>(145)</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1,026</w:t>
            </w:r>
          </w:p>
        </w:tc>
        <w:tc>
          <w:tcPr>
            <w:tcW w:w="100" w:type="dxa"/>
            <w:vAlign w:val="bottom"/>
            <w:shd w:val="clear" w:color="auto" w:fill="CFF0FC"/>
          </w:tcPr>
          <w:p>
            <w:pPr>
              <w:spacing w:after="0"/>
              <w:rPr>
                <w:sz w:val="18"/>
                <w:szCs w:val="18"/>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5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320" w:type="dxa"/>
            <w:vAlign w:val="bottom"/>
          </w:tcPr>
          <w:p>
            <w:pPr>
              <w:spacing w:after="0"/>
              <w:rPr>
                <w:sz w:val="12"/>
                <w:szCs w:val="12"/>
                <w:color w:val="auto"/>
              </w:rPr>
            </w:pPr>
          </w:p>
        </w:tc>
        <w:tc>
          <w:tcPr>
            <w:tcW w:w="94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tcPr>
          <w:p>
            <w:pPr>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136</w:t>
            </w:r>
          </w:p>
        </w:tc>
        <w:tc>
          <w:tcPr>
            <w:tcW w:w="1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20" w:type="dxa"/>
            <w:vAlign w:val="bottom"/>
          </w:tcPr>
          <w:p>
            <w:pPr>
              <w:ind w:left="240"/>
              <w:spacing w:after="0"/>
              <w:rPr>
                <w:sz w:val="20"/>
                <w:szCs w:val="20"/>
                <w:color w:val="auto"/>
              </w:rPr>
            </w:pPr>
            <w:r>
              <w:rPr>
                <w:rFonts w:ascii="Arial" w:cs="Arial" w:eastAsia="Arial" w:hAnsi="Arial"/>
                <w:sz w:val="17"/>
                <w:szCs w:val="17"/>
                <w:color w:val="auto"/>
              </w:rPr>
              <w:t>Depreciation of property and equipment, including amortization of internal-use software</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360"/>
              <w:spacing w:after="0"/>
              <w:rPr>
                <w:sz w:val="20"/>
                <w:szCs w:val="20"/>
                <w:color w:val="auto"/>
              </w:rPr>
            </w:pPr>
            <w:r>
              <w:rPr>
                <w:rFonts w:ascii="Arial" w:cs="Arial" w:eastAsia="Arial" w:hAnsi="Arial"/>
                <w:sz w:val="17"/>
                <w:szCs w:val="17"/>
                <w:color w:val="auto"/>
              </w:rPr>
              <w:t>and website development</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Stock-based compensation</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29</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Amortization of intangible assets</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discounts and premiums on marketable securities, net</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Deferred tax benefit</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Excess tax benefits from stock-based compensation</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Other, net</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Changes in operating assets and liabilities, net of effects from acquisitions: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460"/>
              <w:spacing w:after="0"/>
              <w:rPr>
                <w:sz w:val="20"/>
                <w:szCs w:val="20"/>
                <w:color w:val="auto"/>
              </w:rPr>
            </w:pPr>
            <w:r>
              <w:rPr>
                <w:rFonts w:ascii="Arial" w:cs="Arial" w:eastAsia="Arial" w:hAnsi="Arial"/>
                <w:sz w:val="17"/>
                <w:szCs w:val="17"/>
                <w:color w:val="auto"/>
              </w:rPr>
              <w:t>Accounts receivable, prepaid expenses and other assets</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Accounts payable, accrued expenses and other liabilities</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8320" w:type="dxa"/>
            <w:vAlign w:val="bottom"/>
          </w:tcPr>
          <w:p>
            <w:pPr>
              <w:ind w:left="460"/>
              <w:spacing w:after="0"/>
              <w:rPr>
                <w:sz w:val="20"/>
                <w:szCs w:val="20"/>
                <w:color w:val="auto"/>
              </w:rPr>
            </w:pPr>
            <w:r>
              <w:rPr>
                <w:rFonts w:ascii="Arial" w:cs="Arial" w:eastAsia="Arial" w:hAnsi="Arial"/>
                <w:sz w:val="17"/>
                <w:szCs w:val="17"/>
                <w:color w:val="auto"/>
              </w:rPr>
              <w:t>Deferred merchant payables</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Income taxes, net</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Deferred revenue</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434"/>
        </w:trPr>
        <w:tc>
          <w:tcPr>
            <w:tcW w:w="83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Acquisitions, net of cash acquired</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Capital expenditures, including internal-use software and website development</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Purchases of marketable securities</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(219)</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Sales of marketable securities</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Maturities of marketable securities</w:t>
            </w:r>
          </w:p>
        </w:tc>
        <w:tc>
          <w:tcPr>
            <w:tcW w:w="9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19"/>
        </w:trPr>
        <w:tc>
          <w:tcPr>
            <w:tcW w:w="8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Repurchase of common stock</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credit facilities</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Payments to credit facilities</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Principal payments on long-term debt</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 of minimum withholding taxes on net share settlements of equity awards</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7"/>
        </w:trPr>
        <w:tc>
          <w:tcPr>
            <w:tcW w:w="8320" w:type="dxa"/>
            <w:vAlign w:val="bottom"/>
          </w:tcPr>
          <w:p>
            <w:pPr>
              <w:ind w:left="240"/>
              <w:spacing w:after="0"/>
              <w:rPr>
                <w:sz w:val="20"/>
                <w:szCs w:val="20"/>
                <w:color w:val="auto"/>
              </w:rPr>
            </w:pPr>
            <w:r>
              <w:rPr>
                <w:rFonts w:ascii="Arial" w:cs="Arial" w:eastAsia="Arial" w:hAnsi="Arial"/>
                <w:sz w:val="17"/>
                <w:szCs w:val="17"/>
                <w:color w:val="auto"/>
              </w:rPr>
              <w:t>Excess tax benefits from stock-based compensation</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Payments on construction in-process related to build to suit lease obligation</w:t>
            </w: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Effect of exchange rate changes on cash and cash equivalents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8"/>
        </w:trPr>
        <w:tc>
          <w:tcPr>
            <w:tcW w:w="8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587</w:t>
            </w:r>
          </w:p>
        </w:tc>
        <w:tc>
          <w:tcPr>
            <w:tcW w:w="1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7"/>
                <w:szCs w:val="17"/>
                <w:color w:val="auto"/>
              </w:rPr>
              <w:t>Capitalization of construction in-process related to build to suit lease obligation</w:t>
            </w: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5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TRIPADVISOR,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BUSINESS DESCRIPTION AND BASIS OF PRESENTATION</w:t>
      </w:r>
    </w:p>
    <w:p>
      <w:pPr>
        <w:spacing w:after="0" w:line="116" w:lineRule="exact"/>
        <w:rPr>
          <w:sz w:val="20"/>
          <w:szCs w:val="20"/>
          <w:color w:val="auto"/>
        </w:rPr>
      </w:pPr>
    </w:p>
    <w:p>
      <w:pPr>
        <w:ind w:right="460" w:firstLine="518"/>
        <w:spacing w:after="0" w:line="276" w:lineRule="auto"/>
        <w:rPr>
          <w:sz w:val="20"/>
          <w:szCs w:val="20"/>
          <w:color w:val="auto"/>
        </w:rPr>
      </w:pPr>
      <w:r>
        <w:rPr>
          <w:rFonts w:ascii="Arial" w:cs="Arial" w:eastAsia="Arial" w:hAnsi="Arial"/>
          <w:sz w:val="17"/>
          <w:szCs w:val="17"/>
          <w:color w:val="auto"/>
        </w:rPr>
        <w:t>We refer to TripAdvisor, Inc. and our wholly-owned subsidiaries as “TripAdvisor,” “the Company,” “us,” “we” and “our” in these notes to the Unaudited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12" w:lineRule="exact"/>
        <w:rPr>
          <w:sz w:val="20"/>
          <w:szCs w:val="20"/>
          <w:color w:val="auto"/>
        </w:rPr>
      </w:pPr>
    </w:p>
    <w:p>
      <w:pPr>
        <w:ind w:firstLine="518"/>
        <w:spacing w:after="0" w:line="271"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restaurants and activities throughout the world through our flagship TripAdvisor brand. TripAdvisor-branded websites include tripadvisor.com in the United States and localized versions of the website in 41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23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subscription and free-to-list commission-based offerings from our Vacation Rental products, transaction revenue from making hotel room nights available for booking and online reservations made from restaurant customers on our transactional sites, and other revenue from, among other things, licensing our content to third-parties. We have one operating and reportable segment: TripAdvisor. The segment is determined based on how our chief operating decision maker manages our business, makes operating decisions and evaluates operating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2" w:lineRule="exact"/>
        <w:rPr>
          <w:sz w:val="20"/>
          <w:szCs w:val="20"/>
          <w:color w:val="auto"/>
        </w:rPr>
      </w:pPr>
    </w:p>
    <w:p>
      <w:pPr>
        <w:ind w:right="20" w:firstLine="518"/>
        <w:spacing w:after="0" w:line="294" w:lineRule="auto"/>
        <w:rPr>
          <w:sz w:val="20"/>
          <w:szCs w:val="20"/>
          <w:color w:val="auto"/>
        </w:rPr>
      </w:pPr>
      <w:r>
        <w:rPr>
          <w:rFonts w:ascii="Arial" w:cs="Arial" w:eastAsia="Arial" w:hAnsi="Arial"/>
          <w:sz w:val="15"/>
          <w:szCs w:val="15"/>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 conjunction with the audited consolidated financial statements and related notes included in our Annual Report on Form 10-K for the year ended December 31, 2013, previously filed with the SEC.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2" w:lineRule="exact"/>
        <w:rPr>
          <w:sz w:val="20"/>
          <w:szCs w:val="20"/>
          <w:color w:val="auto"/>
        </w:rPr>
      </w:pPr>
    </w:p>
    <w:p>
      <w:pPr>
        <w:ind w:right="580" w:firstLine="518"/>
        <w:spacing w:after="0" w:line="315" w:lineRule="auto"/>
        <w:rPr>
          <w:sz w:val="20"/>
          <w:szCs w:val="20"/>
          <w:color w:val="auto"/>
        </w:rPr>
      </w:pPr>
      <w:r>
        <w:rPr>
          <w:rFonts w:ascii="Arial" w:cs="Arial" w:eastAsia="Arial" w:hAnsi="Arial"/>
          <w:sz w:val="15"/>
          <w:szCs w:val="15"/>
          <w:color w:val="auto"/>
        </w:rPr>
        <w:t>These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4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7"/>
          <w:szCs w:val="17"/>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14" w:lineRule="exact"/>
        <w:rPr>
          <w:sz w:val="20"/>
          <w:szCs w:val="20"/>
          <w:color w:val="auto"/>
        </w:rPr>
      </w:pPr>
    </w:p>
    <w:p>
      <w:pPr>
        <w:ind w:right="40" w:firstLine="518"/>
        <w:spacing w:after="0" w:line="277" w:lineRule="auto"/>
        <w:rPr>
          <w:sz w:val="20"/>
          <w:szCs w:val="20"/>
          <w:color w:val="auto"/>
        </w:rPr>
      </w:pPr>
      <w:r>
        <w:rPr>
          <w:rFonts w:ascii="Arial" w:cs="Arial" w:eastAsia="Arial" w:hAnsi="Arial"/>
          <w:sz w:val="16"/>
          <w:szCs w:val="16"/>
          <w:color w:val="auto"/>
        </w:rPr>
        <w:t xml:space="preserve">Pursuant to our disclosure in “Note 15—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Financial Statements in Item 8 of our Annual Report on Form 10-K for the year ended December 31, 2013, we no longer consider Expedia, Inc. ("Expedia”) a related party. Certain reclassifications have been made to conform the prior period to the current presentation relating to Expedia transactions, which includes the reclassification of revenue from Expedia on our unaudited statements of operations to revenue and the reclassification of receivables from Expedia, net on our unaudited consolidated balance sheets to accounts receivable. These reclassifications had no net effect on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53" w:right="239" w:bottom="1440" w:gutter="0" w:footer="0" w:header="0"/>
        </w:sectPr>
      </w:pPr>
    </w:p>
    <w:bookmarkStart w:id="8" w:name="page9"/>
    <w:bookmarkEnd w:id="8"/>
    <w:p>
      <w:pPr>
        <w:ind w:right="120" w:firstLine="518"/>
        <w:spacing w:after="0" w:line="276" w:lineRule="auto"/>
        <w:rPr>
          <w:sz w:val="20"/>
          <w:szCs w:val="20"/>
          <w:color w:val="auto"/>
        </w:rPr>
      </w:pPr>
      <w:r>
        <w:rPr>
          <w:rFonts w:ascii="Arial" w:cs="Arial" w:eastAsia="Arial" w:hAnsi="Arial"/>
          <w:sz w:val="17"/>
          <w:szCs w:val="17"/>
          <w:color w:val="auto"/>
        </w:rPr>
        <w:t>All other reclassifications, made to conform the prior period to the current presentation, were not material and had no net effect on our unaudited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Estimates</w:t>
      </w:r>
    </w:p>
    <w:p>
      <w:pPr>
        <w:spacing w:after="0" w:line="112" w:lineRule="exact"/>
        <w:rPr>
          <w:sz w:val="20"/>
          <w:szCs w:val="20"/>
          <w:color w:val="auto"/>
        </w:rPr>
      </w:pPr>
    </w:p>
    <w:p>
      <w:pPr>
        <w:ind w:right="40" w:firstLine="518"/>
        <w:spacing w:after="0" w:line="299" w:lineRule="auto"/>
        <w:rPr>
          <w:sz w:val="20"/>
          <w:szCs w:val="20"/>
          <w:color w:val="auto"/>
        </w:rPr>
      </w:pPr>
      <w:r>
        <w:rPr>
          <w:rFonts w:ascii="Arial" w:cs="Arial" w:eastAsia="Arial" w:hAnsi="Arial"/>
          <w:sz w:val="15"/>
          <w:szCs w:val="15"/>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recoverability of long-lived assets and investments, including intangible assets and goodwill; income taxes; purchase accounting for business combinations and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2" w:lineRule="exact"/>
        <w:rPr>
          <w:sz w:val="20"/>
          <w:szCs w:val="20"/>
          <w:color w:val="auto"/>
        </w:rPr>
      </w:pPr>
    </w:p>
    <w:p>
      <w:pPr>
        <w:ind w:right="40" w:firstLine="518"/>
        <w:spacing w:after="0" w:line="263" w:lineRule="auto"/>
        <w:rPr>
          <w:sz w:val="20"/>
          <w:szCs w:val="20"/>
          <w:color w:val="auto"/>
        </w:rPr>
      </w:pPr>
      <w:r>
        <w:rPr>
          <w:rFonts w:ascii="Arial" w:cs="Arial" w:eastAsia="Arial" w:hAnsi="Arial"/>
          <w:sz w:val="17"/>
          <w:szCs w:val="17"/>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Not Yet Adopted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252525"/>
        </w:rPr>
        <w:t>Revenue From Contracts With Customers</w:t>
      </w:r>
    </w:p>
    <w:p>
      <w:pPr>
        <w:spacing w:after="0" w:line="239"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6"/>
          <w:szCs w:val="16"/>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retrospective or cumulative effect transition method. This guidance is effective for fiscal years, and interim periods within those fiscal years, beginning after December 15, 2016. We have not yet selected a transition method and we are currently evaluating the effect that the updated standard will have on our unaudited consolidated financial statements and related disclosures.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Presentation of an Unrecognized Tax Benefit When a Net Operating Loss Carryforward, a Similar Tax Loss, or a Tax Credit Carryforward Exists</w:t>
      </w:r>
    </w:p>
    <w:p>
      <w:pPr>
        <w:spacing w:after="0" w:line="112" w:lineRule="exact"/>
        <w:rPr>
          <w:sz w:val="20"/>
          <w:szCs w:val="20"/>
          <w:color w:val="auto"/>
        </w:rPr>
      </w:pPr>
    </w:p>
    <w:p>
      <w:pPr>
        <w:ind w:firstLine="518"/>
        <w:spacing w:after="0" w:line="254" w:lineRule="auto"/>
        <w:rPr>
          <w:sz w:val="20"/>
          <w:szCs w:val="20"/>
          <w:color w:val="auto"/>
        </w:rPr>
      </w:pPr>
      <w:r>
        <w:rPr>
          <w:rFonts w:ascii="Arial" w:cs="Arial" w:eastAsia="Arial" w:hAnsi="Arial"/>
          <w:sz w:val="17"/>
          <w:szCs w:val="17"/>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then the unrecognized tax benefit should be presented in the financial statements as a liability and should not be combined with deferred tax assets. This guidance is effective for fiscal years, and interim periods within those fiscal years, beginning after December 15, 2013, with early adoption permitted. Accordingly, we adopted these presentation requirements during the first quarter of 2014. The adoption of this new guidance did not have a material impact on our unaudited consolidated financial statements and related disclosures.</w:t>
      </w:r>
    </w:p>
    <w:p>
      <w:pPr>
        <w:spacing w:after="0" w:line="185" w:lineRule="exact"/>
        <w:rPr>
          <w:sz w:val="20"/>
          <w:szCs w:val="20"/>
          <w:color w:val="auto"/>
        </w:rPr>
      </w:pPr>
    </w:p>
    <w:p>
      <w:pPr>
        <w:jc w:val="both"/>
        <w:ind w:right="120" w:firstLine="518"/>
        <w:spacing w:after="0" w:line="263" w:lineRule="auto"/>
        <w:rPr>
          <w:sz w:val="20"/>
          <w:szCs w:val="20"/>
          <w:color w:val="auto"/>
        </w:rPr>
      </w:pPr>
      <w:r>
        <w:rPr>
          <w:rFonts w:ascii="Arial" w:cs="Arial" w:eastAsia="Arial" w:hAnsi="Arial"/>
          <w:sz w:val="17"/>
          <w:szCs w:val="17"/>
          <w:color w:val="auto"/>
        </w:rPr>
        <w:t xml:space="preserve">There have been no material changes to our significant accounting policies since December 31, 2013. For additional information about our critical accounting policies and estimates,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 in Item 8 of our Annual Report on Form 10-K for the year ended December 31, 2013.</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ACQUISITIONS</w:t>
      </w:r>
    </w:p>
    <w:p>
      <w:pPr>
        <w:spacing w:after="0" w:line="16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7"/>
          <w:szCs w:val="17"/>
          <w:color w:val="auto"/>
        </w:rPr>
        <w:t>During the six months ended June 30, 2014, we completed three acquisitions for total cash consideration of $152 million, net of cash acquired and holdbacks for general representations and warranties. The total cash consideration is subject to adjustment based on the finalization of working capital adjustments. We acquired Vacation Home Rentals, a U.S.-based vacation rental website featuring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62" w:right="239" w:bottom="1440" w:gutter="0" w:footer="0" w:header="0"/>
        </w:sectPr>
      </w:pPr>
    </w:p>
    <w:bookmarkStart w:id="9" w:name="page10"/>
    <w:bookmarkEnd w:id="9"/>
    <w:p>
      <w:pPr>
        <w:ind w:right="300"/>
        <w:spacing w:after="0" w:line="263" w:lineRule="auto"/>
        <w:rPr>
          <w:sz w:val="20"/>
          <w:szCs w:val="20"/>
          <w:color w:val="auto"/>
        </w:rPr>
      </w:pPr>
      <w:r>
        <w:rPr>
          <w:rFonts w:ascii="Arial" w:cs="Arial" w:eastAsia="Arial" w:hAnsi="Arial"/>
          <w:sz w:val="17"/>
          <w:szCs w:val="17"/>
          <w:color w:val="auto"/>
        </w:rPr>
        <w:t>more than 14,000 properties around the world; London-based Tripbod, a travel community that helps connect travelers to local experts to deliver travelers relevant recommendations to help plan the perfect trip; and Lafourchette, a provider of an online and mobile reservations platform for restaurants in France, Spain and Switzerland.</w:t>
      </w:r>
    </w:p>
    <w:p>
      <w:pPr>
        <w:spacing w:after="0" w:line="35" w:lineRule="exact"/>
        <w:rPr>
          <w:sz w:val="20"/>
          <w:szCs w:val="20"/>
          <w:color w:val="auto"/>
        </w:rPr>
      </w:pPr>
    </w:p>
    <w:p>
      <w:pPr>
        <w:ind w:firstLine="486"/>
        <w:spacing w:after="0" w:line="288" w:lineRule="auto"/>
        <w:rPr>
          <w:sz w:val="20"/>
          <w:szCs w:val="20"/>
          <w:color w:val="auto"/>
        </w:rPr>
      </w:pPr>
      <w:r>
        <w:rPr>
          <w:rFonts w:ascii="Arial" w:cs="Arial" w:eastAsia="Arial" w:hAnsi="Arial"/>
          <w:sz w:val="15"/>
          <w:szCs w:val="15"/>
          <w:color w:val="auto"/>
        </w:rPr>
        <w:t>The total purchase price of these acquisitions, all of which were accounted for as purchases of businesses under the acquisition method, have been allocated to tangible and identifiable intangible assets acquired and liabilities assumed, based on their respective fair values on the acquisition date. The purchase price allocation of our 2014 acquisitions are preliminary and subject to revision as more information becomes available, but in any case will not be revised beyond twelve months after the acquisition date and any change to the fair value of assets acquired or liabilities assumed acquired will lead to a corresponding change to the purchase</w:t>
      </w:r>
    </w:p>
    <w:p>
      <w:pPr>
        <w:spacing w:after="0" w:line="2"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price allocable to goodwill on a retroactive basis. The primary areas of the purchase price allocation that are not yet finalized are related to the fair values of intangibles assets, net assets, and income tax balances. Acquisition-related costs were expensed as incurred and were $1 million during the six months ended June 30, 2014. All acquisition-related expenses are included in general and administrative expenses on our unaudited consolidated statements of operations.</w:t>
      </w:r>
    </w:p>
    <w:p>
      <w:pPr>
        <w:spacing w:after="0" w:line="163" w:lineRule="exact"/>
        <w:rPr>
          <w:sz w:val="20"/>
          <w:szCs w:val="20"/>
          <w:color w:val="auto"/>
        </w:rPr>
      </w:pPr>
    </w:p>
    <w:p>
      <w:pPr>
        <w:ind w:right="220" w:firstLine="486"/>
        <w:spacing w:after="0" w:line="276" w:lineRule="auto"/>
        <w:rPr>
          <w:sz w:val="20"/>
          <w:szCs w:val="20"/>
          <w:color w:val="auto"/>
        </w:rPr>
      </w:pPr>
      <w:r>
        <w:rPr>
          <w:rFonts w:ascii="Arial" w:cs="Arial" w:eastAsia="Arial" w:hAnsi="Arial"/>
          <w:sz w:val="17"/>
          <w:szCs w:val="17"/>
          <w:color w:val="auto"/>
        </w:rPr>
        <w:t>The following table presents the purchase price allocations initially recorded on our consolidated balance sheet on June 30, 2014 for all 2014 acquisitions (in millions):</w:t>
      </w:r>
    </w:p>
    <w:p>
      <w:pPr>
        <w:spacing w:after="0" w:line="4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0</wp:posOffset>
            </wp:positionV>
            <wp:extent cx="580009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0090" cy="14605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p>
      <w:pPr>
        <w:spacing w:after="0" w:line="1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assets (1)</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Goodwill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13970</wp:posOffset>
            </wp:positionV>
            <wp:extent cx="5800090" cy="137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0090" cy="13779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Intangible assets (3)</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13970</wp:posOffset>
            </wp:positionV>
            <wp:extent cx="580009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00090" cy="154305"/>
                    </a:xfrm>
                    <a:prstGeom prst="rect">
                      <a:avLst/>
                    </a:prstGeom>
                    <a:noFill/>
                  </pic:spPr>
                </pic:pic>
              </a:graphicData>
            </a:graphic>
          </wp:anchor>
        </w:drawing>
      </w:r>
    </w:p>
    <w:p>
      <w:pPr>
        <w:spacing w:after="0" w:line="15" w:lineRule="exact"/>
        <w:rPr>
          <w:sz w:val="20"/>
          <w:szCs w:val="20"/>
          <w:color w:val="auto"/>
        </w:rPr>
      </w:pPr>
    </w:p>
    <w:p>
      <w:pPr>
        <w:jc w:val="right"/>
        <w:ind w:right="3860"/>
        <w:spacing w:after="0"/>
        <w:rPr>
          <w:sz w:val="20"/>
          <w:szCs w:val="20"/>
          <w:color w:val="auto"/>
        </w:rPr>
      </w:pPr>
      <w:r>
        <w:rPr>
          <w:rFonts w:ascii="Arial" w:cs="Arial" w:eastAsia="Arial" w:hAnsi="Arial"/>
          <w:sz w:val="17"/>
          <w:szCs w:val="17"/>
          <w:color w:val="auto"/>
        </w:rPr>
        <w:t>Total purchase price consideration (4)</w:t>
      </w:r>
    </w:p>
    <w:p>
      <w:pPr>
        <w:spacing w:after="0" w:line="380" w:lineRule="exact"/>
        <w:rPr>
          <w:sz w:val="20"/>
          <w:szCs w:val="20"/>
          <w:color w:val="auto"/>
        </w:rPr>
      </w:pPr>
    </w:p>
    <w:p>
      <w:pPr>
        <w:ind w:left="520" w:hanging="518"/>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cash acquired of $6 million.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Borders>
              <w:top w:val="single" w:sz="8" w:color="auto"/>
            </w:tcBorders>
          </w:tcPr>
          <w:p>
            <w:pPr>
              <w:jc w:val="right"/>
              <w:ind w:right="59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w:t>
            </w:r>
          </w:p>
        </w:tc>
      </w:tr>
    </w:tbl>
    <w:p>
      <w:pPr>
        <w:ind w:left="1320"/>
        <w:spacing w:after="0"/>
        <w:rPr>
          <w:sz w:val="20"/>
          <w:szCs w:val="20"/>
          <w:color w:val="auto"/>
        </w:rPr>
      </w:pPr>
      <w:r>
        <w:rPr>
          <w:rFonts w:ascii="Arial" w:cs="Arial" w:eastAsia="Arial" w:hAnsi="Arial"/>
          <w:sz w:val="17"/>
          <w:szCs w:val="17"/>
          <w:color w:val="auto"/>
        </w:rPr>
        <w:t>105</w:t>
      </w:r>
    </w:p>
    <w:p>
      <w:pPr>
        <w:spacing w:after="0" w:line="17"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66</w:t>
      </w:r>
    </w:p>
    <w:p>
      <w:pPr>
        <w:spacing w:after="0" w:line="22"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(17)</w:t>
      </w:r>
    </w:p>
    <w:p>
      <w:pPr>
        <w:spacing w:after="0" w:line="35" w:lineRule="exact"/>
        <w:rPr>
          <w:sz w:val="20"/>
          <w:szCs w:val="20"/>
          <w:color w:val="auto"/>
        </w:rPr>
      </w:pPr>
    </w:p>
    <w:p>
      <w:pPr>
        <w:ind w:left="1320" w:hanging="1315"/>
        <w:spacing w:after="0"/>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998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880" w:space="720"/>
            <w:col w:w="2800"/>
          </w:cols>
          <w:pgMar w:left="240" w:top="511" w:right="259" w:bottom="1440" w:gutter="0" w:footer="0" w:header="0"/>
          <w:type w:val="continuous"/>
        </w:sectPr>
      </w:pPr>
    </w:p>
    <w:p>
      <w:pPr>
        <w:jc w:val="both"/>
        <w:ind w:left="520" w:right="420" w:hanging="518"/>
        <w:spacing w:after="0" w:line="266"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represents the excess value over both tangible and intangible assets acquired. The goodwill in these transactions is primarily attributable to expected operational synergies, potential new and expanded business relationships and user bases, the assembled workforces, and the future development initiatives of the assembled workforces. Goodwill in the amount of $4 million is expected to be deductible for tax purposes.</w:t>
      </w:r>
    </w:p>
    <w:p>
      <w:pPr>
        <w:spacing w:after="0" w:line="2" w:lineRule="exact"/>
        <w:rPr>
          <w:rFonts w:ascii="Arial" w:cs="Arial" w:eastAsia="Arial" w:hAnsi="Arial"/>
          <w:sz w:val="16"/>
          <w:szCs w:val="16"/>
          <w:color w:val="auto"/>
        </w:rPr>
      </w:pPr>
    </w:p>
    <w:p>
      <w:pPr>
        <w:ind w:left="520" w:hanging="518"/>
        <w:spacing w:after="0" w:line="251"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developed technology of $6 million, trade names of $11 million, and subscriber and customer relationships of $49 million. The overall weighted-average life of the identifiable definite-lived intangible assets acquired in the purchase of the companies was 11.5 years, which will be amortized on a straight-line basis over their estimated useful lives.</w:t>
      </w:r>
    </w:p>
    <w:p>
      <w:pPr>
        <w:ind w:left="520" w:hanging="51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adjustment based on final working capital adjustment calculations for Vacation Home Rentals and Lafourchette as of June 30, 2014.</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511" w:right="259" w:bottom="1440" w:gutter="0" w:footer="0" w:header="0"/>
          <w:type w:val="continuous"/>
        </w:sectPr>
      </w:pPr>
    </w:p>
    <w:bookmarkStart w:id="10" w:name="page11"/>
    <w:bookmarkEnd w:id="10"/>
    <w:p>
      <w:pPr>
        <w:ind w:right="5600"/>
        <w:spacing w:after="0" w:line="379" w:lineRule="auto"/>
        <w:rPr>
          <w:sz w:val="20"/>
          <w:szCs w:val="20"/>
          <w:color w:val="auto"/>
        </w:rPr>
      </w:pPr>
      <w:r>
        <w:rPr>
          <w:rFonts w:ascii="Arial" w:cs="Arial" w:eastAsia="Arial" w:hAnsi="Arial"/>
          <w:sz w:val="17"/>
          <w:szCs w:val="17"/>
          <w:b w:val="1"/>
          <w:bCs w:val="1"/>
          <w:color w:val="auto"/>
        </w:rPr>
        <w:t xml:space="preserve">NOTE 4: STOCK BASED AWARDS AND OTHER EQUITY INSTRUMENTS </w:t>
      </w:r>
      <w:r>
        <w:rPr>
          <w:rFonts w:ascii="Arial" w:cs="Arial" w:eastAsia="Arial" w:hAnsi="Arial"/>
          <w:sz w:val="17"/>
          <w:szCs w:val="17"/>
          <w:b w:val="1"/>
          <w:bCs w:val="1"/>
          <w:i w:val="1"/>
          <w:iCs w:val="1"/>
          <w:color w:val="auto"/>
        </w:rPr>
        <w:t>Stock-Based Compensation Expense</w:t>
      </w:r>
    </w:p>
    <w:p>
      <w:pPr>
        <w:spacing w:after="0" w:line="1" w:lineRule="exact"/>
        <w:rPr>
          <w:sz w:val="20"/>
          <w:szCs w:val="20"/>
          <w:color w:val="auto"/>
        </w:rPr>
      </w:pPr>
    </w:p>
    <w:p>
      <w:pPr>
        <w:ind w:right="500" w:firstLine="518"/>
        <w:spacing w:after="0" w:line="276" w:lineRule="auto"/>
        <w:rPr>
          <w:sz w:val="20"/>
          <w:szCs w:val="20"/>
          <w:color w:val="auto"/>
        </w:rPr>
      </w:pPr>
      <w:r>
        <w:rPr>
          <w:rFonts w:ascii="Arial" w:cs="Arial" w:eastAsia="Arial" w:hAnsi="Arial"/>
          <w:sz w:val="17"/>
          <w:szCs w:val="17"/>
          <w:color w:val="auto"/>
        </w:rPr>
        <w:t>The following table presents the amount of stock-based compensation expense related to stock-based awards, primarily stock options and RSUs, on our unaudited consolidated statements of operations during the periods presented: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5"/>
          </w:tcPr>
          <w:p>
            <w:pPr>
              <w:jc w:val="center"/>
              <w:ind w:left="172"/>
              <w:spacing w:after="0"/>
              <w:rPr>
                <w:sz w:val="20"/>
                <w:szCs w:val="20"/>
                <w:color w:val="auto"/>
              </w:rPr>
            </w:pPr>
            <w:r>
              <w:rPr>
                <w:rFonts w:ascii="Arial" w:cs="Arial" w:eastAsia="Arial" w:hAnsi="Arial"/>
                <w:sz w:val="14"/>
                <w:szCs w:val="14"/>
                <w:b w:val="1"/>
                <w:bCs w:val="1"/>
                <w:color w:val="auto"/>
                <w:w w:val="87"/>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2"/>
              <w:spacing w:after="0" w:line="147"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7"/>
              <w:spacing w:after="0" w:line="147"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tcPr>
          <w:p>
            <w:pPr>
              <w:jc w:val="center"/>
              <w:ind w:left="382"/>
              <w:spacing w:after="0" w:line="147" w:lineRule="exact"/>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Selling and marketing</w:t>
            </w:r>
          </w:p>
        </w:tc>
        <w:tc>
          <w:tcPr>
            <w:tcW w:w="1240" w:type="dxa"/>
            <w:vAlign w:val="bottom"/>
            <w:gridSpan w:val="2"/>
            <w:shd w:val="clear" w:color="auto" w:fill="CFF0FC"/>
          </w:tcPr>
          <w:p>
            <w:pPr>
              <w:jc w:val="right"/>
              <w:ind w:right="492"/>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gridSpan w:val="2"/>
          </w:tcPr>
          <w:p>
            <w:pPr>
              <w:spacing w:after="0"/>
              <w:rPr>
                <w:sz w:val="20"/>
                <w:szCs w:val="20"/>
                <w:color w:val="auto"/>
              </w:rPr>
            </w:pPr>
            <w:r>
              <w:rPr>
                <w:rFonts w:ascii="Arial" w:cs="Arial" w:eastAsia="Arial" w:hAnsi="Arial"/>
                <w:sz w:val="17"/>
                <w:szCs w:val="17"/>
                <w:color w:val="auto"/>
              </w:rPr>
              <w:t>Technology and content</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6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7"/>
                <w:szCs w:val="17"/>
                <w:color w:val="auto"/>
              </w:rPr>
              <w:t>Total stock-based compensation</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from stock-based compensation</w:t>
            </w: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(11)</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7"/>
                <w:szCs w:val="17"/>
                <w:color w:val="auto"/>
              </w:rPr>
              <w:t>Total stock-based compensation, net of tax effect</w:t>
            </w: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1240" w:type="dxa"/>
            <w:vAlign w:val="bottom"/>
            <w:gridSpan w:val="2"/>
          </w:tcPr>
          <w:p>
            <w:pPr>
              <w:jc w:val="right"/>
              <w:ind w:right="492"/>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7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Award Activity and Valuation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Stock Option Activity</w:t>
      </w:r>
    </w:p>
    <w:p>
      <w:pPr>
        <w:spacing w:after="0" w:line="112"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During the six months ended June 30, 2014, we have issued 490,508 of service-based non-qualified stock options under the TripAdvisor, Inc. 2011 Stock and Incentive Plan, as amended (the “2011 Plan”). These stock options have a term of ten years from the date of grant and generally vest equitably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six months ended June 30, 2014, is presented below:</w:t>
      </w: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6"/>
              </w:rPr>
              <w:t>Average</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3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Price Per</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6"/>
              </w:rPr>
              <w:t>(in years)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04"/>
              <w:spacing w:after="0" w:line="147"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Options outstanding at January 1, 2014</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9,470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7"/>
                <w:szCs w:val="17"/>
                <w:color w:val="auto"/>
              </w:rPr>
              <w:t>Granted</w:t>
            </w:r>
          </w:p>
        </w:tc>
        <w:tc>
          <w:tcPr>
            <w:tcW w:w="1180" w:type="dxa"/>
            <w:vAlign w:val="bottom"/>
          </w:tcPr>
          <w:p>
            <w:pPr>
              <w:jc w:val="right"/>
              <w:spacing w:after="0"/>
              <w:rPr>
                <w:sz w:val="20"/>
                <w:szCs w:val="20"/>
                <w:color w:val="auto"/>
              </w:rPr>
            </w:pPr>
            <w:r>
              <w:rPr>
                <w:rFonts w:ascii="Arial" w:cs="Arial" w:eastAsia="Arial" w:hAnsi="Arial"/>
                <w:sz w:val="17"/>
                <w:szCs w:val="17"/>
                <w:color w:val="auto"/>
              </w:rPr>
              <w:t>491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96.45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Exercised (1)</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(834)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7"/>
                <w:szCs w:val="17"/>
                <w:color w:val="auto"/>
              </w:rPr>
              <w:t>Cancelled or expired</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(217)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44.99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Options outstanding at June 30, 2014</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8,910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43.79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3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Exercisable as of June 30, 2014</w:t>
            </w: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31.79</w:t>
            </w:r>
          </w:p>
        </w:tc>
        <w:tc>
          <w:tcPr>
            <w:tcW w:w="22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Borders>
              <w:bottom w:val="single" w:sz="8" w:color="CFF0FC"/>
            </w:tcBorders>
            <w:vMerge w:val="continue"/>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3,984</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gridSpan w:val="2"/>
            <w:vMerge w:val="continue"/>
          </w:tcPr>
          <w:p>
            <w:pPr>
              <w:spacing w:after="0"/>
              <w:rPr>
                <w:sz w:val="20"/>
                <w:szCs w:val="20"/>
                <w:color w:val="auto"/>
              </w:rPr>
            </w:pPr>
          </w:p>
        </w:tc>
        <w:tc>
          <w:tcPr>
            <w:tcW w:w="1000" w:type="dxa"/>
            <w:vAlign w:val="bottom"/>
            <w:tcBorders>
              <w:bottom w:val="single" w:sz="8" w:color="CFF0FC"/>
            </w:tcBorders>
            <w:vMerge w:val="continue"/>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vMerge w:val="continue"/>
          </w:tcPr>
          <w:p>
            <w:pPr>
              <w:spacing w:after="0"/>
              <w:rPr>
                <w:sz w:val="20"/>
                <w:szCs w:val="20"/>
                <w:color w:val="auto"/>
              </w:rPr>
            </w:pPr>
          </w:p>
        </w:tc>
        <w:tc>
          <w:tcPr>
            <w:tcW w:w="380" w:type="dxa"/>
            <w:vAlign w:val="bottom"/>
            <w:tcBorders>
              <w:bottom w:val="single" w:sz="8" w:color="CFF0FC"/>
            </w:tcBorders>
            <w:gridSpan w:val="2"/>
            <w:vMerge w:val="continue"/>
          </w:tcPr>
          <w:p>
            <w:pPr>
              <w:spacing w:after="0"/>
              <w:rPr>
                <w:sz w:val="20"/>
                <w:szCs w:val="20"/>
                <w:color w:val="auto"/>
              </w:rPr>
            </w:pPr>
          </w:p>
        </w:tc>
        <w:tc>
          <w:tcPr>
            <w:tcW w:w="1080" w:type="dxa"/>
            <w:vAlign w:val="bottom"/>
            <w:tcBorders>
              <w:bottom w:val="single" w:sz="8" w:color="CFF0FC"/>
            </w:tcBorders>
            <w:vMerge w:val="continue"/>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Vested and expected to vest after June 30, 2014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8,282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43.01</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544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860" w:right="60" w:hanging="339"/>
        <w:spacing w:after="0" w:line="257"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Inclusive of 432,283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181" w:lineRule="exact"/>
        <w:rPr>
          <w:sz w:val="20"/>
          <w:szCs w:val="20"/>
          <w:color w:val="auto"/>
        </w:rPr>
      </w:pPr>
    </w:p>
    <w:p>
      <w:pPr>
        <w:ind w:right="180" w:firstLine="518"/>
        <w:spacing w:after="0" w:line="263"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June 30, 2014 was $108.66. The total intrinsic value of stock options exercised for the six months ended June 30, 2014 and 2013 was $51 million and $27 million, respectively.</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660" w:right="299" w:bottom="1440" w:gutter="0" w:footer="0" w:header="0"/>
        </w:sectPr>
      </w:pPr>
    </w:p>
    <w:bookmarkStart w:id="11" w:name="page12"/>
    <w:bookmarkEnd w:id="11"/>
    <w:p>
      <w:pPr>
        <w:ind w:right="580" w:firstLine="518"/>
        <w:spacing w:after="0" w:line="276" w:lineRule="auto"/>
        <w:rPr>
          <w:sz w:val="20"/>
          <w:szCs w:val="20"/>
          <w:color w:val="auto"/>
        </w:rPr>
      </w:pPr>
      <w:r>
        <w:rPr>
          <w:rFonts w:ascii="Arial" w:cs="Arial" w:eastAsia="Arial" w:hAnsi="Arial"/>
          <w:sz w:val="17"/>
          <w:szCs w:val="17"/>
          <w:color w:val="auto"/>
        </w:rPr>
        <w:t>The fair value of stock option grants under the 2011 Plan has been estimated at the date of grant using the Black–Scholes option pricing model with the following weighted average assumptions for the periods presented:</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3260" w:type="dxa"/>
            <w:vAlign w:val="bottom"/>
          </w:tcPr>
          <w:p>
            <w:pPr>
              <w:spacing w:after="0"/>
              <w:rPr>
                <w:sz w:val="14"/>
                <w:szCs w:val="14"/>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326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122"/>
              <w:spacing w:after="0" w:line="147"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8"/>
              <w:spacing w:after="0" w:line="147"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122"/>
              <w:spacing w:after="0" w:line="147"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8"/>
              <w:spacing w:after="0" w:line="147"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FF0FC"/>
            </w:tcBorders>
          </w:tcPr>
          <w:p>
            <w:pPr>
              <w:spacing w:after="0"/>
              <w:rPr>
                <w:sz w:val="12"/>
                <w:szCs w:val="12"/>
                <w:color w:val="auto"/>
              </w:rPr>
            </w:pPr>
          </w:p>
        </w:tc>
      </w:tr>
      <w:tr>
        <w:trPr>
          <w:trHeight w:val="210"/>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Risk free interest rate</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1.07%</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1.07%</w:t>
            </w: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7"/>
                <w:szCs w:val="17"/>
                <w:color w:val="auto"/>
              </w:rPr>
              <w:t>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6.25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6.25</w:t>
            </w:r>
          </w:p>
        </w:tc>
        <w:tc>
          <w:tcPr>
            <w:tcW w:w="180" w:type="dxa"/>
            <w:vAlign w:val="bottom"/>
          </w:tcPr>
          <w:p>
            <w:pPr>
              <w:spacing w:after="0"/>
              <w:rPr>
                <w:sz w:val="18"/>
                <w:szCs w:val="18"/>
                <w:color w:val="auto"/>
              </w:rPr>
            </w:pPr>
          </w:p>
        </w:tc>
      </w:tr>
      <w:tr>
        <w:trPr>
          <w:trHeight w:val="218"/>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47.32%</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51.82%</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48.07%</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51.73%</w:t>
            </w:r>
          </w:p>
        </w:tc>
      </w:tr>
      <w:tr>
        <w:trPr>
          <w:trHeight w:val="216"/>
        </w:trPr>
        <w:tc>
          <w:tcPr>
            <w:tcW w:w="32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0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 %</w:t>
            </w:r>
          </w:p>
        </w:tc>
        <w:tc>
          <w:tcPr>
            <w:tcW w:w="1080" w:type="dxa"/>
            <w:vAlign w:val="bottom"/>
            <w:gridSpan w:val="3"/>
          </w:tcPr>
          <w:p>
            <w:pPr>
              <w:jc w:val="right"/>
              <w:ind w:right="420"/>
              <w:spacing w:after="0"/>
              <w:rPr>
                <w:sz w:val="20"/>
                <w:szCs w:val="20"/>
                <w:color w:val="auto"/>
              </w:rPr>
            </w:pPr>
            <w:r>
              <w:rPr>
                <w:rFonts w:ascii="Arial" w:cs="Arial" w:eastAsia="Arial" w:hAnsi="Arial"/>
                <w:sz w:val="17"/>
                <w:szCs w:val="17"/>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 %</w:t>
            </w:r>
          </w:p>
        </w:tc>
      </w:tr>
    </w:tbl>
    <w:p>
      <w:pPr>
        <w:spacing w:after="0" w:line="219" w:lineRule="exact"/>
        <w:rPr>
          <w:sz w:val="20"/>
          <w:szCs w:val="20"/>
          <w:color w:val="auto"/>
        </w:rPr>
      </w:pPr>
    </w:p>
    <w:p>
      <w:pPr>
        <w:jc w:val="both"/>
        <w:ind w:right="80" w:firstLine="518"/>
        <w:spacing w:after="0" w:line="308" w:lineRule="auto"/>
        <w:rPr>
          <w:sz w:val="20"/>
          <w:szCs w:val="20"/>
          <w:color w:val="auto"/>
        </w:rPr>
      </w:pPr>
      <w:r>
        <w:rPr>
          <w:rFonts w:ascii="Arial" w:cs="Arial" w:eastAsia="Arial" w:hAnsi="Arial"/>
          <w:sz w:val="16"/>
          <w:szCs w:val="16"/>
          <w:color w:val="auto"/>
        </w:rPr>
        <w:t>The weighted-average grant date fair value of options granted was $47.25 and $23.15 for the six months ended June 30, 2014 and 2013, respectively. The total fair value of stock options vested for the six months ended June 30, 2014 and 2013 was $24 million and $20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RSU Activity</w:t>
      </w:r>
    </w:p>
    <w:p>
      <w:pPr>
        <w:spacing w:after="0" w:line="112" w:lineRule="exact"/>
        <w:rPr>
          <w:sz w:val="20"/>
          <w:szCs w:val="20"/>
          <w:color w:val="auto"/>
        </w:rPr>
      </w:pPr>
    </w:p>
    <w:p>
      <w:pPr>
        <w:jc w:val="both"/>
        <w:ind w:right="80" w:firstLine="518"/>
        <w:spacing w:after="0" w:line="280" w:lineRule="auto"/>
        <w:rPr>
          <w:sz w:val="20"/>
          <w:szCs w:val="20"/>
          <w:color w:val="auto"/>
        </w:rPr>
      </w:pPr>
      <w:r>
        <w:rPr>
          <w:rFonts w:ascii="Arial" w:cs="Arial" w:eastAsia="Arial" w:hAnsi="Arial"/>
          <w:sz w:val="16"/>
          <w:szCs w:val="16"/>
          <w:color w:val="auto"/>
        </w:rPr>
        <w:t>During the six months ended June 30, 2014, we issued 512,884 RSUs under the 2011 Plan for which the fair value was measured based on the quoted price of our common stock on the date of grant. These RSUs generally vest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a summary of RSU activity on our common stock during the six months ended June 30,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Grant-</w:t>
            </w:r>
          </w:p>
        </w:tc>
        <w:tc>
          <w:tcPr>
            <w:tcW w:w="260" w:type="dxa"/>
            <w:vAlign w:val="bottom"/>
          </w:tcPr>
          <w:p>
            <w:pPr>
              <w:spacing w:after="0"/>
              <w:rPr>
                <w:sz w:val="13"/>
                <w:szCs w:val="13"/>
                <w:color w:val="auto"/>
              </w:rPr>
            </w:pPr>
          </w:p>
        </w:tc>
        <w:tc>
          <w:tcPr>
            <w:tcW w:w="14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6"/>
              </w:rPr>
              <w:t>Aggregate</w:t>
            </w:r>
          </w:p>
        </w:tc>
      </w:tr>
      <w:tr>
        <w:trPr>
          <w:trHeight w:val="154"/>
        </w:trPr>
        <w:tc>
          <w:tcPr>
            <w:tcW w:w="6160" w:type="dxa"/>
            <w:vAlign w:val="bottom"/>
          </w:tcPr>
          <w:p>
            <w:pPr>
              <w:spacing w:after="0"/>
              <w:rPr>
                <w:sz w:val="13"/>
                <w:szCs w:val="13"/>
                <w:color w:val="auto"/>
              </w:rPr>
            </w:pPr>
          </w:p>
        </w:tc>
        <w:tc>
          <w:tcPr>
            <w:tcW w:w="17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5"/>
              </w:rPr>
              <w:t>RSUs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Date Fair</w:t>
            </w:r>
          </w:p>
        </w:tc>
        <w:tc>
          <w:tcPr>
            <w:tcW w:w="260" w:type="dxa"/>
            <w:vAlign w:val="bottom"/>
          </w:tcPr>
          <w:p>
            <w:pPr>
              <w:spacing w:after="0"/>
              <w:rPr>
                <w:sz w:val="13"/>
                <w:szCs w:val="13"/>
                <w:color w:val="auto"/>
              </w:rPr>
            </w:pP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616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Value Per Share</w:t>
            </w: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Value</w:t>
            </w:r>
          </w:p>
        </w:tc>
      </w:tr>
      <w:tr>
        <w:trPr>
          <w:trHeight w:val="146"/>
        </w:trPr>
        <w:tc>
          <w:tcPr>
            <w:tcW w:w="616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0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7"/>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Unvested RSUs outstanding as of January 1, 2014</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96.00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Vested and released (1)</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7"/>
                <w:szCs w:val="17"/>
                <w:color w:val="auto"/>
              </w:rPr>
              <w:t>Cancelled</w:t>
            </w:r>
          </w:p>
        </w:tc>
        <w:tc>
          <w:tcPr>
            <w:tcW w:w="1700" w:type="dxa"/>
            <w:vAlign w:val="bottom"/>
            <w:gridSpan w:val="2"/>
          </w:tcPr>
          <w:p>
            <w:pPr>
              <w:jc w:val="right"/>
              <w:ind w:right="80"/>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RSUs outstanding as of June 30, 2014</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67.69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860" w:right="280" w:hanging="339"/>
        <w:spacing w:after="0" w:line="259"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Inclusive of 89,494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Stock-Based Compensation</w:t>
      </w:r>
    </w:p>
    <w:p>
      <w:pPr>
        <w:spacing w:after="0" w:line="112"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 summary of our remaining unrecognized stock-based compensation expense, net of estimated forfeitures, and the weighted average remaining amortization period at June 30, 2014 related to our non-vested stock options and RSU awards is presented below (in millions):</w:t>
      </w:r>
    </w:p>
    <w:p>
      <w:pPr>
        <w:spacing w:after="0" w:line="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8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86"/>
              </w:rPr>
              <w:t>Options</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FF0FC"/>
            </w:tcBorders>
          </w:tcPr>
          <w:p>
            <w:pPr>
              <w:spacing w:after="0"/>
              <w:rPr>
                <w:sz w:val="14"/>
                <w:szCs w:val="14"/>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w w:val="91"/>
              </w:rPr>
              <w:t>Unrecognized compensation expense (net of forfeitures)</w:t>
            </w:r>
          </w:p>
        </w:tc>
        <w:tc>
          <w:tcPr>
            <w:tcW w:w="2140" w:type="dxa"/>
            <w:vAlign w:val="bottom"/>
            <w:gridSpan w:val="2"/>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Weighted average period remaining (in years)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r>
      <w:tr>
        <w:trPr>
          <w:trHeight w:val="524"/>
        </w:trPr>
        <w:tc>
          <w:tcPr>
            <w:tcW w:w="3880" w:type="dxa"/>
            <w:vAlign w:val="bottom"/>
          </w:tcPr>
          <w:p>
            <w:pPr>
              <w:spacing w:after="0"/>
              <w:rPr>
                <w:sz w:val="24"/>
                <w:szCs w:val="24"/>
                <w:color w:val="auto"/>
              </w:rPr>
            </w:pPr>
          </w:p>
        </w:tc>
        <w:tc>
          <w:tcPr>
            <w:tcW w:w="1160" w:type="dxa"/>
            <w:vAlign w:val="bottom"/>
          </w:tcPr>
          <w:p>
            <w:pPr>
              <w:jc w:val="right"/>
              <w:ind w:right="875"/>
              <w:spacing w:after="0"/>
              <w:rPr>
                <w:sz w:val="20"/>
                <w:szCs w:val="20"/>
                <w:color w:val="auto"/>
              </w:rPr>
            </w:pPr>
            <w:r>
              <w:rPr>
                <w:rFonts w:ascii="Arial" w:cs="Arial" w:eastAsia="Arial" w:hAnsi="Arial"/>
                <w:sz w:val="17"/>
                <w:szCs w:val="17"/>
                <w:color w:val="auto"/>
                <w:w w:val="94"/>
              </w:rPr>
              <w:t>12</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NOTE 5: FINANCIAL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Marketable Securities</w:t>
      </w:r>
    </w:p>
    <w:p>
      <w:pPr>
        <w:spacing w:after="0" w:line="218" w:lineRule="exact"/>
        <w:rPr>
          <w:sz w:val="20"/>
          <w:szCs w:val="20"/>
          <w:color w:val="auto"/>
        </w:rPr>
      </w:pPr>
    </w:p>
    <w:p>
      <w:pPr>
        <w:ind w:right="720" w:firstLine="518"/>
        <w:spacing w:after="0" w:line="345" w:lineRule="auto"/>
        <w:rPr>
          <w:sz w:val="20"/>
          <w:szCs w:val="20"/>
          <w:color w:val="auto"/>
        </w:rPr>
      </w:pPr>
      <w:r>
        <w:rPr>
          <w:rFonts w:ascii="Arial" w:cs="Arial" w:eastAsia="Arial" w:hAnsi="Arial"/>
          <w:sz w:val="15"/>
          <w:szCs w:val="15"/>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2014</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85"/>
              </w:rPr>
              <w:t>Cash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2"/>
                <w:szCs w:val="12"/>
                <w:color w:val="auto"/>
              </w:rPr>
            </w:pPr>
          </w:p>
        </w:tc>
      </w:tr>
      <w:tr>
        <w:trPr>
          <w:trHeight w:val="154"/>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3"/>
                <w:szCs w:val="13"/>
                <w:color w:val="auto"/>
              </w:rPr>
            </w:pPr>
          </w:p>
        </w:tc>
        <w:tc>
          <w:tcPr>
            <w:tcW w:w="94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Marketable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Marketable</w:t>
            </w:r>
          </w:p>
        </w:tc>
      </w:tr>
      <w:tr>
        <w:trPr>
          <w:trHeight w:val="161"/>
        </w:trPr>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Borders>
              <w:bottom w:val="single" w:sz="8" w:color="CFF0FC"/>
            </w:tcBorders>
          </w:tcPr>
          <w:p>
            <w:pPr>
              <w:spacing w:after="0"/>
              <w:rPr>
                <w:sz w:val="14"/>
                <w:szCs w:val="14"/>
                <w:color w:val="auto"/>
              </w:rPr>
            </w:pPr>
          </w:p>
        </w:tc>
      </w:tr>
      <w:tr>
        <w:trPr>
          <w:trHeight w:val="210"/>
        </w:trPr>
        <w:tc>
          <w:tcPr>
            <w:tcW w:w="218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96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U.S. agency securities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FF0FC"/>
          </w:tcPr>
          <w:p>
            <w:pPr>
              <w:spacing w:after="0"/>
              <w:rPr>
                <w:sz w:val="18"/>
                <w:szCs w:val="18"/>
                <w:color w:val="auto"/>
              </w:rPr>
            </w:pPr>
          </w:p>
        </w:tc>
      </w:tr>
      <w:tr>
        <w:trPr>
          <w:trHeight w:val="210"/>
        </w:trPr>
        <w:tc>
          <w:tcPr>
            <w:tcW w:w="218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Subtotal</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FF0FC"/>
            </w:tcBorders>
          </w:tcPr>
          <w:p>
            <w:pPr>
              <w:spacing w:after="0"/>
              <w:rPr>
                <w:sz w:val="18"/>
                <w:szCs w:val="18"/>
                <w:color w:val="auto"/>
              </w:rPr>
            </w:pPr>
          </w:p>
        </w:tc>
      </w:tr>
      <w:tr>
        <w:trPr>
          <w:trHeight w:val="210"/>
        </w:trPr>
        <w:tc>
          <w:tcPr>
            <w:tcW w:w="2180" w:type="dxa"/>
            <w:vAlign w:val="bottom"/>
            <w:shd w:val="clear" w:color="auto" w:fill="CFF0FC"/>
          </w:tcPr>
          <w:p>
            <w:pPr>
              <w:ind w:left="700"/>
              <w:spacing w:after="0"/>
              <w:rPr>
                <w:sz w:val="20"/>
                <w:szCs w:val="20"/>
                <w:color w:val="auto"/>
              </w:rPr>
            </w:pPr>
            <w:r>
              <w:rPr>
                <w:rFonts w:ascii="Arial" w:cs="Arial" w:eastAsia="Arial" w:hAnsi="Arial"/>
                <w:sz w:val="17"/>
                <w:szCs w:val="17"/>
                <w:color w:val="auto"/>
              </w:rPr>
              <w:t>Total</w:t>
            </w:r>
          </w:p>
        </w:tc>
        <w:tc>
          <w:tcPr>
            <w:tcW w:w="96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721</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8"/>
                <w:szCs w:val="18"/>
                <w:color w:val="auto"/>
              </w:rPr>
            </w:pPr>
          </w:p>
        </w:tc>
      </w:tr>
      <w:tr>
        <w:trPr>
          <w:trHeight w:val="20"/>
        </w:trPr>
        <w:tc>
          <w:tcPr>
            <w:tcW w:w="2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7"/>
        </w:trPr>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85"/>
              </w:rPr>
              <w:t>Cash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2"/>
                <w:szCs w:val="12"/>
                <w:color w:val="auto"/>
              </w:rPr>
            </w:pPr>
          </w:p>
        </w:tc>
      </w:tr>
      <w:tr>
        <w:trPr>
          <w:trHeight w:val="154"/>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3"/>
                <w:szCs w:val="13"/>
                <w:color w:val="auto"/>
              </w:rPr>
            </w:pPr>
          </w:p>
        </w:tc>
        <w:tc>
          <w:tcPr>
            <w:tcW w:w="94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Marketable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Marketable</w:t>
            </w:r>
          </w:p>
        </w:tc>
      </w:tr>
      <w:tr>
        <w:trPr>
          <w:trHeight w:val="161"/>
        </w:trPr>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Borders>
              <w:bottom w:val="single" w:sz="8" w:color="CFF0FC"/>
            </w:tcBorders>
          </w:tcPr>
          <w:p>
            <w:pPr>
              <w:spacing w:after="0"/>
              <w:rPr>
                <w:sz w:val="14"/>
                <w:szCs w:val="14"/>
                <w:color w:val="auto"/>
              </w:rPr>
            </w:pPr>
          </w:p>
        </w:tc>
      </w:tr>
      <w:tr>
        <w:trPr>
          <w:trHeight w:val="210"/>
        </w:trPr>
        <w:tc>
          <w:tcPr>
            <w:tcW w:w="218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96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U.S. agency securities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r>
      <w:tr>
        <w:trPr>
          <w:trHeight w:val="218"/>
        </w:trPr>
        <w:tc>
          <w:tcPr>
            <w:tcW w:w="2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7"/>
        </w:trPr>
        <w:tc>
          <w:tcPr>
            <w:tcW w:w="21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Corporate debt securities</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FF0FC"/>
            </w:tcBorders>
          </w:tcPr>
          <w:p>
            <w:pPr>
              <w:spacing w:after="0"/>
              <w:rPr>
                <w:sz w:val="18"/>
                <w:szCs w:val="18"/>
                <w:color w:val="auto"/>
              </w:rPr>
            </w:pPr>
          </w:p>
        </w:tc>
      </w:tr>
      <w:tr>
        <w:trPr>
          <w:trHeight w:val="211"/>
        </w:trPr>
        <w:tc>
          <w:tcPr>
            <w:tcW w:w="21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Subtotal</w:t>
            </w: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w:t>
            </w: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FF0FC"/>
          </w:tcPr>
          <w:p>
            <w:pPr>
              <w:spacing w:after="0"/>
              <w:rPr>
                <w:sz w:val="18"/>
                <w:szCs w:val="18"/>
                <w:color w:val="auto"/>
              </w:rPr>
            </w:pPr>
          </w:p>
        </w:tc>
      </w:tr>
      <w:tr>
        <w:trPr>
          <w:trHeight w:val="210"/>
        </w:trPr>
        <w:tc>
          <w:tcPr>
            <w:tcW w:w="2180" w:type="dxa"/>
            <w:vAlign w:val="bottom"/>
          </w:tcPr>
          <w:p>
            <w:pPr>
              <w:ind w:left="700"/>
              <w:spacing w:after="0"/>
              <w:rPr>
                <w:sz w:val="20"/>
                <w:szCs w:val="20"/>
                <w:color w:val="auto"/>
              </w:rPr>
            </w:pPr>
            <w:r>
              <w:rPr>
                <w:rFonts w:ascii="Arial" w:cs="Arial" w:eastAsia="Arial" w:hAnsi="Arial"/>
                <w:sz w:val="17"/>
                <w:szCs w:val="17"/>
                <w:color w:val="auto"/>
              </w:rPr>
              <w:t>Total</w:t>
            </w:r>
          </w:p>
        </w:tc>
        <w:tc>
          <w:tcPr>
            <w:tcW w:w="960" w:type="dxa"/>
            <w:vAlign w:val="bottom"/>
            <w:gridSpan w:val="2"/>
          </w:tcPr>
          <w:p>
            <w:pPr>
              <w:jc w:val="right"/>
              <w:ind w:right="572"/>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670</w:t>
            </w:r>
          </w:p>
        </w:tc>
        <w:tc>
          <w:tcPr>
            <w:tcW w:w="1140" w:type="dxa"/>
            <w:vAlign w:val="bottom"/>
            <w:gridSpan w:val="2"/>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72"/>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670</w:t>
            </w:r>
          </w:p>
        </w:tc>
        <w:tc>
          <w:tcPr>
            <w:tcW w:w="1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351</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w:t>
            </w:r>
          </w:p>
        </w:tc>
        <w:tc>
          <w:tcPr>
            <w:tcW w:w="3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twelve months or less remaining at June 30, 2014.</w:t>
      </w:r>
    </w:p>
    <w:p>
      <w:pPr>
        <w:spacing w:after="0" w:line="159" w:lineRule="exact"/>
        <w:rPr>
          <w:sz w:val="20"/>
          <w:szCs w:val="20"/>
          <w:color w:val="auto"/>
        </w:rPr>
      </w:pPr>
    </w:p>
    <w:p>
      <w:pPr>
        <w:ind w:right="60" w:firstLine="518"/>
        <w:spacing w:after="0" w:line="257"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our U.S. agency securities, commercial paper, corporate debt securities and certificates of deposit are considered “Level 2” valuations because they are obtained from pricing sources for identical or comparable instruments, rather than direct observations of quoted prices in active markets.</w:t>
      </w:r>
    </w:p>
    <w:p>
      <w:pPr>
        <w:spacing w:after="0" w:line="181" w:lineRule="exact"/>
        <w:rPr>
          <w:sz w:val="20"/>
          <w:szCs w:val="20"/>
          <w:color w:val="auto"/>
        </w:rPr>
      </w:pPr>
    </w:p>
    <w:p>
      <w:pPr>
        <w:ind w:right="580" w:firstLine="518"/>
        <w:spacing w:after="0" w:line="276" w:lineRule="auto"/>
        <w:rPr>
          <w:sz w:val="20"/>
          <w:szCs w:val="20"/>
          <w:color w:val="auto"/>
        </w:rPr>
      </w:pPr>
      <w:r>
        <w:rPr>
          <w:rFonts w:ascii="Arial" w:cs="Arial" w:eastAsia="Arial" w:hAnsi="Arial"/>
          <w:sz w:val="17"/>
          <w:szCs w:val="17"/>
          <w:color w:val="auto"/>
        </w:rPr>
        <w:t>There were no material realized gains or losses related to sales of our marketable securities for the three and six months ended June 30, 2014 and 2013,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58" w:right="239" w:bottom="1440" w:gutter="0" w:footer="0" w:header="0"/>
        </w:sectPr>
      </w:pPr>
    </w:p>
    <w:bookmarkStart w:id="13" w:name="page14"/>
    <w:bookmarkEnd w:id="13"/>
    <w:p>
      <w:pPr>
        <w:ind w:right="140" w:firstLine="518"/>
        <w:spacing w:after="0" w:line="273" w:lineRule="auto"/>
        <w:rPr>
          <w:sz w:val="20"/>
          <w:szCs w:val="20"/>
          <w:color w:val="auto"/>
        </w:rPr>
      </w:pPr>
      <w:r>
        <w:rPr>
          <w:rFonts w:ascii="Arial" w:cs="Arial" w:eastAsia="Arial" w:hAnsi="Arial"/>
          <w:sz w:val="16"/>
          <w:szCs w:val="16"/>
          <w:color w:val="auto"/>
        </w:rPr>
        <w:t>As of June 30, 2014, we had marketable securities with an aggregate fair value of $15 million currently in an unrealized loss position. The gross unrealized loss amount was not material at June 30, 2014.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three and six months ended June 30, 2014 and 2013, we did not recognize any impairment charges. We did not have any material investments in marketable securities that were in a continuous unrealized loss position for twelve months or greater at June 30, 2014 or December 31, 2013.</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116"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were not material for the three and six months ended June 30, 2014 and 2013, and are included in interest income and other, net on our unaudited consolidated statements of operations. The net cash received or paid related to our derivative instruments are classified as operating in our unaudited consolidated statements of cash flows, which is based on the objective of the derivative instruments.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notional principal amounts of our outstanding derivative instruments for the periods presented:</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jc w:val="right"/>
              <w:ind w:right="70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5"/>
              <w:spacing w:after="0" w:line="147" w:lineRule="exact"/>
              <w:rPr>
                <w:sz w:val="20"/>
                <w:szCs w:val="20"/>
                <w:color w:val="auto"/>
              </w:rPr>
            </w:pPr>
            <w:r>
              <w:rPr>
                <w:rFonts w:ascii="Arial" w:cs="Arial" w:eastAsia="Arial" w:hAnsi="Arial"/>
                <w:sz w:val="14"/>
                <w:szCs w:val="14"/>
                <w:b w:val="1"/>
                <w:bCs w:val="1"/>
                <w:color w:val="auto"/>
              </w:rPr>
              <w:t>(in millions)</w:t>
            </w: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Foreign exchange-forward contracts </w:t>
            </w:r>
            <w:r>
              <w:rPr>
                <w:rFonts w:ascii="Arial" w:cs="Arial" w:eastAsia="Arial" w:hAnsi="Arial"/>
                <w:sz w:val="13"/>
                <w:szCs w:val="13"/>
                <w:color w:val="auto"/>
              </w:rPr>
              <w:t>(1)(2)</w:t>
            </w:r>
          </w:p>
        </w:tc>
        <w:tc>
          <w:tcPr>
            <w:tcW w:w="2520" w:type="dxa"/>
            <w:vAlign w:val="bottom"/>
            <w:gridSpan w:val="2"/>
            <w:shd w:val="clear" w:color="auto" w:fill="CFF0FC"/>
          </w:tcPr>
          <w:p>
            <w:pPr>
              <w:jc w:val="right"/>
              <w:ind w:right="1192"/>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ind w:right="63"/>
              <w:spacing w:after="0"/>
              <w:rPr>
                <w:sz w:val="20"/>
                <w:szCs w:val="20"/>
                <w:color w:val="auto"/>
              </w:rPr>
            </w:pPr>
            <w:r>
              <w:rPr>
                <w:rFonts w:ascii="Arial" w:cs="Arial" w:eastAsia="Arial" w:hAnsi="Arial"/>
                <w:sz w:val="17"/>
                <w:szCs w:val="17"/>
                <w:color w:val="auto"/>
              </w:rPr>
              <w:t>6</w:t>
            </w:r>
          </w:p>
        </w:tc>
        <w:tc>
          <w:tcPr>
            <w:tcW w:w="50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20"/>
                <w:szCs w:val="20"/>
                <w:color w:val="auto"/>
              </w:rPr>
            </w:pPr>
          </w:p>
        </w:tc>
      </w:tr>
    </w:tbl>
    <w:p>
      <w:pPr>
        <w:spacing w:after="0" w:line="154" w:lineRule="exact"/>
        <w:rPr>
          <w:sz w:val="20"/>
          <w:szCs w:val="20"/>
          <w:color w:val="auto"/>
        </w:rPr>
      </w:pPr>
    </w:p>
    <w:p>
      <w:pPr>
        <w:ind w:left="860" w:hanging="339"/>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Derivative contracts address foreign exchange fluctuations for the Euro versus the U.S. Dollar.</w:t>
      </w:r>
    </w:p>
    <w:p>
      <w:pPr>
        <w:spacing w:after="0" w:line="20" w:lineRule="exact"/>
        <w:rPr>
          <w:rFonts w:ascii="Arial" w:cs="Arial" w:eastAsia="Arial" w:hAnsi="Arial"/>
          <w:sz w:val="17"/>
          <w:szCs w:val="17"/>
          <w:color w:val="auto"/>
        </w:rPr>
      </w:pPr>
    </w:p>
    <w:p>
      <w:pPr>
        <w:ind w:left="860" w:right="200" w:hanging="339"/>
        <w:spacing w:after="0" w:line="280"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our derivatives are not material for all periods presented and are reported as liabilities in accrued and other current liabilities on our unaudited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Concentration of Credit Risk</w:t>
      </w:r>
    </w:p>
    <w:p>
      <w:pPr>
        <w:spacing w:after="0" w:line="112" w:lineRule="exact"/>
        <w:rPr>
          <w:sz w:val="20"/>
          <w:szCs w:val="20"/>
          <w:color w:val="auto"/>
        </w:rPr>
      </w:pPr>
    </w:p>
    <w:p>
      <w:pPr>
        <w:ind w:right="60" w:firstLine="518"/>
        <w:spacing w:after="0" w:line="259" w:lineRule="auto"/>
        <w:rPr>
          <w:sz w:val="20"/>
          <w:szCs w:val="20"/>
          <w:color w:val="auto"/>
        </w:rPr>
      </w:pPr>
      <w:r>
        <w:rPr>
          <w:rFonts w:ascii="Arial" w:cs="Arial" w:eastAsia="Arial" w:hAnsi="Arial"/>
          <w:sz w:val="17"/>
          <w:szCs w:val="17"/>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Financial Instruments</w:t>
      </w:r>
    </w:p>
    <w:p>
      <w:pPr>
        <w:spacing w:after="0" w:line="116" w:lineRule="exact"/>
        <w:rPr>
          <w:sz w:val="20"/>
          <w:szCs w:val="20"/>
          <w:color w:val="auto"/>
        </w:rPr>
      </w:pPr>
    </w:p>
    <w:p>
      <w:pPr>
        <w:ind w:right="160" w:firstLine="518"/>
        <w:spacing w:after="0" w:line="304" w:lineRule="auto"/>
        <w:rPr>
          <w:sz w:val="20"/>
          <w:szCs w:val="20"/>
          <w:color w:val="auto"/>
        </w:rPr>
      </w:pPr>
      <w:r>
        <w:rPr>
          <w:rFonts w:ascii="Arial" w:cs="Arial" w:eastAsia="Arial" w:hAnsi="Arial"/>
          <w:sz w:val="15"/>
          <w:szCs w:val="15"/>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June 30, 2014 and December 31, 2013. The carrying value of the long-term borrowings outstanding on our Credit Agreement bears interest at a variable rate and therefore is also considered to approximate fair value.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any Level 3 assets or liabilities for the periods ended June 30, 2014 and December 31, 2013.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6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6: PROPERTY AND EQUIPMENT, NET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Property and equipment consists of the following for the periods presented:</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5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6"/>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4"/>
          </w:tcPr>
          <w:p>
            <w:pPr>
              <w:jc w:val="right"/>
              <w:ind w:right="838"/>
              <w:spacing w:after="0" w:line="147"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Capitalized software and website development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FF0FC"/>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Computer equipment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7"/>
                <w:szCs w:val="17"/>
                <w:color w:val="auto"/>
              </w:rPr>
              <w:t>Furniture, office equipment and other</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8"/>
                <w:szCs w:val="18"/>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(68)</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w:t>
            </w:r>
          </w:p>
        </w:tc>
      </w:tr>
      <w:tr>
        <w:trPr>
          <w:trHeight w:val="217"/>
        </w:trPr>
        <w:tc>
          <w:tcPr>
            <w:tcW w:w="5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 (1)</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tcPr>
          <w:p>
            <w:pPr>
              <w:spacing w:after="0"/>
              <w:rPr>
                <w:sz w:val="18"/>
                <w:szCs w:val="18"/>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860" w:hanging="339"/>
        <w:spacing w:after="0" w:line="275"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capitalize construction in progress for build-to-suit lease agreements where we are considered the owner, for accounting purposes only, during the construction period. These amounts represent construction costs to date incurred by the landlord and the Company related to our future corporate headquarters in Needham, MA. During the six months ended June 30, 2014 we capitalized $28 million in non-cash construction costs which were incurred by the landlord, with a corresponding liability recorded in other long-term liabilities on our unaudited consolidated balance sheet. Refer to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our Consolidated Financial Statements in Item 8 of our Annual Report on Form 10-K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for additional information on our future corporate headquarters lease.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 AND INTANGIBLE ASSETS, NET</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change in goodwill for the six months ended June 30, 2014 consists of the following:</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 millions)</w:t>
            </w:r>
          </w:p>
        </w:tc>
      </w:tr>
      <w:tr>
        <w:trPr>
          <w:trHeight w:val="217"/>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 as of January 1, 2014</w:t>
            </w:r>
          </w:p>
        </w:tc>
        <w:tc>
          <w:tcPr>
            <w:tcW w:w="25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ind w:right="722"/>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FF0FC"/>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Additions (1)</w:t>
            </w:r>
          </w:p>
        </w:tc>
        <w:tc>
          <w:tcPr>
            <w:tcW w:w="2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22"/>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Ending balance as of June 30, 2014</w:t>
            </w:r>
          </w:p>
        </w:tc>
        <w:tc>
          <w:tcPr>
            <w:tcW w:w="25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ind w:right="722"/>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ind w:left="540" w:hanging="538"/>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additions to goodwill relate to our 2014 business acquisitions. See “Note 3— </w:t>
      </w:r>
      <w:r>
        <w:rPr>
          <w:rFonts w:ascii="Arial" w:cs="Arial" w:eastAsia="Arial" w:hAnsi="Arial"/>
          <w:sz w:val="17"/>
          <w:szCs w:val="17"/>
          <w:i w:val="1"/>
          <w:iCs w:val="1"/>
          <w:color w:val="auto"/>
        </w:rPr>
        <w:t>Acquisitions</w:t>
      </w:r>
      <w:r>
        <w:rPr>
          <w:rFonts w:ascii="Arial" w:cs="Arial" w:eastAsia="Arial" w:hAnsi="Arial"/>
          <w:sz w:val="17"/>
          <w:szCs w:val="17"/>
          <w:color w:val="auto"/>
        </w:rPr>
        <w:t>” above, for further information.</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Intangible assets, which were acquired in business combinations and recorded at fair value on the date of purchase, consist of the following:</w:t>
      </w:r>
    </w:p>
    <w:tbl>
      <w:tblPr>
        <w:tblLayout w:type="fixed"/>
        <w:tblInd w:w="11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52"/>
              <w:spacing w:after="0" w:line="155" w:lineRule="exact"/>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1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tcPr>
          <w:p>
            <w:pPr>
              <w:spacing w:after="0"/>
              <w:rPr>
                <w:sz w:val="20"/>
                <w:szCs w:val="20"/>
                <w:color w:val="auto"/>
              </w:rPr>
            </w:pPr>
            <w:r>
              <w:rPr>
                <w:rFonts w:ascii="Arial" w:cs="Arial" w:eastAsia="Arial" w:hAnsi="Arial"/>
                <w:sz w:val="17"/>
                <w:szCs w:val="17"/>
                <w:color w:val="auto"/>
              </w:rPr>
              <w:t>Intangible assets with definite lives</w:t>
            </w:r>
          </w:p>
        </w:tc>
        <w:tc>
          <w:tcPr>
            <w:tcW w:w="1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7"/>
                <w:szCs w:val="17"/>
                <w:color w:val="auto"/>
              </w:rPr>
              <w:t>Intangible assets with definite lives, net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with indefinite lives</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113</w:t>
            </w:r>
          </w:p>
        </w:tc>
        <w:tc>
          <w:tcPr>
            <w:tcW w:w="2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60" w:type="dxa"/>
            <w:vAlign w:val="bottom"/>
            <w:vMerge w:val="restart"/>
          </w:tcPr>
          <w:p>
            <w:pPr>
              <w:jc w:val="right"/>
              <w:ind w:right="839"/>
              <w:spacing w:after="0"/>
              <w:rPr>
                <w:sz w:val="20"/>
                <w:szCs w:val="20"/>
                <w:color w:val="auto"/>
              </w:rPr>
            </w:pPr>
            <w:r>
              <w:rPr>
                <w:rFonts w:ascii="Arial" w:cs="Arial" w:eastAsia="Arial" w:hAnsi="Arial"/>
                <w:sz w:val="17"/>
                <w:szCs w:val="17"/>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3"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7"/>
          <w:szCs w:val="17"/>
          <w:color w:val="auto"/>
        </w:rPr>
        <w:t>The following table presents the components of our intangible assets with definite lives:</w:t>
      </w:r>
    </w:p>
    <w:p>
      <w:pPr>
        <w:spacing w:after="0" w:line="200" w:lineRule="exact"/>
        <w:rPr>
          <w:sz w:val="20"/>
          <w:szCs w:val="20"/>
          <w:color w:val="auto"/>
        </w:rPr>
      </w:pP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Weighted Average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2013</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39"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2"/>
                <w:szCs w:val="12"/>
                <w:color w:val="auto"/>
              </w:rPr>
            </w:pPr>
          </w:p>
        </w:tc>
        <w:tc>
          <w:tcPr>
            <w:tcW w:w="740" w:type="dxa"/>
            <w:vAlign w:val="bottom"/>
          </w:tcPr>
          <w:p>
            <w:pPr>
              <w:jc w:val="center"/>
              <w:ind w:left="112"/>
              <w:spacing w:after="0" w:line="139" w:lineRule="exact"/>
              <w:rPr>
                <w:sz w:val="20"/>
                <w:szCs w:val="20"/>
                <w:color w:val="auto"/>
              </w:rPr>
            </w:pPr>
            <w:r>
              <w:rPr>
                <w:rFonts w:ascii="Arial" w:cs="Arial" w:eastAsia="Arial" w:hAnsi="Arial"/>
                <w:sz w:val="14"/>
                <w:szCs w:val="14"/>
                <w:b w:val="1"/>
                <w:bCs w:val="1"/>
                <w:color w:val="auto"/>
                <w:w w:val="78"/>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2"/>
              <w:spacing w:after="0" w:line="13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13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Remaining Life</w:t>
            </w:r>
          </w:p>
        </w:tc>
        <w:tc>
          <w:tcPr>
            <w:tcW w:w="10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3"/>
                <w:szCs w:val="13"/>
                <w:color w:val="auto"/>
              </w:rPr>
            </w:pPr>
          </w:p>
        </w:tc>
        <w:tc>
          <w:tcPr>
            <w:tcW w:w="720" w:type="dxa"/>
            <w:vAlign w:val="bottom"/>
          </w:tcPr>
          <w:p>
            <w:pPr>
              <w:jc w:val="center"/>
              <w:ind w:right="22"/>
              <w:spacing w:after="0" w:line="153"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3"/>
                <w:szCs w:val="13"/>
                <w:color w:val="auto"/>
              </w:rPr>
            </w:pPr>
          </w:p>
        </w:tc>
        <w:tc>
          <w:tcPr>
            <w:tcW w:w="740" w:type="dxa"/>
            <w:vAlign w:val="bottom"/>
          </w:tcPr>
          <w:p>
            <w:pPr>
              <w:jc w:val="center"/>
              <w:ind w:left="112"/>
              <w:spacing w:after="0" w:line="153" w:lineRule="exact"/>
              <w:rPr>
                <w:sz w:val="20"/>
                <w:szCs w:val="20"/>
                <w:color w:val="auto"/>
              </w:rPr>
            </w:pPr>
            <w:r>
              <w:rPr>
                <w:rFonts w:ascii="Arial" w:cs="Arial" w:eastAsia="Arial" w:hAnsi="Arial"/>
                <w:sz w:val="14"/>
                <w:szCs w:val="14"/>
                <w:b w:val="1"/>
                <w:bCs w:val="1"/>
                <w:color w:val="auto"/>
                <w:w w:val="90"/>
              </w:rPr>
              <w:t>Carrying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4"/>
                <w:szCs w:val="14"/>
                <w:color w:val="auto"/>
              </w:rPr>
            </w:pPr>
          </w:p>
        </w:tc>
        <w:tc>
          <w:tcPr>
            <w:tcW w:w="72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740" w:type="dxa"/>
            <w:vAlign w:val="bottom"/>
          </w:tcPr>
          <w:p>
            <w:pPr>
              <w:jc w:val="center"/>
              <w:ind w:left="112"/>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Amortization</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5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right w:val="single" w:sz="8" w:color="CFF0FC"/>
            </w:tcBorders>
            <w:gridSpan w:val="2"/>
            <w:shd w:val="clear" w:color="auto" w:fill="CFF0FC"/>
          </w:tcPr>
          <w:p>
            <w:pPr>
              <w:jc w:val="center"/>
              <w:ind w:right="260"/>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gridSpan w:val="2"/>
            <w:shd w:val="clear" w:color="auto" w:fill="CFF0FC"/>
          </w:tcPr>
          <w:p>
            <w:pPr>
              <w:jc w:val="center"/>
              <w:ind w:right="260"/>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7"/>
                <w:szCs w:val="17"/>
                <w:color w:val="auto"/>
              </w:rPr>
              <w:t>Trade names and trademarks</w:t>
            </w:r>
          </w:p>
        </w:tc>
        <w:tc>
          <w:tcPr>
            <w:tcW w:w="1140" w:type="dxa"/>
            <w:vAlign w:val="bottom"/>
          </w:tcPr>
          <w:p>
            <w:pPr>
              <w:jc w:val="right"/>
              <w:spacing w:after="0"/>
              <w:rPr>
                <w:sz w:val="20"/>
                <w:szCs w:val="20"/>
                <w:color w:val="auto"/>
              </w:rPr>
            </w:pPr>
            <w:r>
              <w:rPr>
                <w:rFonts w:ascii="Arial" w:cs="Arial" w:eastAsia="Arial" w:hAnsi="Arial"/>
                <w:sz w:val="17"/>
                <w:szCs w:val="17"/>
                <w:color w:val="auto"/>
              </w:rPr>
              <w:t>9.4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920" w:type="dxa"/>
            <w:vAlign w:val="bottom"/>
            <w:gridSpan w:val="2"/>
          </w:tcPr>
          <w:p>
            <w:pPr>
              <w:jc w:val="right"/>
              <w:ind w:right="572"/>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18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7"/>
                <w:szCs w:val="17"/>
                <w:color w:val="auto"/>
              </w:rPr>
              <w:t>Subscriber and customer</w:t>
            </w: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FF0FC"/>
          </w:tcPr>
          <w:p>
            <w:pPr>
              <w:spacing w:after="0"/>
              <w:rPr>
                <w:sz w:val="20"/>
                <w:szCs w:val="20"/>
                <w:color w:val="auto"/>
              </w:rPr>
            </w:pPr>
            <w:r>
              <w:rPr>
                <w:rFonts w:ascii="Arial" w:cs="Arial" w:eastAsia="Arial" w:hAnsi="Arial"/>
                <w:sz w:val="17"/>
                <w:szCs w:val="17"/>
                <w:color w:val="auto"/>
              </w:rPr>
              <w:t>relationships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7"/>
                <w:szCs w:val="17"/>
                <w:color w:val="auto"/>
              </w:rPr>
              <w:t>Technology and other</w:t>
            </w:r>
          </w:p>
        </w:tc>
        <w:tc>
          <w:tcPr>
            <w:tcW w:w="1140" w:type="dxa"/>
            <w:vAlign w:val="bottom"/>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92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36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7"/>
          <w:szCs w:val="17"/>
          <w:color w:val="auto"/>
        </w:rPr>
        <w:t>Intangible assets with definite lives are amortized on a straight-line basis. The estimated amortization expense for intangible assets with definite lives for the remainder of 2014, the annual expense for the next five years, and the expense thereafter, assuming no subsequent impairment of the underlying assets, is expected to be as follows (in millions):</w:t>
      </w: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jc w:val="right"/>
              <w:ind w:right="2195"/>
              <w:spacing w:after="0"/>
              <w:rPr>
                <w:sz w:val="20"/>
                <w:szCs w:val="20"/>
                <w:color w:val="auto"/>
              </w:rPr>
            </w:pPr>
            <w:r>
              <w:rPr>
                <w:rFonts w:ascii="Arial" w:cs="Arial" w:eastAsia="Arial" w:hAnsi="Arial"/>
                <w:sz w:val="17"/>
                <w:szCs w:val="17"/>
                <w:color w:val="auto"/>
                <w:w w:val="90"/>
              </w:rPr>
              <w:t>2014 (remaining six months)</w:t>
            </w:r>
          </w:p>
        </w:tc>
        <w:tc>
          <w:tcPr>
            <w:tcW w:w="3480" w:type="dxa"/>
            <w:vAlign w:val="bottom"/>
            <w:gridSpan w:val="2"/>
            <w:shd w:val="clear" w:color="auto" w:fill="CFF0FC"/>
          </w:tcPr>
          <w:p>
            <w:pPr>
              <w:jc w:val="right"/>
              <w:ind w:right="1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gridSpan w:val="2"/>
          </w:tcPr>
          <w:p>
            <w:pPr>
              <w:jc w:val="right"/>
              <w:ind w:right="3835"/>
              <w:spacing w:after="0"/>
              <w:rPr>
                <w:sz w:val="20"/>
                <w:szCs w:val="20"/>
                <w:color w:val="auto"/>
              </w:rPr>
            </w:pPr>
            <w:r>
              <w:rPr>
                <w:rFonts w:ascii="Arial" w:cs="Arial" w:eastAsia="Arial" w:hAnsi="Arial"/>
                <w:sz w:val="17"/>
                <w:szCs w:val="17"/>
                <w:color w:val="auto"/>
                <w:w w:val="84"/>
              </w:rPr>
              <w:t>2015</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FF0FC"/>
          </w:tcPr>
          <w:p>
            <w:pPr>
              <w:jc w:val="right"/>
              <w:ind w:right="3835"/>
              <w:spacing w:after="0"/>
              <w:rPr>
                <w:sz w:val="20"/>
                <w:szCs w:val="20"/>
                <w:color w:val="auto"/>
              </w:rPr>
            </w:pPr>
            <w:r>
              <w:rPr>
                <w:rFonts w:ascii="Arial" w:cs="Arial" w:eastAsia="Arial" w:hAnsi="Arial"/>
                <w:sz w:val="17"/>
                <w:szCs w:val="17"/>
                <w:color w:val="auto"/>
                <w:w w:val="79"/>
              </w:rPr>
              <w:t>2016</w:t>
            </w:r>
          </w:p>
        </w:tc>
        <w:tc>
          <w:tcPr>
            <w:tcW w:w="2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gridSpan w:val="2"/>
          </w:tcPr>
          <w:p>
            <w:pPr>
              <w:jc w:val="right"/>
              <w:ind w:right="3835"/>
              <w:spacing w:after="0"/>
              <w:rPr>
                <w:sz w:val="20"/>
                <w:szCs w:val="20"/>
                <w:color w:val="auto"/>
              </w:rPr>
            </w:pPr>
            <w:r>
              <w:rPr>
                <w:rFonts w:ascii="Arial" w:cs="Arial" w:eastAsia="Arial" w:hAnsi="Arial"/>
                <w:sz w:val="17"/>
                <w:szCs w:val="17"/>
                <w:color w:val="auto"/>
                <w:w w:val="84"/>
              </w:rPr>
              <w:t>2017</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FF0FC"/>
          </w:tcPr>
          <w:p>
            <w:pPr>
              <w:jc w:val="right"/>
              <w:ind w:right="3835"/>
              <w:spacing w:after="0"/>
              <w:rPr>
                <w:sz w:val="20"/>
                <w:szCs w:val="20"/>
                <w:color w:val="auto"/>
              </w:rPr>
            </w:pPr>
            <w:r>
              <w:rPr>
                <w:rFonts w:ascii="Arial" w:cs="Arial" w:eastAsia="Arial" w:hAnsi="Arial"/>
                <w:sz w:val="17"/>
                <w:szCs w:val="17"/>
                <w:color w:val="auto"/>
                <w:w w:val="79"/>
              </w:rPr>
              <w:t>2018</w:t>
            </w:r>
          </w:p>
        </w:tc>
        <w:tc>
          <w:tcPr>
            <w:tcW w:w="2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gridSpan w:val="2"/>
          </w:tcPr>
          <w:p>
            <w:pPr>
              <w:jc w:val="right"/>
              <w:ind w:right="2835"/>
              <w:spacing w:after="0"/>
              <w:rPr>
                <w:sz w:val="20"/>
                <w:szCs w:val="20"/>
                <w:color w:val="auto"/>
              </w:rPr>
            </w:pPr>
            <w:r>
              <w:rPr>
                <w:rFonts w:ascii="Arial" w:cs="Arial" w:eastAsia="Arial" w:hAnsi="Arial"/>
                <w:sz w:val="17"/>
                <w:szCs w:val="17"/>
                <w:color w:val="auto"/>
                <w:w w:val="88"/>
              </w:rPr>
              <w:t>2019 and thereafter</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jc w:val="right"/>
              <w:ind w:right="3595"/>
              <w:spacing w:after="0"/>
              <w:rPr>
                <w:sz w:val="20"/>
                <w:szCs w:val="20"/>
                <w:color w:val="auto"/>
              </w:rPr>
            </w:pPr>
            <w:r>
              <w:rPr>
                <w:rFonts w:ascii="Arial" w:cs="Arial" w:eastAsia="Arial" w:hAnsi="Arial"/>
                <w:sz w:val="17"/>
                <w:szCs w:val="17"/>
                <w:color w:val="auto"/>
              </w:rPr>
              <w:t>Total</w:t>
            </w:r>
          </w:p>
        </w:tc>
        <w:tc>
          <w:tcPr>
            <w:tcW w:w="2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shd w:val="clear" w:color="auto" w:fill="CFF0FC"/>
          </w:tcPr>
          <w:p>
            <w:pPr>
              <w:spacing w:after="0"/>
              <w:rPr>
                <w:sz w:val="18"/>
                <w:szCs w:val="18"/>
                <w:color w:val="auto"/>
              </w:rPr>
            </w:pPr>
          </w:p>
        </w:tc>
        <w:tc>
          <w:tcPr>
            <w:tcW w:w="3480" w:type="dxa"/>
            <w:vAlign w:val="bottom"/>
            <w:gridSpan w:val="2"/>
            <w:shd w:val="clear" w:color="auto" w:fill="CFF0FC"/>
          </w:tcPr>
          <w:p>
            <w:pPr>
              <w:jc w:val="right"/>
              <w:ind w:right="1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 Facility Due 2016 and Revolving Credit Facility</w:t>
      </w:r>
    </w:p>
    <w:p>
      <w:pPr>
        <w:spacing w:after="0" w:line="11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7"/>
          <w:szCs w:val="17"/>
          <w:color w:val="auto"/>
        </w:rPr>
        <w:t>On December 20, 2011, we entered into a credit agreement,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the Term Loan Facility (“Term Loan”) in an aggregate principal amount of $400 million with a term of five years due December 2016; and</w:t>
      </w:r>
    </w:p>
    <w:p>
      <w:pPr>
        <w:spacing w:after="0" w:line="102" w:lineRule="exact"/>
        <w:rPr>
          <w:sz w:val="20"/>
          <w:szCs w:val="20"/>
          <w:color w:val="auto"/>
        </w:rPr>
      </w:pPr>
    </w:p>
    <w:p>
      <w:pPr>
        <w:ind w:left="820" w:right="220" w:hanging="294"/>
        <w:spacing w:after="0" w:line="224" w:lineRule="auto"/>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the Revolving Credit Facility in an aggregate principal amount of $200 million available in U.S. dollars, Euros and British pound sterling with a term of</w:t>
      </w:r>
      <w:r>
        <w:rPr>
          <w:rFonts w:ascii="Arial" w:cs="Arial" w:eastAsia="Arial" w:hAnsi="Arial"/>
          <w:sz w:val="20"/>
          <w:szCs w:val="20"/>
          <w:color w:val="auto"/>
        </w:rPr>
        <w:t xml:space="preserve"> </w:t>
      </w:r>
      <w:r>
        <w:rPr>
          <w:rFonts w:ascii="Arial" w:cs="Arial" w:eastAsia="Arial" w:hAnsi="Arial"/>
          <w:sz w:val="17"/>
          <w:szCs w:val="17"/>
          <w:color w:val="auto"/>
        </w:rPr>
        <w:t>five years expiring December 2016.</w:t>
      </w:r>
    </w:p>
    <w:p>
      <w:pPr>
        <w:spacing w:after="0" w:line="194" w:lineRule="exact"/>
        <w:rPr>
          <w:sz w:val="20"/>
          <w:szCs w:val="20"/>
          <w:color w:val="auto"/>
        </w:rPr>
      </w:pPr>
    </w:p>
    <w:p>
      <w:pPr>
        <w:ind w:firstLine="518"/>
        <w:spacing w:after="0" w:line="273" w:lineRule="auto"/>
        <w:rPr>
          <w:sz w:val="20"/>
          <w:szCs w:val="20"/>
          <w:color w:val="auto"/>
        </w:rPr>
      </w:pPr>
      <w:r>
        <w:rPr>
          <w:rFonts w:ascii="Arial" w:cs="Arial" w:eastAsia="Arial" w:hAnsi="Arial"/>
          <w:sz w:val="16"/>
          <w:szCs w:val="16"/>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June 30, 2014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72" w:lineRule="exact"/>
        <w:rPr>
          <w:sz w:val="20"/>
          <w:szCs w:val="20"/>
          <w:color w:val="auto"/>
        </w:rPr>
      </w:pPr>
    </w:p>
    <w:p>
      <w:pPr>
        <w:ind w:right="40" w:firstLine="518"/>
        <w:spacing w:after="0" w:line="308" w:lineRule="auto"/>
        <w:rPr>
          <w:sz w:val="20"/>
          <w:szCs w:val="20"/>
          <w:color w:val="auto"/>
        </w:rPr>
      </w:pPr>
      <w:r>
        <w:rPr>
          <w:rFonts w:ascii="Arial" w:cs="Arial" w:eastAsia="Arial" w:hAnsi="Arial"/>
          <w:sz w:val="16"/>
          <w:szCs w:val="16"/>
          <w:color w:val="auto"/>
        </w:rPr>
        <w:t>The Term Loan principal is currently repayable in quarterly installments on the last day of each calendar quarter equal to 2.5% of the original principal amount with the balance due on the final maturity date. Principal payments aggregating $20 million were made during the six months ended June 30, 2014.</w:t>
      </w:r>
    </w:p>
    <w:p>
      <w:pPr>
        <w:spacing w:after="0" w:line="14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Revolving Credit Facility includes $40 million of borrowing capacity available for letters of credit and $40 million for borrowings on same-day notice. As of June 30, 2014 there are no outstanding borrowings under our Revolving Credit Facility.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357" w:right="259" w:bottom="1440" w:gutter="0" w:footer="0" w:header="0"/>
        </w:sectPr>
      </w:pPr>
    </w:p>
    <w:bookmarkStart w:id="16" w:name="page17"/>
    <w:bookmarkEnd w:id="16"/>
    <w:p>
      <w:pPr>
        <w:ind w:right="140" w:firstLine="518"/>
        <w:spacing w:after="0" w:line="280" w:lineRule="auto"/>
        <w:rPr>
          <w:sz w:val="20"/>
          <w:szCs w:val="20"/>
          <w:color w:val="auto"/>
        </w:rPr>
      </w:pPr>
      <w:r>
        <w:rPr>
          <w:rFonts w:ascii="Arial" w:cs="Arial" w:eastAsia="Arial" w:hAnsi="Arial"/>
          <w:sz w:val="16"/>
          <w:szCs w:val="16"/>
          <w:color w:val="auto"/>
        </w:rPr>
        <w:t>During the three and six months ended June 30, 2014, we recorded total interest and commitment fees on our Credit Agreement of $2 million and $3 million, respectively, to interest expense on our unaudited consolidated statements of operations. During the three and six months ended June 30, 2013, we recorded total interest and commitment fees on our Credit Agreement of $2 million and $4 million, respectively, to interest expense on our unaudited consolidated statements of operations. All unpaid interest and commitment fee amounts as of June 30, 2014 and December 31, 2013 were not material.</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 outstanding borrowings under the Credit Agreement consist of the following:</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96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8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gridSpan w:val="2"/>
            <w:vMerge w:val="restart"/>
          </w:tcPr>
          <w:p>
            <w:pPr>
              <w:spacing w:after="0"/>
              <w:rPr>
                <w:sz w:val="20"/>
                <w:szCs w:val="20"/>
                <w:color w:val="auto"/>
              </w:rPr>
            </w:pPr>
            <w:r>
              <w:rPr>
                <w:rFonts w:ascii="Arial" w:cs="Arial" w:eastAsia="Arial" w:hAnsi="Arial"/>
                <w:sz w:val="17"/>
                <w:szCs w:val="17"/>
                <w:color w:val="auto"/>
              </w:rPr>
              <w:t>Short-Term Debt:</w:t>
            </w:r>
          </w:p>
        </w:tc>
        <w:tc>
          <w:tcPr>
            <w:tcW w:w="164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6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Term Loan</w:t>
            </w:r>
          </w:p>
        </w:tc>
        <w:tc>
          <w:tcPr>
            <w:tcW w:w="1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7"/>
                <w:szCs w:val="17"/>
                <w:color w:val="auto"/>
              </w:rPr>
              <w:t>Total Short-Term Borrowings</w:t>
            </w:r>
          </w:p>
        </w:tc>
        <w:tc>
          <w:tcPr>
            <w:tcW w:w="1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40</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6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7"/>
                <w:szCs w:val="17"/>
                <w:color w:val="auto"/>
              </w:rPr>
              <w:t>Term Loan</w:t>
            </w:r>
          </w:p>
        </w:tc>
        <w:tc>
          <w:tcPr>
            <w:tcW w:w="1640" w:type="dxa"/>
            <w:vAlign w:val="bottom"/>
          </w:tcPr>
          <w:p>
            <w:pPr>
              <w:spacing w:after="0"/>
              <w:rPr>
                <w:sz w:val="18"/>
                <w:szCs w:val="18"/>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280</w:t>
            </w: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Long-Term Borrowings</w:t>
            </w:r>
          </w:p>
        </w:tc>
        <w:tc>
          <w:tcPr>
            <w:tcW w:w="16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2014, we are in compliance with all of our debt covenants.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Chinese Credit Facilities</w:t>
      </w:r>
    </w:p>
    <w:p>
      <w:pPr>
        <w:spacing w:after="0" w:line="112"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In addition to our borrowings under the Credit Agreement, we maintain our Chinese Credit Facilities. As of June 30, 2014 and December 31, 2013, we had short-term borrowings outstanding of $33 million and $28 million, respectively.</w:t>
      </w:r>
    </w:p>
    <w:p>
      <w:pPr>
        <w:spacing w:after="0" w:line="164" w:lineRule="exact"/>
        <w:rPr>
          <w:sz w:val="20"/>
          <w:szCs w:val="20"/>
          <w:color w:val="auto"/>
        </w:rPr>
      </w:pPr>
    </w:p>
    <w:p>
      <w:pPr>
        <w:ind w:firstLine="518"/>
        <w:spacing w:after="0" w:line="259" w:lineRule="auto"/>
        <w:rPr>
          <w:sz w:val="20"/>
          <w:szCs w:val="20"/>
          <w:color w:val="auto"/>
        </w:rPr>
      </w:pPr>
      <w:r>
        <w:rPr>
          <w:rFonts w:ascii="Arial" w:cs="Arial" w:eastAsia="Arial" w:hAnsi="Arial"/>
          <w:sz w:val="17"/>
          <w:szCs w:val="17"/>
          <w:color w:val="auto"/>
        </w:rPr>
        <w:t>Certain of our Chinese subsidiaries entered into a RMB 189,000,000 (approximately $30 million), one-year revolving credit facility with Bank of America (the “Chinese Credit Facility—BOA”) that is currently subject to review on a periodic basis with no-specific expiration period. We had $14 million of outstanding borrowings from the Chinese Credit Facility—BOA as of June 30, 2014. Our Chinese Credit Facility—BOA currently bears interest at a rate based on 100% of the People’s Bank of China’s base rate, which was 5.6% as of June 30, 2014.</w:t>
      </w:r>
    </w:p>
    <w:p>
      <w:pPr>
        <w:spacing w:after="0" w:line="180" w:lineRule="exact"/>
        <w:rPr>
          <w:sz w:val="20"/>
          <w:szCs w:val="20"/>
          <w:color w:val="auto"/>
        </w:rPr>
      </w:pPr>
    </w:p>
    <w:p>
      <w:pPr>
        <w:ind w:firstLine="518"/>
        <w:spacing w:after="0" w:line="259" w:lineRule="auto"/>
        <w:rPr>
          <w:sz w:val="20"/>
          <w:szCs w:val="20"/>
          <w:color w:val="auto"/>
        </w:rPr>
      </w:pPr>
      <w:r>
        <w:rPr>
          <w:rFonts w:ascii="Arial" w:cs="Arial" w:eastAsia="Arial" w:hAnsi="Arial"/>
          <w:sz w:val="17"/>
          <w:szCs w:val="17"/>
          <w:color w:val="auto"/>
        </w:rPr>
        <w:t>In addition, during April 2014, certain of our Chinese subsidiaries renewed a RMB 125,000,000 (approximately $20 million) one-year revolving credit facility with J.P. Morgan Chase Bank (“Chinese Credit Facility—JPM”). We had $19 million of outstanding borrowings from the Chinese Credit Facility—JPM as of June 30, 2014. Our Chinese Credit Facility—JPM currently bears interest at a rate based on 100% of the People’s Bank of China’s base rate, which was 5.6% as of June 30, 2014.</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INCOME TAXES</w:t>
      </w:r>
    </w:p>
    <w:p>
      <w:pPr>
        <w:spacing w:after="0" w:line="116" w:lineRule="exact"/>
        <w:rPr>
          <w:sz w:val="20"/>
          <w:szCs w:val="20"/>
          <w:color w:val="auto"/>
        </w:rPr>
      </w:pPr>
    </w:p>
    <w:p>
      <w:pPr>
        <w:ind w:right="120" w:firstLine="518"/>
        <w:spacing w:after="0" w:line="315" w:lineRule="auto"/>
        <w:rPr>
          <w:sz w:val="20"/>
          <w:szCs w:val="20"/>
          <w:color w:val="auto"/>
        </w:rPr>
      </w:pPr>
      <w:r>
        <w:rPr>
          <w:rFonts w:ascii="Arial" w:cs="Arial" w:eastAsia="Arial" w:hAnsi="Arial"/>
          <w:sz w:val="15"/>
          <w:szCs w:val="15"/>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40"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Our effective tax rate for the three and six months ended June 30, 2014 was 30.6% and 29.2%, respectively. Our effective tax rate for the three and six months ended June 30, 2013 was 25.6% and 25.9%, respectively. For the three and six months ended June 30, 2014,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increase in the effective tax rate for 2014 compared to the 2013 rate was primarily due to a change in jurisdictional earnings and certain discrete items.</w:t>
      </w:r>
    </w:p>
    <w:p>
      <w:pPr>
        <w:spacing w:after="0" w:line="181"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Our policy is to recognize accrued interest and penalties related to unrecognized tax benefits and income tax liabilities as part of our income tax expense. As of June 30, 2014, accrued interest is $1 million, net of federal benefit, and no penalties have been accrued. We do not anticipate any material releases in the next twelve months.</w:t>
      </w:r>
    </w:p>
    <w:p>
      <w:pPr>
        <w:spacing w:after="0" w:line="176" w:lineRule="exact"/>
        <w:rPr>
          <w:sz w:val="20"/>
          <w:szCs w:val="20"/>
          <w:color w:val="auto"/>
        </w:rPr>
      </w:pPr>
    </w:p>
    <w:p>
      <w:pPr>
        <w:ind w:right="260" w:firstLine="518"/>
        <w:spacing w:after="0" w:line="263" w:lineRule="auto"/>
        <w:rPr>
          <w:sz w:val="20"/>
          <w:szCs w:val="20"/>
          <w:color w:val="auto"/>
        </w:rPr>
      </w:pPr>
      <w:r>
        <w:rPr>
          <w:rFonts w:ascii="Arial" w:cs="Arial" w:eastAsia="Arial" w:hAnsi="Arial"/>
          <w:sz w:val="17"/>
          <w:szCs w:val="17"/>
          <w:color w:val="auto"/>
        </w:rPr>
        <w:t>We are routinely under audit by federal, state and foreign tax authorities. By virtue of previous consolidated income tax returns filed with Expedia, we are currently under an IRS audit for the 2009 and 2010 tax years, and have various ongoing state income tax audits. As of June 30, 2014, no material assessments have resulted from these audits. These audits include questioning the timing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562" w:right="279" w:bottom="1440" w:gutter="0" w:footer="0" w:header="0"/>
        </w:sectPr>
      </w:pPr>
    </w:p>
    <w:bookmarkStart w:id="17" w:name="page18"/>
    <w:bookmarkEnd w:id="17"/>
    <w:p>
      <w:pPr>
        <w:ind w:right="100"/>
        <w:spacing w:after="0" w:line="345" w:lineRule="auto"/>
        <w:rPr>
          <w:sz w:val="20"/>
          <w:szCs w:val="20"/>
          <w:color w:val="auto"/>
        </w:rPr>
      </w:pPr>
      <w:r>
        <w:rPr>
          <w:rFonts w:ascii="Arial" w:cs="Arial" w:eastAsia="Arial" w:hAnsi="Arial"/>
          <w:sz w:val="15"/>
          <w:szCs w:val="15"/>
          <w:color w:val="auto"/>
        </w:rPr>
        <w:t>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OTHER LONG-TERM LIABILITIES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long-term liabilities consisted of the following for the periods presented:</w:t>
      </w:r>
    </w:p>
    <w:p>
      <w:pPr>
        <w:spacing w:after="0" w:line="3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7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jc w:val="right"/>
              <w:ind w:right="8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gridSpan w:val="3"/>
            <w:shd w:val="clear" w:color="auto" w:fill="CFF0FC"/>
          </w:tcPr>
          <w:p>
            <w:pPr>
              <w:jc w:val="right"/>
              <w:ind w:right="240"/>
              <w:spacing w:after="0" w:line="147" w:lineRule="exact"/>
              <w:rPr>
                <w:sz w:val="20"/>
                <w:szCs w:val="20"/>
                <w:color w:val="auto"/>
              </w:rPr>
            </w:pPr>
            <w:r>
              <w:rPr>
                <w:rFonts w:ascii="Arial" w:cs="Arial" w:eastAsia="Arial" w:hAnsi="Arial"/>
                <w:sz w:val="14"/>
                <w:szCs w:val="14"/>
                <w:b w:val="1"/>
                <w:bCs w:val="1"/>
                <w:color w:val="auto"/>
              </w:rPr>
              <w:t>(in millions)</w:t>
            </w:r>
          </w:p>
        </w:tc>
        <w:tc>
          <w:tcPr>
            <w:tcW w:w="1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7"/>
                <w:szCs w:val="17"/>
                <w:color w:val="auto"/>
              </w:rPr>
              <w:t>Unrecognized tax benefits (1)</w:t>
            </w:r>
          </w:p>
        </w:tc>
        <w:tc>
          <w:tcPr>
            <w:tcW w:w="2740" w:type="dxa"/>
            <w:vAlign w:val="bottom"/>
            <w:gridSpan w:val="2"/>
          </w:tcPr>
          <w:p>
            <w:pPr>
              <w:jc w:val="right"/>
              <w:ind w:right="1452"/>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w:t>
            </w:r>
          </w:p>
        </w:tc>
        <w:tc>
          <w:tcPr>
            <w:tcW w:w="7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Construction liabilities (2)</w:t>
            </w:r>
          </w:p>
        </w:tc>
        <w:tc>
          <w:tcPr>
            <w:tcW w:w="1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7"/>
                <w:szCs w:val="17"/>
                <w:color w:val="auto"/>
              </w:rPr>
              <w:t>Other (3)</w:t>
            </w: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other long-term liabilities</w:t>
            </w:r>
          </w:p>
        </w:tc>
        <w:tc>
          <w:tcPr>
            <w:tcW w:w="11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vMerge w:val="continue"/>
            <w:shd w:val="clear" w:color="auto" w:fill="CFF0FC"/>
          </w:tcPr>
          <w:p>
            <w:pPr>
              <w:spacing w:after="0"/>
              <w:rPr>
                <w:sz w:val="18"/>
                <w:szCs w:val="18"/>
                <w:color w:val="auto"/>
              </w:rPr>
            </w:pPr>
          </w:p>
        </w:tc>
        <w:tc>
          <w:tcPr>
            <w:tcW w:w="2740" w:type="dxa"/>
            <w:vAlign w:val="bottom"/>
            <w:gridSpan w:val="2"/>
            <w:shd w:val="clear" w:color="auto" w:fill="CFF0FC"/>
          </w:tcPr>
          <w:p>
            <w:pPr>
              <w:jc w:val="right"/>
              <w:ind w:right="1452"/>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540" w:hanging="538"/>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includes accrued interest related to this liability.</w:t>
      </w:r>
    </w:p>
    <w:p>
      <w:pPr>
        <w:spacing w:after="0" w:line="20" w:lineRule="exact"/>
        <w:rPr>
          <w:rFonts w:ascii="Arial" w:cs="Arial" w:eastAsia="Arial" w:hAnsi="Arial"/>
          <w:sz w:val="17"/>
          <w:szCs w:val="17"/>
          <w:color w:val="auto"/>
        </w:rPr>
      </w:pPr>
    </w:p>
    <w:p>
      <w:pPr>
        <w:ind w:left="540" w:hanging="538"/>
        <w:spacing w:after="0" w:line="251"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capitalize construction in progress and record a corresponding long-term liability for build-to-suit lease agreements where we are considered the owner durin construction period for accounting purposes only.</w:t>
      </w:r>
    </w:p>
    <w:p>
      <w:pPr>
        <w:ind w:left="540" w:hanging="538"/>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primarily consist of long term deferred rent balances related to operating leases for office space.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COMMITMENTS AND CONTINGENCIES</w:t>
      </w:r>
    </w:p>
    <w:p>
      <w:pPr>
        <w:spacing w:after="0" w:line="11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2013. Refer to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the Notes to our Consolidated Financial Statements in Item 8 of our Annual Report on Form 10-K for the year ended December 31, 2013.</w:t>
      </w:r>
    </w:p>
    <w:p>
      <w:pPr>
        <w:spacing w:after="0" w:line="142" w:lineRule="exact"/>
        <w:rPr>
          <w:sz w:val="20"/>
          <w:szCs w:val="20"/>
          <w:color w:val="auto"/>
        </w:rPr>
      </w:pPr>
    </w:p>
    <w:p>
      <w:pPr>
        <w:ind w:right="160" w:firstLine="518"/>
        <w:spacing w:after="0" w:line="296" w:lineRule="auto"/>
        <w:rPr>
          <w:sz w:val="20"/>
          <w:szCs w:val="20"/>
          <w:color w:val="auto"/>
        </w:rPr>
      </w:pPr>
      <w:r>
        <w:rPr>
          <w:rFonts w:ascii="Arial" w:cs="Arial" w:eastAsia="Arial" w:hAnsi="Arial"/>
          <w:sz w:val="15"/>
          <w:szCs w:val="15"/>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2" w:lineRule="exact"/>
        <w:rPr>
          <w:sz w:val="20"/>
          <w:szCs w:val="20"/>
          <w:color w:val="auto"/>
        </w:rPr>
      </w:pPr>
    </w:p>
    <w:p>
      <w:pPr>
        <w:ind w:right="440" w:firstLine="518"/>
        <w:spacing w:after="0" w:line="276"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At June 30, 2014, no preferred shares had been issued.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and Class B Common Stock</w:t>
      </w:r>
    </w:p>
    <w:p>
      <w:pPr>
        <w:spacing w:after="0" w:line="112" w:lineRule="exact"/>
        <w:rPr>
          <w:sz w:val="20"/>
          <w:szCs w:val="20"/>
          <w:color w:val="auto"/>
        </w:rPr>
      </w:pPr>
    </w:p>
    <w:p>
      <w:pPr>
        <w:ind w:right="140" w:firstLine="518"/>
        <w:spacing w:after="0" w:line="272"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of the total number of directors, rounded up to the next whole number, which was three directors as of June 30, 2014.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132,091,353 and 129,970,644 shares of common stock issued and outstanding, respectively, at June 30, 2014. There were also 12,799,999 shares of Class B common stock issued and outstanding at June 30, 2014.</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520"/>
          </w:cols>
          <w:pgMar w:left="240" w:top="562" w:right="1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Accumulated Other Comprehensive Income</w:t>
      </w:r>
    </w:p>
    <w:p>
      <w:pPr>
        <w:spacing w:after="0" w:line="11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Accumulated other comprehensive income primarily relates to cumulative foreign currency translation adjustments and was not material at June 30, 2014 and December 31, 2013.</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112" w:lineRule="exact"/>
        <w:rPr>
          <w:sz w:val="20"/>
          <w:szCs w:val="20"/>
          <w:color w:val="auto"/>
        </w:rPr>
      </w:pPr>
    </w:p>
    <w:p>
      <w:pPr>
        <w:ind w:right="40" w:firstLine="518"/>
        <w:spacing w:after="0" w:line="277"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66" w:lineRule="exact"/>
        <w:rPr>
          <w:sz w:val="20"/>
          <w:szCs w:val="20"/>
          <w:color w:val="auto"/>
        </w:rPr>
      </w:pPr>
    </w:p>
    <w:p>
      <w:pPr>
        <w:jc w:val="both"/>
        <w:ind w:right="240" w:firstLine="518"/>
        <w:spacing w:after="0" w:line="263" w:lineRule="auto"/>
        <w:rPr>
          <w:sz w:val="20"/>
          <w:szCs w:val="20"/>
          <w:color w:val="auto"/>
        </w:rPr>
      </w:pPr>
      <w:r>
        <w:rPr>
          <w:rFonts w:ascii="Arial" w:cs="Arial" w:eastAsia="Arial" w:hAnsi="Arial"/>
          <w:sz w:val="17"/>
          <w:szCs w:val="17"/>
          <w:color w:val="auto"/>
        </w:rPr>
        <w:t>During the six months ended June 30, 2014, we did not repurchase any shares of our outstanding common stock under the share repurchase program. As of June 30, 2014, from the authorized share repurchase program granted by the Board of Directors, we have repurchased 2,120,709 shares of our outstanding common stock and have $105 million remaining to repurchase shares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During the period January 1, 2014 through June 30, 2014, our Board of Directors did not declare any dividends on our outstanding common stock and do not expect to pay any dividends for the foreseeable future.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SEGMENT INFORMATION</w:t>
      </w:r>
    </w:p>
    <w:p>
      <w:pPr>
        <w:spacing w:after="0" w:line="116" w:lineRule="exact"/>
        <w:rPr>
          <w:sz w:val="20"/>
          <w:szCs w:val="20"/>
          <w:color w:val="auto"/>
        </w:rPr>
      </w:pPr>
    </w:p>
    <w:p>
      <w:pPr>
        <w:jc w:val="both"/>
        <w:ind w:right="460" w:firstLine="518"/>
        <w:spacing w:after="0" w:line="263" w:lineRule="auto"/>
        <w:rPr>
          <w:sz w:val="20"/>
          <w:szCs w:val="20"/>
          <w:color w:val="auto"/>
        </w:rPr>
      </w:pPr>
      <w:r>
        <w:rPr>
          <w:rFonts w:ascii="Arial" w:cs="Arial" w:eastAsia="Arial" w:hAnsi="Arial"/>
          <w:sz w:val="17"/>
          <w:szCs w:val="17"/>
          <w:color w:val="auto"/>
        </w:rPr>
        <w:t>We have one operating and reportable segment: TripAdvisor. We determined our segment based on how our chief operating decision maker manages our business, makes operating decisions, evaluates operating performance and allocates resources. The chief operating decision maker for the Company is our Chief Executive Officer.</w:t>
      </w:r>
    </w:p>
    <w:p>
      <w:pPr>
        <w:spacing w:after="0" w:line="176"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Our primary operating metric for evaluating segment performance is Adjusted EBITDA, which is a non-GAAP financial measure.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Such amounts are detailed in our segment reconciliation below. In addition, please see our discussion of Adjusted EBITDA in the section entitled “Management’s Discussion and Analysis of Financial Condition and Results of Operations” below.</w:t>
      </w:r>
    </w:p>
    <w:p>
      <w:pPr>
        <w:spacing w:after="0" w:line="181" w:lineRule="exact"/>
        <w:rPr>
          <w:sz w:val="20"/>
          <w:szCs w:val="20"/>
          <w:color w:val="auto"/>
        </w:rPr>
      </w:pPr>
    </w:p>
    <w:p>
      <w:pPr>
        <w:ind w:right="580" w:firstLine="518"/>
        <w:spacing w:after="0" w:line="276" w:lineRule="auto"/>
        <w:rPr>
          <w:sz w:val="20"/>
          <w:szCs w:val="20"/>
          <w:color w:val="auto"/>
        </w:rPr>
      </w:pPr>
      <w:r>
        <w:rPr>
          <w:rFonts w:ascii="Arial" w:cs="Arial" w:eastAsia="Arial" w:hAnsi="Arial"/>
          <w:sz w:val="17"/>
          <w:szCs w:val="17"/>
          <w:color w:val="auto"/>
        </w:rPr>
        <w:t>The following table is a reconciliation of Adjusted EBITDA to net income, the most directly comparable financial measure calculated and presented in accordance with GAAP, for the periods presented:</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4"/>
          </w:tcPr>
          <w:p>
            <w:pPr>
              <w:jc w:val="center"/>
              <w:ind w:right="365"/>
              <w:spacing w:after="0"/>
              <w:rPr>
                <w:sz w:val="20"/>
                <w:szCs w:val="20"/>
                <w:color w:val="auto"/>
              </w:rPr>
            </w:pPr>
            <w:r>
              <w:rPr>
                <w:rFonts w:ascii="Arial" w:cs="Arial" w:eastAsia="Arial" w:hAnsi="Arial"/>
                <w:sz w:val="14"/>
                <w:szCs w:val="14"/>
                <w:b w:val="1"/>
                <w:bCs w:val="1"/>
                <w:color w:val="auto"/>
                <w:w w:val="87"/>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65"/>
              <w:spacing w:after="0" w:line="147"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7"/>
              <w:spacing w:after="0" w:line="147"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gridSpan w:val="4"/>
          </w:tcPr>
          <w:p>
            <w:pPr>
              <w:jc w:val="center"/>
              <w:ind w:right="345"/>
              <w:spacing w:after="0" w:line="147" w:lineRule="exact"/>
              <w:rPr>
                <w:sz w:val="20"/>
                <w:szCs w:val="20"/>
                <w:color w:val="auto"/>
              </w:rPr>
            </w:pPr>
            <w:r>
              <w:rPr>
                <w:rFonts w:ascii="Arial" w:cs="Arial" w:eastAsia="Arial" w:hAnsi="Arial"/>
                <w:sz w:val="14"/>
                <w:szCs w:val="14"/>
                <w:b w:val="1"/>
                <w:bCs w:val="1"/>
                <w:color w:val="auto"/>
                <w:w w:val="89"/>
              </w:rPr>
              <w:t>(in millions)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Adjusted EBITDA</w:t>
            </w:r>
          </w:p>
        </w:tc>
        <w:tc>
          <w:tcPr>
            <w:tcW w:w="1220" w:type="dxa"/>
            <w:vAlign w:val="bottom"/>
            <w:gridSpan w:val="2"/>
            <w:shd w:val="clear" w:color="auto" w:fill="CFF0FC"/>
          </w:tcPr>
          <w:p>
            <w:pPr>
              <w:jc w:val="right"/>
              <w:ind w:right="669"/>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129</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85"/>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113</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29"/>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251</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52"/>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222</w:t>
            </w:r>
          </w:p>
        </w:tc>
        <w:tc>
          <w:tcPr>
            <w:tcW w:w="100" w:type="dxa"/>
            <w:vAlign w:val="bottom"/>
            <w:shd w:val="clear" w:color="auto" w:fill="CFF0FC"/>
          </w:tcPr>
          <w:p>
            <w:pPr>
              <w:spacing w:after="0"/>
              <w:rPr>
                <w:sz w:val="18"/>
                <w:szCs w:val="18"/>
                <w:color w:val="auto"/>
              </w:rPr>
            </w:pPr>
          </w:p>
        </w:tc>
      </w:tr>
      <w:tr>
        <w:trPr>
          <w:trHeight w:val="217"/>
        </w:trPr>
        <w:tc>
          <w:tcPr>
            <w:tcW w:w="2680" w:type="dxa"/>
            <w:vAlign w:val="bottom"/>
            <w:gridSpan w:val="2"/>
          </w:tcPr>
          <w:p>
            <w:pPr>
              <w:spacing w:after="0"/>
              <w:rPr>
                <w:sz w:val="20"/>
                <w:szCs w:val="20"/>
                <w:color w:val="auto"/>
              </w:rPr>
            </w:pPr>
            <w:r>
              <w:rPr>
                <w:rFonts w:ascii="Arial" w:cs="Arial" w:eastAsia="Arial" w:hAnsi="Arial"/>
                <w:sz w:val="17"/>
                <w:szCs w:val="17"/>
                <w:color w:val="auto"/>
              </w:rPr>
              <w:t>Depreciation (1)</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1"/>
        </w:trPr>
        <w:tc>
          <w:tcPr>
            <w:tcW w:w="20" w:type="dxa"/>
            <w:vAlign w:val="bottom"/>
          </w:tcPr>
          <w:p>
            <w:pPr>
              <w:spacing w:after="0"/>
              <w:rPr>
                <w:sz w:val="18"/>
                <w:szCs w:val="18"/>
                <w:color w:val="auto"/>
              </w:rPr>
            </w:pPr>
          </w:p>
        </w:tc>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OIBA (2)</w:t>
            </w:r>
          </w:p>
        </w:tc>
        <w:tc>
          <w:tcPr>
            <w:tcW w:w="4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268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8"/>
        </w:trPr>
        <w:tc>
          <w:tcPr>
            <w:tcW w:w="2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w:t>
            </w: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w:t>
            </w:r>
          </w:p>
        </w:tc>
      </w:tr>
      <w:tr>
        <w:trPr>
          <w:trHeight w:val="217"/>
        </w:trPr>
        <w:tc>
          <w:tcPr>
            <w:tcW w:w="2680" w:type="dxa"/>
            <w:vAlign w:val="bottom"/>
            <w:gridSpan w:val="2"/>
          </w:tcPr>
          <w:p>
            <w:pPr>
              <w:spacing w:after="0"/>
              <w:rPr>
                <w:sz w:val="20"/>
                <w:szCs w:val="20"/>
                <w:color w:val="auto"/>
              </w:rPr>
            </w:pPr>
            <w:r>
              <w:rPr>
                <w:rFonts w:ascii="Arial" w:cs="Arial" w:eastAsia="Arial" w:hAnsi="Arial"/>
                <w:sz w:val="17"/>
                <w:szCs w:val="17"/>
                <w:color w:val="auto"/>
              </w:rPr>
              <w:t>Other expense, net</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8"/>
        </w:trPr>
        <w:tc>
          <w:tcPr>
            <w:tcW w:w="2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w:t>
            </w: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(56)</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w:t>
            </w:r>
          </w:p>
        </w:tc>
      </w:tr>
      <w:tr>
        <w:trPr>
          <w:trHeight w:val="210"/>
        </w:trPr>
        <w:tc>
          <w:tcPr>
            <w:tcW w:w="268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4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860" w:hanging="339"/>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amortization of internal use software and website development costs.</w:t>
      </w:r>
    </w:p>
    <w:p>
      <w:pPr>
        <w:spacing w:after="0" w:line="20" w:lineRule="exact"/>
        <w:rPr>
          <w:rFonts w:ascii="Arial" w:cs="Arial" w:eastAsia="Arial" w:hAnsi="Arial"/>
          <w:sz w:val="17"/>
          <w:szCs w:val="17"/>
          <w:color w:val="auto"/>
        </w:rPr>
      </w:pPr>
    </w:p>
    <w:p>
      <w:pPr>
        <w:ind w:left="860" w:hanging="339"/>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OIBA as net income (loss) plus: (1) provision for income taxes; (2) other (income) expense, net; (3) stock-based compensation;</w:t>
      </w:r>
    </w:p>
    <w:p>
      <w:pPr>
        <w:spacing w:after="0" w:line="9" w:lineRule="exact"/>
        <w:rPr>
          <w:rFonts w:ascii="Arial" w:cs="Arial" w:eastAsia="Arial" w:hAnsi="Arial"/>
          <w:sz w:val="17"/>
          <w:szCs w:val="17"/>
          <w:color w:val="auto"/>
        </w:rPr>
      </w:pPr>
    </w:p>
    <w:p>
      <w:pPr>
        <w:ind w:left="860" w:right="40"/>
        <w:spacing w:after="0" w:line="280" w:lineRule="auto"/>
        <w:rPr>
          <w:rFonts w:ascii="Arial" w:cs="Arial" w:eastAsia="Arial" w:hAnsi="Arial"/>
          <w:sz w:val="17"/>
          <w:szCs w:val="17"/>
          <w:color w:val="auto"/>
        </w:rPr>
      </w:pPr>
      <w:r>
        <w:rPr>
          <w:rFonts w:ascii="Arial" w:cs="Arial" w:eastAsia="Arial" w:hAnsi="Arial"/>
          <w:sz w:val="16"/>
          <w:szCs w:val="16"/>
          <w:color w:val="auto"/>
        </w:rPr>
        <w:t xml:space="preserve">(4) amortization of intangible assets; and (5) non-recurring expenses. This operating metric is only used by our management to calculate our annual obligation for our charitable foundation. Refer to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the Notes to our Consolidated Financial Statements in Item 8 of our Annual Report on Form 10-K for the year ended December 31, 2013 for information regarding our charitable foundation.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664"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14: EARNINGS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Earnings Per Share Attributable to Common Stockholders</w:t>
      </w:r>
    </w:p>
    <w:p>
      <w:pPr>
        <w:spacing w:after="0" w:line="112"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auto"/>
        </w:rPr>
        <w:t>We compute basic earnings per share (“Basic EPS”) by dividing net income attributable to TripAdvisor by the weighted average number of common shares outstanding during the period. For the three and six months ended June 30, 2014 and 2013, we computed the weighted average number of common shares outstanding during the period using the total of common stock and Class B common stock outstanding as of December 31, 2013 and 2012, respectively, plus the weighted average of any additional shares issued and outstanding during the three and six months ended June 30, 2014 and 2013,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Diluted Earnings Per Share Attributable to Common Stockholders</w:t>
      </w:r>
    </w:p>
    <w:p>
      <w:pPr>
        <w:spacing w:after="0" w:line="112" w:lineRule="exact"/>
        <w:rPr>
          <w:sz w:val="20"/>
          <w:szCs w:val="20"/>
          <w:color w:val="auto"/>
        </w:rPr>
      </w:pPr>
    </w:p>
    <w:p>
      <w:pPr>
        <w:ind w:right="40" w:firstLine="518"/>
        <w:spacing w:after="0" w:line="273" w:lineRule="auto"/>
        <w:rPr>
          <w:sz w:val="20"/>
          <w:szCs w:val="20"/>
          <w:color w:val="auto"/>
        </w:rPr>
      </w:pPr>
      <w:r>
        <w:rPr>
          <w:rFonts w:ascii="Arial" w:cs="Arial" w:eastAsia="Arial" w:hAnsi="Arial"/>
          <w:sz w:val="16"/>
          <w:szCs w:val="16"/>
          <w:color w:val="auto"/>
        </w:rPr>
        <w:t>We compute diluted earnings per share (“Diluted EPS”), by dividing net income attributable to TripAdvisor by the sum of the weighted average number of common and common equivalent shares outstanding during the period. For the three and six months ended June 30, 2014 and 2013, we computed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common equivalent shares related to stock options and the vesting of restricted stock units using the treasury stock method during the three and six months ended June 30, 2014 and 2013, respectively, and (iii) if dilutive, performance based awards based on the number of shares that would be issuable as of the end of the reporting period assuming the end of the reporting period was also the end of the contingency period.</w:t>
      </w:r>
    </w:p>
    <w:p>
      <w:pPr>
        <w:spacing w:after="0" w:line="172" w:lineRule="exact"/>
        <w:rPr>
          <w:sz w:val="20"/>
          <w:szCs w:val="20"/>
          <w:color w:val="auto"/>
        </w:rPr>
      </w:pPr>
    </w:p>
    <w:p>
      <w:pPr>
        <w:jc w:val="both"/>
        <w:ind w:right="40" w:firstLine="518"/>
        <w:spacing w:after="0" w:line="299" w:lineRule="auto"/>
        <w:rPr>
          <w:sz w:val="20"/>
          <w:szCs w:val="20"/>
          <w:color w:val="auto"/>
        </w:rPr>
      </w:pPr>
      <w:r>
        <w:rPr>
          <w:rFonts w:ascii="Arial" w:cs="Arial" w:eastAsia="Arial" w:hAnsi="Arial"/>
          <w:sz w:val="15"/>
          <w:szCs w:val="15"/>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5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Below is a reconciliation of the weighted average number of shares of common stock outstanding in calculating Diluted EPS (shares in thousands and dollars in millions, except per share amounts):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3"/>
              </w:rPr>
              <w:t>Numerator:</w:t>
            </w:r>
          </w:p>
        </w:tc>
        <w:tc>
          <w:tcPr>
            <w:tcW w:w="326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9"/>
              <w:spacing w:after="0" w:line="147"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gridSpan w:val="2"/>
            <w:vMerge w:val="continue"/>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Net income</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2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Denominator: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w w:val="94"/>
              </w:rPr>
              <w:t>Weighted average shares used to compute Basic EPS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142,701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143,531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142,550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gridSpan w:val="3"/>
          </w:tcPr>
          <w:p>
            <w:pPr>
              <w:ind w:left="220"/>
              <w:spacing w:after="0"/>
              <w:rPr>
                <w:sz w:val="20"/>
                <w:szCs w:val="20"/>
                <w:color w:val="auto"/>
              </w:rPr>
            </w:pPr>
            <w:r>
              <w:rPr>
                <w:rFonts w:ascii="Arial" w:cs="Arial" w:eastAsia="Arial" w:hAnsi="Arial"/>
                <w:sz w:val="17"/>
                <w:szCs w:val="17"/>
                <w:color w:val="auto"/>
              </w:rPr>
              <w:t>Weighted average effect of dilutive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3"/>
            <w:shd w:val="clear" w:color="auto" w:fill="CFF0FC"/>
          </w:tcPr>
          <w:p>
            <w:pPr>
              <w:ind w:left="460"/>
              <w:spacing w:after="0"/>
              <w:rPr>
                <w:sz w:val="20"/>
                <w:szCs w:val="20"/>
                <w:color w:val="auto"/>
              </w:rPr>
            </w:pPr>
            <w:r>
              <w:rPr>
                <w:rFonts w:ascii="Arial" w:cs="Arial" w:eastAsia="Arial" w:hAnsi="Arial"/>
                <w:sz w:val="17"/>
                <w:szCs w:val="17"/>
                <w:color w:val="auto"/>
              </w:rPr>
              <w:t>Stock options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2,777</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CFF0FC"/>
            </w:tcBorders>
            <w:gridSpan w:val="3"/>
          </w:tcPr>
          <w:p>
            <w:pPr>
              <w:ind w:left="460"/>
              <w:spacing w:after="0"/>
              <w:rPr>
                <w:sz w:val="20"/>
                <w:szCs w:val="20"/>
                <w:color w:val="auto"/>
              </w:rPr>
            </w:pPr>
            <w:r>
              <w:rPr>
                <w:rFonts w:ascii="Arial" w:cs="Arial" w:eastAsia="Arial" w:hAnsi="Arial"/>
                <w:sz w:val="17"/>
                <w:szCs w:val="17"/>
                <w:color w:val="auto"/>
              </w:rPr>
              <w:t>RSUs</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FF0FC"/>
            </w:tcBorders>
            <w:gridSpan w:val="3"/>
            <w:shd w:val="clear" w:color="auto" w:fill="CFF0FC"/>
          </w:tcPr>
          <w:p>
            <w:pPr>
              <w:ind w:left="220"/>
              <w:spacing w:after="0"/>
              <w:rPr>
                <w:sz w:val="20"/>
                <w:szCs w:val="20"/>
                <w:color w:val="auto"/>
              </w:rPr>
            </w:pPr>
            <w:r>
              <w:rPr>
                <w:rFonts w:ascii="Arial" w:cs="Arial" w:eastAsia="Arial" w:hAnsi="Arial"/>
                <w:sz w:val="17"/>
                <w:szCs w:val="17"/>
                <w:color w:val="auto"/>
                <w:w w:val="92"/>
              </w:rPr>
              <w:t>Weighted average shares used to compute Diluted EPS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145,782</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145,664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145,724</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145,160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spacing w:after="0"/>
              <w:rPr>
                <w:sz w:val="20"/>
                <w:szCs w:val="20"/>
                <w:color w:val="auto"/>
              </w:rPr>
            </w:pPr>
            <w:r>
              <w:rPr>
                <w:rFonts w:ascii="Arial" w:cs="Arial" w:eastAsia="Arial" w:hAnsi="Arial"/>
                <w:sz w:val="17"/>
                <w:szCs w:val="17"/>
                <w:color w:val="auto"/>
              </w:rPr>
              <w:t>Basic EPS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4"/>
            <w:vMerge w:val="continue"/>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0.48</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0.47</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0.95</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Diluted EPS</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0.47</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0.46</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9"/>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699" w:right="319" w:bottom="1440" w:gutter="0" w:footer="0" w:header="0"/>
        </w:sectPr>
      </w:pPr>
    </w:p>
    <w:bookmarkStart w:id="20" w:name="page21"/>
    <w:bookmarkEnd w:id="20"/>
    <w:p>
      <w:pPr>
        <w:ind w:right="80" w:firstLine="518"/>
        <w:spacing w:after="0" w:line="276" w:lineRule="auto"/>
        <w:rPr>
          <w:sz w:val="20"/>
          <w:szCs w:val="20"/>
          <w:color w:val="auto"/>
        </w:rPr>
      </w:pPr>
      <w:r>
        <w:rPr>
          <w:rFonts w:ascii="Arial" w:cs="Arial" w:eastAsia="Arial" w:hAnsi="Arial"/>
          <w:sz w:val="17"/>
          <w:szCs w:val="17"/>
          <w:color w:val="auto"/>
        </w:rPr>
        <w:t>The following potential common shares related to stock options and RSUs were excluded from the calculation of Diluted EPS because their effect would have been anti-dilutive for the periods presented (in thousands):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Three months ended</w:t>
            </w: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Six months ended</w:t>
            </w: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723"/>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743"/>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2014(1)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9"/>
              </w:rPr>
              <w:t>2013(2)</w:t>
            </w:r>
          </w:p>
        </w:tc>
        <w:tc>
          <w:tcPr>
            <w:tcW w:w="1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2014(1)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2013(2)</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3,159</w:t>
            </w:r>
          </w:p>
        </w:tc>
        <w:tc>
          <w:tcPr>
            <w:tcW w:w="100" w:type="dxa"/>
            <w:vAlign w:val="bottom"/>
            <w:shd w:val="clear" w:color="auto" w:fill="CFF0FC"/>
          </w:tcPr>
          <w:p>
            <w:pPr>
              <w:spacing w:after="0"/>
              <w:rPr>
                <w:sz w:val="18"/>
                <w:szCs w:val="18"/>
                <w:color w:val="auto"/>
              </w:rPr>
            </w:pPr>
          </w:p>
        </w:tc>
      </w:tr>
      <w:tr>
        <w:trPr>
          <w:trHeight w:val="217"/>
        </w:trPr>
        <w:tc>
          <w:tcPr>
            <w:tcW w:w="4300" w:type="dxa"/>
            <w:vAlign w:val="bottom"/>
            <w:gridSpan w:val="2"/>
          </w:tcPr>
          <w:p>
            <w:pPr>
              <w:spacing w:after="0"/>
              <w:rPr>
                <w:sz w:val="20"/>
                <w:szCs w:val="20"/>
                <w:color w:val="auto"/>
              </w:rPr>
            </w:pPr>
            <w:r>
              <w:rPr>
                <w:rFonts w:ascii="Arial" w:cs="Arial" w:eastAsia="Arial" w:hAnsi="Arial"/>
                <w:sz w:val="17"/>
                <w:szCs w:val="17"/>
                <w:color w:val="auto"/>
              </w:rPr>
              <w:t>RSUs</w:t>
            </w:r>
          </w:p>
        </w:tc>
        <w:tc>
          <w:tcPr>
            <w:tcW w:w="104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860" w:right="40" w:hanging="339"/>
        <w:spacing w:after="0" w:line="255"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totals do not include 66,666 performance based options and 44,000 performance based RSUs representing the right to acquire 110,666 shares of common stock for which all targets required to trigger vesting have not been achieved as of June 30, 2014; therefore, such awards were excluded from the calculation of weighted average shares used to compute Diluted EPS for those reporting periods.</w:t>
      </w:r>
    </w:p>
    <w:p>
      <w:pPr>
        <w:spacing w:after="0" w:line="2" w:lineRule="exact"/>
        <w:rPr>
          <w:rFonts w:ascii="Arial" w:cs="Arial" w:eastAsia="Arial" w:hAnsi="Arial"/>
          <w:sz w:val="17"/>
          <w:szCs w:val="17"/>
          <w:color w:val="auto"/>
        </w:rPr>
      </w:pPr>
    </w:p>
    <w:p>
      <w:pPr>
        <w:ind w:left="860" w:right="120" w:hanging="339"/>
        <w:spacing w:after="0" w:line="256"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totals do not include 210,000 performance based options and 44,000 performance based RSUs representing the right to acquire 254,000 shares of common stock for which all targets required to trigger vesting had not been achieved as of June 30, 2013; therefore, such awards were excluded from the calculation of weighted average shares used to compute Diluted EPS for those reporting periods.</w:t>
      </w:r>
    </w:p>
    <w:p>
      <w:pPr>
        <w:spacing w:after="0" w:line="182"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RELATED PARTY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Liberty Interactive Corporation</w:t>
      </w:r>
    </w:p>
    <w:p>
      <w:pPr>
        <w:spacing w:after="0" w:line="112" w:lineRule="exact"/>
        <w:rPr>
          <w:sz w:val="20"/>
          <w:szCs w:val="20"/>
          <w:color w:val="auto"/>
        </w:rPr>
      </w:pPr>
    </w:p>
    <w:p>
      <w:pPr>
        <w:jc w:val="both"/>
        <w:ind w:right="100" w:firstLine="518"/>
        <w:spacing w:after="0" w:line="299" w:lineRule="auto"/>
        <w:rPr>
          <w:sz w:val="20"/>
          <w:szCs w:val="20"/>
          <w:color w:val="auto"/>
        </w:rPr>
      </w:pPr>
      <w:r>
        <w:rPr>
          <w:rFonts w:ascii="Arial" w:cs="Arial" w:eastAsia="Arial" w:hAnsi="Arial"/>
          <w:sz w:val="15"/>
          <w:szCs w:val="15"/>
          <w:color w:val="auto"/>
        </w:rPr>
        <w:t>As of June 30, 2014, Liberty Interactive Corporation (“Liberty”) beneficially owned 18,159,752 shares of our common stock and 12,799,999 shares of our Class B common stock, which shares constitute 14.0% of the outstanding shares of Common Stock and 100% of the outstanding shares of Class B Common Stock. Assuming the conversion of all of Liberty’s shares of Class B common stock into common stock, Liberty would beneficially own 21.7%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56.7% of our voting power.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had no material related party transactions with Liberty during the three and six months ended June 30, 2014 and 2013,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w:t>
      </w:r>
    </w:p>
    <w:p>
      <w:pPr>
        <w:spacing w:after="0" w:line="167"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On July 24, 2014, the Company entered into an agreement to acquire Viator, Inc., which is headquartered in San Francisco, CA. Viator is a leading resource for researching and booking destination activities around the world. Viator features more than 20,000 bookable tours and attractions and more than 600,000 reviews, photos, and videos submitted by travelers. Viator works with local operators to provide travelers with access to tours and activities in popular destinations worldwide. The purchase price for the transaction is approximately $200 million, subject to adjustment, and will be payable substantially in the form of cash. Subject to the completion of customary conditions, the acquisition is expected to close during the third quarter of 2014. The Company intends to use available U.S.-based cash for this transaction.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357" w:right="259" w:bottom="1440" w:gutter="0" w:footer="0" w:header="0"/>
        </w:sectPr>
      </w:pPr>
    </w:p>
    <w:bookmarkStart w:id="21" w:name="page22"/>
    <w:bookmarkEnd w:id="21"/>
    <w:p>
      <w:pPr>
        <w:ind w:right="4400"/>
        <w:spacing w:after="0" w:line="379" w:lineRule="auto"/>
        <w:rPr>
          <w:sz w:val="20"/>
          <w:szCs w:val="20"/>
          <w:color w:val="auto"/>
        </w:rPr>
      </w:pPr>
      <w:r>
        <w:rPr>
          <w:rFonts w:ascii="Arial" w:cs="Arial" w:eastAsia="Arial" w:hAnsi="Arial"/>
          <w:sz w:val="17"/>
          <w:szCs w:val="17"/>
          <w:b w:val="1"/>
          <w:bCs w:val="1"/>
          <w:color w:val="auto"/>
        </w:rPr>
        <w:t xml:space="preserve">Item 2. Management’s Discussion and Analysis of Financial Condition and Results of Operations </w:t>
      </w:r>
      <w:r>
        <w:rPr>
          <w:rFonts w:ascii="Arial" w:cs="Arial" w:eastAsia="Arial" w:hAnsi="Arial"/>
          <w:sz w:val="17"/>
          <w:szCs w:val="17"/>
          <w:b w:val="1"/>
          <w:bCs w:val="1"/>
          <w:i w:val="1"/>
          <w:iCs w:val="1"/>
          <w:color w:val="auto"/>
        </w:rPr>
        <w:t>Forward-Looking Statements</w:t>
      </w:r>
    </w:p>
    <w:p>
      <w:pPr>
        <w:spacing w:after="0" w:line="1" w:lineRule="exact"/>
        <w:rPr>
          <w:sz w:val="20"/>
          <w:szCs w:val="20"/>
          <w:color w:val="auto"/>
        </w:rPr>
      </w:pPr>
    </w:p>
    <w:p>
      <w:pPr>
        <w:ind w:right="20" w:firstLine="518"/>
        <w:spacing w:after="0" w:line="27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2013,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7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2013.</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1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7"/>
          <w:szCs w:val="17"/>
          <w:color w:val="auto"/>
        </w:rPr>
        <w:t>TripAdvisor is the world’s largest online travel company. Our mission is to help people around the world plan and have the perfect trip by giving them access to the reviews and opinions of the millions of travelers who make up our global online community. TripAdvisor aggregates reviews and opinions about destinations, accommodations, restaurants and activities throughout the world. Our platform also enables consumers to book hotels, vacation rentals, airline tickets, vacation packages, destination services, restaurant reservations and even cruises.</w:t>
      </w:r>
    </w:p>
    <w:p>
      <w:pPr>
        <w:spacing w:after="0" w:line="180" w:lineRule="exact"/>
        <w:rPr>
          <w:sz w:val="20"/>
          <w:szCs w:val="20"/>
          <w:color w:val="auto"/>
        </w:rPr>
      </w:pPr>
    </w:p>
    <w:p>
      <w:pPr>
        <w:ind w:right="60" w:firstLine="518"/>
        <w:spacing w:after="0" w:line="255" w:lineRule="auto"/>
        <w:rPr>
          <w:sz w:val="20"/>
          <w:szCs w:val="20"/>
          <w:color w:val="auto"/>
        </w:rPr>
      </w:pPr>
      <w:r>
        <w:rPr>
          <w:rFonts w:ascii="Arial" w:cs="Arial" w:eastAsia="Arial" w:hAnsi="Arial"/>
          <w:sz w:val="17"/>
          <w:szCs w:val="17"/>
          <w:color w:val="auto"/>
        </w:rPr>
        <w:t>Our branded websites include tripadvisor.com in the United States and localized versions of the website in 41 other countries, including China under the brand daodao.com. Our TripAdvisor-branded websites globally averaged nearly 280 million monthly unique visitors during the quarter ended June 30, 2014, according to Google Analytics. We currently feature over 170 million reviews and opinions on more than 850,000 hotels and accommodations and approximately 640,000 vacation rentals, 2.3 million restaurants and 450,000 attractions in 142,000 destinations throughout the world. Beyond travel-related content, our websites also include links to the websites of our customers, including travel advertisers, allowing travelers to directly book their travel arrangements. In addition to the flagship TripAdvisor brand, we now manage and operate 23 other travel media brands, connected by the common goal of providing comprehensive travel planning resources across the travel sector.</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2" w:lineRule="exact"/>
        <w:rPr>
          <w:sz w:val="20"/>
          <w:szCs w:val="20"/>
          <w:color w:val="auto"/>
        </w:rPr>
      </w:pPr>
    </w:p>
    <w:p>
      <w:pPr>
        <w:ind w:firstLine="518"/>
        <w:spacing w:after="0" w:line="256" w:lineRule="auto"/>
        <w:rPr>
          <w:sz w:val="20"/>
          <w:szCs w:val="20"/>
          <w:color w:val="auto"/>
        </w:rPr>
      </w:pPr>
      <w:r>
        <w:rPr>
          <w:rFonts w:ascii="Arial" w:cs="Arial" w:eastAsia="Arial" w:hAnsi="Arial"/>
          <w:sz w:val="17"/>
          <w:szCs w:val="17"/>
          <w:color w:val="auto"/>
        </w:rPr>
        <w:t>At present, our financial results are principally dependent on our ability to grow click-based advertising revenue. We continue to invest in areas of potential click-based revenue growth, including international and mobile initiatives, while also investing in our display-based advertising, Business Listings and Vacation Rentals products. We aim to leverage our position as the largest online travel company to become an increasingly important partner for advertisers—including hoteliers, online travel agencies (“OTA’s”) and other travel-related service providers—by providing our partners with access to a large audience of highly-qualified, highly-engaged users. The key drivers of our click-based and display-based advertising revenue are described below, as well as a summary of our key growth areas and the current trends impacting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53"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Key Drivers of Click-Based Advertising Revenue</w:t>
      </w:r>
    </w:p>
    <w:p>
      <w:pPr>
        <w:spacing w:after="0" w:line="112"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For both the three and six months ended June 30, 2014, 73% of our total revenue came from our core cost-per-click (“CPC”)-based lead generation product. For the three and six months ended June 30, 2013, 74% and 76%, respectively, of our total revenue came from our core CPC-based lead generation product. The key drivers of our click-based advertising revenue include the growth in monthly hotel shoppers and revenue per hotel shopper.</w:t>
      </w:r>
    </w:p>
    <w:p>
      <w:pPr>
        <w:spacing w:after="0" w:line="47" w:lineRule="exact"/>
        <w:rPr>
          <w:sz w:val="20"/>
          <w:szCs w:val="20"/>
          <w:color w:val="auto"/>
        </w:rPr>
      </w:pPr>
    </w:p>
    <w:p>
      <w:pPr>
        <w:ind w:left="820" w:right="20" w:hanging="294"/>
        <w:spacing w:after="0" w:line="260" w:lineRule="auto"/>
        <w:rPr>
          <w:sz w:val="20"/>
          <w:szCs w:val="20"/>
          <w:color w:val="auto"/>
        </w:rPr>
      </w:pPr>
      <w:r>
        <w:rPr>
          <w:rFonts w:ascii="Arial" w:cs="Arial" w:eastAsia="Arial" w:hAnsi="Arial"/>
          <w:sz w:val="19"/>
          <w:szCs w:val="19"/>
          <w:color w:val="auto"/>
        </w:rPr>
        <w:t xml:space="preserve">— </w:t>
      </w:r>
      <w:r>
        <w:rPr>
          <w:rFonts w:ascii="Arial" w:cs="Arial" w:eastAsia="Arial" w:hAnsi="Arial"/>
          <w:sz w:val="16"/>
          <w:szCs w:val="16"/>
          <w:i w:val="1"/>
          <w:iCs w:val="1"/>
          <w:color w:val="auto"/>
        </w:rPr>
        <w:t>Hotel shoppers:</w:t>
      </w:r>
      <w:r>
        <w:rPr>
          <w:rFonts w:ascii="Arial" w:cs="Arial" w:eastAsia="Arial" w:hAnsi="Arial"/>
          <w:sz w:val="19"/>
          <w:szCs w:val="19"/>
          <w:color w:val="auto"/>
        </w:rPr>
        <w:t xml:space="preserve"> </w:t>
      </w:r>
      <w:r>
        <w:rPr>
          <w:rFonts w:ascii="Arial" w:cs="Arial" w:eastAsia="Arial" w:hAnsi="Arial"/>
          <w:sz w:val="16"/>
          <w:szCs w:val="16"/>
          <w:color w:val="auto"/>
        </w:rPr>
        <w:t>Total traffic growth, or growth in monthly visits from unique visitors, is reflective of our overall brand growth. We track and analyze 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17% and 14% for the three and six months ended June 30, 2014, respectively, and increased 38% and 37% for the three and six months ended June 30, 2013. The deceleration of hotel shopper growth for the three and six months ended June 30, 2014 is primarily due to high hotel shopper growth from search engine optimization (“SEO”) in late 2012 and for the three and six months ending June 30, 2013, which provides for a challenging comparative. We continue to focus our efforts on strategies that will increase the number of hotel shoppers, however, hotel shopper trends remain difficult to predict.</w:t>
      </w:r>
    </w:p>
    <w:p>
      <w:pPr>
        <w:spacing w:after="0" w:line="207" w:lineRule="exact"/>
        <w:rPr>
          <w:sz w:val="20"/>
          <w:szCs w:val="20"/>
          <w:color w:val="auto"/>
        </w:rPr>
      </w:pPr>
    </w:p>
    <w:p>
      <w:pPr>
        <w:ind w:left="760" w:right="60" w:firstLine="227"/>
        <w:spacing w:after="0" w:line="257" w:lineRule="auto"/>
        <w:rPr>
          <w:sz w:val="20"/>
          <w:szCs w:val="20"/>
          <w:color w:val="auto"/>
        </w:rPr>
      </w:pPr>
      <w:r>
        <w:rPr>
          <w:rFonts w:ascii="Arial" w:cs="Arial" w:eastAsia="Arial" w:hAnsi="Arial"/>
          <w:sz w:val="17"/>
          <w:szCs w:val="17"/>
          <w:color w:val="auto"/>
        </w:rPr>
        <w:t>As our traffic grows and we optimize the hotel shopper experience on our site, the number of pages on which a user can engage with the TripAdvisor brand also grows. We have captured these additional pages in both the three and six months ended June 30, 2014 hotel shopper growth figure and have also updated our historical hotel shopper growth figure for both the three and six months ended June 30, 2013 for comparative purposes. The impact of this change is immaterial to hotel shopper growth and revenue per hotel shopper and did not affect our unaudited consolidated financial statements for any period presented.</w:t>
      </w:r>
    </w:p>
    <w:p>
      <w:pPr>
        <w:spacing w:after="0" w:line="79" w:lineRule="exact"/>
        <w:rPr>
          <w:sz w:val="20"/>
          <w:szCs w:val="20"/>
          <w:color w:val="auto"/>
        </w:rPr>
      </w:pPr>
    </w:p>
    <w:p>
      <w:pPr>
        <w:ind w:left="820" w:hanging="294"/>
        <w:spacing w:after="0" w:line="290"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Revenue per hotel shopper:</w:t>
      </w:r>
      <w:r>
        <w:rPr>
          <w:rFonts w:ascii="Arial" w:cs="Arial" w:eastAsia="Arial" w:hAnsi="Arial"/>
          <w:sz w:val="15"/>
          <w:szCs w:val="15"/>
          <w:color w:val="auto"/>
        </w:rPr>
        <w:t xml:space="preserve"> Revenue per hotel shopper is a metric we use to analyze how effectively we are able to monetize hotel shoppers based on a combination of user conversion and pricing. User conversion, or clicks per hotel shopper,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allowing the user to shop for the best price. Pricing is the effective CPC that OTA’s and hoteliers are willing to pay us for a hotel shopper lead, by participating in a competitive bidding process which determines the CPC price paid. Revenue per hotel shopper increased 11% and 8% for the three and six months ended June 30, 2014, respectively, and decreased 13% and 11% for the three and six months ended June 30, 2013, respectively. Revenue per hotel shopper increased 11% and 8% for the three and six months ended June 30, 2014, largely due to our implementation of hotel metasearch in June of 2013, which, to date, has resulted in relatively higher CPC pricing paid by our partners, due to higher quality clicks being delivered, mainly offset by relatively lower rates of user conversion. In addition, growth in hotel shoppers on smartphones, which have a lower monetization rate than desktops and tablets, and growth in emerging international markets that are currently monetizing at lower levels than our mature markets continue to provide challenges to our growth rate.</w:t>
      </w:r>
    </w:p>
    <w:p>
      <w:pPr>
        <w:spacing w:after="0" w:line="16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7"/>
          <w:szCs w:val="17"/>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has the benefit of pricing and availability from multiple sources and what our partners are willing to pay us for the lead. While hotel shoppers is an important metric, it is but one component of revenue per hotel shopper which is the primary driver of click-based advertising revenue.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Drivers of Display-Based Advertising Revenue</w:t>
      </w:r>
    </w:p>
    <w:p>
      <w:pPr>
        <w:spacing w:after="0" w:line="112" w:lineRule="exact"/>
        <w:rPr>
          <w:sz w:val="20"/>
          <w:szCs w:val="20"/>
          <w:color w:val="auto"/>
        </w:rPr>
      </w:pPr>
    </w:p>
    <w:p>
      <w:pPr>
        <w:ind w:right="20" w:firstLine="518"/>
        <w:spacing w:after="0" w:line="275" w:lineRule="auto"/>
        <w:rPr>
          <w:sz w:val="20"/>
          <w:szCs w:val="20"/>
          <w:color w:val="auto"/>
        </w:rPr>
      </w:pPr>
      <w:r>
        <w:rPr>
          <w:rFonts w:ascii="Arial" w:cs="Arial" w:eastAsia="Arial" w:hAnsi="Arial"/>
          <w:sz w:val="16"/>
          <w:szCs w:val="16"/>
          <w:color w:val="auto"/>
        </w:rPr>
        <w:t>For both the three and six months ended June 30, 2014, 11% of our total revenue came from our display-based advertising product. For the three and six months ended June 30, 2013, 13% and 12%, respectively, of our total revenue came from our display-based advertising product. The key drivers of our display-based advertising revenue include the growth in number of impressions, or the number of times an ad is displayed on our site, and the cost per thousand impressions (“CPM”). Our number of impressions sold increased 11% and 19% for the three and six months ended June 30, 2014, respectively, and increased 32% and 24% for the three and six months ended June 30, 2013, respectively, while pricing increased 4% and 2% for the three and six months ended June 30, 2014, respectively, and decreased 11% and 8% for three and six months ended June 30, 2013, respectively, according to our log files.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Growth Areas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continue to invest in areas of potential growth, including our mobile and social initiatives, as well as our Business Listings and Vacation Rentals products.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664" w:right="239" w:bottom="1440" w:gutter="0" w:footer="0" w:header="0"/>
        </w:sectPr>
      </w:pPr>
    </w:p>
    <w:bookmarkStart w:id="23" w:name="page24"/>
    <w:bookmarkEnd w:id="23"/>
    <w:p>
      <w:pPr>
        <w:ind w:right="40" w:firstLine="518"/>
        <w:spacing w:after="0" w:line="257" w:lineRule="auto"/>
        <w:rPr>
          <w:sz w:val="20"/>
          <w:szCs w:val="20"/>
          <w:color w:val="auto"/>
        </w:rPr>
      </w:pPr>
      <w:r>
        <w:rPr>
          <w:rFonts w:ascii="Arial" w:cs="Arial" w:eastAsia="Arial" w:hAnsi="Arial"/>
          <w:sz w:val="17"/>
          <w:szCs w:val="17"/>
          <w:i w:val="1"/>
          <w:iCs w:val="1"/>
          <w:color w:val="auto"/>
        </w:rPr>
        <w:t>Mobile</w:t>
      </w:r>
      <w:r>
        <w:rPr>
          <w:rFonts w:ascii="Arial" w:cs="Arial" w:eastAsia="Arial" w:hAnsi="Arial"/>
          <w:sz w:val="17"/>
          <w:szCs w:val="17"/>
          <w:color w:val="auto"/>
        </w:rPr>
        <w:t>. Mobile is an investment area that is geared towards creating a more complete user experience by reinforcing the TripAdvisor brand when users are in-market. In the quarter ended June 30, 2014, we saw strong mobile user uptake, as aggregate downloads of our TripAdvisor, TripAdvisor City Guides, SeatGuru, Jetsetter and GateGuru mobile apps reached more than 128 million downloads and average monthly unique visitors via smartphone and tablet devices grew over 77% year-over-year from 79 million to 141 million, according to company logs. We believe that travelers will increasingly use mobile devices, including smartphones and tablets, to conduct travel research and planning.</w:t>
      </w:r>
    </w:p>
    <w:p>
      <w:pPr>
        <w:spacing w:after="0" w:line="181" w:lineRule="exact"/>
        <w:rPr>
          <w:sz w:val="20"/>
          <w:szCs w:val="20"/>
          <w:color w:val="auto"/>
        </w:rPr>
      </w:pPr>
    </w:p>
    <w:p>
      <w:pPr>
        <w:ind w:right="120" w:firstLine="518"/>
        <w:spacing w:after="0" w:line="280" w:lineRule="auto"/>
        <w:rPr>
          <w:sz w:val="20"/>
          <w:szCs w:val="20"/>
          <w:color w:val="auto"/>
        </w:rPr>
      </w:pPr>
      <w:r>
        <w:rPr>
          <w:rFonts w:ascii="Arial" w:cs="Arial" w:eastAsia="Arial" w:hAnsi="Arial"/>
          <w:sz w:val="16"/>
          <w:szCs w:val="16"/>
          <w:i w:val="1"/>
          <w:iCs w:val="1"/>
          <w:color w:val="auto"/>
        </w:rPr>
        <w:t>Community Engagement</w:t>
      </w:r>
      <w:r>
        <w:rPr>
          <w:rFonts w:ascii="Arial" w:cs="Arial" w:eastAsia="Arial" w:hAnsi="Arial"/>
          <w:sz w:val="16"/>
          <w:szCs w:val="16"/>
          <w:color w:val="auto"/>
        </w:rPr>
        <w:t>. Engaging our community is a core component of our strategic growth plan. We believe that having strong social presence improves</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on our sites and improves the sites’ “stickiness” amongst the users. As a result, we continue to look for ways to leverage Facebook as well as other community features across our platforms. Specifically, we offer Facebook users a more personalized and social travel planning experience that enables travelers to engage with their Facebook friends’ reviews and opinions when planning their perfect trip on TripAdvisor.</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7"/>
          <w:szCs w:val="17"/>
          <w:i w:val="1"/>
          <w:iCs w:val="1"/>
          <w:color w:val="auto"/>
        </w:rPr>
        <w:t>Business Listings</w:t>
      </w:r>
      <w:r>
        <w:rPr>
          <w:rFonts w:ascii="Arial" w:cs="Arial" w:eastAsia="Arial" w:hAnsi="Arial"/>
          <w:sz w:val="17"/>
          <w:szCs w:val="17"/>
          <w:color w:val="auto"/>
        </w:rPr>
        <w:t>. Created in early 2010, our Business Listings product enables hotel and accommodation owners to list pertinent property information on</w:t>
      </w:r>
      <w:r>
        <w:rPr>
          <w:rFonts w:ascii="Arial" w:cs="Arial" w:eastAsia="Arial" w:hAnsi="Arial"/>
          <w:sz w:val="17"/>
          <w:szCs w:val="17"/>
          <w:i w:val="1"/>
          <w:iCs w:val="1"/>
          <w:color w:val="auto"/>
        </w:rPr>
        <w:t xml:space="preserve"> </w:t>
      </w:r>
      <w:r>
        <w:rPr>
          <w:rFonts w:ascii="Arial" w:cs="Arial" w:eastAsia="Arial" w:hAnsi="Arial"/>
          <w:sz w:val="17"/>
          <w:szCs w:val="17"/>
          <w:color w:val="auto"/>
        </w:rPr>
        <w:t>TripAdvisor, bringing them closer to potential customers and thereby increasing direct bookings. In the year ended December 31, 2013, we grew our Business Listings customer base over 38% to 69,000 subscribers, representing approximately 9% of our current hotel and accommodation listings on TripAdvisor branded sites. We continue to expand our sales force and improve features to grow our subscriber base.</w:t>
      </w:r>
    </w:p>
    <w:p>
      <w:pPr>
        <w:spacing w:after="0" w:line="180" w:lineRule="exact"/>
        <w:rPr>
          <w:sz w:val="20"/>
          <w:szCs w:val="20"/>
          <w:color w:val="auto"/>
        </w:rPr>
      </w:pPr>
    </w:p>
    <w:p>
      <w:pPr>
        <w:ind w:right="40" w:firstLine="518"/>
        <w:spacing w:after="0" w:line="259"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As of June 30, 2014, we had amassed an inventory of approximately 640,000 properties, up nearly 40% year-over-year, across our</w:t>
      </w:r>
      <w:r>
        <w:rPr>
          <w:rFonts w:ascii="Arial" w:cs="Arial" w:eastAsia="Arial" w:hAnsi="Arial"/>
          <w:sz w:val="17"/>
          <w:szCs w:val="17"/>
          <w:i w:val="1"/>
          <w:iCs w:val="1"/>
          <w:color w:val="auto"/>
        </w:rPr>
        <w:t xml:space="preserve"> </w:t>
      </w:r>
      <w:r>
        <w:rPr>
          <w:rFonts w:ascii="Arial" w:cs="Arial" w:eastAsia="Arial" w:hAnsi="Arial"/>
          <w:sz w:val="17"/>
          <w:szCs w:val="17"/>
          <w:color w:val="auto"/>
        </w:rPr>
        <w:t>TripAdvisor Vacation Rentals, U.S.-based FlipKey (which includes recently acquired Vacation Home Rentals), and European-based Holiday Lettings and Niumba.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Trends Affecting Our Business</w:t>
      </w:r>
    </w:p>
    <w:p>
      <w:pPr>
        <w:spacing w:after="0" w:line="112"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review industry and, more generally, the business of collecting and aggregating travel-related resources and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be increasingly competitive. In recent years, an increasing number of companies, such as search companies Google, Inc. and Baidu.com, Inc. and several large OTA’s, have begun to collect and aggregate travel information and resources. We plan to continue to invest in order to remain the leading source of travel reviews as well as continue to enhance our content and user experience. Refer to our Annual Report on Form 10-K for the year ended December 31, 2013 in “—Competition” in Item 1 “Business” section for additional information on our competition.</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5"/>
          <w:szCs w:val="15"/>
          <w:i w:val="1"/>
          <w:iCs w:val="1"/>
          <w:color w:val="auto"/>
        </w:rPr>
        <w:t xml:space="preserve">Increasing Use of Internet and Social Media to Access Travel Information. </w:t>
      </w:r>
      <w:r>
        <w:rPr>
          <w:rFonts w:ascii="Arial" w:cs="Arial" w:eastAsia="Arial" w:hAnsi="Arial"/>
          <w:sz w:val="15"/>
          <w:szCs w:val="15"/>
          <w:color w:val="auto"/>
        </w:rPr>
        <w:t>Commerce, information and advertising continue to migrate to the Internet and</w:t>
      </w:r>
      <w:r>
        <w:rPr>
          <w:rFonts w:ascii="Arial" w:cs="Arial" w:eastAsia="Arial" w:hAnsi="Arial"/>
          <w:sz w:val="15"/>
          <w:szCs w:val="15"/>
          <w:i w:val="1"/>
          <w:iCs w:val="1"/>
          <w:color w:val="auto"/>
        </w:rPr>
        <w:t xml:space="preserve"> </w:t>
      </w:r>
      <w:r>
        <w:rPr>
          <w:rFonts w:ascii="Arial" w:cs="Arial" w:eastAsia="Arial" w:hAnsi="Arial"/>
          <w:sz w:val="15"/>
          <w:szCs w:val="15"/>
          <w:color w:val="auto"/>
        </w:rPr>
        <w:t>away from traditional media outlets. We believe that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June of 2013, we completed the process of implementing hotel metasearch functionality on our desktop and tablet platforms. Hotel metasearch functionality provides hotel shoppers with real-time online hotel availability and pricing information from multiple sources without requiring the user to visit another</w:t>
      </w:r>
    </w:p>
    <w:p>
      <w:pPr>
        <w:spacing w:after="0" w:line="4" w:lineRule="exact"/>
        <w:rPr>
          <w:sz w:val="20"/>
          <w:szCs w:val="20"/>
          <w:color w:val="auto"/>
        </w:rPr>
      </w:pPr>
    </w:p>
    <w:p>
      <w:pPr>
        <w:ind w:right="660"/>
        <w:spacing w:after="0" w:line="262" w:lineRule="auto"/>
        <w:rPr>
          <w:sz w:val="20"/>
          <w:szCs w:val="20"/>
          <w:color w:val="auto"/>
        </w:rPr>
      </w:pPr>
      <w:r>
        <w:rPr>
          <w:rFonts w:ascii="Arial" w:cs="Arial" w:eastAsia="Arial" w:hAnsi="Arial"/>
          <w:sz w:val="17"/>
          <w:szCs w:val="17"/>
          <w:color w:val="auto"/>
        </w:rPr>
        <w:t>website. Refer to our metasearch discussion in our Annual Report on Form 10-K for the year ended December 31, 2013 under “Improving the Hotel Shopper Experience” in the “Our Strategy” section in Item 1 “Business” for additional information on our hotel metasearch transition.</w:t>
      </w:r>
    </w:p>
    <w:p>
      <w:pPr>
        <w:spacing w:after="0" w:line="176" w:lineRule="exact"/>
        <w:rPr>
          <w:sz w:val="20"/>
          <w:szCs w:val="20"/>
          <w:color w:val="auto"/>
        </w:rPr>
      </w:pPr>
    </w:p>
    <w:p>
      <w:pPr>
        <w:ind w:right="20" w:firstLine="518"/>
        <w:spacing w:after="0" w:line="292" w:lineRule="auto"/>
        <w:rPr>
          <w:sz w:val="20"/>
          <w:szCs w:val="20"/>
          <w:color w:val="auto"/>
        </w:rPr>
      </w:pPr>
      <w:r>
        <w:rPr>
          <w:rFonts w:ascii="Arial" w:cs="Arial" w:eastAsia="Arial" w:hAnsi="Arial"/>
          <w:sz w:val="15"/>
          <w:szCs w:val="15"/>
          <w:i w:val="1"/>
          <w:iCs w:val="1"/>
          <w:color w:val="auto"/>
        </w:rPr>
        <w:t xml:space="preserve">Increasing Mobile Usage. </w:t>
      </w:r>
      <w:r>
        <w:rPr>
          <w:rFonts w:ascii="Arial" w:cs="Arial" w:eastAsia="Arial" w:hAnsi="Arial"/>
          <w:sz w:val="15"/>
          <w:szCs w:val="15"/>
          <w:color w:val="auto"/>
        </w:rPr>
        <w:t>Users are increasingly using smartphone and tablet computing devices to access the Internet. To address these growing user</w:t>
      </w:r>
      <w:r>
        <w:rPr>
          <w:rFonts w:ascii="Arial" w:cs="Arial" w:eastAsia="Arial" w:hAnsi="Arial"/>
          <w:sz w:val="15"/>
          <w:szCs w:val="15"/>
          <w:i w:val="1"/>
          <w:iCs w:val="1"/>
          <w:color w:val="auto"/>
        </w:rPr>
        <w:t xml:space="preserve"> </w:t>
      </w:r>
      <w:r>
        <w:rPr>
          <w:rFonts w:ascii="Arial" w:cs="Arial" w:eastAsia="Arial" w:hAnsi="Arial"/>
          <w:sz w:val="15"/>
          <w:szCs w:val="15"/>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access our products primarily through smartphone devices. We do display graphic advertising on smartphones, however, our smartphone monetization strategies are still developing, as smartphone monetization is currently less than 20% of desktop monetization while tablets monetize more closely to desktops. Mobile growth and development remains a key strategy and we will continue to invest and innovate in this growing platform to help us maintain and grow our user base, engagement and monetization over the long term. An example of our mobile development efforts is our assisted booking path, or Instant Booking, which we began integrating into smartphone sessions in April 2014. Currently 100% of U.S. iOS and Android smartphone users now see a “Book on TripAdvisor” button. This product feature allows travelers to complete a hotel reservation, powered by our OTA and hotelier partners, while remaining on the TripAdvisor mobile app.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62" w:right="239" w:bottom="1440" w:gutter="0" w:footer="0" w:header="0"/>
        </w:sectPr>
      </w:pPr>
    </w:p>
    <w:bookmarkStart w:id="24" w:name="page25"/>
    <w:bookmarkEnd w:id="24"/>
    <w:p>
      <w:pPr>
        <w:ind w:right="220"/>
        <w:spacing w:after="0" w:line="276" w:lineRule="auto"/>
        <w:rPr>
          <w:sz w:val="20"/>
          <w:szCs w:val="20"/>
          <w:color w:val="auto"/>
        </w:rPr>
      </w:pPr>
      <w:r>
        <w:rPr>
          <w:rFonts w:ascii="Arial" w:cs="Arial" w:eastAsia="Arial" w:hAnsi="Arial"/>
          <w:sz w:val="17"/>
          <w:szCs w:val="17"/>
          <w:color w:val="auto"/>
        </w:rPr>
        <w:t>We believe Instant Booking will optimize the hotel shopping experience for mobile users. The Company also plans to integrate this feature onto desktop and tablets during 2014.</w:t>
      </w:r>
    </w:p>
    <w:p>
      <w:pPr>
        <w:spacing w:after="0" w:line="164" w:lineRule="exact"/>
        <w:rPr>
          <w:sz w:val="20"/>
          <w:szCs w:val="20"/>
          <w:color w:val="auto"/>
        </w:rPr>
      </w:pPr>
    </w:p>
    <w:p>
      <w:pPr>
        <w:ind w:firstLine="518"/>
        <w:spacing w:after="0" w:line="294" w:lineRule="auto"/>
        <w:rPr>
          <w:sz w:val="20"/>
          <w:szCs w:val="20"/>
          <w:color w:val="auto"/>
        </w:rPr>
      </w:pPr>
      <w:r>
        <w:rPr>
          <w:rFonts w:ascii="Arial" w:cs="Arial" w:eastAsia="Arial" w:hAnsi="Arial"/>
          <w:sz w:val="15"/>
          <w:szCs w:val="15"/>
          <w:i w:val="1"/>
          <w:iCs w:val="1"/>
          <w:color w:val="auto"/>
        </w:rPr>
        <w:t xml:space="preserve">Click-Based Advertising Revenue. </w:t>
      </w:r>
      <w:r>
        <w:rPr>
          <w:rFonts w:ascii="Arial" w:cs="Arial" w:eastAsia="Arial" w:hAnsi="Arial"/>
          <w:sz w:val="15"/>
          <w:szCs w:val="15"/>
          <w:color w:val="auto"/>
        </w:rPr>
        <w:t>In recent years, the majority of our revenue growth resulted from higher click-based advertising revenue due to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above.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w:t>
      </w:r>
    </w:p>
    <w:p>
      <w:pPr>
        <w:spacing w:after="0" w:line="112" w:lineRule="exact"/>
        <w:rPr>
          <w:sz w:val="20"/>
          <w:szCs w:val="20"/>
          <w:color w:val="auto"/>
        </w:rPr>
      </w:pPr>
    </w:p>
    <w:p>
      <w:pPr>
        <w:jc w:val="both"/>
        <w:ind w:right="280" w:firstLine="518"/>
        <w:spacing w:after="0" w:line="345" w:lineRule="auto"/>
        <w:rPr>
          <w:sz w:val="20"/>
          <w:szCs w:val="20"/>
          <w:color w:val="auto"/>
        </w:rPr>
      </w:pPr>
      <w:r>
        <w:rPr>
          <w:rFonts w:ascii="Arial" w:cs="Arial" w:eastAsia="Arial" w:hAnsi="Arial"/>
          <w:sz w:val="15"/>
          <w:szCs w:val="15"/>
          <w:color w:val="auto"/>
        </w:rPr>
        <w:t>We have one operating and reportable segment. The segment is determined based on how our chief operating decision maker manages our business, makes operating decisions, evaluates operating performance and allocates resources. The chief operating decision maker for the Company is our Chief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112"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As of June 30, 2014, we had 2,356 employees. Of these employees, 1,235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2"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12" w:lineRule="exact"/>
        <w:rPr>
          <w:sz w:val="20"/>
          <w:szCs w:val="20"/>
          <w:color w:val="auto"/>
        </w:rPr>
      </w:pPr>
    </w:p>
    <w:p>
      <w:pPr>
        <w:ind w:right="20" w:firstLine="518"/>
        <w:spacing w:after="0" w:line="296" w:lineRule="auto"/>
        <w:rPr>
          <w:sz w:val="20"/>
          <w:szCs w:val="20"/>
          <w:color w:val="auto"/>
        </w:rPr>
      </w:pPr>
      <w:r>
        <w:rPr>
          <w:rFonts w:ascii="Arial" w:cs="Arial" w:eastAsia="Arial" w:hAnsi="Arial"/>
          <w:sz w:val="15"/>
          <w:szCs w:val="15"/>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56" w:lineRule="exact"/>
        <w:rPr>
          <w:sz w:val="20"/>
          <w:szCs w:val="20"/>
          <w:color w:val="auto"/>
        </w:rPr>
      </w:pPr>
    </w:p>
    <w:p>
      <w:pPr>
        <w:ind w:right="320" w:firstLine="518"/>
        <w:spacing w:after="0" w:line="276" w:lineRule="auto"/>
        <w:rPr>
          <w:sz w:val="20"/>
          <w:szCs w:val="20"/>
          <w:color w:val="auto"/>
        </w:rPr>
      </w:pPr>
      <w:r>
        <w:rPr>
          <w:rFonts w:ascii="Arial" w:cs="Arial" w:eastAsia="Arial" w:hAnsi="Arial"/>
          <w:sz w:val="17"/>
          <w:szCs w:val="17"/>
          <w:color w:val="auto"/>
        </w:rPr>
        <w:t>There are certain critical estimates that we believe require significant judgment in the preparation of our consolidated financial statements. We consider an accounting estimate to be critical if:</w:t>
      </w:r>
    </w:p>
    <w:p>
      <w:pPr>
        <w:spacing w:after="0" w:line="53" w:lineRule="exact"/>
        <w:rPr>
          <w:sz w:val="20"/>
          <w:szCs w:val="20"/>
          <w:color w:val="auto"/>
        </w:rPr>
      </w:pPr>
    </w:p>
    <w:p>
      <w:pPr>
        <w:ind w:left="820" w:right="320" w:hanging="294"/>
        <w:spacing w:after="0" w:line="224" w:lineRule="auto"/>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It requires us to make an assumption because information was not available at the time or it included matters that were highly uncertain at the time we</w:t>
      </w:r>
      <w:r>
        <w:rPr>
          <w:rFonts w:ascii="Arial" w:cs="Arial" w:eastAsia="Arial" w:hAnsi="Arial"/>
          <w:sz w:val="20"/>
          <w:szCs w:val="20"/>
          <w:color w:val="auto"/>
        </w:rPr>
        <w:t xml:space="preserve"> </w:t>
      </w:r>
      <w:r>
        <w:rPr>
          <w:rFonts w:ascii="Arial" w:cs="Arial" w:eastAsia="Arial" w:hAnsi="Arial"/>
          <w:sz w:val="17"/>
          <w:szCs w:val="17"/>
          <w:color w:val="auto"/>
        </w:rPr>
        <w:t>were making the estimate; and</w:t>
      </w:r>
    </w:p>
    <w:p>
      <w:pPr>
        <w:spacing w:after="0" w:line="82" w:lineRule="exact"/>
        <w:rPr>
          <w:sz w:val="20"/>
          <w:szCs w:val="20"/>
          <w:color w:val="auto"/>
        </w:rPr>
      </w:pPr>
    </w:p>
    <w:p>
      <w:pPr>
        <w:ind w:left="820" w:right="660" w:hanging="294"/>
        <w:spacing w:after="0" w:line="224" w:lineRule="auto"/>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Changes in the estimate or different estimates that we could have selected may have had a material impact on our financial condition or results of</w:t>
      </w:r>
      <w:r>
        <w:rPr>
          <w:rFonts w:ascii="Arial" w:cs="Arial" w:eastAsia="Arial" w:hAnsi="Arial"/>
          <w:sz w:val="20"/>
          <w:szCs w:val="20"/>
          <w:color w:val="auto"/>
        </w:rPr>
        <w:t xml:space="preserve"> </w:t>
      </w:r>
      <w:r>
        <w:rPr>
          <w:rFonts w:ascii="Arial" w:cs="Arial" w:eastAsia="Arial" w:hAnsi="Arial"/>
          <w:sz w:val="17"/>
          <w:szCs w:val="17"/>
          <w:color w:val="auto"/>
        </w:rPr>
        <w:t>operations.</w:t>
      </w:r>
    </w:p>
    <w:p>
      <w:pPr>
        <w:spacing w:after="0" w:line="19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Annual Report on Form 10-K for the fiscal year ended December 31, 2013.</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12" w:lineRule="exact"/>
        <w:rPr>
          <w:sz w:val="20"/>
          <w:szCs w:val="20"/>
          <w:color w:val="auto"/>
        </w:rPr>
      </w:pPr>
    </w:p>
    <w:p>
      <w:pPr>
        <w:jc w:val="both"/>
        <w:ind w:right="240" w:firstLine="518"/>
        <w:spacing w:after="0" w:line="263" w:lineRule="auto"/>
        <w:rPr>
          <w:sz w:val="20"/>
          <w:szCs w:val="20"/>
          <w:color w:val="auto"/>
        </w:rPr>
      </w:pPr>
      <w:r>
        <w:rPr>
          <w:rFonts w:ascii="Arial" w:cs="Arial" w:eastAsia="Arial" w:hAnsi="Arial"/>
          <w:sz w:val="17"/>
          <w:szCs w:val="17"/>
          <w:color w:val="auto"/>
        </w:rPr>
        <w:t xml:space="preserve">For a discussion of new accounting pronouncements, see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xml:space="preserve">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562" w:right="279" w:bottom="1440" w:gutter="0" w:footer="0" w:header="0"/>
        </w:sectPr>
      </w:pPr>
    </w:p>
    <w:bookmarkStart w:id="25" w:name="page26"/>
    <w:bookmarkEnd w:id="25"/>
    <w:p>
      <w:pPr>
        <w:jc w:val="center"/>
        <w:ind w:right="-179"/>
        <w:spacing w:after="0"/>
        <w:rPr>
          <w:sz w:val="20"/>
          <w:szCs w:val="20"/>
          <w:color w:val="auto"/>
        </w:rPr>
      </w:pPr>
      <w:r>
        <w:rPr>
          <w:rFonts w:ascii="Arial" w:cs="Arial" w:eastAsia="Arial" w:hAnsi="Arial"/>
          <w:sz w:val="17"/>
          <w:szCs w:val="17"/>
          <w:b w:val="1"/>
          <w:bCs w:val="1"/>
          <w:color w:val="auto"/>
        </w:rPr>
        <w:t>Results of Operations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Selected Financial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 millions, except per share amounts)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Three months ended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Six months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30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FF0FC"/>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434"/>
        </w:trPr>
        <w:tc>
          <w:tcPr>
            <w:tcW w:w="3680" w:type="dxa"/>
            <w:vAlign w:val="bottom"/>
            <w:gridSpan w:val="2"/>
          </w:tcPr>
          <w:p>
            <w:pPr>
              <w:spacing w:after="0"/>
              <w:rPr>
                <w:sz w:val="20"/>
                <w:szCs w:val="20"/>
                <w:color w:val="auto"/>
              </w:rPr>
            </w:pPr>
            <w:r>
              <w:rPr>
                <w:rFonts w:ascii="Arial" w:cs="Arial" w:eastAsia="Arial" w:hAnsi="Arial"/>
                <w:sz w:val="17"/>
                <w:szCs w:val="17"/>
                <w:color w:val="auto"/>
              </w:rPr>
              <w:t>Costs and expenses: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Cost of revenue (1)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Selling and marketing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162</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Technology and content (2)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General and administrative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57%</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Amortization of intangible assets</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Total costs and expenses:</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46%</w:t>
            </w: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408</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182</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 and other, net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7"/>
                <w:szCs w:val="17"/>
                <w:color w:val="auto"/>
              </w:rPr>
              <w:t>Total other expense, net</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Income before income taxes</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1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Provision for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8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7"/>
                <w:szCs w:val="17"/>
                <w:color w:val="auto"/>
              </w:rPr>
              <w:t>Earnings per share attributable to common</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7"/>
                <w:szCs w:val="17"/>
                <w:color w:val="auto"/>
              </w:rPr>
              <w:t>stockholders: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0.48</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0.47</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0.95</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0.90</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0.47</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0.46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0.93</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0.89</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7"/>
                <w:szCs w:val="17"/>
                <w:color w:val="auto"/>
              </w:rPr>
              <w:t>Other Financial Data: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Adjusted EBITBA (3)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434"/>
        </w:trPr>
        <w:tc>
          <w:tcPr>
            <w:tcW w:w="3680" w:type="dxa"/>
            <w:vAlign w:val="bottom"/>
            <w:gridSpan w:val="2"/>
          </w:tcPr>
          <w:p>
            <w:pPr>
              <w:spacing w:after="0"/>
              <w:rPr>
                <w:sz w:val="20"/>
                <w:szCs w:val="20"/>
                <w:color w:val="auto"/>
              </w:rPr>
            </w:pPr>
            <w:r>
              <w:rPr>
                <w:rFonts w:ascii="Arial" w:cs="Arial" w:eastAsia="Arial" w:hAnsi="Arial"/>
                <w:sz w:val="17"/>
                <w:szCs w:val="17"/>
                <w:color w:val="auto"/>
              </w:rPr>
              <w:t>(1) Excludes amortization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Amortization of website development costs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included in depreciation</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680" w:type="dxa"/>
            <w:vAlign w:val="bottom"/>
            <w:gridSpan w:val="2"/>
          </w:tcPr>
          <w:p>
            <w:pPr>
              <w:spacing w:after="0"/>
              <w:rPr>
                <w:sz w:val="20"/>
                <w:szCs w:val="20"/>
                <w:color w:val="auto"/>
              </w:rPr>
            </w:pPr>
            <w:r>
              <w:rPr>
                <w:rFonts w:ascii="Arial" w:cs="Arial" w:eastAsia="Arial" w:hAnsi="Arial"/>
                <w:sz w:val="17"/>
                <w:szCs w:val="17"/>
                <w:color w:val="auto"/>
                <w:w w:val="96"/>
              </w:rPr>
              <w:t>(2) Includes stock-based compensation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Selling and marketing</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Technology and content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(3) See “Adjusted EBITDA” below for more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2" w:lineRule="exact"/>
        <w:rPr>
          <w:sz w:val="20"/>
          <w:szCs w:val="20"/>
          <w:color w:val="auto"/>
        </w:rPr>
      </w:pPr>
    </w:p>
    <w:p>
      <w:pPr>
        <w:ind w:firstLine="518"/>
        <w:spacing w:after="0" w:line="257"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Adjusted EBITDA, which is a non-GAAP financial measure, in our Quarterly Report on Form 10-Q.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60"/>
          </w:cols>
          <w:pgMar w:left="240" w:top="353" w:right="399" w:bottom="1440" w:gutter="0" w:footer="0" w:header="0"/>
        </w:sectPr>
      </w:pPr>
    </w:p>
    <w:bookmarkStart w:id="26" w:name="page27"/>
    <w:bookmarkEnd w:id="26"/>
    <w:p>
      <w:pPr>
        <w:ind w:firstLine="518"/>
        <w:spacing w:after="0" w:line="273"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that by excluding certain non-cash expenses,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72" w:lineRule="exact"/>
        <w:rPr>
          <w:sz w:val="20"/>
          <w:szCs w:val="20"/>
          <w:color w:val="auto"/>
        </w:rPr>
      </w:pPr>
    </w:p>
    <w:p>
      <w:pPr>
        <w:ind w:right="460" w:firstLine="518"/>
        <w:spacing w:after="0" w:line="276" w:lineRule="auto"/>
        <w:rPr>
          <w:sz w:val="20"/>
          <w:szCs w:val="20"/>
          <w:color w:val="auto"/>
        </w:rPr>
      </w:pPr>
      <w:r>
        <w:rPr>
          <w:rFonts w:ascii="Arial" w:cs="Arial" w:eastAsia="Arial" w:hAnsi="Arial"/>
          <w:sz w:val="17"/>
          <w:szCs w:val="17"/>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EBITDA does not reflect changes in, or cash requirements for, our working capital needs;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Adjusted EBITDA does not reflect the interest expense, or cash requirements necessary to service interest or principal payments on our debt;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EBITDA does not consider the potentially dilutive impact of stock-based compensation;</w:t>
      </w:r>
    </w:p>
    <w:p>
      <w:pPr>
        <w:spacing w:after="0" w:line="102" w:lineRule="exact"/>
        <w:rPr>
          <w:sz w:val="20"/>
          <w:szCs w:val="20"/>
          <w:color w:val="auto"/>
        </w:rPr>
      </w:pPr>
    </w:p>
    <w:p>
      <w:pPr>
        <w:ind w:left="820" w:right="520" w:hanging="294"/>
        <w:spacing w:after="0" w:line="257" w:lineRule="auto"/>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although depreciation and amortization are non-cash charges, the assets being depreciated and amortized may have to be replaced in the future, and</w:t>
      </w:r>
      <w:r>
        <w:rPr>
          <w:rFonts w:ascii="Arial" w:cs="Arial" w:eastAsia="Arial" w:hAnsi="Arial"/>
          <w:sz w:val="18"/>
          <w:szCs w:val="18"/>
          <w:color w:val="auto"/>
        </w:rPr>
        <w:t xml:space="preserve"> </w:t>
      </w:r>
      <w:r>
        <w:rPr>
          <w:rFonts w:ascii="Arial" w:cs="Arial" w:eastAsia="Arial" w:hAnsi="Arial"/>
          <w:sz w:val="15"/>
          <w:szCs w:val="15"/>
          <w:color w:val="auto"/>
        </w:rPr>
        <w:t>Adjusted EBITDA does not reflect cash capital expenditure requirements for such replacements or for new capital expenditure requirements;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EBITDA does not reflect tax payments that may represent a reduction in cash available to us; and</w:t>
      </w:r>
    </w:p>
    <w:p>
      <w:pPr>
        <w:spacing w:after="0" w:line="102" w:lineRule="exact"/>
        <w:rPr>
          <w:sz w:val="20"/>
          <w:szCs w:val="20"/>
          <w:color w:val="auto"/>
        </w:rPr>
      </w:pPr>
    </w:p>
    <w:p>
      <w:pPr>
        <w:ind w:left="820" w:right="780" w:hanging="294"/>
        <w:spacing w:after="0" w:line="224" w:lineRule="auto"/>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other companies, including companies in our own industry, may calculate Adjusted EBITDA differently than we do, limiting its usefulness as a</w:t>
      </w:r>
      <w:r>
        <w:rPr>
          <w:rFonts w:ascii="Arial" w:cs="Arial" w:eastAsia="Arial" w:hAnsi="Arial"/>
          <w:sz w:val="20"/>
          <w:szCs w:val="20"/>
          <w:color w:val="auto"/>
        </w:rPr>
        <w:t xml:space="preserve"> </w:t>
      </w:r>
      <w:r>
        <w:rPr>
          <w:rFonts w:ascii="Arial" w:cs="Arial" w:eastAsia="Arial" w:hAnsi="Arial"/>
          <w:sz w:val="17"/>
          <w:szCs w:val="17"/>
          <w:color w:val="auto"/>
        </w:rPr>
        <w:t>comparative measure.</w:t>
      </w:r>
    </w:p>
    <w:p>
      <w:pPr>
        <w:spacing w:after="0" w:line="19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Because of these limitations, you should consider Adjusted EBITDA alongside other financial performance measures, including various cash flow metrics, net income and our other GAAP results.</w:t>
      </w:r>
    </w:p>
    <w:p>
      <w:pPr>
        <w:spacing w:after="0" w:line="164" w:lineRule="exact"/>
        <w:rPr>
          <w:sz w:val="20"/>
          <w:szCs w:val="20"/>
          <w:color w:val="auto"/>
        </w:rPr>
      </w:pPr>
    </w:p>
    <w:p>
      <w:pPr>
        <w:ind w:right="560" w:firstLine="518"/>
        <w:spacing w:after="0" w:line="276" w:lineRule="auto"/>
        <w:rPr>
          <w:sz w:val="20"/>
          <w:szCs w:val="20"/>
          <w:color w:val="auto"/>
        </w:rPr>
      </w:pPr>
      <w:r>
        <w:rPr>
          <w:rFonts w:ascii="Arial" w:cs="Arial" w:eastAsia="Arial" w:hAnsi="Arial"/>
          <w:sz w:val="17"/>
          <w:szCs w:val="17"/>
          <w:color w:val="auto"/>
        </w:rPr>
        <w:t>The following table is a reconciliation of Adjusted EBITDA to net income, the most directly comparable financial measure calculated and presented in accordance with GAAP, for the periods presented: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gridSpan w:val="5"/>
          </w:tcPr>
          <w:p>
            <w:pPr>
              <w:jc w:val="center"/>
              <w:ind w:left="289"/>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45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89"/>
              </w:rPr>
              <w:t>(in millions)</w:t>
            </w: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Adjusted EBITDA</w:t>
            </w:r>
          </w:p>
        </w:tc>
        <w:tc>
          <w:tcPr>
            <w:tcW w:w="1420" w:type="dxa"/>
            <w:vAlign w:val="bottom"/>
            <w:gridSpan w:val="2"/>
            <w:shd w:val="clear" w:color="auto" w:fill="CFF0FC"/>
          </w:tcPr>
          <w:p>
            <w:pPr>
              <w:jc w:val="right"/>
              <w:ind w:right="729"/>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129</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4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113</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6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251</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0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222</w:t>
            </w:r>
          </w:p>
        </w:tc>
        <w:tc>
          <w:tcPr>
            <w:tcW w:w="100" w:type="dxa"/>
            <w:vAlign w:val="bottom"/>
            <w:shd w:val="clear" w:color="auto" w:fill="CFF0FC"/>
          </w:tcPr>
          <w:p>
            <w:pPr>
              <w:spacing w:after="0"/>
              <w:rPr>
                <w:sz w:val="18"/>
                <w:szCs w:val="18"/>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Depreciation (1)</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8"/>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intangible assets</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18"/>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Other expense, net</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r>
      <w:tr>
        <w:trPr>
          <w:trHeight w:val="211"/>
        </w:trPr>
        <w:tc>
          <w:tcPr>
            <w:tcW w:w="20" w:type="dxa"/>
            <w:vAlign w:val="bottom"/>
          </w:tcPr>
          <w:p>
            <w:pPr>
              <w:spacing w:after="0"/>
              <w:rPr>
                <w:sz w:val="18"/>
                <w:szCs w:val="18"/>
                <w:color w:val="auto"/>
              </w:rPr>
            </w:pPr>
          </w:p>
        </w:tc>
        <w:tc>
          <w:tcPr>
            <w:tcW w:w="2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729"/>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Includes amortization of internal use software and website development costs.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7"/>
          <w:szCs w:val="17"/>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subscription and free-to-list commission-based offerings from our Vacation Rentals products, transaction revenue from selling room nights, online restaurant reservations revenue from newly-acquired Lafourchette, and other revenue including, among other things, content licensing.</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562" w:right="27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7"/>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center"/>
              <w:ind w:left="3"/>
              <w:spacing w:after="0"/>
              <w:rPr>
                <w:sz w:val="20"/>
                <w:szCs w:val="20"/>
                <w:color w:val="auto"/>
              </w:rPr>
            </w:pPr>
            <w:r>
              <w:rPr>
                <w:rFonts w:ascii="Arial" w:cs="Arial" w:eastAsia="Arial" w:hAnsi="Arial"/>
                <w:sz w:val="14"/>
                <w:szCs w:val="14"/>
                <w:b w:val="1"/>
                <w:bCs w:val="1"/>
                <w:color w:val="auto"/>
                <w:w w:val="84"/>
              </w:rPr>
              <w:t>Six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23"/>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03"/>
              <w:spacing w:after="0" w:line="147"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left="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7"/>
                <w:szCs w:val="17"/>
                <w:color w:val="auto"/>
              </w:rPr>
              <w:t>Click-based advertising</w:t>
            </w:r>
          </w:p>
        </w:tc>
        <w:tc>
          <w:tcPr>
            <w:tcW w:w="88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80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28%</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2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7"/>
        </w:trPr>
        <w:tc>
          <w:tcPr>
            <w:tcW w:w="2180" w:type="dxa"/>
            <w:vAlign w:val="bottom"/>
            <w:gridSpan w:val="2"/>
          </w:tcPr>
          <w:p>
            <w:pPr>
              <w:spacing w:after="0"/>
              <w:rPr>
                <w:sz w:val="20"/>
                <w:szCs w:val="20"/>
                <w:color w:val="auto"/>
              </w:rPr>
            </w:pPr>
            <w:r>
              <w:rPr>
                <w:rFonts w:ascii="Arial" w:cs="Arial" w:eastAsia="Arial" w:hAnsi="Arial"/>
                <w:sz w:val="17"/>
                <w:szCs w:val="17"/>
                <w:color w:val="auto"/>
              </w:rPr>
              <w:t>Display-based advertising</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31</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56</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7"/>
                <w:szCs w:val="17"/>
                <w:color w:val="auto"/>
                <w:w w:val="97"/>
              </w:rPr>
              <w:t>Subscription, transaction and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55%</w:t>
            </w:r>
          </w:p>
        </w:tc>
        <w:tc>
          <w:tcPr>
            <w:tcW w:w="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880" w:type="dxa"/>
            <w:vAlign w:val="bottom"/>
            <w:gridSpan w:val="2"/>
          </w:tcPr>
          <w:p>
            <w:pPr>
              <w:jc w:val="right"/>
              <w:ind w:right="532"/>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323</w:t>
            </w:r>
          </w:p>
        </w:tc>
        <w:tc>
          <w:tcPr>
            <w:tcW w:w="8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247</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604</w:t>
            </w:r>
          </w:p>
        </w:tc>
        <w:tc>
          <w:tcPr>
            <w:tcW w:w="120" w:type="dxa"/>
            <w:vAlign w:val="bottom"/>
          </w:tcPr>
          <w:p>
            <w:pPr>
              <w:spacing w:after="0"/>
              <w:rPr>
                <w:sz w:val="18"/>
                <w:szCs w:val="18"/>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477</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60" w:firstLine="518"/>
        <w:spacing w:after="0" w:line="254" w:lineRule="auto"/>
        <w:rPr>
          <w:sz w:val="20"/>
          <w:szCs w:val="20"/>
          <w:color w:val="auto"/>
        </w:rPr>
      </w:pPr>
      <w:r>
        <w:rPr>
          <w:rFonts w:ascii="Arial" w:cs="Arial" w:eastAsia="Arial" w:hAnsi="Arial"/>
          <w:sz w:val="17"/>
          <w:szCs w:val="17"/>
          <w:color w:val="auto"/>
        </w:rPr>
        <w:t>Revenue increased $76 million and $127 million during the three and six months ended June 30, 2014, respectively, when compared to the same periods in 2013, primarily due to an increase in click-based advertising revenue of $52 million and $80 million, respectively. The primary driver of the increase in click-based advertising revenue was an increase in hotel shoppers of 17% and 14%, respectively, and an increase in revenue per hotel shopper of 11% and 8% for the three and six months ended June 30, 2014. Display-based advertising increased by $6 million and $13 million during the three and six months ended June 30, 2014, respectively, primarily as a result of a 11% and 19% increase in the number of impressions sold, due to increased sales productivity, and an increase in pricing by 4% and 2%, coupled with worldwide growth particularly in emerging markets when compared to the same periods in 2013, respectively. Subscription, transaction and other revenue increased by $18 million and $34 million during the three and six months ended June 30, 2014, respectively, primarily due to growth in our Business Listings and Vacation Rentals products.</w:t>
      </w:r>
    </w:p>
    <w:p>
      <w:pPr>
        <w:spacing w:after="0" w:line="18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following table presents our revenue by geographic region which reflects how we measure our business internally. Revenue by geography is based on the location of our websites:</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7"/>
              </w:rPr>
              <w:t>Three months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138"/>
              <w:spacing w:after="0"/>
              <w:rPr>
                <w:sz w:val="20"/>
                <w:szCs w:val="20"/>
                <w:color w:val="auto"/>
              </w:rPr>
            </w:pPr>
            <w:r>
              <w:rPr>
                <w:rFonts w:ascii="Arial" w:cs="Arial" w:eastAsia="Arial" w:hAnsi="Arial"/>
                <w:sz w:val="14"/>
                <w:szCs w:val="14"/>
                <w:b w:val="1"/>
                <w:bCs w:val="1"/>
                <w:color w:val="auto"/>
                <w:w w:val="86"/>
              </w:rPr>
              <w:t>Six months ended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62"/>
              <w:spacing w:after="0" w:line="147"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8"/>
              <w:spacing w:after="0" w:line="147"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342"/>
              <w:spacing w:after="0" w:line="147" w:lineRule="exact"/>
              <w:rPr>
                <w:sz w:val="20"/>
                <w:szCs w:val="20"/>
                <w:color w:val="auto"/>
              </w:rPr>
            </w:pPr>
            <w:r>
              <w:rPr>
                <w:rFonts w:ascii="Arial" w:cs="Arial" w:eastAsia="Arial" w:hAnsi="Arial"/>
                <w:sz w:val="14"/>
                <w:szCs w:val="14"/>
                <w:b w:val="1"/>
                <w:bCs w:val="1"/>
                <w:color w:val="auto"/>
                <w:w w:val="89"/>
              </w:rPr>
              <w:t>(in millions)</w:t>
            </w: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90"/>
              </w:rPr>
              <w:t>Revenue by geographic region:</w:t>
            </w: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Pr>
          <w:p>
            <w:pPr>
              <w:ind w:left="220"/>
              <w:spacing w:after="0"/>
              <w:rPr>
                <w:sz w:val="20"/>
                <w:szCs w:val="20"/>
                <w:color w:val="auto"/>
              </w:rPr>
            </w:pPr>
            <w:r>
              <w:rPr>
                <w:rFonts w:ascii="Arial" w:cs="Arial" w:eastAsia="Arial" w:hAnsi="Arial"/>
                <w:sz w:val="17"/>
                <w:szCs w:val="17"/>
                <w:color w:val="auto"/>
              </w:rPr>
              <w:t>North America (1)</w:t>
            </w:r>
          </w:p>
        </w:tc>
        <w:tc>
          <w:tcPr>
            <w:tcW w:w="700" w:type="dxa"/>
            <w:vAlign w:val="bottom"/>
            <w:gridSpan w:val="2"/>
          </w:tcPr>
          <w:p>
            <w:pPr>
              <w:jc w:val="right"/>
              <w:ind w:right="492"/>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161</w:t>
            </w:r>
          </w:p>
        </w:tc>
        <w:tc>
          <w:tcPr>
            <w:tcW w:w="8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134</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307</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255</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EMEA (2)</w:t>
            </w: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107</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47%</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Pr>
          <w:p>
            <w:pPr>
              <w:ind w:left="220"/>
              <w:spacing w:after="0"/>
              <w:rPr>
                <w:sz w:val="20"/>
                <w:szCs w:val="20"/>
                <w:color w:val="auto"/>
              </w:rPr>
            </w:pPr>
            <w:r>
              <w:rPr>
                <w:rFonts w:ascii="Arial" w:cs="Arial" w:eastAsia="Arial" w:hAnsi="Arial"/>
                <w:sz w:val="17"/>
                <w:szCs w:val="17"/>
                <w:color w:val="auto"/>
              </w:rPr>
              <w:t>APAC (3)</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30</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LATAM (4)</w:t>
            </w:r>
          </w:p>
        </w:tc>
        <w:tc>
          <w:tcPr>
            <w:tcW w:w="6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7"/>
                <w:szCs w:val="17"/>
                <w:color w:val="auto"/>
              </w:rPr>
              <w:t>Total</w:t>
            </w:r>
          </w:p>
        </w:tc>
        <w:tc>
          <w:tcPr>
            <w:tcW w:w="700" w:type="dxa"/>
            <w:vAlign w:val="bottom"/>
            <w:gridSpan w:val="2"/>
          </w:tcPr>
          <w:p>
            <w:pPr>
              <w:jc w:val="right"/>
              <w:ind w:right="492"/>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323</w:t>
            </w:r>
          </w:p>
        </w:tc>
        <w:tc>
          <w:tcPr>
            <w:tcW w:w="8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8"/>
              </w:rPr>
              <w:t>247</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604</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477</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86"/>
              </w:rPr>
              <w:t>(1)</w:t>
            </w:r>
          </w:p>
        </w:tc>
        <w:tc>
          <w:tcPr>
            <w:tcW w:w="2700" w:type="dxa"/>
            <w:vAlign w:val="bottom"/>
            <w:gridSpan w:val="2"/>
            <w:vMerge w:val="restart"/>
          </w:tcPr>
          <w:p>
            <w:pPr>
              <w:ind w:left="80"/>
              <w:spacing w:after="0"/>
              <w:rPr>
                <w:sz w:val="20"/>
                <w:szCs w:val="20"/>
                <w:color w:val="auto"/>
              </w:rPr>
            </w:pPr>
            <w:r>
              <w:rPr>
                <w:rFonts w:ascii="Arial" w:cs="Arial" w:eastAsia="Arial" w:hAnsi="Arial"/>
                <w:sz w:val="17"/>
                <w:szCs w:val="17"/>
                <w:color w:val="auto"/>
              </w:rPr>
              <w:t>United States and Canada*</w:t>
            </w: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60" w:type="dxa"/>
            <w:vAlign w:val="bottom"/>
            <w:vMerge w:val="continue"/>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0" w:type="dxa"/>
            <w:vAlign w:val="bottom"/>
          </w:tcPr>
          <w:p>
            <w:pPr>
              <w:jc w:val="right"/>
              <w:spacing w:after="0"/>
              <w:rPr>
                <w:sz w:val="20"/>
                <w:szCs w:val="20"/>
                <w:color w:val="auto"/>
              </w:rPr>
            </w:pPr>
            <w:r>
              <w:rPr>
                <w:rFonts w:ascii="Arial" w:cs="Arial" w:eastAsia="Arial" w:hAnsi="Arial"/>
                <w:sz w:val="17"/>
                <w:szCs w:val="17"/>
                <w:color w:val="auto"/>
                <w:w w:val="86"/>
              </w:rPr>
              <w:t>(2)</w:t>
            </w:r>
          </w:p>
        </w:tc>
        <w:tc>
          <w:tcPr>
            <w:tcW w:w="2700" w:type="dxa"/>
            <w:vAlign w:val="bottom"/>
            <w:gridSpan w:val="2"/>
          </w:tcPr>
          <w:p>
            <w:pPr>
              <w:ind w:left="80"/>
              <w:spacing w:after="0"/>
              <w:rPr>
                <w:sz w:val="20"/>
                <w:szCs w:val="20"/>
                <w:color w:val="auto"/>
              </w:rPr>
            </w:pPr>
            <w:r>
              <w:rPr>
                <w:rFonts w:ascii="Arial" w:cs="Arial" w:eastAsia="Arial" w:hAnsi="Arial"/>
                <w:sz w:val="17"/>
                <w:szCs w:val="17"/>
                <w:color w:val="auto"/>
              </w:rPr>
              <w:t>Europe, Middle East and Africa</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 w:type="dxa"/>
            <w:vAlign w:val="bottom"/>
          </w:tcPr>
          <w:p>
            <w:pPr>
              <w:jc w:val="right"/>
              <w:spacing w:after="0"/>
              <w:rPr>
                <w:sz w:val="20"/>
                <w:szCs w:val="20"/>
                <w:color w:val="auto"/>
              </w:rPr>
            </w:pPr>
            <w:r>
              <w:rPr>
                <w:rFonts w:ascii="Arial" w:cs="Arial" w:eastAsia="Arial" w:hAnsi="Arial"/>
                <w:sz w:val="17"/>
                <w:szCs w:val="17"/>
                <w:color w:val="auto"/>
                <w:w w:val="86"/>
              </w:rPr>
              <w:t>(3)</w:t>
            </w:r>
          </w:p>
        </w:tc>
        <w:tc>
          <w:tcPr>
            <w:tcW w:w="2700" w:type="dxa"/>
            <w:vAlign w:val="bottom"/>
            <w:gridSpan w:val="2"/>
          </w:tcPr>
          <w:p>
            <w:pPr>
              <w:ind w:left="80"/>
              <w:spacing w:after="0"/>
              <w:rPr>
                <w:sz w:val="20"/>
                <w:szCs w:val="20"/>
                <w:color w:val="auto"/>
              </w:rPr>
            </w:pPr>
            <w:r>
              <w:rPr>
                <w:rFonts w:ascii="Arial" w:cs="Arial" w:eastAsia="Arial" w:hAnsi="Arial"/>
                <w:sz w:val="17"/>
                <w:szCs w:val="17"/>
                <w:color w:val="auto"/>
              </w:rPr>
              <w:t>Asia-Pacific</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spacing w:after="0"/>
              <w:rPr>
                <w:sz w:val="20"/>
                <w:szCs w:val="20"/>
                <w:color w:val="auto"/>
              </w:rPr>
            </w:pPr>
            <w:r>
              <w:rPr>
                <w:rFonts w:ascii="Arial" w:cs="Arial" w:eastAsia="Arial" w:hAnsi="Arial"/>
                <w:sz w:val="17"/>
                <w:szCs w:val="17"/>
                <w:color w:val="auto"/>
                <w:w w:val="86"/>
              </w:rPr>
              <w:t>(4)</w:t>
            </w:r>
          </w:p>
        </w:tc>
        <w:tc>
          <w:tcPr>
            <w:tcW w:w="2700" w:type="dxa"/>
            <w:vAlign w:val="bottom"/>
            <w:gridSpan w:val="2"/>
          </w:tcPr>
          <w:p>
            <w:pPr>
              <w:ind w:left="80"/>
              <w:spacing w:after="0"/>
              <w:rPr>
                <w:sz w:val="20"/>
                <w:szCs w:val="20"/>
                <w:color w:val="auto"/>
              </w:rPr>
            </w:pPr>
            <w:r>
              <w:rPr>
                <w:rFonts w:ascii="Arial" w:cs="Arial" w:eastAsia="Arial" w:hAnsi="Arial"/>
                <w:sz w:val="17"/>
                <w:szCs w:val="17"/>
                <w:color w:val="auto"/>
              </w:rPr>
              <w:t>Latin America</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60" w:hanging="339"/>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in international revenue for discussion purposes.</w:t>
      </w:r>
    </w:p>
    <w:p>
      <w:pPr>
        <w:spacing w:after="0" w:line="214"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auto"/>
        </w:rPr>
        <w:t>International revenue increased $51 million or 42% and $80 million or 34% during the three and six months ended June 30, 2014, respectively, compared to the same periods in 2013. International revenue represented 53% and 52% of total revenue during the three and six months ended June 30, 2014, respectively, and represented 49% of total revenue during both the three and six months ended June 30, 2013. The increase in international revenue, in absolute dollars and as a percentage of total revenue, is primarily due to additional investment in international expansion and growth in international hotel shoppers.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2" w:lineRule="exact"/>
        <w:rPr>
          <w:sz w:val="20"/>
          <w:szCs w:val="20"/>
          <w:color w:val="auto"/>
        </w:rPr>
      </w:pPr>
    </w:p>
    <w:p>
      <w:pPr>
        <w:ind w:right="180" w:firstLine="518"/>
        <w:spacing w:after="0" w:line="287" w:lineRule="auto"/>
        <w:rPr>
          <w:sz w:val="20"/>
          <w:szCs w:val="20"/>
          <w:color w:val="auto"/>
        </w:rPr>
      </w:pPr>
      <w:r>
        <w:rPr>
          <w:rFonts w:ascii="Arial" w:cs="Arial" w:eastAsia="Arial" w:hAnsi="Arial"/>
          <w:sz w:val="16"/>
          <w:szCs w:val="16"/>
          <w:color w:val="auto"/>
        </w:rPr>
        <w:t>Cost of revenue consists of expenses that are closely correlated or directly 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19" w:right="23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080" w:type="dxa"/>
            <w:vAlign w:val="bottom"/>
            <w:gridSpan w:val="4"/>
          </w:tcPr>
          <w:p>
            <w:pPr>
              <w:jc w:val="center"/>
              <w:ind w:left="229"/>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left="3"/>
              <w:spacing w:after="0"/>
              <w:rPr>
                <w:sz w:val="20"/>
                <w:szCs w:val="20"/>
                <w:color w:val="auto"/>
              </w:rPr>
            </w:pPr>
            <w:r>
              <w:rPr>
                <w:rFonts w:ascii="Arial" w:cs="Arial" w:eastAsia="Arial" w:hAnsi="Arial"/>
                <w:sz w:val="14"/>
                <w:szCs w:val="14"/>
                <w:b w:val="1"/>
                <w:bCs w:val="1"/>
                <w:color w:val="auto"/>
                <w:w w:val="84"/>
              </w:rPr>
              <w:t>Six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2014 vs 2013</w:t>
            </w: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2014 vs 2013</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6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8"/>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3"/>
              <w:spacing w:after="0" w:line="147"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760" w:type="dxa"/>
            <w:vAlign w:val="bottom"/>
          </w:tcPr>
          <w:p>
            <w:pPr>
              <w:jc w:val="right"/>
              <w:ind w:right="28"/>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38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center"/>
              <w:ind w:left="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CFF0FC"/>
          </w:tcPr>
          <w:p>
            <w:pPr>
              <w:spacing w:after="0"/>
              <w:rPr>
                <w:sz w:val="20"/>
                <w:szCs w:val="20"/>
                <w:color w:val="auto"/>
              </w:rPr>
            </w:pPr>
            <w:r>
              <w:rPr>
                <w:rFonts w:ascii="Arial" w:cs="Arial" w:eastAsia="Arial" w:hAnsi="Arial"/>
                <w:sz w:val="17"/>
                <w:szCs w:val="17"/>
                <w:color w:val="auto"/>
              </w:rPr>
              <w:t>Direct costs</w:t>
            </w:r>
          </w:p>
        </w:tc>
        <w:tc>
          <w:tcPr>
            <w:tcW w:w="760" w:type="dxa"/>
            <w:vAlign w:val="bottom"/>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Personnel and overhead</w:t>
            </w: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7"/>
                <w:szCs w:val="17"/>
                <w:color w:val="auto"/>
              </w:rPr>
              <w:t>100%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cost of revenue</w:t>
            </w:r>
          </w:p>
        </w:tc>
        <w:tc>
          <w:tcPr>
            <w:tcW w:w="760" w:type="dxa"/>
            <w:vAlign w:val="bottom"/>
            <w:tcBorders>
              <w:bottom w:val="single" w:sz="8" w:color="auto"/>
            </w:tcBorders>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125%</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40"/>
              <w:spacing w:after="0"/>
              <w:rPr>
                <w:sz w:val="20"/>
                <w:szCs w:val="20"/>
                <w:color w:val="auto"/>
              </w:rPr>
            </w:pPr>
            <w:r>
              <w:rPr>
                <w:rFonts w:ascii="Arial" w:cs="Arial" w:eastAsia="Arial" w:hAnsi="Arial"/>
                <w:sz w:val="17"/>
                <w:szCs w:val="17"/>
                <w:color w:val="auto"/>
              </w:rPr>
              <w:t>% of revenue</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7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7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518"/>
        <w:spacing w:after="0" w:line="263" w:lineRule="auto"/>
        <w:rPr>
          <w:sz w:val="20"/>
          <w:szCs w:val="20"/>
          <w:color w:val="auto"/>
        </w:rPr>
      </w:pPr>
      <w:r>
        <w:rPr>
          <w:rFonts w:ascii="Arial" w:cs="Arial" w:eastAsia="Arial" w:hAnsi="Arial"/>
          <w:sz w:val="17"/>
          <w:szCs w:val="17"/>
          <w:color w:val="auto"/>
        </w:rPr>
        <w:t>Cost of revenue increased $5 million and $9 million during the three and six months ended June 30, 2014 when compared to the same periods in 2013, primarily due to increased data center costs, driven by higher site traffic; increased merchant credit card and transaction fees, driven by additional costs from our 2013 business acquisitions and free-to-list growth in our vacation rental products; and customer support costs.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112" w:lineRule="exact"/>
        <w:rPr>
          <w:sz w:val="20"/>
          <w:szCs w:val="20"/>
          <w:color w:val="auto"/>
        </w:rPr>
      </w:pPr>
    </w:p>
    <w:p>
      <w:pPr>
        <w:ind w:firstLine="518"/>
        <w:spacing w:after="0" w:line="315" w:lineRule="auto"/>
        <w:rPr>
          <w:sz w:val="20"/>
          <w:szCs w:val="20"/>
          <w:color w:val="auto"/>
        </w:rPr>
      </w:pPr>
      <w:r>
        <w:rPr>
          <w:rFonts w:ascii="Arial" w:cs="Arial" w:eastAsia="Arial" w:hAnsi="Arial"/>
          <w:sz w:val="15"/>
          <w:szCs w:val="15"/>
          <w:color w:val="auto"/>
        </w:rPr>
        <w:t>Sales and marketing expenses primarily consist of direct costs, including search engine marketing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7"/>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w w:val="86"/>
              </w:rPr>
              <w:t>Six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43"/>
              <w:spacing w:after="0" w:line="147"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8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left="6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7"/>
                <w:szCs w:val="17"/>
                <w:color w:val="auto"/>
              </w:rPr>
              <w:t>Direct costs</w:t>
            </w:r>
          </w:p>
        </w:tc>
        <w:tc>
          <w:tcPr>
            <w:tcW w:w="660" w:type="dxa"/>
            <w:vAlign w:val="bottom"/>
            <w:gridSpan w:val="2"/>
            <w:shd w:val="clear" w:color="auto" w:fill="CFF0FC"/>
          </w:tcPr>
          <w:p>
            <w:pPr>
              <w:jc w:val="right"/>
              <w:ind w:right="43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7"/>
        </w:trPr>
        <w:tc>
          <w:tcPr>
            <w:tcW w:w="2200" w:type="dxa"/>
            <w:vAlign w:val="bottom"/>
            <w:gridSpan w:val="2"/>
          </w:tcPr>
          <w:p>
            <w:pPr>
              <w:spacing w:after="0"/>
              <w:rPr>
                <w:sz w:val="20"/>
                <w:szCs w:val="20"/>
                <w:color w:val="auto"/>
              </w:rPr>
            </w:pPr>
            <w:r>
              <w:rPr>
                <w:rFonts w:ascii="Arial" w:cs="Arial" w:eastAsia="Arial" w:hAnsi="Arial"/>
                <w:sz w:val="17"/>
                <w:szCs w:val="17"/>
                <w:color w:val="auto"/>
              </w:rPr>
              <w:t>Personnel and overhead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59</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w w:val="95"/>
              </w:rPr>
              <w:t>Total selling and marketing</w:t>
            </w: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53%</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vMerge w:val="continue"/>
            <w:shd w:val="clear" w:color="auto" w:fill="CFF0FC"/>
          </w:tcPr>
          <w:p>
            <w:pPr>
              <w:spacing w:after="0"/>
              <w:rPr>
                <w:sz w:val="18"/>
                <w:szCs w:val="18"/>
                <w:color w:val="auto"/>
              </w:rPr>
            </w:pPr>
          </w:p>
        </w:tc>
        <w:tc>
          <w:tcPr>
            <w:tcW w:w="660" w:type="dxa"/>
            <w:vAlign w:val="bottom"/>
            <w:gridSpan w:val="2"/>
            <w:shd w:val="clear" w:color="auto" w:fill="CFF0FC"/>
          </w:tcPr>
          <w:p>
            <w:pPr>
              <w:jc w:val="right"/>
              <w:ind w:right="43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127</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26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7"/>
                <w:szCs w:val="17"/>
                <w:color w:val="auto"/>
              </w:rPr>
              <w:t>% of revenue</w:t>
            </w: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39.3%</w:t>
            </w: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33.6%</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37.7%</w:t>
            </w: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34.0%</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518"/>
        <w:spacing w:after="0" w:line="296" w:lineRule="auto"/>
        <w:rPr>
          <w:sz w:val="20"/>
          <w:szCs w:val="20"/>
          <w:color w:val="auto"/>
        </w:rPr>
      </w:pPr>
      <w:r>
        <w:rPr>
          <w:rFonts w:ascii="Arial" w:cs="Arial" w:eastAsia="Arial" w:hAnsi="Arial"/>
          <w:sz w:val="15"/>
          <w:szCs w:val="15"/>
          <w:color w:val="auto"/>
        </w:rPr>
        <w:t>Direct selling and marketing costs increased $37 million and $50 million during the three and six months ended June 30, 2014 when compared to the same periods in 2013, primarily due to increased SEM costs, other traffic acquisition costs, and offline advertising costs partially offset by a decrease in spending in social media. The primary driver of the increase in our offline advertising costs is related to our new television campaign that was launched in May 2014 and have spent $10 million and $11 million for the three and six months ended June 30, 2014, respectively. Personnel and overhead costs increased $7 million and $16 million during the three and six months ended June 30, 2014, respectively, when compared to the same periods in 2013. This is primarily due to an increase in headcount to support business growth, including international expansion and employees joining us through recent business acquisitions, and also increased stock-based compensation costs.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Content</w:t>
      </w:r>
    </w:p>
    <w:p>
      <w:pPr>
        <w:spacing w:after="0" w:line="112" w:lineRule="exact"/>
        <w:rPr>
          <w:sz w:val="20"/>
          <w:szCs w:val="20"/>
          <w:color w:val="auto"/>
        </w:rPr>
      </w:pPr>
    </w:p>
    <w:p>
      <w:pPr>
        <w:jc w:val="both"/>
        <w:ind w:right="100" w:firstLine="518"/>
        <w:spacing w:after="0" w:line="263" w:lineRule="auto"/>
        <w:rPr>
          <w:sz w:val="20"/>
          <w:szCs w:val="20"/>
          <w:color w:val="auto"/>
        </w:rPr>
      </w:pPr>
      <w:r>
        <w:rPr>
          <w:rFonts w:ascii="Arial" w:cs="Arial" w:eastAsia="Arial" w:hAnsi="Arial"/>
          <w:sz w:val="17"/>
          <w:szCs w:val="17"/>
          <w:color w:val="auto"/>
        </w:rPr>
        <w:t>Technology and content expenses consist of personnel and overhead expenses, including salaries, benefits, stock-based compensation and bonuses for salaried employees and contractors engaged in the design, development, testing, content support, and maintenance of our websites. Other costs include licensing, maintenance expense, and technology hardware.</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7"/>
              </w:rPr>
              <w:t>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w w:val="84"/>
              </w:rPr>
              <w:t>Six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43"/>
              <w:spacing w:after="0" w:line="147"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22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left="4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7"/>
                <w:szCs w:val="17"/>
                <w:color w:val="auto"/>
              </w:rPr>
              <w:t>Personnel and overhead</w:t>
            </w:r>
          </w:p>
        </w:tc>
        <w:tc>
          <w:tcPr>
            <w:tcW w:w="900" w:type="dxa"/>
            <w:vAlign w:val="bottom"/>
            <w:gridSpan w:val="2"/>
            <w:shd w:val="clear" w:color="auto" w:fill="CFF0FC"/>
          </w:tcPr>
          <w:p>
            <w:pPr>
              <w:jc w:val="right"/>
              <w:ind w:right="45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7"/>
        </w:trPr>
        <w:tc>
          <w:tcPr>
            <w:tcW w:w="1980" w:type="dxa"/>
            <w:vAlign w:val="bottom"/>
            <w:gridSpan w:val="2"/>
          </w:tcPr>
          <w:p>
            <w:pPr>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technology and</w:t>
            </w:r>
          </w:p>
        </w:tc>
        <w:tc>
          <w:tcPr>
            <w:tcW w:w="3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content</w:t>
            </w:r>
          </w:p>
        </w:tc>
        <w:tc>
          <w:tcPr>
            <w:tcW w:w="900" w:type="dxa"/>
            <w:vAlign w:val="bottom"/>
            <w:gridSpan w:val="2"/>
            <w:shd w:val="clear" w:color="auto" w:fill="CFF0FC"/>
          </w:tcPr>
          <w:p>
            <w:pPr>
              <w:jc w:val="right"/>
              <w:ind w:right="45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26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Arial" w:cs="Arial" w:eastAsia="Arial" w:hAnsi="Arial"/>
                <w:sz w:val="17"/>
                <w:szCs w:val="17"/>
                <w:color w:val="auto"/>
              </w:rPr>
              <w:t>% of revenue</w:t>
            </w: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12.7%</w:t>
            </w: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13.0%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13.1%</w:t>
            </w: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12.8%</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29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29" w:name="page30"/>
    <w:bookmarkEnd w:id="29"/>
    <w:p>
      <w:pPr>
        <w:jc w:val="both"/>
        <w:ind w:right="60" w:firstLine="518"/>
        <w:spacing w:after="0" w:line="287" w:lineRule="auto"/>
        <w:rPr>
          <w:sz w:val="20"/>
          <w:szCs w:val="20"/>
          <w:color w:val="auto"/>
        </w:rPr>
      </w:pPr>
      <w:r>
        <w:rPr>
          <w:rFonts w:ascii="Arial" w:cs="Arial" w:eastAsia="Arial" w:hAnsi="Arial"/>
          <w:sz w:val="16"/>
          <w:szCs w:val="16"/>
          <w:color w:val="auto"/>
        </w:rPr>
        <w:t>Technology and content costs increased $9 million and $18 million during the three and six months ended June 30, 2014, respectively, when compared to the same periods in 2013. This was primarily due to increased personnel costs from increased headcount to support business growth, including international expansion and enhanced site features, as well as additional personnel costs related to employees joining us through recent business acquisitions.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2" w:lineRule="exact"/>
        <w:rPr>
          <w:sz w:val="20"/>
          <w:szCs w:val="20"/>
          <w:color w:val="auto"/>
        </w:rPr>
      </w:pPr>
    </w:p>
    <w:p>
      <w:pPr>
        <w:ind w:right="380" w:firstLine="518"/>
        <w:spacing w:after="0" w:line="263" w:lineRule="auto"/>
        <w:rPr>
          <w:sz w:val="20"/>
          <w:szCs w:val="20"/>
          <w:color w:val="auto"/>
        </w:rPr>
      </w:pPr>
      <w:r>
        <w:rPr>
          <w:rFonts w:ascii="Arial" w:cs="Arial" w:eastAsia="Arial" w:hAnsi="Arial"/>
          <w:sz w:val="17"/>
          <w:szCs w:val="17"/>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left="232"/>
              <w:spacing w:after="0"/>
              <w:rPr>
                <w:sz w:val="20"/>
                <w:szCs w:val="20"/>
                <w:color w:val="auto"/>
              </w:rPr>
            </w:pPr>
            <w:r>
              <w:rPr>
                <w:rFonts w:ascii="Arial" w:cs="Arial" w:eastAsia="Arial" w:hAnsi="Arial"/>
                <w:sz w:val="14"/>
                <w:szCs w:val="14"/>
                <w:b w:val="1"/>
                <w:bCs w:val="1"/>
                <w:color w:val="auto"/>
                <w:w w:val="85"/>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left="43"/>
              <w:spacing w:after="0"/>
              <w:rPr>
                <w:sz w:val="20"/>
                <w:szCs w:val="20"/>
                <w:color w:val="auto"/>
              </w:rPr>
            </w:pPr>
            <w:r>
              <w:rPr>
                <w:rFonts w:ascii="Arial" w:cs="Arial" w:eastAsia="Arial" w:hAnsi="Arial"/>
                <w:sz w:val="14"/>
                <w:szCs w:val="14"/>
                <w:b w:val="1"/>
                <w:bCs w:val="1"/>
                <w:color w:val="auto"/>
                <w:w w:val="84"/>
              </w:rPr>
              <w:t>Six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23"/>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63"/>
              <w:spacing w:after="0" w:line="147"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left="4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Personnel and overhead</w:t>
            </w:r>
          </w:p>
        </w:tc>
        <w:tc>
          <w:tcPr>
            <w:tcW w:w="760" w:type="dxa"/>
            <w:vAlign w:val="bottom"/>
            <w:gridSpan w:val="2"/>
            <w:shd w:val="clear" w:color="auto" w:fill="CFF0FC"/>
          </w:tcPr>
          <w:p>
            <w:pPr>
              <w:jc w:val="right"/>
              <w:ind w:right="472"/>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53%</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5"/>
        </w:trPr>
        <w:tc>
          <w:tcPr>
            <w:tcW w:w="2140" w:type="dxa"/>
            <w:vAlign w:val="bottom"/>
            <w:gridSpan w:val="2"/>
          </w:tcPr>
          <w:p>
            <w:pPr>
              <w:spacing w:after="0"/>
              <w:rPr>
                <w:sz w:val="20"/>
                <w:szCs w:val="20"/>
                <w:color w:val="auto"/>
              </w:rPr>
            </w:pPr>
            <w:r>
              <w:rPr>
                <w:rFonts w:ascii="Arial" w:cs="Arial" w:eastAsia="Arial" w:hAnsi="Arial"/>
                <w:sz w:val="17"/>
                <w:szCs w:val="17"/>
                <w:color w:val="auto"/>
                <w:w w:val="95"/>
              </w:rPr>
              <w:t>Professional service fees and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40" w:type="dxa"/>
            <w:vAlign w:val="bottom"/>
            <w:gridSpan w:val="2"/>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general and</w:t>
            </w:r>
          </w:p>
        </w:tc>
        <w:tc>
          <w:tcPr>
            <w:tcW w:w="1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administrative</w:t>
            </w:r>
          </w:p>
        </w:tc>
        <w:tc>
          <w:tcPr>
            <w:tcW w:w="760" w:type="dxa"/>
            <w:vAlign w:val="bottom"/>
            <w:gridSpan w:val="2"/>
            <w:shd w:val="clear" w:color="auto" w:fill="CFF0FC"/>
          </w:tcPr>
          <w:p>
            <w:pPr>
              <w:jc w:val="right"/>
              <w:ind w:right="472"/>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28%</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7"/>
                <w:szCs w:val="17"/>
                <w:color w:val="auto"/>
              </w:rPr>
              <w:t>% of revenue</w:t>
            </w: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9.9%</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10.1%</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9.6%</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10.1%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00" w:firstLine="518"/>
        <w:spacing w:after="0" w:line="263" w:lineRule="auto"/>
        <w:rPr>
          <w:sz w:val="20"/>
          <w:szCs w:val="20"/>
          <w:color w:val="auto"/>
        </w:rPr>
      </w:pPr>
      <w:r>
        <w:rPr>
          <w:rFonts w:ascii="Arial" w:cs="Arial" w:eastAsia="Arial" w:hAnsi="Arial"/>
          <w:sz w:val="17"/>
          <w:szCs w:val="17"/>
          <w:color w:val="auto"/>
        </w:rPr>
        <w:t>General and administrative costs increased $7 million and $10 million during the three and six months ended June 30, 2014, respectively, when compared to the same periods in 2013. This increase resulted primarily from increased personnel costs and office rental costs related to an increase in headcount to support our business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center"/>
              <w:ind w:right="303"/>
              <w:spacing w:after="0"/>
              <w:rPr>
                <w:sz w:val="20"/>
                <w:szCs w:val="20"/>
                <w:color w:val="auto"/>
              </w:rPr>
            </w:pPr>
            <w:r>
              <w:rPr>
                <w:rFonts w:ascii="Arial" w:cs="Arial" w:eastAsia="Arial" w:hAnsi="Arial"/>
                <w:sz w:val="14"/>
                <w:szCs w:val="14"/>
                <w:b w:val="1"/>
                <w:bCs w:val="1"/>
                <w:color w:val="auto"/>
                <w:w w:val="87"/>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03"/>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2"/>
          </w:tcPr>
          <w:p>
            <w:pPr>
              <w:jc w:val="center"/>
              <w:ind w:right="32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7"/>
                <w:szCs w:val="17"/>
                <w:color w:val="auto"/>
              </w:rPr>
              <w:t>Depreciation</w:t>
            </w:r>
          </w:p>
        </w:tc>
        <w:tc>
          <w:tcPr>
            <w:tcW w:w="1780" w:type="dxa"/>
            <w:vAlign w:val="bottom"/>
            <w:gridSpan w:val="2"/>
            <w:shd w:val="clear" w:color="auto" w:fill="CFF0FC"/>
          </w:tcPr>
          <w:p>
            <w:pPr>
              <w:jc w:val="right"/>
              <w:ind w:right="592"/>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11</w:t>
            </w:r>
          </w:p>
        </w:tc>
        <w:tc>
          <w:tcPr>
            <w:tcW w:w="940" w:type="dxa"/>
            <w:vAlign w:val="bottom"/>
            <w:shd w:val="clear" w:color="auto" w:fill="CFF0FC"/>
          </w:tcPr>
          <w:p>
            <w:pPr>
              <w:jc w:val="right"/>
              <w:ind w:right="7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21</w:t>
            </w:r>
          </w:p>
        </w:tc>
        <w:tc>
          <w:tcPr>
            <w:tcW w:w="500" w:type="dxa"/>
            <w:vAlign w:val="bottom"/>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7"/>
                <w:szCs w:val="17"/>
                <w:color w:val="auto"/>
              </w:rPr>
              <w:t>% of revenue</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w:t>
            </w: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bl>
    <w:p>
      <w:pPr>
        <w:spacing w:after="0" w:line="193"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Depreciation expense increased $4 million and $8 million during the three and six months ended June 30, 2014, respectively, when compared to the same periods in 2013, primarily due to increased amortization related to website development costs.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Intangible Assets</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center"/>
              <w:ind w:right="303"/>
              <w:spacing w:after="0"/>
              <w:rPr>
                <w:sz w:val="20"/>
                <w:szCs w:val="20"/>
                <w:color w:val="auto"/>
              </w:rPr>
            </w:pPr>
            <w:r>
              <w:rPr>
                <w:rFonts w:ascii="Arial" w:cs="Arial" w:eastAsia="Arial" w:hAnsi="Arial"/>
                <w:sz w:val="14"/>
                <w:szCs w:val="14"/>
                <w:b w:val="1"/>
                <w:bCs w:val="1"/>
                <w:color w:val="auto"/>
                <w:w w:val="87"/>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03"/>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2"/>
          </w:tcPr>
          <w:p>
            <w:pPr>
              <w:jc w:val="center"/>
              <w:ind w:right="32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intangible assets</w:t>
            </w:r>
          </w:p>
        </w:tc>
        <w:tc>
          <w:tcPr>
            <w:tcW w:w="1220" w:type="dxa"/>
            <w:vAlign w:val="bottom"/>
            <w:gridSpan w:val="2"/>
            <w:shd w:val="clear" w:color="auto" w:fill="CFF0FC"/>
          </w:tcPr>
          <w:p>
            <w:pPr>
              <w:jc w:val="right"/>
              <w:ind w:right="592"/>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3</w:t>
            </w:r>
          </w:p>
        </w:tc>
        <w:tc>
          <w:tcPr>
            <w:tcW w:w="940" w:type="dxa"/>
            <w:vAlign w:val="bottom"/>
            <w:shd w:val="clear" w:color="auto" w:fill="CFF0FC"/>
          </w:tcPr>
          <w:p>
            <w:pPr>
              <w:jc w:val="right"/>
              <w:ind w:right="7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5</w:t>
            </w:r>
          </w:p>
        </w:tc>
        <w:tc>
          <w:tcPr>
            <w:tcW w:w="500" w:type="dxa"/>
            <w:vAlign w:val="bottom"/>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20"/>
              <w:spacing w:after="0"/>
              <w:rPr>
                <w:sz w:val="20"/>
                <w:szCs w:val="20"/>
                <w:color w:val="auto"/>
              </w:rPr>
            </w:pPr>
            <w:r>
              <w:rPr>
                <w:rFonts w:ascii="Arial" w:cs="Arial" w:eastAsia="Arial" w:hAnsi="Arial"/>
                <w:sz w:val="17"/>
                <w:szCs w:val="17"/>
                <w:color w:val="auto"/>
              </w:rPr>
              <w:t>% of revenue</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0.9%</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0.8%</w:t>
            </w: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0.6%</w:t>
            </w:r>
          </w:p>
        </w:tc>
      </w:tr>
    </w:tbl>
    <w:p>
      <w:pPr>
        <w:spacing w:after="0" w:line="193"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Amortization of intangible assets did not materially change during the three and six months ended June 30, 2014 when compared to the same periods in 2013.</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00"/>
          </w:cols>
          <w:pgMar w:left="240" w:top="524"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2"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Interest expense primarily consists of interest incurred, commitment fees and debt issuance cost amortization related to our Credit Agreement and Chinese Credit Facilities.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jc w:val="center"/>
              <w:ind w:right="408"/>
              <w:spacing w:after="0"/>
              <w:rPr>
                <w:sz w:val="20"/>
                <w:szCs w:val="20"/>
                <w:color w:val="auto"/>
              </w:rPr>
            </w:pPr>
            <w:r>
              <w:rPr>
                <w:rFonts w:ascii="Arial" w:cs="Arial" w:eastAsia="Arial" w:hAnsi="Arial"/>
                <w:sz w:val="14"/>
                <w:szCs w:val="14"/>
                <w:b w:val="1"/>
                <w:bCs w:val="1"/>
                <w:color w:val="auto"/>
                <w:w w:val="87"/>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1720" w:type="dxa"/>
            <w:vAlign w:val="bottom"/>
            <w:tcBorders>
              <w:bottom w:val="single" w:sz="8" w:color="auto"/>
            </w:tcBorders>
          </w:tcPr>
          <w:p>
            <w:pPr>
              <w:jc w:val="right"/>
              <w:ind w:right="148"/>
              <w:spacing w:after="0" w:line="147"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3"/>
              <w:spacing w:after="0" w:line="147"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tcPr>
          <w:p>
            <w:pPr>
              <w:jc w:val="center"/>
              <w:ind w:right="42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880" w:type="dxa"/>
            <w:vAlign w:val="bottom"/>
            <w:gridSpan w:val="2"/>
            <w:shd w:val="clear" w:color="auto" w:fill="CFF0FC"/>
          </w:tcPr>
          <w:p>
            <w:pPr>
              <w:jc w:val="right"/>
              <w:ind w:right="672"/>
              <w:spacing w:after="0"/>
              <w:rPr>
                <w:sz w:val="20"/>
                <w:szCs w:val="20"/>
                <w:color w:val="auto"/>
              </w:rPr>
            </w:pPr>
            <w:r>
              <w:rPr>
                <w:rFonts w:ascii="Arial" w:cs="Arial" w:eastAsia="Arial" w:hAnsi="Arial"/>
                <w:sz w:val="17"/>
                <w:szCs w:val="17"/>
                <w:color w:val="auto"/>
              </w:rPr>
              <w:t>$</w:t>
            </w:r>
          </w:p>
        </w:tc>
        <w:tc>
          <w:tcPr>
            <w:tcW w:w="1720" w:type="dxa"/>
            <w:vAlign w:val="bottom"/>
            <w:shd w:val="clear" w:color="auto" w:fill="CFF0FC"/>
          </w:tcPr>
          <w:p>
            <w:pPr>
              <w:jc w:val="right"/>
              <w:ind w:right="908"/>
              <w:spacing w:after="0"/>
              <w:rPr>
                <w:sz w:val="20"/>
                <w:szCs w:val="20"/>
                <w:color w:val="auto"/>
              </w:rPr>
            </w:pPr>
            <w:r>
              <w:rPr>
                <w:rFonts w:ascii="Arial" w:cs="Arial" w:eastAsia="Arial" w:hAnsi="Arial"/>
                <w:sz w:val="17"/>
                <w:szCs w:val="17"/>
                <w:color w:val="auto"/>
              </w:rPr>
              <w:t>(2) $</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880" w:type="dxa"/>
            <w:vAlign w:val="bottom"/>
            <w:gridSpan w:val="2"/>
            <w:shd w:val="clear" w:color="auto" w:fill="CFF0FC"/>
          </w:tcPr>
          <w:p>
            <w:pPr>
              <w:jc w:val="right"/>
              <w:ind w:right="672"/>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268"/>
              <w:spacing w:after="0"/>
              <w:rPr>
                <w:sz w:val="20"/>
                <w:szCs w:val="20"/>
                <w:color w:val="auto"/>
              </w:rPr>
            </w:pPr>
            <w:r>
              <w:rPr>
                <w:rFonts w:ascii="Arial" w:cs="Arial" w:eastAsia="Arial" w:hAnsi="Arial"/>
                <w:sz w:val="17"/>
                <w:szCs w:val="17"/>
                <w:color w:val="auto"/>
              </w:rPr>
              <w:t>(4) $</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w:t>
            </w:r>
          </w:p>
        </w:tc>
      </w:tr>
    </w:tbl>
    <w:p>
      <w:pPr>
        <w:spacing w:after="0" w:line="19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Interest expense did not materially change during the three and six months ended June 30, 2014 when compared to the same periods in 2013. Refer to “Note 8</w:t>
      </w:r>
    </w:p>
    <w:p>
      <w:pPr>
        <w:spacing w:after="0" w:line="43"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our Unaudited Consolidated Financial Statements in this Quarterly Report on Form 10-Q for additional information on our outstanding borrowing facilities.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Other, Net</w:t>
      </w:r>
    </w:p>
    <w:p>
      <w:pPr>
        <w:spacing w:after="0" w:line="11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Interest income and other, net primarily consists of interest earned and amortization of discounts and premiums on our marketable securities, and net foreign exchange gains and losses.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85"/>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bottom w:val="single" w:sz="8" w:color="auto"/>
            </w:tcBorders>
          </w:tcPr>
          <w:p>
            <w:pPr>
              <w:jc w:val="right"/>
              <w:ind w:right="52"/>
              <w:spacing w:after="0" w:line="147" w:lineRule="exact"/>
              <w:rPr>
                <w:sz w:val="20"/>
                <w:szCs w:val="20"/>
                <w:color w:val="auto"/>
              </w:rPr>
            </w:pPr>
            <w:r>
              <w:rPr>
                <w:rFonts w:ascii="Arial" w:cs="Arial" w:eastAsia="Arial" w:hAnsi="Arial"/>
                <w:sz w:val="14"/>
                <w:szCs w:val="14"/>
                <w:b w:val="1"/>
                <w:bCs w:val="1"/>
                <w:color w:val="auto"/>
              </w:rPr>
              <w:t>2014</w:t>
            </w:r>
          </w:p>
        </w:tc>
        <w:tc>
          <w:tcPr>
            <w:tcW w:w="1500" w:type="dxa"/>
            <w:vAlign w:val="bottom"/>
            <w:tcBorders>
              <w:bottom w:val="single" w:sz="8" w:color="auto"/>
            </w:tcBorders>
          </w:tcPr>
          <w:p>
            <w:pPr>
              <w:jc w:val="right"/>
              <w:ind w:right="108"/>
              <w:spacing w:after="0" w:line="147"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3"/>
              <w:spacing w:after="0" w:line="147"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jc w:val="center"/>
              <w:ind w:right="488"/>
              <w:spacing w:after="0" w:line="147"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 and other, net</w:t>
            </w:r>
          </w:p>
        </w:tc>
        <w:tc>
          <w:tcPr>
            <w:tcW w:w="1540" w:type="dxa"/>
            <w:vAlign w:val="bottom"/>
            <w:gridSpan w:val="2"/>
            <w:shd w:val="clear" w:color="auto" w:fill="CFF0FC"/>
          </w:tcPr>
          <w:p>
            <w:pPr>
              <w:jc w:val="right"/>
              <w:ind w:right="732"/>
              <w:spacing w:after="0"/>
              <w:rPr>
                <w:sz w:val="20"/>
                <w:szCs w:val="20"/>
                <w:color w:val="auto"/>
              </w:rPr>
            </w:pPr>
            <w:r>
              <w:rPr>
                <w:rFonts w:ascii="Arial" w:cs="Arial" w:eastAsia="Arial" w:hAnsi="Arial"/>
                <w:sz w:val="17"/>
                <w:szCs w:val="17"/>
                <w:color w:val="auto"/>
              </w:rPr>
              <w:t>$</w:t>
            </w:r>
          </w:p>
        </w:tc>
        <w:tc>
          <w:tcPr>
            <w:tcW w:w="1500" w:type="dxa"/>
            <w:vAlign w:val="bottom"/>
            <w:shd w:val="clear" w:color="auto" w:fill="CFF0FC"/>
          </w:tcPr>
          <w:p>
            <w:pPr>
              <w:jc w:val="center"/>
              <w:ind w:right="468"/>
              <w:spacing w:after="0"/>
              <w:rPr>
                <w:sz w:val="20"/>
                <w:szCs w:val="20"/>
                <w:color w:val="auto"/>
              </w:rPr>
            </w:pPr>
            <w:r>
              <w:rPr>
                <w:rFonts w:ascii="Arial" w:cs="Arial" w:eastAsia="Arial" w:hAnsi="Arial"/>
                <w:sz w:val="17"/>
                <w:szCs w:val="17"/>
                <w:color w:val="auto"/>
              </w:rPr>
              <w:t>-  $</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880" w:type="dxa"/>
            <w:vAlign w:val="bottom"/>
            <w:gridSpan w:val="2"/>
            <w:shd w:val="clear" w:color="auto" w:fill="CFF0FC"/>
          </w:tcPr>
          <w:p>
            <w:pPr>
              <w:jc w:val="right"/>
              <w:ind w:right="672"/>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bl>
    <w:p>
      <w:pPr>
        <w:spacing w:after="0" w:line="154" w:lineRule="exact"/>
        <w:rPr>
          <w:sz w:val="20"/>
          <w:szCs w:val="20"/>
          <w:color w:val="auto"/>
        </w:rPr>
      </w:pPr>
    </w:p>
    <w:p>
      <w:pPr>
        <w:ind w:right="300" w:firstLine="646"/>
        <w:spacing w:after="0" w:line="259" w:lineRule="auto"/>
        <w:rPr>
          <w:sz w:val="20"/>
          <w:szCs w:val="20"/>
          <w:color w:val="auto"/>
        </w:rPr>
      </w:pPr>
      <w:r>
        <w:rPr>
          <w:rFonts w:ascii="Arial" w:cs="Arial" w:eastAsia="Arial" w:hAnsi="Arial"/>
          <w:sz w:val="17"/>
          <w:szCs w:val="17"/>
          <w:color w:val="auto"/>
        </w:rPr>
        <w:t xml:space="preserve">Interest income and other, net decreased during the three and six months ended June 30, 2014, respectively, when compared to the same periods in 2013, primarily due to the fluctuation of foreign exchange rates. Our interest income is primarily due to investing in marketable securities. Refer to “Note 4—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in the Notes to our Unaudited Consolidated Financial Statements in this Quarterly Report on Form 10-Q for additional information on our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portfolio as of June 30, 2014.</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ind w:right="263"/>
              <w:spacing w:after="0"/>
              <w:rPr>
                <w:sz w:val="20"/>
                <w:szCs w:val="20"/>
                <w:color w:val="auto"/>
              </w:rPr>
            </w:pPr>
            <w:r>
              <w:rPr>
                <w:rFonts w:ascii="Arial" w:cs="Arial" w:eastAsia="Arial" w:hAnsi="Arial"/>
                <w:sz w:val="14"/>
                <w:szCs w:val="14"/>
                <w:b w:val="1"/>
                <w:bCs w:val="1"/>
                <w:color w:val="auto"/>
                <w:w w:val="87"/>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263"/>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
              <w:spacing w:after="0" w:line="147"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283"/>
              <w:spacing w:after="0" w:line="147" w:lineRule="exact"/>
              <w:rPr>
                <w:sz w:val="20"/>
                <w:szCs w:val="20"/>
                <w:color w:val="auto"/>
              </w:rPr>
            </w:pPr>
            <w:r>
              <w:rPr>
                <w:rFonts w:ascii="Arial" w:cs="Arial" w:eastAsia="Arial" w:hAnsi="Arial"/>
                <w:sz w:val="14"/>
                <w:szCs w:val="14"/>
                <w:b w:val="1"/>
                <w:bCs w:val="1"/>
                <w:color w:val="auto"/>
                <w:w w:val="89"/>
              </w:rPr>
              <w:t>(in millions)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440" w:type="dxa"/>
            <w:vAlign w:val="bottom"/>
            <w:gridSpan w:val="2"/>
            <w:shd w:val="clear" w:color="auto" w:fill="CFF0FC"/>
          </w:tcPr>
          <w:p>
            <w:pPr>
              <w:jc w:val="right"/>
              <w:ind w:right="592"/>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30</w:t>
            </w:r>
          </w:p>
        </w:tc>
        <w:tc>
          <w:tcPr>
            <w:tcW w:w="900" w:type="dxa"/>
            <w:vAlign w:val="bottom"/>
            <w:shd w:val="clear" w:color="auto" w:fill="CFF0FC"/>
          </w:tcPr>
          <w:p>
            <w:pPr>
              <w:jc w:val="right"/>
              <w:ind w:right="683"/>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56</w:t>
            </w:r>
          </w:p>
        </w:tc>
        <w:tc>
          <w:tcPr>
            <w:tcW w:w="500" w:type="dxa"/>
            <w:vAlign w:val="bottom"/>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220"/>
              <w:spacing w:after="0"/>
              <w:rPr>
                <w:sz w:val="20"/>
                <w:szCs w:val="20"/>
                <w:color w:val="auto"/>
              </w:rPr>
            </w:pPr>
            <w:r>
              <w:rPr>
                <w:rFonts w:ascii="Arial" w:cs="Arial" w:eastAsia="Arial" w:hAnsi="Arial"/>
                <w:sz w:val="17"/>
                <w:szCs w:val="17"/>
                <w:color w:val="auto"/>
              </w:rPr>
              <w:t>Effective tax rate</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30.6%</w:t>
            </w: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29.2%</w:t>
            </w: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25.9%</w:t>
            </w:r>
          </w:p>
        </w:tc>
      </w:tr>
    </w:tbl>
    <w:p>
      <w:pPr>
        <w:spacing w:after="0" w:line="19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7"/>
          <w:szCs w:val="17"/>
          <w:color w:val="auto"/>
        </w:rPr>
        <w:t>For the three and six months ended June 30, 2014,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2014 compared to the 2013 rate was primarily due to a change in jurisdictional earnings and certain discrete items.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112" w:lineRule="exact"/>
        <w:rPr>
          <w:sz w:val="20"/>
          <w:szCs w:val="20"/>
          <w:color w:val="auto"/>
        </w:rPr>
      </w:pPr>
    </w:p>
    <w:p>
      <w:pPr>
        <w:ind w:right="440" w:firstLine="518"/>
        <w:spacing w:after="0" w:line="276" w:lineRule="auto"/>
        <w:rPr>
          <w:sz w:val="20"/>
          <w:szCs w:val="20"/>
          <w:color w:val="auto"/>
        </w:rPr>
      </w:pPr>
      <w:r>
        <w:rPr>
          <w:rFonts w:ascii="Arial" w:cs="Arial" w:eastAsia="Arial" w:hAnsi="Arial"/>
          <w:sz w:val="17"/>
          <w:szCs w:val="17"/>
          <w:color w:val="auto"/>
        </w:rPr>
        <w:t xml:space="preserve">For information on our relationship with Liberty Interactive Corporation, refer to “Note 15—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in the Notes to our Unaudited Consolidated Financial Statements in this Quarterly Report on Form 10-Q.</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7"/>
          <w:szCs w:val="17"/>
          <w:color w:val="auto"/>
        </w:rPr>
        <w:t xml:space="preserve">Refer to “Note 4— </w:t>
      </w:r>
      <w:r>
        <w:rPr>
          <w:rFonts w:ascii="Arial" w:cs="Arial" w:eastAsia="Arial" w:hAnsi="Arial"/>
          <w:sz w:val="17"/>
          <w:szCs w:val="17"/>
          <w:i w:val="1"/>
          <w:iCs w:val="1"/>
          <w:color w:val="auto"/>
        </w:rPr>
        <w:t>Stock-Based Awards and Other Equity Instruments</w:t>
      </w:r>
      <w:r>
        <w:rPr>
          <w:rFonts w:ascii="Arial" w:cs="Arial" w:eastAsia="Arial" w:hAnsi="Arial"/>
          <w:sz w:val="17"/>
          <w:szCs w:val="17"/>
          <w:color w:val="auto"/>
        </w:rPr>
        <w:t>” in the Notes to our Unaudited Consolidated Financial Statements in this Quarterly Report on Form 10-Q for further information on current year equity award activity, including the issuance of 490,508 primarily service based non-qualified stock options with a weighted average grant-date fair value per option of $47.25 and 512,884 RSU’s with a weighted average grant-date fair value of $96.00 during the six months ended June 30, 2014.</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60"/>
          </w:cols>
          <w:pgMar w:left="240" w:top="664" w:right="2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6"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following section explains how we have generated and used our cash historically, describes our current capital resources and discusses our future financial commitments.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w:t>
      </w:r>
    </w:p>
    <w:p>
      <w:pPr>
        <w:spacing w:after="0" w:line="112"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Our cash flows from operating, investing and financing activities, as reflected in the unaudited consolidated statements of cash flows, are summarized in the following table:</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Borders>
              <w:bottom w:val="single" w:sz="8" w:color="auto"/>
            </w:tcBorders>
          </w:tcPr>
          <w:p>
            <w:pPr>
              <w:jc w:val="right"/>
              <w:ind w:right="152"/>
              <w:spacing w:after="0" w:line="147"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79"/>
              <w:spacing w:after="0" w:line="147"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(in millions)</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w:t>
            </w:r>
          </w:p>
        </w:tc>
        <w:tc>
          <w:tcPr>
            <w:tcW w:w="1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2680" w:type="dxa"/>
            <w:vAlign w:val="bottom"/>
            <w:gridSpan w:val="2"/>
          </w:tcPr>
          <w:p>
            <w:pPr>
              <w:jc w:val="right"/>
              <w:ind w:right="1192"/>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03"/>
              <w:spacing w:after="0"/>
              <w:rPr>
                <w:sz w:val="20"/>
                <w:szCs w:val="20"/>
                <w:color w:val="auto"/>
              </w:rPr>
            </w:pPr>
            <w:r>
              <w:rPr>
                <w:rFonts w:ascii="Arial" w:cs="Arial" w:eastAsia="Arial" w:hAnsi="Arial"/>
                <w:sz w:val="17"/>
                <w:szCs w:val="17"/>
                <w:color w:val="auto"/>
              </w:rPr>
              <w:t>267</w:t>
            </w:r>
          </w:p>
        </w:tc>
        <w:tc>
          <w:tcPr>
            <w:tcW w:w="72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Investing activities</w:t>
            </w:r>
          </w:p>
        </w:tc>
        <w:tc>
          <w:tcPr>
            <w:tcW w:w="1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(10)</w:t>
            </w:r>
          </w:p>
        </w:tc>
        <w:tc>
          <w:tcPr>
            <w:tcW w:w="7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(256)</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7"/>
                <w:szCs w:val="17"/>
                <w:color w:val="auto"/>
              </w:rPr>
              <w:t>Financing activities</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(24)</w:t>
            </w:r>
          </w:p>
        </w:tc>
        <w:tc>
          <w:tcPr>
            <w:tcW w:w="7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bl>
    <w:p>
      <w:pPr>
        <w:spacing w:after="0" w:line="193" w:lineRule="exact"/>
        <w:rPr>
          <w:sz w:val="20"/>
          <w:szCs w:val="20"/>
          <w:color w:val="auto"/>
        </w:rPr>
      </w:pPr>
    </w:p>
    <w:p>
      <w:pPr>
        <w:ind w:right="80" w:firstLine="518"/>
        <w:spacing w:after="0" w:line="292" w:lineRule="auto"/>
        <w:rPr>
          <w:sz w:val="20"/>
          <w:szCs w:val="20"/>
          <w:color w:val="auto"/>
        </w:rPr>
      </w:pPr>
      <w:r>
        <w:rPr>
          <w:rFonts w:ascii="Arial" w:cs="Arial" w:eastAsia="Arial" w:hAnsi="Arial"/>
          <w:sz w:val="15"/>
          <w:szCs w:val="15"/>
          <w:color w:val="auto"/>
        </w:rPr>
        <w:t xml:space="preserve">Our current principal sources of liquidity are cash flows generated from operations, our existing cash, cash equivalents and short and long term available-for-sale marketable securities, and available borrowings under our credit facilities discussed in “Note 8 – </w:t>
      </w:r>
      <w:r>
        <w:rPr>
          <w:rFonts w:ascii="Arial" w:cs="Arial" w:eastAsia="Arial" w:hAnsi="Arial"/>
          <w:sz w:val="15"/>
          <w:szCs w:val="15"/>
          <w:i w:val="1"/>
          <w:iCs w:val="1"/>
          <w:color w:val="auto"/>
        </w:rPr>
        <w:t>Debt</w:t>
      </w:r>
      <w:r>
        <w:rPr>
          <w:rFonts w:ascii="Arial" w:cs="Arial" w:eastAsia="Arial" w:hAnsi="Arial"/>
          <w:sz w:val="15"/>
          <w:szCs w:val="15"/>
          <w:color w:val="auto"/>
        </w:rPr>
        <w:t>” in the Notes to our Unaudited Consolidated Financial Statements in this Quarterly Report on Form 10-Q. As of June 30, 2014 and December 31, 2013, we had $721 million and $670 million, respectively, of cash, cash equivalents and short and long-term available-for-sale marketable securities. As of June 30, 2014 approximately $434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$575 million as of June 30, 2014.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5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6"/>
          <w:szCs w:val="16"/>
          <w:color w:val="auto"/>
        </w:rPr>
        <w:t>As of June 30, 2014, $199 million was available under our Revolving Credit Facility representing the total $200 million facility less $1 million of outstanding letters of credit. There are currently no outstanding borrowings under the Revolving Credit Facility. The Revolving Credit Facility bears interest at LIBOR plus 150 basis points, or the Eurocurrency Spread, or the alternate base rate (“ABR”) plus 50 basis points, and undrawn amounts are currently subject to a commitment fee of 22.5 basis points, as of June 30, 2014. In addition we have approximately $17 million available under our Chinese Credit Facilities, which currently bear interest at a rate based on 100% of the People’s Bank of China’s base rate, which was 5.6% as of June 30, 2014.</w:t>
      </w:r>
    </w:p>
    <w:p>
      <w:pPr>
        <w:spacing w:after="0" w:line="166" w:lineRule="exact"/>
        <w:rPr>
          <w:sz w:val="20"/>
          <w:szCs w:val="20"/>
          <w:color w:val="auto"/>
        </w:rPr>
      </w:pPr>
    </w:p>
    <w:p>
      <w:pPr>
        <w:ind w:firstLine="518"/>
        <w:spacing w:after="0" w:line="272" w:lineRule="auto"/>
        <w:rPr>
          <w:sz w:val="20"/>
          <w:szCs w:val="20"/>
          <w:color w:val="auto"/>
        </w:rPr>
      </w:pPr>
      <w:r>
        <w:rPr>
          <w:rFonts w:ascii="Arial" w:cs="Arial" w:eastAsia="Arial" w:hAnsi="Arial"/>
          <w:sz w:val="16"/>
          <w:szCs w:val="16"/>
          <w:color w:val="auto"/>
        </w:rPr>
        <w:t>Historically, the cash we generate from operations has been sufficient to fund our working capital requirements, capital expenditures and to meet our long term debt obligations and other financial commitments. Management believes that our cash and cash equivalents and available for 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other financial commitments, fund our new corporate lease obligations, share repurchases and fund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Activities</w:t>
      </w:r>
    </w:p>
    <w:p>
      <w:pPr>
        <w:spacing w:after="0" w:line="112" w:lineRule="exact"/>
        <w:rPr>
          <w:sz w:val="20"/>
          <w:szCs w:val="20"/>
          <w:color w:val="auto"/>
        </w:rPr>
      </w:pPr>
    </w:p>
    <w:p>
      <w:pPr>
        <w:ind w:firstLine="518"/>
        <w:spacing w:after="0" w:line="259" w:lineRule="auto"/>
        <w:rPr>
          <w:sz w:val="20"/>
          <w:szCs w:val="20"/>
          <w:color w:val="auto"/>
        </w:rPr>
      </w:pPr>
      <w:r>
        <w:rPr>
          <w:rFonts w:ascii="Arial" w:cs="Arial" w:eastAsia="Arial" w:hAnsi="Arial"/>
          <w:sz w:val="17"/>
          <w:szCs w:val="17"/>
          <w:color w:val="auto"/>
        </w:rPr>
        <w:t>For the six months ended June 30, 2014, net cash provided by operating activities increased by $134 million or 101% when compared to the same period in 2013, primarily due to an increase in working capital movements of $123 million mainly related to an increase in operating cash flow from deferred merchant payables of $63 million, described below, with the remaining increase related to the timing of customer receipts, income tax payments, vendor payments and growth in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660" w:right="239" w:bottom="1440" w:gutter="0" w:footer="0" w:header="0"/>
        </w:sectPr>
      </w:pPr>
    </w:p>
    <w:bookmarkStart w:id="32" w:name="page33"/>
    <w:bookmarkEnd w:id="32"/>
    <w:p>
      <w:pPr>
        <w:ind w:right="80" w:firstLine="518"/>
        <w:spacing w:after="0" w:line="275" w:lineRule="auto"/>
        <w:rPr>
          <w:sz w:val="20"/>
          <w:szCs w:val="20"/>
          <w:color w:val="auto"/>
        </w:rPr>
      </w:pPr>
      <w:r>
        <w:rPr>
          <w:rFonts w:ascii="Arial" w:cs="Arial" w:eastAsia="Arial" w:hAnsi="Arial"/>
          <w:sz w:val="16"/>
          <w:szCs w:val="16"/>
          <w:color w:val="auto"/>
        </w:rPr>
        <w:t>We receive cash from travelers at the time of booking related to our vacation rental and transaction-based businesses and we record these amounts, net of commissions, on our consolidated balance sheets as deferred merchant payables. We pay the hotel or vacation rental owners after the travelers’ use and subsequent billing from the hotel or vacation rental owners. Therefore, we receive cash from the traveler prior to paying the hotel or vacation rental owners, and this operating cycle represents a working capital source of cash to us. As long as our transaction-based businesses grow, we currently expect that changes in working capital related to these transactions will positively impact our annual operating cash flows, although seasonal fluctuations in travel expenditures can affect the timing of our annual cash flows and therefore cash flows can fluctuate quarter to quarter.</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Activities</w:t>
      </w:r>
    </w:p>
    <w:p>
      <w:pPr>
        <w:spacing w:after="0" w:line="112" w:lineRule="exact"/>
        <w:rPr>
          <w:sz w:val="20"/>
          <w:szCs w:val="20"/>
          <w:color w:val="auto"/>
        </w:rPr>
      </w:pPr>
    </w:p>
    <w:p>
      <w:pPr>
        <w:ind w:right="80" w:firstLine="518"/>
        <w:spacing w:after="0" w:line="259" w:lineRule="auto"/>
        <w:rPr>
          <w:sz w:val="20"/>
          <w:szCs w:val="20"/>
          <w:color w:val="auto"/>
        </w:rPr>
      </w:pPr>
      <w:r>
        <w:rPr>
          <w:rFonts w:ascii="Arial" w:cs="Arial" w:eastAsia="Arial" w:hAnsi="Arial"/>
          <w:sz w:val="17"/>
          <w:szCs w:val="17"/>
          <w:color w:val="auto"/>
        </w:rPr>
        <w:t>For the six months ended June 30, 2014, net cash used in investing activities decreased by $246 million when compared to the same period in 2013, primarily due to a net decrease in cash used for the purchases, sales and maturities of our marketable securities of $385 million and cash paid for acquisitions of businesses of $31 million in 2013, both of which were partially offset by cash paid for acquisitions of businesses in 2014 of $152 million and an increase in capital expenditures of $18 million in 2014 when compared against 2013.</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Financing Activities</w:t>
      </w:r>
    </w:p>
    <w:p>
      <w:pPr>
        <w:spacing w:after="0" w:line="112" w:lineRule="exact"/>
        <w:rPr>
          <w:sz w:val="20"/>
          <w:szCs w:val="20"/>
          <w:color w:val="auto"/>
        </w:rPr>
      </w:pPr>
    </w:p>
    <w:p>
      <w:pPr>
        <w:ind w:right="40" w:firstLine="518"/>
        <w:spacing w:after="0" w:line="275" w:lineRule="auto"/>
        <w:rPr>
          <w:sz w:val="20"/>
          <w:szCs w:val="20"/>
          <w:color w:val="auto"/>
        </w:rPr>
      </w:pPr>
      <w:r>
        <w:rPr>
          <w:rFonts w:ascii="Arial" w:cs="Arial" w:eastAsia="Arial" w:hAnsi="Arial"/>
          <w:sz w:val="16"/>
          <w:szCs w:val="16"/>
          <w:color w:val="auto"/>
        </w:rPr>
        <w:t>For the six months ended June 30, 2014, net cash used in financing activities decreased by $19 million when compared to the same period in 2013 primarily due to an increase of $9 million in excess tax benefits related to stock compensation, a $15 million repayment of our outstanding borrowings on our Chinese Credit Facilities in 2013, and payments of $34 million for common stock share repurchases under our authorized share repurchase program in 2013. This was offset by a reduction in proceeds from the exercise of our stock options of $18 million in 2014, due to the introduction in the third quarter of 2013 of the net share settlement of our stock options and an increase in payments of minimum withholding taxes related to net share settlement of equity awards of $17 million in 2014, and a $3 million repayment of our outstanding borrowings on our Chinese Credit Facilities in 2014.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Commercial Commitments and Off-Balance Sheet Arrangements</w:t>
      </w:r>
    </w:p>
    <w:p>
      <w:pPr>
        <w:spacing w:after="0" w:line="112" w:lineRule="exact"/>
        <w:rPr>
          <w:sz w:val="20"/>
          <w:szCs w:val="20"/>
          <w:color w:val="auto"/>
        </w:rPr>
      </w:pPr>
    </w:p>
    <w:p>
      <w:pPr>
        <w:jc w:val="both"/>
        <w:ind w:right="160" w:firstLine="518"/>
        <w:spacing w:after="0" w:line="287" w:lineRule="auto"/>
        <w:rPr>
          <w:sz w:val="20"/>
          <w:szCs w:val="20"/>
          <w:color w:val="auto"/>
        </w:rPr>
      </w:pPr>
      <w:r>
        <w:rPr>
          <w:rFonts w:ascii="Arial" w:cs="Arial" w:eastAsia="Arial" w:hAnsi="Arial"/>
          <w:sz w:val="16"/>
          <w:szCs w:val="16"/>
          <w:color w:val="auto"/>
        </w:rPr>
        <w:t>There have been no material changes outside the normal course of business to our contractual obligations and commercial commitments since December 31, 2013. Refer to “Contractual Obligations, Commercial Commitments and Off-Balance Sheet Arrangements” in Item 7—Management’s Discussion and Analysis of Financial Condition and Results of Operations of our Annual Report on Form 10-K for the year ended December 31, 2013.</w:t>
      </w:r>
    </w:p>
    <w:p>
      <w:pPr>
        <w:spacing w:after="0" w:line="56" w:lineRule="exact"/>
        <w:rPr>
          <w:sz w:val="20"/>
          <w:szCs w:val="20"/>
          <w:color w:val="auto"/>
        </w:rPr>
      </w:pPr>
    </w:p>
    <w:p>
      <w:pPr>
        <w:ind w:right="360" w:firstLine="518"/>
        <w:spacing w:after="0" w:line="308" w:lineRule="auto"/>
        <w:rPr>
          <w:sz w:val="20"/>
          <w:szCs w:val="20"/>
          <w:color w:val="auto"/>
        </w:rPr>
      </w:pPr>
      <w:r>
        <w:rPr>
          <w:rFonts w:ascii="Arial" w:cs="Arial" w:eastAsia="Arial" w:hAnsi="Arial"/>
          <w:sz w:val="16"/>
          <w:szCs w:val="16"/>
          <w:color w:val="auto"/>
        </w:rPr>
        <w:t>As of June 30, 2014,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12" w:lineRule="exact"/>
        <w:rPr>
          <w:sz w:val="20"/>
          <w:szCs w:val="20"/>
          <w:color w:val="auto"/>
        </w:rPr>
      </w:pPr>
    </w:p>
    <w:p>
      <w:pPr>
        <w:ind w:firstLine="518"/>
        <w:spacing w:after="0" w:line="296" w:lineRule="auto"/>
        <w:rPr>
          <w:sz w:val="20"/>
          <w:szCs w:val="20"/>
          <w:color w:val="auto"/>
        </w:rPr>
      </w:pPr>
      <w:r>
        <w:rPr>
          <w:rFonts w:ascii="Arial" w:cs="Arial" w:eastAsia="Arial" w:hAnsi="Arial"/>
          <w:sz w:val="15"/>
          <w:szCs w:val="15"/>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0" w:lineRule="exact"/>
        <w:rPr>
          <w:sz w:val="20"/>
          <w:szCs w:val="20"/>
          <w:color w:val="auto"/>
        </w:rPr>
      </w:pPr>
    </w:p>
    <w:p>
      <w:pPr>
        <w:ind w:right="300" w:firstLine="518"/>
        <w:spacing w:after="0" w:line="345" w:lineRule="auto"/>
        <w:rPr>
          <w:sz w:val="20"/>
          <w:szCs w:val="20"/>
          <w:color w:val="auto"/>
        </w:rPr>
      </w:pPr>
      <w:r>
        <w:rPr>
          <w:rFonts w:ascii="Arial" w:cs="Arial" w:eastAsia="Arial" w:hAnsi="Arial"/>
          <w:sz w:val="15"/>
          <w:szCs w:val="15"/>
          <w:color w:val="auto"/>
        </w:rPr>
        <w:t>There has been no material change in our market risk profile during the six months ended June 30, 2014. For additional information, see “Quantitative and Qualitative Disclosures About Market Risk” in Item 7A. in Part II of our Annual Report on Form 10-K for the year ended December 31,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460" w:right="29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2" w:lineRule="exact"/>
        <w:rPr>
          <w:sz w:val="20"/>
          <w:szCs w:val="20"/>
          <w:color w:val="auto"/>
        </w:rPr>
      </w:pPr>
    </w:p>
    <w:p>
      <w:pPr>
        <w:ind w:right="180" w:firstLine="518"/>
        <w:spacing w:after="0" w:line="273" w:lineRule="auto"/>
        <w:rPr>
          <w:sz w:val="20"/>
          <w:szCs w:val="20"/>
          <w:color w:val="auto"/>
        </w:rPr>
      </w:pPr>
      <w:r>
        <w:rPr>
          <w:rFonts w:ascii="Arial" w:cs="Arial" w:eastAsia="Arial" w:hAnsi="Arial"/>
          <w:sz w:val="16"/>
          <w:szCs w:val="16"/>
          <w:color w:val="auto"/>
        </w:rPr>
        <w:t>As of June 30, 2014, our management, with the participation of our President and Chief Executive Officer and our Chief Financial Officer, evaluated the effectiveness of our disclosure controls and procedures pursuant to Rule 13a-15(b) promulgated under the Securities Exchange Act of 1934, as amended (the “Exchange Act”). Based upon that evaluation, our President and Chief Executive Officer and our Chief Financial Officer concluded that, as of June 30, 2014,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were no changes to our internal control over financial reporting that occurred during the quarter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660"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PART II—OTHER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6" w:lineRule="exact"/>
        <w:rPr>
          <w:sz w:val="20"/>
          <w:szCs w:val="20"/>
          <w:color w:val="auto"/>
        </w:rPr>
      </w:pPr>
    </w:p>
    <w:p>
      <w:pPr>
        <w:ind w:firstLine="518"/>
        <w:spacing w:after="0" w:line="255"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6" w:lineRule="exact"/>
        <w:rPr>
          <w:sz w:val="20"/>
          <w:szCs w:val="20"/>
          <w:color w:val="auto"/>
        </w:rPr>
      </w:pPr>
    </w:p>
    <w:p>
      <w:pPr>
        <w:ind w:firstLine="518"/>
        <w:spacing w:after="0" w:line="259"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Part I, Item 1A., “Risk Factors” in our Annual Report on Form 10-K for the year ended December 31, 2013 which could materially affect our business, financial condition or future results. During the quarter ended June 30, 2014, there have been no material changes in our risk factors from those disclosed in Part 1, Item 1A., “Risk Factors” in our Annual Report on Form 10-K for the fiscal year ended December 31, 2013.</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12" w:lineRule="exact"/>
        <w:rPr>
          <w:sz w:val="20"/>
          <w:szCs w:val="20"/>
          <w:color w:val="auto"/>
        </w:rPr>
      </w:pPr>
    </w:p>
    <w:p>
      <w:pPr>
        <w:ind w:right="40" w:firstLine="518"/>
        <w:spacing w:after="0" w:line="308" w:lineRule="auto"/>
        <w:rPr>
          <w:sz w:val="20"/>
          <w:szCs w:val="20"/>
          <w:color w:val="auto"/>
        </w:rPr>
      </w:pPr>
      <w:r>
        <w:rPr>
          <w:rFonts w:ascii="Arial" w:cs="Arial" w:eastAsia="Arial" w:hAnsi="Arial"/>
          <w:sz w:val="16"/>
          <w:szCs w:val="16"/>
          <w:color w:val="auto"/>
        </w:rPr>
        <w:t>During the quarter ended June 30, 2014,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repurchase any shares of our common stock during the quarter ended June 30, 2014.</w:t>
      </w:r>
    </w:p>
    <w:p>
      <w:pPr>
        <w:spacing w:after="0" w:line="112" w:lineRule="exact"/>
        <w:rPr>
          <w:sz w:val="20"/>
          <w:szCs w:val="20"/>
          <w:color w:val="auto"/>
        </w:rPr>
      </w:pPr>
    </w:p>
    <w:p>
      <w:pPr>
        <w:ind w:right="80" w:firstLine="518"/>
        <w:spacing w:after="0" w:line="296" w:lineRule="auto"/>
        <w:rPr>
          <w:sz w:val="20"/>
          <w:szCs w:val="20"/>
          <w:color w:val="auto"/>
        </w:rPr>
      </w:pPr>
      <w:r>
        <w:rPr>
          <w:rFonts w:ascii="Arial" w:cs="Arial" w:eastAsia="Arial" w:hAnsi="Arial"/>
          <w:sz w:val="15"/>
          <w:szCs w:val="15"/>
          <w:color w:val="auto"/>
        </w:rPr>
        <w:t>In February 2013, we announced that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As of June 30, 2014, we have $105 million remaining to repurchase shares of our common stock under this share repurchase program.</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60"/>
          </w:cols>
          <w:pgMar w:left="240" w:top="353" w:right="29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6. Exhibits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exhibits listed below are filed as part of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tcPr>
          <w:p>
            <w:pPr>
              <w:jc w:val="center"/>
              <w:ind w:right="1572"/>
              <w:spacing w:after="0"/>
              <w:rPr>
                <w:sz w:val="20"/>
                <w:szCs w:val="20"/>
                <w:color w:val="auto"/>
              </w:rPr>
            </w:pPr>
            <w:r>
              <w:rPr>
                <w:rFonts w:ascii="Arial" w:cs="Arial" w:eastAsia="Arial" w:hAnsi="Arial"/>
                <w:sz w:val="14"/>
                <w:szCs w:val="14"/>
                <w:b w:val="1"/>
                <w:bCs w:val="1"/>
                <w:color w:val="auto"/>
                <w:w w:val="94"/>
              </w:rPr>
              <w:t>Exhibit</w:t>
            </w:r>
          </w:p>
        </w:tc>
        <w:tc>
          <w:tcPr>
            <w:tcW w:w="2780" w:type="dxa"/>
            <w:vAlign w:val="bottom"/>
            <w:vMerge w:val="restart"/>
          </w:tcPr>
          <w:p>
            <w:pPr>
              <w:ind w:left="1640"/>
              <w:spacing w:after="0"/>
              <w:rPr>
                <w:sz w:val="20"/>
                <w:szCs w:val="20"/>
                <w:color w:val="auto"/>
              </w:rPr>
            </w:pPr>
            <w:r>
              <w:rPr>
                <w:rFonts w:ascii="Arial" w:cs="Arial" w:eastAsia="Arial" w:hAnsi="Arial"/>
                <w:sz w:val="14"/>
                <w:szCs w:val="14"/>
                <w:b w:val="1"/>
                <w:bCs w:val="1"/>
                <w:color w:val="auto"/>
                <w:w w:val="87"/>
              </w:rPr>
              <w:t>Exhibit Description</w:t>
            </w:r>
          </w:p>
        </w:tc>
        <w:tc>
          <w:tcPr>
            <w:tcW w:w="0" w:type="dxa"/>
            <w:vAlign w:val="bottom"/>
          </w:tcPr>
          <w:p>
            <w:pPr>
              <w:spacing w:after="0"/>
              <w:rPr>
                <w:sz w:val="1"/>
                <w:szCs w:val="1"/>
                <w:color w:val="auto"/>
              </w:rPr>
            </w:pPr>
          </w:p>
        </w:tc>
      </w:tr>
      <w:tr>
        <w:trPr>
          <w:trHeight w:val="176"/>
        </w:trPr>
        <w:tc>
          <w:tcPr>
            <w:tcW w:w="2080" w:type="dxa"/>
            <w:vAlign w:val="bottom"/>
          </w:tcPr>
          <w:p>
            <w:pPr>
              <w:jc w:val="center"/>
              <w:ind w:right="1572"/>
              <w:spacing w:after="0"/>
              <w:rPr>
                <w:sz w:val="20"/>
                <w:szCs w:val="20"/>
                <w:color w:val="auto"/>
              </w:rPr>
            </w:pPr>
            <w:r>
              <w:rPr>
                <w:rFonts w:ascii="Arial" w:cs="Arial" w:eastAsia="Arial" w:hAnsi="Arial"/>
                <w:sz w:val="14"/>
                <w:szCs w:val="14"/>
                <w:b w:val="1"/>
                <w:bCs w:val="1"/>
                <w:color w:val="auto"/>
                <w:w w:val="88"/>
              </w:rPr>
              <w:t>No.</w:t>
            </w: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5100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00955" cy="8255"/>
                    </a:xfrm>
                    <a:prstGeom prst="rect">
                      <a:avLst/>
                    </a:prstGeom>
                    <a:noFill/>
                  </pic:spPr>
                </pic:pic>
              </a:graphicData>
            </a:graphic>
          </wp:anchor>
        </w:drawing>
      </w:r>
    </w:p>
    <w:p>
      <w:pPr>
        <w:spacing w:after="0" w:line="8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the Chief Executive Officer pursuant to Section 302 of the Sarbanes-Oxley Act of 2002</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the Chief Financial Officer pursuant to Section 302 of the Sarbanes-Oxley Act of 2002</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Certification of the Chief Executive Officer pursuant to Section 906 of the Sarbanes-Oxley Act of 2002</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Certification of the Chief Financial Officer pursuant to Section 906 of the Sarbanes-Oxley Act of 2002</w:t>
      </w:r>
    </w:p>
    <w:p>
      <w:pPr>
        <w:spacing w:after="0" w:line="137" w:lineRule="exact"/>
        <w:rPr>
          <w:sz w:val="20"/>
          <w:szCs w:val="20"/>
          <w:color w:val="auto"/>
        </w:rPr>
      </w:pPr>
    </w:p>
    <w:p>
      <w:pPr>
        <w:ind w:left="520" w:hanging="518"/>
        <w:spacing w:after="0" w:line="290"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period ended June 30, 2014, formatted in XBRL: (i) Unaudited Consolidated Statements of Operations, (ii) Unaudited Consolidated Statements of Comprehensive Income, (iii) Unaudited Consolidated Balance Sheets,</w:t>
      </w:r>
    </w:p>
    <w:p>
      <w:pPr>
        <w:ind w:left="520" w:right="340"/>
        <w:spacing w:after="0" w:line="329" w:lineRule="auto"/>
        <w:rPr>
          <w:rFonts w:ascii="Arial" w:cs="Arial" w:eastAsia="Arial" w:hAnsi="Arial"/>
          <w:sz w:val="15"/>
          <w:szCs w:val="15"/>
          <w:color w:val="auto"/>
        </w:rPr>
      </w:pPr>
      <w:r>
        <w:rPr>
          <w:rFonts w:ascii="Arial" w:cs="Arial" w:eastAsia="Arial" w:hAnsi="Arial"/>
          <w:sz w:val="15"/>
          <w:szCs w:val="15"/>
          <w:color w:val="auto"/>
        </w:rPr>
        <w:t>(iv) Unaudited Consolidated Statement of Changes in Stockholders’ Equity, (v) Unaudited Consolidated Statements of Cash Flows, and (vi)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Filed</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7"/>
              </w:rPr>
              <w:t>Incorporated by Reference</w:t>
            </w:r>
          </w:p>
        </w:tc>
      </w:tr>
      <w:tr>
        <w:trPr>
          <w:trHeight w:val="134"/>
        </w:trPr>
        <w:tc>
          <w:tcPr>
            <w:tcW w:w="58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Herewith</w:t>
            </w:r>
          </w:p>
        </w:tc>
        <w:tc>
          <w:tcPr>
            <w:tcW w:w="180" w:type="dxa"/>
            <w:vAlign w:val="bottom"/>
          </w:tcPr>
          <w:p>
            <w:pPr>
              <w:spacing w:after="0"/>
              <w:rPr>
                <w:sz w:val="11"/>
                <w:szCs w:val="11"/>
                <w:color w:val="auto"/>
              </w:rPr>
            </w:pPr>
          </w:p>
        </w:tc>
        <w:tc>
          <w:tcPr>
            <w:tcW w:w="2540" w:type="dxa"/>
            <w:vAlign w:val="bottom"/>
            <w:gridSpan w:val="7"/>
          </w:tcPr>
          <w:p>
            <w:pPr>
              <w:jc w:val="center"/>
              <w:spacing w:after="0" w:line="134" w:lineRule="exact"/>
              <w:rPr>
                <w:sz w:val="20"/>
                <w:szCs w:val="20"/>
                <w:color w:val="auto"/>
              </w:rPr>
            </w:pPr>
            <w:r>
              <w:rPr>
                <w:rFonts w:ascii="Arial" w:cs="Arial" w:eastAsia="Arial" w:hAnsi="Arial"/>
                <w:sz w:val="14"/>
                <w:szCs w:val="14"/>
                <w:b w:val="1"/>
                <w:bCs w:val="1"/>
                <w:color w:val="auto"/>
                <w:w w:val="96"/>
              </w:rPr>
              <w:t>Form  SEC File No.  Exhibit  Filing Date</w:t>
            </w:r>
          </w:p>
        </w:tc>
      </w:tr>
      <w:tr>
        <w:trPr>
          <w:trHeight w:val="20"/>
        </w:trPr>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980" w:space="140"/>
            <w:col w:w="3300"/>
          </w:cols>
          <w:pgMar w:left="240" w:top="558" w:right="239" w:bottom="1440" w:gutter="0" w:footer="0" w:header="0"/>
        </w:sectPr>
      </w:pPr>
    </w:p>
    <w:bookmarkStart w:id="36" w:name="page37"/>
    <w:bookmarkEnd w:id="36"/>
    <w:p>
      <w:pPr>
        <w:jc w:val="center"/>
        <w:ind w:right="-23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TripAdvisor, Inc.</w:t>
      </w:r>
    </w:p>
    <w:p>
      <w:pPr>
        <w:spacing w:after="0" w:line="252" w:lineRule="exact"/>
        <w:rPr>
          <w:sz w:val="20"/>
          <w:szCs w:val="20"/>
          <w:color w:val="auto"/>
        </w:rPr>
      </w:pPr>
    </w:p>
    <w:p>
      <w:pPr>
        <w:ind w:left="6860"/>
        <w:spacing w:after="0"/>
        <w:tabs>
          <w:tab w:leader="none" w:pos="8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2"/>
          <w:szCs w:val="12"/>
          <w:color w:val="auto"/>
        </w:rPr>
        <w:t>ULIE</w:t>
      </w:r>
      <w:r>
        <w:rPr>
          <w:rFonts w:ascii="Arial" w:cs="Arial" w:eastAsia="Arial" w:hAnsi="Arial"/>
          <w:sz w:val="17"/>
          <w:szCs w:val="17"/>
          <w:color w:val="auto"/>
        </w:rPr>
        <w:t xml:space="preserve"> M.B. B</w:t>
      </w:r>
      <w:r>
        <w:rPr>
          <w:rFonts w:ascii="Arial" w:cs="Arial" w:eastAsia="Arial" w:hAnsi="Arial"/>
          <w:sz w:val="12"/>
          <w:szCs w:val="12"/>
          <w:color w:val="auto"/>
        </w:rPr>
        <w:t>RADLEY</w:t>
      </w:r>
    </w:p>
    <w:p>
      <w:pPr>
        <w:spacing w:after="0" w:line="20" w:lineRule="exact"/>
        <w:rPr>
          <w:sz w:val="20"/>
          <w:szCs w:val="20"/>
          <w:color w:val="auto"/>
        </w:rPr>
      </w:pPr>
    </w:p>
    <w:p>
      <w:pPr>
        <w:jc w:val="center"/>
        <w:ind w:left="7260"/>
        <w:spacing w:after="0"/>
        <w:rPr>
          <w:sz w:val="20"/>
          <w:szCs w:val="20"/>
          <w:color w:val="auto"/>
        </w:rPr>
      </w:pPr>
      <w:r>
        <w:rPr>
          <w:rFonts w:ascii="Arial" w:cs="Arial" w:eastAsia="Arial" w:hAnsi="Arial"/>
          <w:sz w:val="17"/>
          <w:szCs w:val="17"/>
          <w:b w:val="1"/>
          <w:bCs w:val="1"/>
          <w:color w:val="auto"/>
        </w:rPr>
        <w:t>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-122555</wp:posOffset>
            </wp:positionV>
            <wp:extent cx="2705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 w:lineRule="exact"/>
        <w:rPr>
          <w:sz w:val="20"/>
          <w:szCs w:val="20"/>
          <w:color w:val="auto"/>
        </w:rPr>
      </w:pPr>
    </w:p>
    <w:p>
      <w:pPr>
        <w:jc w:val="center"/>
        <w:ind w:left="7260"/>
        <w:spacing w:after="0"/>
        <w:rPr>
          <w:sz w:val="20"/>
          <w:szCs w:val="20"/>
          <w:color w:val="auto"/>
        </w:rPr>
      </w:pPr>
      <w:r>
        <w:rPr>
          <w:rFonts w:ascii="Arial" w:cs="Arial" w:eastAsia="Arial" w:hAnsi="Arial"/>
          <w:sz w:val="17"/>
          <w:szCs w:val="17"/>
          <w:b w:val="1"/>
          <w:bCs w:val="1"/>
          <w:color w:val="auto"/>
        </w:rPr>
        <w:t>Chief Financial Officer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July 28, 2014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180"/>
          </w:cols>
          <w:pgMar w:left="240" w:top="353" w:right="47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Certification</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Stephen Kaufer, Chief Executive Officer of TripAdvisor, Inc., certify that:</w:t>
      </w:r>
    </w:p>
    <w:p>
      <w:pPr>
        <w:spacing w:after="0" w:line="112" w:lineRule="exact"/>
        <w:rPr>
          <w:sz w:val="20"/>
          <w:szCs w:val="20"/>
          <w:color w:val="auto"/>
        </w:rPr>
      </w:pPr>
    </w:p>
    <w:p>
      <w:pPr>
        <w:ind w:left="520" w:hanging="518"/>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June 30, 2014 of TripAdvisor, Inc.;</w:t>
      </w:r>
    </w:p>
    <w:p>
      <w:pPr>
        <w:spacing w:after="0" w:line="111" w:lineRule="exact"/>
        <w:rPr>
          <w:rFonts w:ascii="Arial" w:cs="Arial" w:eastAsia="Arial" w:hAnsi="Arial"/>
          <w:sz w:val="17"/>
          <w:szCs w:val="17"/>
          <w:color w:val="auto"/>
        </w:rPr>
      </w:pPr>
    </w:p>
    <w:p>
      <w:pPr>
        <w:ind w:left="520" w:right="220" w:hanging="518"/>
        <w:spacing w:after="0" w:line="345" w:lineRule="auto"/>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5"/>
          <w:szCs w:val="15"/>
          <w:color w:val="auto"/>
        </w:rPr>
      </w:pPr>
    </w:p>
    <w:p>
      <w:pPr>
        <w:ind w:left="520" w:right="300" w:hanging="518"/>
        <w:spacing w:after="0" w:line="276"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520" w:right="100" w:hanging="518"/>
        <w:spacing w:after="0" w:line="263"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020" w:right="240" w:hanging="499"/>
        <w:spacing w:after="0" w:line="263"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020" w:right="60" w:hanging="499"/>
        <w:spacing w:after="0" w:line="263"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ind w:left="1020" w:right="100" w:hanging="499"/>
        <w:spacing w:after="0" w:line="276"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1020" w:right="140" w:hanging="499"/>
        <w:spacing w:after="0" w:line="263"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520" w:right="680" w:hanging="518"/>
        <w:spacing w:after="0" w:line="308"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6"/>
          <w:szCs w:val="16"/>
          <w:color w:val="auto"/>
        </w:rPr>
      </w:pPr>
    </w:p>
    <w:p>
      <w:pPr>
        <w:ind w:left="1020" w:right="20" w:hanging="499"/>
        <w:spacing w:after="0" w:line="276"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020" w:right="240" w:hanging="499"/>
        <w:spacing w:after="0" w:line="276" w:lineRule="auto"/>
        <w:tabs>
          <w:tab w:leader="none" w:pos="1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7"/>
                <w:szCs w:val="17"/>
                <w:color w:val="auto"/>
              </w:rPr>
              <w:t>Date: July 28,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KAUFER</w:t>
            </w:r>
          </w:p>
        </w:tc>
      </w:tr>
      <w:tr>
        <w:trPr>
          <w:trHeight w:val="186"/>
        </w:trPr>
        <w:tc>
          <w:tcPr>
            <w:tcW w:w="6860" w:type="dxa"/>
            <w:vAlign w:val="bottom"/>
          </w:tcPr>
          <w:p>
            <w:pPr>
              <w:spacing w:after="0"/>
              <w:rPr>
                <w:sz w:val="16"/>
                <w:szCs w:val="16"/>
                <w:color w:val="auto"/>
              </w:rPr>
            </w:pPr>
          </w:p>
        </w:tc>
        <w:tc>
          <w:tcPr>
            <w:tcW w:w="4560" w:type="dxa"/>
            <w:vAlign w:val="bottom"/>
          </w:tcPr>
          <w:p>
            <w:pPr>
              <w:spacing w:after="0" w:line="185" w:lineRule="exact"/>
              <w:rPr>
                <w:sz w:val="20"/>
                <w:szCs w:val="20"/>
                <w:color w:val="auto"/>
              </w:rPr>
            </w:pPr>
            <w:r>
              <w:rPr>
                <w:rFonts w:ascii="Arial" w:cs="Arial" w:eastAsia="Arial" w:hAnsi="Arial"/>
                <w:sz w:val="17"/>
                <w:szCs w:val="17"/>
                <w:color w:val="auto"/>
              </w:rPr>
              <w:t>Stephen Kaufer</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Julie M.B. Bradley, Chief Financial Officer of TripAdvisor, Inc. certify that:</w:t>
      </w:r>
    </w:p>
    <w:p>
      <w:pPr>
        <w:spacing w:after="0" w:line="112" w:lineRule="exact"/>
        <w:rPr>
          <w:sz w:val="20"/>
          <w:szCs w:val="20"/>
          <w:color w:val="auto"/>
        </w:rPr>
      </w:pPr>
    </w:p>
    <w:p>
      <w:pPr>
        <w:ind w:left="520" w:hanging="518"/>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June 30, 2014 of TripAdvisor, Inc.;</w:t>
      </w:r>
    </w:p>
    <w:p>
      <w:pPr>
        <w:spacing w:after="0" w:line="111" w:lineRule="exact"/>
        <w:rPr>
          <w:rFonts w:ascii="Arial" w:cs="Arial" w:eastAsia="Arial" w:hAnsi="Arial"/>
          <w:sz w:val="17"/>
          <w:szCs w:val="17"/>
          <w:color w:val="auto"/>
        </w:rPr>
      </w:pPr>
    </w:p>
    <w:p>
      <w:pPr>
        <w:ind w:left="520" w:right="220" w:hanging="518"/>
        <w:spacing w:after="0" w:line="345"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5"/>
          <w:szCs w:val="15"/>
          <w:color w:val="auto"/>
        </w:rPr>
      </w:pPr>
    </w:p>
    <w:p>
      <w:pPr>
        <w:ind w:left="520" w:right="300" w:hanging="518"/>
        <w:spacing w:after="0" w:line="276"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520" w:right="100" w:hanging="518"/>
        <w:spacing w:after="0" w:line="263"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020" w:right="240" w:hanging="499"/>
        <w:spacing w:after="0" w:line="263"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020" w:right="60" w:hanging="499"/>
        <w:spacing w:after="0" w:line="263"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ind w:left="1020" w:right="100" w:hanging="499"/>
        <w:spacing w:after="0" w:line="276"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1020" w:right="140" w:hanging="499"/>
        <w:spacing w:after="0" w:line="263"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520" w:right="680" w:hanging="518"/>
        <w:spacing w:after="0" w:line="308"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6"/>
          <w:szCs w:val="16"/>
          <w:color w:val="auto"/>
        </w:rPr>
      </w:pPr>
    </w:p>
    <w:p>
      <w:pPr>
        <w:ind w:left="1020" w:right="20" w:hanging="499"/>
        <w:spacing w:after="0" w:line="276"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020" w:right="240" w:hanging="499"/>
        <w:spacing w:after="0" w:line="276"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7"/>
                <w:szCs w:val="17"/>
                <w:color w:val="auto"/>
              </w:rPr>
              <w:t>Date: July 28,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JULIE M.B. BRADLEY</w:t>
            </w:r>
          </w:p>
        </w:tc>
      </w:tr>
      <w:tr>
        <w:trPr>
          <w:trHeight w:val="186"/>
        </w:trPr>
        <w:tc>
          <w:tcPr>
            <w:tcW w:w="6860" w:type="dxa"/>
            <w:vAlign w:val="bottom"/>
          </w:tcPr>
          <w:p>
            <w:pPr>
              <w:spacing w:after="0"/>
              <w:rPr>
                <w:sz w:val="16"/>
                <w:szCs w:val="16"/>
                <w:color w:val="auto"/>
              </w:rPr>
            </w:pPr>
          </w:p>
        </w:tc>
        <w:tc>
          <w:tcPr>
            <w:tcW w:w="4560" w:type="dxa"/>
            <w:vAlign w:val="bottom"/>
          </w:tcPr>
          <w:p>
            <w:pPr>
              <w:spacing w:after="0" w:line="185" w:lineRule="exact"/>
              <w:rPr>
                <w:sz w:val="20"/>
                <w:szCs w:val="20"/>
                <w:color w:val="auto"/>
              </w:rPr>
            </w:pPr>
            <w:r>
              <w:rPr>
                <w:rFonts w:ascii="Arial" w:cs="Arial" w:eastAsia="Arial" w:hAnsi="Arial"/>
                <w:sz w:val="17"/>
                <w:szCs w:val="17"/>
                <w:color w:val="auto"/>
              </w:rPr>
              <w:t>Julie M.B. Bradley</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420"/>
          </w:cols>
          <w:pgMar w:left="240" w:top="12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ind w:right="260" w:firstLine="518"/>
        <w:spacing w:after="0" w:line="263" w:lineRule="auto"/>
        <w:rPr>
          <w:sz w:val="20"/>
          <w:szCs w:val="20"/>
          <w:color w:val="auto"/>
        </w:rPr>
      </w:pPr>
      <w:r>
        <w:rPr>
          <w:rFonts w:ascii="Arial" w:cs="Arial" w:eastAsia="Arial" w:hAnsi="Arial"/>
          <w:sz w:val="17"/>
          <w:szCs w:val="17"/>
          <w:color w:val="auto"/>
        </w:rPr>
        <w:t>In connection with the quarterly report on Form 10-Q of TripAdvisor, Inc. (the “Company”) for the quarter ended June 30, 2014, as filed with the Securities and Exchange Commission on the date hereof (the “Report”), I, Stephen Kaufer, Chief Executive Officer of the Company, certify, pursuant to Section 906 of the Sarbanes-Oxley Act of 2002, 18 U.S.C. Section 1350, that:</w:t>
      </w:r>
    </w:p>
    <w:p>
      <w:pPr>
        <w:spacing w:after="0" w:line="74" w:lineRule="exact"/>
        <w:rPr>
          <w:sz w:val="20"/>
          <w:szCs w:val="20"/>
          <w:color w:val="auto"/>
        </w:rPr>
      </w:pPr>
    </w:p>
    <w:p>
      <w:pPr>
        <w:ind w:left="520" w:right="580" w:hanging="518"/>
        <w:spacing w:after="0" w:line="276"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7"/>
          <w:szCs w:val="17"/>
          <w:color w:val="auto"/>
        </w:rPr>
      </w:pPr>
    </w:p>
    <w:p>
      <w:pPr>
        <w:ind w:left="520" w:hanging="518"/>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7"/>
                <w:szCs w:val="17"/>
                <w:color w:val="auto"/>
              </w:rPr>
              <w:t>Date: July 28,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KAUFER</w:t>
            </w:r>
          </w:p>
        </w:tc>
      </w:tr>
      <w:tr>
        <w:trPr>
          <w:trHeight w:val="186"/>
        </w:trPr>
        <w:tc>
          <w:tcPr>
            <w:tcW w:w="6860" w:type="dxa"/>
            <w:vAlign w:val="bottom"/>
          </w:tcPr>
          <w:p>
            <w:pPr>
              <w:spacing w:after="0"/>
              <w:rPr>
                <w:sz w:val="16"/>
                <w:szCs w:val="16"/>
                <w:color w:val="auto"/>
              </w:rPr>
            </w:pPr>
          </w:p>
        </w:tc>
        <w:tc>
          <w:tcPr>
            <w:tcW w:w="4560" w:type="dxa"/>
            <w:vAlign w:val="bottom"/>
          </w:tcPr>
          <w:p>
            <w:pPr>
              <w:spacing w:after="0" w:line="185" w:lineRule="exact"/>
              <w:rPr>
                <w:sz w:val="20"/>
                <w:szCs w:val="20"/>
                <w:color w:val="auto"/>
              </w:rPr>
            </w:pPr>
            <w:r>
              <w:rPr>
                <w:rFonts w:ascii="Arial" w:cs="Arial" w:eastAsia="Arial" w:hAnsi="Arial"/>
                <w:sz w:val="17"/>
                <w:szCs w:val="17"/>
                <w:color w:val="auto"/>
              </w:rPr>
              <w:t>Stephen Kaufer</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jc w:val="both"/>
        <w:ind w:right="260" w:firstLine="518"/>
        <w:spacing w:after="0" w:line="263" w:lineRule="auto"/>
        <w:rPr>
          <w:sz w:val="20"/>
          <w:szCs w:val="20"/>
          <w:color w:val="auto"/>
        </w:rPr>
      </w:pPr>
      <w:r>
        <w:rPr>
          <w:rFonts w:ascii="Arial" w:cs="Arial" w:eastAsia="Arial" w:hAnsi="Arial"/>
          <w:sz w:val="17"/>
          <w:szCs w:val="17"/>
          <w:color w:val="auto"/>
        </w:rPr>
        <w:t>In connection with the quarterly report on Form 10-Q of TripAdvisor, Inc. (the “Company”) for the quarter ended June 30, 2014, as filed with the Securities and Exchange Commission on the date hereof (the “Report”), I, Julie M.B. Bradley, Chief Financial Officer of the Company, certify, pursuant to Section 906 of the Sarbanes-Oxley Act of 2002, 18 U.S.C. Section 1350, that:</w:t>
      </w:r>
    </w:p>
    <w:p>
      <w:pPr>
        <w:spacing w:after="0" w:line="74" w:lineRule="exact"/>
        <w:rPr>
          <w:sz w:val="20"/>
          <w:szCs w:val="20"/>
          <w:color w:val="auto"/>
        </w:rPr>
      </w:pPr>
    </w:p>
    <w:p>
      <w:pPr>
        <w:ind w:left="520" w:right="580" w:hanging="518"/>
        <w:spacing w:after="0" w:line="276"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7"/>
          <w:szCs w:val="17"/>
          <w:color w:val="auto"/>
        </w:rPr>
      </w:pPr>
    </w:p>
    <w:p>
      <w:pPr>
        <w:ind w:left="520" w:hanging="518"/>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7"/>
                <w:szCs w:val="17"/>
                <w:color w:val="auto"/>
              </w:rPr>
              <w:t>Date: July 28,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JULIE M.B. BRADLEY</w:t>
            </w:r>
          </w:p>
        </w:tc>
      </w:tr>
      <w:tr>
        <w:trPr>
          <w:trHeight w:val="186"/>
        </w:trPr>
        <w:tc>
          <w:tcPr>
            <w:tcW w:w="6860" w:type="dxa"/>
            <w:vAlign w:val="bottom"/>
          </w:tcPr>
          <w:p>
            <w:pPr>
              <w:spacing w:after="0"/>
              <w:rPr>
                <w:sz w:val="16"/>
                <w:szCs w:val="16"/>
                <w:color w:val="auto"/>
              </w:rPr>
            </w:pPr>
          </w:p>
        </w:tc>
        <w:tc>
          <w:tcPr>
            <w:tcW w:w="4560" w:type="dxa"/>
            <w:vAlign w:val="bottom"/>
          </w:tcPr>
          <w:p>
            <w:pPr>
              <w:spacing w:after="0" w:line="185" w:lineRule="exact"/>
              <w:rPr>
                <w:sz w:val="20"/>
                <w:szCs w:val="20"/>
                <w:color w:val="auto"/>
              </w:rPr>
            </w:pPr>
            <w:r>
              <w:rPr>
                <w:rFonts w:ascii="Arial" w:cs="Arial" w:eastAsia="Arial" w:hAnsi="Arial"/>
                <w:sz w:val="17"/>
                <w:szCs w:val="17"/>
                <w:color w:val="auto"/>
              </w:rPr>
              <w:t>Julie M.B. Bradley</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emdash "/>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emdash "/>
      <w:numFmt w:val="bullet"/>
      <w:start w:val="1"/>
    </w:lvl>
  </w:abstractNum>
  <w:abstractNum w:abstractNumId="15">
    <w:nsid w:val="436C6125"/>
    <w:multiLevelType w:val="hybridMultilevel"/>
    <w:lvl w:ilvl="0">
      <w:lvlJc w:val="left"/>
      <w:lvlText w:val="\emdash "/>
      <w:numFmt w:val="bullet"/>
      <w:start w:val="1"/>
    </w:lvl>
  </w:abstractNum>
  <w:abstractNum w:abstractNumId="16">
    <w:nsid w:val="628C895D"/>
    <w:multiLevelType w:val="hybridMultilevel"/>
    <w:lvl w:ilvl="0">
      <w:lvlJc w:val="left"/>
      <w:lvlText w:val="\emdash "/>
      <w:numFmt w:val="bullet"/>
      <w:start w:val="1"/>
    </w:lvl>
  </w:abstractNum>
  <w:abstractNum w:abstractNumId="17">
    <w:nsid w:val="333AB105"/>
    <w:multiLevelType w:val="hybridMultilevel"/>
    <w:lvl w:ilvl="0">
      <w:lvlJc w:val="left"/>
      <w:lvlText w:val="\emdash "/>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emdash "/>
      <w:numFmt w:val="bullet"/>
      <w:start w:val="1"/>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2019-12-08T02:42:24Z</dcterms:created>
  <dcterms:modified xsi:type="dcterms:W3CDTF">2019-12-08T02:42:24Z</dcterms:modified>
</cp:coreProperties>
</file>